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</w:rPr>
        <w:t xml:space="preserve">, Chloe Shiff, Tomer Oron, </w:t>
      </w:r>
      <w:r w:rsidR="00A267AB">
        <w:rPr>
          <w:rFonts w:asciiTheme="majorBidi" w:hAnsiTheme="majorBidi" w:cstheme="majorBidi"/>
          <w:sz w:val="22"/>
          <w:szCs w:val="22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</w:rPr>
        <w:t>Yoav Ram</w:t>
      </w:r>
    </w:p>
    <w:p w14:paraId="030F0B24" w14:textId="0337084A" w:rsidR="008E3C52" w:rsidRPr="004B656C" w:rsidRDefault="008A3043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30</w:t>
      </w:r>
      <w:r w:rsidR="008E3C52" w:rsidRPr="004B656C">
        <w:rPr>
          <w:rFonts w:asciiTheme="majorBidi" w:hAnsiTheme="majorBidi" w:cstheme="majorBidi"/>
          <w:sz w:val="22"/>
          <w:szCs w:val="22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/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</w:rPr>
        <w:t>.</w:t>
      </w:r>
      <w:r w:rsidRPr="0028238A">
        <w:rPr>
          <w:rFonts w:asciiTheme="majorBidi" w:hAnsiTheme="majorBidi" w:cstheme="majorBidi"/>
          <w:sz w:val="22"/>
          <w:szCs w:val="22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6F0CEE">
        <w:rPr>
          <w:rFonts w:asciiTheme="majorBidi" w:hAnsiTheme="majorBidi" w:cstheme="majorBidi"/>
          <w:sz w:val="22"/>
          <w:szCs w:val="22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1</w:t>
      </w:r>
      <w:r w:rsidRPr="0028238A">
        <w:rPr>
          <w:rFonts w:asciiTheme="majorBidi" w:hAnsiTheme="majorBidi" w:cstheme="majorBidi"/>
          <w:sz w:val="22"/>
          <w:szCs w:val="22"/>
        </w:rPr>
        <w:t xml:space="preserve"> 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6F0CEE">
        <w:rPr>
          <w:rFonts w:asciiTheme="majorBidi" w:hAnsiTheme="majorBidi" w:cstheme="majorBidi"/>
          <w:sz w:val="22"/>
          <w:szCs w:val="22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</w:rPr>
        <w:t xml:space="preserve"> (mixed-hand parental effect).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</w:rPr>
        <w:lastRenderedPageBreak/>
        <w:t>Table S2</w:t>
      </w:r>
      <w:r w:rsidRPr="00EA6679">
        <w:rPr>
          <w:b/>
          <w:bCs/>
        </w:rPr>
        <w:t>.</w:t>
      </w:r>
      <w:r w:rsidRPr="00AF3DE6">
        <w:t xml:space="preserve"> </w:t>
      </w:r>
      <w:r w:rsidR="0012139A">
        <w:t>The e</w:t>
      </w:r>
      <w:r w:rsidRPr="00AF3DE6">
        <w:t xml:space="preserve">xpected </w:t>
      </w:r>
      <w:r>
        <w:rPr>
          <w:i/>
          <w:iCs/>
        </w:rPr>
        <w:t>true incidence</w:t>
      </w:r>
      <w:r w:rsidRPr="00AF3DE6">
        <w:t xml:space="preserve"> of right-</w:t>
      </w:r>
      <w:r>
        <w:t>right, right-left</w:t>
      </w:r>
      <w:r w:rsidR="0012139A">
        <w:t>,</w:t>
      </w:r>
      <w:r w:rsidRPr="00AF3DE6">
        <w:t xml:space="preserve"> and left-</w:t>
      </w:r>
      <w:r>
        <w:t>left-</w:t>
      </w:r>
      <w:r w:rsidRPr="00AF3DE6">
        <w:t xml:space="preserve">handed </w:t>
      </w:r>
      <w:r>
        <w:t xml:space="preserve">twins given </w:t>
      </w:r>
      <w:r w:rsidRPr="00AF3DE6">
        <w:t xml:space="preserve">parental phenotypes </w:t>
      </w:r>
      <w:r>
        <w:t xml:space="preserve">and </w:t>
      </w:r>
      <w:r w:rsidRPr="00AF3DE6">
        <w:t>assuming the D allele is fixed</w:t>
      </w:r>
      <w:r>
        <w:t xml:space="preserve"> in the population</w:t>
      </w:r>
      <w:r w:rsidRPr="00AF3DE6"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. Data and results reported by Laland et al. (1995).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16 of 17 studies and across all studies combined (G= 44.33, </w:t>
      </w:r>
      <w:proofErr w:type="spellStart"/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df</w:t>
      </w:r>
      <w:proofErr w:type="spellEnd"/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</w:t>
      </w:r>
      <w:proofErr w:type="spellStart"/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df</w:t>
      </w:r>
      <w:proofErr w:type="spellEnd"/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for each study are in the right column. Model predictions fit the data in 9 of 17 individual studies and do not fit for all studies combined (G=556.03, </w:t>
      </w:r>
      <w:proofErr w:type="spellStart"/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df</w:t>
      </w:r>
      <w:proofErr w:type="spellEnd"/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</w:t>
      </w:r>
      <w:proofErr w:type="spellStart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df</w:t>
      </w:r>
      <w:proofErr w:type="spellEnd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for each study are in the right column. Model predictions fit the data in 16 of 17 individual studies and for all studies combined (G=44.4, </w:t>
      </w:r>
      <w:proofErr w:type="spellStart"/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df</w:t>
      </w:r>
      <w:proofErr w:type="spellEnd"/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for each study are in the right column. Model predictions fit the data in 16 of 17 individual studies and for all studies combined (G=36.3, </w:t>
      </w:r>
      <w:proofErr w:type="spellStart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df</w:t>
      </w:r>
      <w:proofErr w:type="spellEnd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for each study are in the right column. Model predictions fit the data in 16 of 17 individual studies and for all studies combined (G=37.5, </w:t>
      </w:r>
      <w:proofErr w:type="spellStart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df</w:t>
      </w:r>
      <w:proofErr w:type="spellEnd"/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-Taylor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Chaurasia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Goswani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unpub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Coren &amp; </w:t>
            </w:r>
            <w:proofErr w:type="spellStart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Porac</w:t>
            </w:r>
            <w:proofErr w:type="spellEnd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</w:rPr>
        <w:t xml:space="preserve"> fixed at zero).</w:t>
      </w:r>
      <w:r w:rsidR="00642C7A">
        <w:rPr>
          <w:b/>
        </w:rPr>
        <w:t xml:space="preserve"> </w:t>
      </w:r>
      <w:r w:rsidR="00642C7A" w:rsidRPr="00642C7A">
        <w:rPr>
          <w:bCs/>
        </w:rPr>
        <w:t>Model predictions fit the data in 27 out of the 28 individual studies and for all studies combined (G=35.68,</w:t>
      </w:r>
      <w:r w:rsidR="00642C7A">
        <w:rPr>
          <w:bCs/>
        </w:rPr>
        <w:t xml:space="preserve"> </w:t>
      </w:r>
      <w:proofErr w:type="spellStart"/>
      <w:r w:rsidR="00642C7A" w:rsidRPr="00642C7A">
        <w:rPr>
          <w:bCs/>
        </w:rPr>
        <w:t>df</w:t>
      </w:r>
      <w:proofErr w:type="spellEnd"/>
      <w:r w:rsidR="00642C7A" w:rsidRPr="00642C7A">
        <w:rPr>
          <w:bCs/>
        </w:rPr>
        <w:t>=28,</w:t>
      </w:r>
      <w:r w:rsidR="00642C7A">
        <w:rPr>
          <w:bCs/>
        </w:rPr>
        <w:t xml:space="preserve"> </w:t>
      </w:r>
      <w:r w:rsidR="00642C7A" w:rsidRPr="00642C7A">
        <w:rPr>
          <w:bCs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</w:rPr>
      </w:pPr>
      <w:r>
        <w:rPr>
          <w:i/>
          <w:iCs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</w:t>
            </w:r>
            <w:r w:rsidR="00642C7A" w:rsidRPr="00B537F8">
              <w:rPr>
                <w:sz w:val="16"/>
                <w:szCs w:val="16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</w:rPr>
              <w:t>df</w:t>
            </w:r>
            <w:proofErr w:type="spellEnd"/>
            <w:r w:rsidRPr="00B537F8">
              <w:rPr>
                <w:sz w:val="16"/>
                <w:szCs w:val="16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CC0FFF">
              <w:rPr>
                <w:sz w:val="16"/>
                <w:szCs w:val="16"/>
              </w:rPr>
              <w:t>df</w:t>
            </w:r>
            <w:proofErr w:type="spellEnd"/>
            <w:r w:rsidRPr="00CC0FFF">
              <w:rPr>
                <w:sz w:val="16"/>
                <w:szCs w:val="16"/>
              </w:rPr>
              <w:t>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</w:rPr>
              <w:t>Bouterwek</w:t>
            </w:r>
            <w:proofErr w:type="spellEnd"/>
            <w:r w:rsidRPr="00137F3F">
              <w:rPr>
                <w:sz w:val="16"/>
                <w:szCs w:val="16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</w:rPr>
              <w:t>Thyss</w:t>
            </w:r>
            <w:proofErr w:type="spellEnd"/>
            <w:r w:rsidRPr="00137F3F">
              <w:rPr>
                <w:sz w:val="16"/>
                <w:szCs w:val="16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</w:rPr>
              <w:t>Zazzo</w:t>
            </w:r>
            <w:proofErr w:type="spellEnd"/>
            <w:r w:rsidRPr="00137F3F">
              <w:rPr>
                <w:sz w:val="16"/>
                <w:szCs w:val="16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</w:rPr>
              <w:t>Loehlin</w:t>
            </w:r>
            <w:proofErr w:type="spellEnd"/>
            <w:r w:rsidRPr="00137F3F">
              <w:rPr>
                <w:sz w:val="16"/>
                <w:szCs w:val="16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</w:rPr>
              <w:t>Searleman</w:t>
            </w:r>
            <w:proofErr w:type="spellEnd"/>
            <w:r w:rsidRPr="00137F3F">
              <w:rPr>
                <w:sz w:val="16"/>
                <w:szCs w:val="16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4.3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</w:rPr>
      </w:pPr>
      <w:r>
        <w:rPr>
          <w:rFonts w:eastAsia="Calibri"/>
          <w:highlight w:val="yellow"/>
        </w:rPr>
        <w:br w:type="page"/>
      </w:r>
    </w:p>
    <w:p w14:paraId="6816238F" w14:textId="28802242" w:rsidR="002663F3" w:rsidRPr="001603AD" w:rsidRDefault="002663F3" w:rsidP="002663F3">
      <w:r w:rsidRPr="002663F3">
        <w:rPr>
          <w:b/>
          <w:bCs/>
        </w:rPr>
        <w:lastRenderedPageBreak/>
        <w:t>Table S11.</w:t>
      </w:r>
      <w:r w:rsidRPr="001603AD">
        <w:t xml:space="preserve"> Probabilities of right-handed female</w:t>
      </w:r>
      <w:r w:rsidR="00867FB4">
        <w:t xml:space="preserve"> offspring</w:t>
      </w:r>
      <w:r w:rsidR="008E79E7">
        <w:t xml:space="preserve"> (top) and </w:t>
      </w:r>
      <w:r w:rsidR="00867FB4">
        <w:t xml:space="preserve">right-handed </w:t>
      </w:r>
      <w:r w:rsidR="008E79E7">
        <w:t xml:space="preserve">male </w:t>
      </w:r>
      <w:r w:rsidR="00867FB4">
        <w:t xml:space="preserve">offspring </w:t>
      </w:r>
      <w:r w:rsidR="008E79E7">
        <w:t xml:space="preserve">(bottom) </w:t>
      </w:r>
      <w:r w:rsidRPr="001603AD">
        <w:t xml:space="preserve">given </w:t>
      </w:r>
      <w:r w:rsidR="008E79E7">
        <w:t xml:space="preserve">offspring </w:t>
      </w:r>
      <w:r w:rsidRPr="001603AD">
        <w:t xml:space="preserve">genotype </w:t>
      </w:r>
      <w:r w:rsidR="008E79E7">
        <w:t xml:space="preserve">(columns) </w:t>
      </w:r>
      <w:r w:rsidRPr="001603AD">
        <w:t xml:space="preserve">and </w:t>
      </w:r>
      <w:r w:rsidR="008E79E7"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r w:rsidRPr="001603AD"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r w:rsidRPr="001603AD"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r w:rsidRPr="001603AD"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r w:rsidRPr="001603AD"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r w:rsidRPr="001603AD"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β</w:t>
            </w:r>
            <w:r w:rsidRPr="001603AD">
              <w:rPr>
                <w:i/>
                <w:vertAlign w:val="subscript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β</w:t>
            </w:r>
            <w:r w:rsidRPr="001603AD">
              <w:rPr>
                <w:i/>
                <w:vertAlign w:val="subscript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β</w:t>
            </w:r>
            <w:r w:rsidRPr="001603AD">
              <w:rPr>
                <w:i/>
                <w:vertAlign w:val="subscript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r w:rsidRPr="001603AD"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proofErr w:type="spellStart"/>
            <w:r w:rsidRPr="001603AD">
              <w:rPr>
                <w:i/>
              </w:rPr>
              <w:t>γ</w:t>
            </w:r>
            <w:r w:rsidRPr="001603AD">
              <w:rPr>
                <w:i/>
                <w:vertAlign w:val="subscript"/>
              </w:rPr>
              <w:t>F</w:t>
            </w:r>
            <w:proofErr w:type="spellEnd"/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proofErr w:type="spellStart"/>
            <w:r w:rsidRPr="001603AD">
              <w:rPr>
                <w:i/>
              </w:rPr>
              <w:t>γ</w:t>
            </w:r>
            <w:r w:rsidRPr="001603AD">
              <w:rPr>
                <w:i/>
                <w:vertAlign w:val="subscript"/>
              </w:rPr>
              <w:t>F</w:t>
            </w:r>
            <w:proofErr w:type="spellEnd"/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proofErr w:type="spellStart"/>
            <w:r w:rsidRPr="001603AD">
              <w:rPr>
                <w:i/>
              </w:rPr>
              <w:t>γ</w:t>
            </w:r>
            <w:r w:rsidRPr="001603AD">
              <w:rPr>
                <w:i/>
                <w:vertAlign w:val="subscript"/>
              </w:rPr>
              <w:t>F</w:t>
            </w:r>
            <w:proofErr w:type="spellEnd"/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r w:rsidRPr="001603AD"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−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−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−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F</w:t>
            </w:r>
          </w:p>
        </w:tc>
      </w:tr>
    </w:tbl>
    <w:p w14:paraId="16C97128" w14:textId="05E4FD02" w:rsidR="002663F3" w:rsidRPr="001603AD" w:rsidRDefault="002663F3" w:rsidP="002663F3"/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r w:rsidRPr="001603AD"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r w:rsidRPr="001603AD"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r w:rsidRPr="001603AD"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r w:rsidRPr="001603AD"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r w:rsidRPr="001603AD"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β</w:t>
            </w:r>
            <w:r w:rsidRPr="001603AD">
              <w:rPr>
                <w:i/>
                <w:vertAlign w:val="subscript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r w:rsidRPr="001603AD">
              <w:rPr>
                <w:i/>
              </w:rPr>
              <w:t>β</w:t>
            </w:r>
            <w:r w:rsidRPr="001603AD">
              <w:rPr>
                <w:i/>
                <w:vertAlign w:val="subscript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β</w:t>
            </w:r>
            <w:r w:rsidRPr="001603AD">
              <w:rPr>
                <w:i/>
                <w:vertAlign w:val="subscript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r w:rsidRPr="001603AD"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proofErr w:type="spellStart"/>
            <w:r w:rsidRPr="001603AD">
              <w:rPr>
                <w:i/>
              </w:rPr>
              <w:t>γ</w:t>
            </w:r>
            <w:r w:rsidRPr="001603AD">
              <w:rPr>
                <w:i/>
                <w:vertAlign w:val="subscript"/>
              </w:rPr>
              <w:t>M</w:t>
            </w:r>
            <w:proofErr w:type="spellEnd"/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+ </w:t>
            </w:r>
            <w:proofErr w:type="spellStart"/>
            <w:r w:rsidRPr="001603AD">
              <w:rPr>
                <w:i/>
              </w:rPr>
              <w:t>γ</w:t>
            </w:r>
            <w:r w:rsidRPr="001603AD">
              <w:rPr>
                <w:i/>
                <w:vertAlign w:val="subscript"/>
              </w:rPr>
              <w:t>M</w:t>
            </w:r>
            <w:proofErr w:type="spellEnd"/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proofErr w:type="spellStart"/>
            <w:r w:rsidRPr="001603AD">
              <w:rPr>
                <w:i/>
              </w:rPr>
              <w:t>γ</w:t>
            </w:r>
            <w:r w:rsidRPr="001603AD">
              <w:rPr>
                <w:i/>
                <w:vertAlign w:val="subscript"/>
              </w:rPr>
              <w:t>M</w:t>
            </w:r>
            <w:proofErr w:type="spellEnd"/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r w:rsidRPr="001603AD"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−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+ </w:t>
            </w:r>
            <w:r w:rsidRPr="001603AD">
              <w:rPr>
                <w:i/>
              </w:rPr>
              <w:t>h</w:t>
            </w:r>
            <w:r w:rsidRPr="001603AD">
              <w:rPr>
                <w:vertAlign w:val="subscript"/>
              </w:rPr>
              <w:t>1</w:t>
            </w:r>
            <w:r w:rsidRPr="001603AD">
              <w:rPr>
                <w:i/>
              </w:rPr>
              <w:t xml:space="preserve">ρ </w:t>
            </w:r>
            <w:r w:rsidRPr="001603AD">
              <w:t xml:space="preserve">−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r w:rsidRPr="001603AD">
              <w:t>(1</w:t>
            </w:r>
            <w:r w:rsidRPr="001603AD">
              <w:rPr>
                <w:i/>
              </w:rPr>
              <w:t>/</w:t>
            </w:r>
            <w:r w:rsidRPr="001603AD">
              <w:t xml:space="preserve">2) − </w:t>
            </w:r>
            <w:r w:rsidRPr="001603AD">
              <w:rPr>
                <w:i/>
              </w:rPr>
              <w:t>α</w:t>
            </w:r>
            <w:r w:rsidRPr="001603AD">
              <w:rPr>
                <w:i/>
                <w:vertAlign w:val="subscript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</w:rPr>
      </w:pPr>
    </w:p>
    <w:p w14:paraId="0B71AAAC" w14:textId="77777777" w:rsidR="00095A1C" w:rsidRDefault="00095A1C" w:rsidP="002663F3">
      <w:pPr>
        <w:rPr>
          <w:rFonts w:eastAsia="Calibri"/>
        </w:rPr>
      </w:pPr>
    </w:p>
    <w:p w14:paraId="6F695341" w14:textId="1692237F" w:rsidR="00095A1C" w:rsidRPr="0008427E" w:rsidRDefault="00095A1C" w:rsidP="002663F3">
      <w:pPr>
        <w:rPr>
          <w:rFonts w:eastAsia="Calibri"/>
        </w:rPr>
      </w:pPr>
      <w:r w:rsidRPr="0008427E">
        <w:rPr>
          <w:rFonts w:eastAsia="Calibri"/>
          <w:b/>
          <w:bCs/>
        </w:rPr>
        <w:t xml:space="preserve">Table S12. </w:t>
      </w:r>
      <w:r w:rsidRPr="0008427E">
        <w:rPr>
          <w:rFonts w:eastAsia="Calibri"/>
        </w:rPr>
        <w:t>Maximum-likelihood estimates for parameters of the extended models.</w:t>
      </w:r>
      <w:r>
        <w:rPr>
          <w:rFonts w:eastAsia="Calibri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</w:tr>
      <w:tr w:rsidR="00095A1C" w:rsidRPr="00513FF8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  <w:proofErr w:type="spellEnd"/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θ|D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0D70CEF" w:rsidR="00A267AB" w:rsidRPr="006F0CEE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 xml:space="preserve">g, h, </w:t>
      </w:r>
      <w:proofErr w:type="spellStart"/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i</w:t>
      </w:r>
      <w:proofErr w:type="spellEnd"/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br/>
      </w:r>
    </w:p>
    <w:p w14:paraId="123BD72C" w14:textId="1096719A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  <w:r w:rsidR="00D15D14" w:rsidRPr="00D15D14">
        <w:rPr>
          <w:rFonts w:asciiTheme="majorBidi" w:eastAsia="Calibri" w:hAnsiTheme="majorBidi" w:cstheme="majorBidi"/>
          <w:i/>
          <w:iCs/>
          <w:sz w:val="22"/>
          <w:szCs w:val="22"/>
        </w:rPr>
        <w:lastRenderedPageBreak/>
        <w:drawing>
          <wp:inline distT="0" distB="0" distL="0" distR="0" wp14:anchorId="7690CDC0" wp14:editId="1515906B">
            <wp:extent cx="5930265" cy="3288665"/>
            <wp:effectExtent l="0" t="0" r="0" b="6985"/>
            <wp:docPr id="653336810" name="Picture 1" descr="A group of graphs with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36810" name="Picture 1" descr="A group of graphs with different colored line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5D34" w14:textId="1044332F" w:rsidR="006F0CEE" w:rsidRPr="006F0CEE" w:rsidRDefault="006F0CEE" w:rsidP="006F0CEE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</w:t>
      </w:r>
      <w:r w:rsidRPr="004B656C">
        <w:rPr>
          <w:rFonts w:asciiTheme="majorBidi" w:hAnsiTheme="majorBidi" w:cstheme="majorBidi"/>
          <w:b/>
          <w:bCs/>
          <w:sz w:val="22"/>
          <w:szCs w:val="22"/>
        </w:rPr>
        <w:t xml:space="preserve">. </w:t>
      </w:r>
      <w:r w:rsidRPr="006F0CEE">
        <w:rPr>
          <w:rFonts w:asciiTheme="majorBidi" w:hAnsiTheme="majorBidi" w:cstheme="majorBidi"/>
          <w:b/>
          <w:bCs/>
          <w:sz w:val="22"/>
          <w:szCs w:val="22"/>
        </w:rPr>
        <w:t>Performance of the parameter estimation method B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 after applying correction to the estimation results</w:t>
      </w:r>
      <w:r w:rsidRPr="006F0CEE">
        <w:rPr>
          <w:rFonts w:asciiTheme="majorBidi" w:hAnsiTheme="majorBidi" w:cstheme="majorBidi"/>
          <w:b/>
          <w:bCs/>
          <w:sz w:val="22"/>
          <w:szCs w:val="22"/>
        </w:rPr>
        <w:t>.</w:t>
      </w:r>
    </w:p>
    <w:p w14:paraId="7D8CE1D5" w14:textId="58BB6244" w:rsidR="006F0CEE" w:rsidRDefault="006F0CEE" w:rsidP="006F0CEE">
      <w:pPr>
        <w:rPr>
          <w:rFonts w:asciiTheme="majorBidi" w:eastAsia="Calibri" w:hAnsiTheme="majorBidi" w:cstheme="majorBidi"/>
          <w:sz w:val="22"/>
          <w:szCs w:val="22"/>
        </w:rPr>
      </w:pPr>
      <w:r w:rsidRPr="006F0CEE">
        <w:rPr>
          <w:rFonts w:asciiTheme="majorBidi" w:hAnsiTheme="majorBidi" w:cstheme="majorBidi"/>
          <w:b/>
          <w:bCs/>
          <w:sz w:val="22"/>
          <w:szCs w:val="22"/>
        </w:rPr>
        <w:t>a, b:</w:t>
      </w:r>
      <w:r w:rsidRPr="006F0CEE">
        <w:rPr>
          <w:rFonts w:asciiTheme="majorBidi" w:hAnsiTheme="majorBidi" w:cstheme="majorBidi"/>
          <w:sz w:val="22"/>
          <w:szCs w:val="22"/>
        </w:rPr>
        <w:t xml:space="preserve"> The distribution of α and ρ values estimated from data simulated with ρ=0.277 and α=0.138, the values estimated by Laland et al. (1995) and shown in dashed lines. </w:t>
      </w:r>
      <w:r w:rsidRPr="006F0CEE">
        <w:rPr>
          <w:rFonts w:asciiTheme="majorBidi" w:hAnsiTheme="majorBidi" w:cstheme="majorBidi"/>
          <w:b/>
          <w:bCs/>
          <w:sz w:val="22"/>
          <w:szCs w:val="22"/>
        </w:rPr>
        <w:t>c, d:</w:t>
      </w:r>
      <w:r w:rsidRPr="006F0CEE">
        <w:rPr>
          <w:rFonts w:asciiTheme="majorBidi" w:hAnsiTheme="majorBidi" w:cstheme="majorBidi"/>
          <w:sz w:val="22"/>
          <w:szCs w:val="22"/>
        </w:rPr>
        <w:t xml:space="preserve"> Scatter plot of estimated parameter values α and ρ given the true parameter value. </w:t>
      </w:r>
      <w:r w:rsidRPr="006F0CEE">
        <w:rPr>
          <w:rFonts w:asciiTheme="majorBidi" w:hAnsiTheme="majorBidi" w:cstheme="majorBidi"/>
          <w:b/>
          <w:bCs/>
          <w:sz w:val="22"/>
          <w:szCs w:val="22"/>
        </w:rPr>
        <w:t>e, f:</w:t>
      </w:r>
      <w:r w:rsidRPr="006F0CEE">
        <w:rPr>
          <w:rFonts w:asciiTheme="majorBidi" w:hAnsiTheme="majorBidi" w:cstheme="majorBidi"/>
          <w:sz w:val="22"/>
          <w:szCs w:val="22"/>
        </w:rPr>
        <w:t xml:space="preserve"> The rate at which the true parameter value of α and ρ used to generate the data falls within the estimated confidence interval for that parameter created through bootstrapping.</w:t>
      </w:r>
    </w:p>
    <w:p w14:paraId="7539169C" w14:textId="77777777" w:rsidR="006F0CEE" w:rsidRDefault="006F0CEE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</w:p>
    <w:p w14:paraId="2ECEA551" w14:textId="77777777" w:rsidR="00D15D14" w:rsidRPr="00D15D14" w:rsidRDefault="00D15D14" w:rsidP="00D15D14">
      <w:pPr>
        <w:rPr>
          <w:rFonts w:eastAsia="Calibri"/>
        </w:rPr>
      </w:pPr>
    </w:p>
    <w:p w14:paraId="3FE3587F" w14:textId="289688CB" w:rsidR="006F0CEE" w:rsidRDefault="00D15D14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 w:rsidRPr="00D15D14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lastRenderedPageBreak/>
        <w:drawing>
          <wp:inline distT="0" distB="0" distL="0" distR="0" wp14:anchorId="320A90BD" wp14:editId="38E231E5">
            <wp:extent cx="5930265" cy="3357880"/>
            <wp:effectExtent l="0" t="0" r="0" b="0"/>
            <wp:docPr id="212495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567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CA18" w14:textId="6EC97076" w:rsidR="006F0CEE" w:rsidRPr="006F0CEE" w:rsidRDefault="006F0CEE" w:rsidP="006F0CEE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S5</w:t>
      </w:r>
      <w:r w:rsidRPr="004B656C">
        <w:rPr>
          <w:rFonts w:asciiTheme="majorBidi" w:hAnsiTheme="majorBidi" w:cstheme="majorBidi"/>
          <w:b/>
          <w:bCs/>
          <w:sz w:val="22"/>
          <w:szCs w:val="22"/>
        </w:rPr>
        <w:t xml:space="preserve">. </w:t>
      </w:r>
      <w:r w:rsidRPr="006F0CEE">
        <w:rPr>
          <w:rFonts w:asciiTheme="majorBidi" w:hAnsiTheme="majorBidi" w:cstheme="majorBidi"/>
          <w:b/>
          <w:bCs/>
          <w:sz w:val="22"/>
          <w:szCs w:val="22"/>
        </w:rPr>
        <w:t xml:space="preserve">Performance of the parameter estimation method </w:t>
      </w:r>
      <w:r>
        <w:rPr>
          <w:rFonts w:asciiTheme="majorBidi" w:hAnsiTheme="majorBidi" w:cstheme="majorBidi"/>
          <w:b/>
          <w:bCs/>
          <w:sz w:val="22"/>
          <w:szCs w:val="22"/>
        </w:rPr>
        <w:t>C.</w:t>
      </w:r>
    </w:p>
    <w:p w14:paraId="5843B8E8" w14:textId="12C9A3E3" w:rsidR="006F0CEE" w:rsidRDefault="006F0CEE" w:rsidP="006F0CEE">
      <w:pPr>
        <w:rPr>
          <w:rFonts w:asciiTheme="majorBidi" w:eastAsia="Calibri" w:hAnsiTheme="majorBidi" w:cstheme="majorBidi"/>
          <w:sz w:val="22"/>
          <w:szCs w:val="22"/>
        </w:rPr>
      </w:pPr>
      <w:r w:rsidRPr="006F0CEE">
        <w:rPr>
          <w:rFonts w:asciiTheme="majorBidi" w:hAnsiTheme="majorBidi" w:cstheme="majorBidi"/>
          <w:b/>
          <w:bCs/>
          <w:sz w:val="22"/>
          <w:szCs w:val="22"/>
        </w:rPr>
        <w:t>a, b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: </w:t>
      </w:r>
      <w:r w:rsidRPr="006F0CEE">
        <w:rPr>
          <w:rFonts w:asciiTheme="majorBidi" w:hAnsiTheme="majorBidi" w:cstheme="majorBidi"/>
          <w:sz w:val="22"/>
          <w:szCs w:val="22"/>
        </w:rPr>
        <w:t xml:space="preserve">Scatter plot of estimated parameter values α and ρ given the true parameter value. </w:t>
      </w:r>
      <w:r w:rsidRPr="006F0CEE">
        <w:rPr>
          <w:rFonts w:asciiTheme="majorBidi" w:hAnsiTheme="majorBidi" w:cstheme="majorBidi"/>
          <w:b/>
          <w:bCs/>
          <w:sz w:val="22"/>
          <w:szCs w:val="22"/>
        </w:rPr>
        <w:t>c, d:</w:t>
      </w:r>
      <w:r w:rsidRPr="006F0CEE">
        <w:rPr>
          <w:rFonts w:asciiTheme="majorBidi" w:hAnsiTheme="majorBidi" w:cstheme="majorBidi"/>
          <w:sz w:val="22"/>
          <w:szCs w:val="22"/>
        </w:rPr>
        <w:t xml:space="preserve"> Scatter plot of estimated parameter values α and ρ given the true parameter value</w:t>
      </w:r>
      <w:r>
        <w:rPr>
          <w:rFonts w:asciiTheme="majorBidi" w:hAnsiTheme="majorBidi" w:cstheme="majorBidi"/>
          <w:sz w:val="22"/>
          <w:szCs w:val="22"/>
        </w:rPr>
        <w:t>, after removing data where m</w:t>
      </w:r>
      <w:r w:rsidRPr="006F0CEE">
        <w:rPr>
          <w:rFonts w:asciiTheme="majorBidi" w:hAnsiTheme="majorBidi" w:cstheme="majorBidi"/>
          <w:sz w:val="22"/>
          <w:szCs w:val="22"/>
          <w:vertAlign w:val="subscript"/>
        </w:rPr>
        <w:t>o</w:t>
      </w:r>
      <w:r w:rsidRPr="006F0CEE">
        <w:rPr>
          <w:rFonts w:asciiTheme="majorBidi" w:hAnsiTheme="majorBidi" w:cstheme="majorBidi"/>
          <w:sz w:val="22"/>
          <w:szCs w:val="22"/>
        </w:rPr>
        <w:t>≤</w:t>
      </w:r>
      <w:r>
        <w:rPr>
          <w:rFonts w:asciiTheme="majorBidi" w:hAnsiTheme="majorBidi" w:cstheme="majorBidi"/>
          <w:sz w:val="22"/>
          <w:szCs w:val="22"/>
        </w:rPr>
        <w:t>0.01, or m</w:t>
      </w:r>
      <w:r w:rsidRPr="006F0CEE">
        <w:rPr>
          <w:rFonts w:asciiTheme="majorBidi" w:hAnsiTheme="majorBidi" w:cstheme="majorBidi"/>
          <w:sz w:val="22"/>
          <w:szCs w:val="22"/>
          <w:vertAlign w:val="subscript"/>
        </w:rPr>
        <w:t>p</w:t>
      </w:r>
      <w:r w:rsidRPr="006F0CEE">
        <w:rPr>
          <w:rFonts w:asciiTheme="majorBidi" w:hAnsiTheme="majorBidi" w:cstheme="majorBidi"/>
          <w:sz w:val="22"/>
          <w:szCs w:val="22"/>
        </w:rPr>
        <w:t>≤</w:t>
      </w:r>
      <w:r>
        <w:rPr>
          <w:rFonts w:asciiTheme="majorBidi" w:hAnsiTheme="majorBidi" w:cstheme="majorBidi"/>
          <w:sz w:val="22"/>
          <w:szCs w:val="22"/>
        </w:rPr>
        <w:t>0.01, or |p(R</w:t>
      </w:r>
      <w:r w:rsidRPr="006F0CEE">
        <w:rPr>
          <w:rFonts w:asciiTheme="majorBidi" w:hAnsiTheme="majorBidi" w:cstheme="majorBidi"/>
          <w:sz w:val="22"/>
          <w:szCs w:val="22"/>
        </w:rPr>
        <w:t>|R×R)</w:t>
      </w:r>
      <w:r>
        <w:rPr>
          <w:rFonts w:asciiTheme="majorBidi" w:hAnsiTheme="majorBidi" w:cstheme="majorBidi"/>
          <w:sz w:val="22"/>
          <w:szCs w:val="22"/>
        </w:rPr>
        <w:t xml:space="preserve"> - |p(R</w:t>
      </w:r>
      <w:r w:rsidRPr="006F0CEE">
        <w:rPr>
          <w:rFonts w:asciiTheme="majorBidi" w:hAnsiTheme="majorBidi" w:cstheme="majorBidi"/>
          <w:sz w:val="22"/>
          <w:szCs w:val="22"/>
        </w:rPr>
        <w:t>|</w:t>
      </w:r>
      <w:r>
        <w:rPr>
          <w:rFonts w:asciiTheme="majorBidi" w:hAnsiTheme="majorBidi" w:cstheme="majorBidi"/>
          <w:sz w:val="22"/>
          <w:szCs w:val="22"/>
        </w:rPr>
        <w:t>L</w:t>
      </w:r>
      <w:r w:rsidRPr="006F0CEE">
        <w:rPr>
          <w:rFonts w:asciiTheme="majorBidi" w:hAnsiTheme="majorBidi" w:cstheme="majorBidi"/>
          <w:sz w:val="22"/>
          <w:szCs w:val="22"/>
        </w:rPr>
        <w:t>×</w:t>
      </w:r>
      <w:r>
        <w:rPr>
          <w:rFonts w:asciiTheme="majorBidi" w:hAnsiTheme="majorBidi" w:cstheme="majorBidi"/>
          <w:sz w:val="22"/>
          <w:szCs w:val="22"/>
        </w:rPr>
        <w:t>L</w:t>
      </w:r>
      <w:r w:rsidRPr="006F0CEE">
        <w:rPr>
          <w:rFonts w:asciiTheme="majorBidi" w:hAnsiTheme="majorBidi" w:cstheme="majorBidi"/>
          <w:sz w:val="22"/>
          <w:szCs w:val="22"/>
        </w:rPr>
        <w:t>)</w:t>
      </w:r>
      <w:r>
        <w:rPr>
          <w:rFonts w:asciiTheme="majorBidi" w:hAnsiTheme="majorBidi" w:cstheme="majorBidi"/>
          <w:sz w:val="22"/>
          <w:szCs w:val="22"/>
        </w:rPr>
        <w:t xml:space="preserve">| &lt;0.07 </w:t>
      </w:r>
      <w:r w:rsidRPr="006F0CEE">
        <w:rPr>
          <w:rFonts w:asciiTheme="majorBidi" w:hAnsiTheme="majorBidi" w:cstheme="majorBidi"/>
          <w:sz w:val="22"/>
          <w:szCs w:val="22"/>
        </w:rPr>
        <w:t xml:space="preserve"> </w:t>
      </w:r>
      <w:r w:rsidRPr="006F0CEE">
        <w:rPr>
          <w:rFonts w:asciiTheme="majorBidi" w:hAnsiTheme="majorBidi" w:cstheme="majorBidi"/>
          <w:b/>
          <w:bCs/>
          <w:sz w:val="22"/>
          <w:szCs w:val="22"/>
        </w:rPr>
        <w:t>e, f:</w:t>
      </w:r>
      <w:r w:rsidRPr="006F0CEE">
        <w:rPr>
          <w:rFonts w:asciiTheme="majorBidi" w:hAnsiTheme="majorBidi" w:cstheme="majorBidi"/>
          <w:sz w:val="22"/>
          <w:szCs w:val="22"/>
        </w:rPr>
        <w:t xml:space="preserve"> The rate at which the true parameter value of α and ρ used to generate the data falls within the estimated confidence interval for that parameter created through bootstrapping.</w:t>
      </w:r>
    </w:p>
    <w:p w14:paraId="3EDE1C16" w14:textId="10664EA2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39AC996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2106C2">
        <w:rPr>
          <w:rFonts w:asciiTheme="majorBidi" w:hAnsiTheme="majorBidi" w:cstheme="majorBidi"/>
          <w:b/>
          <w:bCs/>
          <w:sz w:val="22"/>
          <w:szCs w:val="22"/>
        </w:rPr>
        <w:t>6</w:t>
      </w:r>
      <w:r>
        <w:rPr>
          <w:rFonts w:asciiTheme="majorBidi" w:hAnsiTheme="majorBidi" w:cstheme="majorBidi"/>
          <w:b/>
          <w:bCs/>
          <w:sz w:val="22"/>
          <w:szCs w:val="22"/>
        </w:rPr>
        <w:t>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proofErr w:type="spellStart"/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proofErr w:type="spellEnd"/>
      <w:r>
        <w:rPr>
          <w:rFonts w:asciiTheme="majorBidi" w:hAnsiTheme="majorBidi" w:cstheme="majorBidi"/>
          <w:sz w:val="22"/>
          <w:szCs w:val="22"/>
        </w:rPr>
        <w:t xml:space="preserve"> and </w:t>
      </w:r>
      <w:proofErr w:type="spellStart"/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proofErr w:type="spellEnd"/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8"/>
      <w:headerReference w:type="default" r:id="rId19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1346B" w14:textId="77777777" w:rsidR="00383AF2" w:rsidRDefault="00383AF2">
      <w:r>
        <w:separator/>
      </w:r>
    </w:p>
  </w:endnote>
  <w:endnote w:type="continuationSeparator" w:id="0">
    <w:p w14:paraId="7528358C" w14:textId="77777777" w:rsidR="00383AF2" w:rsidRDefault="00383AF2">
      <w:r>
        <w:continuationSeparator/>
      </w:r>
    </w:p>
  </w:endnote>
  <w:endnote w:type="continuationNotice" w:id="1">
    <w:p w14:paraId="37E628F0" w14:textId="77777777" w:rsidR="00383AF2" w:rsidRDefault="00383AF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4A640" w14:textId="77777777" w:rsidR="00383AF2" w:rsidRDefault="00383AF2">
      <w:r>
        <w:separator/>
      </w:r>
    </w:p>
  </w:footnote>
  <w:footnote w:type="continuationSeparator" w:id="0">
    <w:p w14:paraId="6ECFDCC5" w14:textId="77777777" w:rsidR="00383AF2" w:rsidRDefault="00383AF2">
      <w:r>
        <w:continuationSeparator/>
      </w:r>
    </w:p>
  </w:footnote>
  <w:footnote w:type="continuationNotice" w:id="1">
    <w:p w14:paraId="5F71188F" w14:textId="77777777" w:rsidR="00383AF2" w:rsidRDefault="00383AF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06C2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2E4A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3AF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27E16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0CE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6BC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8BF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5D14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359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0899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CEE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3698</Words>
  <Characters>17196</Characters>
  <Application>Microsoft Office Word</Application>
  <DocSecurity>0</DocSecurity>
  <Lines>1563</Lines>
  <Paragraphs>1492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Tomer Oron</cp:lastModifiedBy>
  <cp:revision>55</cp:revision>
  <dcterms:created xsi:type="dcterms:W3CDTF">2024-07-16T13:18:00Z</dcterms:created>
  <dcterms:modified xsi:type="dcterms:W3CDTF">2025-01-02T12:40:00Z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