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Revisiting Laland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Karstadt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Chloe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Shiff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5F64A70D" w:rsidR="008E3C52" w:rsidRPr="004B656C" w:rsidRDefault="0006441F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5</w:t>
      </w:r>
      <w:r w:rsidR="00CC4EBE">
        <w:rPr>
          <w:rFonts w:asciiTheme="majorBidi" w:hAnsiTheme="majorBidi" w:cstheme="majorBidi"/>
          <w:sz w:val="22"/>
          <w:szCs w:val="22"/>
          <w:lang w:val="en-US"/>
        </w:rPr>
        <w:t xml:space="preserve"> January 2025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RxR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and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LxL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Data and results reported by Laland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proofErr w:type="spellStart"/>
      <w:r w:rsidR="00642C7A" w:rsidRPr="00642C7A">
        <w:rPr>
          <w:bCs/>
          <w:lang w:val="en-US"/>
        </w:rPr>
        <w:t>df</w:t>
      </w:r>
      <w:proofErr w:type="spellEnd"/>
      <w:r w:rsidR="00642C7A" w:rsidRPr="00642C7A">
        <w:rPr>
          <w:bCs/>
          <w:lang w:val="en-US"/>
        </w:rPr>
        <w:t>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B537F8">
              <w:rPr>
                <w:sz w:val="16"/>
                <w:szCs w:val="16"/>
                <w:lang w:val="en-US"/>
              </w:rPr>
              <w:t>df</w:t>
            </w:r>
            <w:proofErr w:type="spellEnd"/>
            <w:r w:rsidRPr="00B537F8">
              <w:rPr>
                <w:sz w:val="16"/>
                <w:szCs w:val="16"/>
                <w:lang w:val="en-US"/>
              </w:rPr>
              <w:t>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Bouterwek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Thyss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Zazzo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Carter-Saltzmann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Loehlin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 xml:space="preserve">Springer &amp; 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Searleman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  <w:lang w:val="en-US"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  <w:lang w:val="en-US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  <w:lang w:val="en-US"/>
        </w:rPr>
      </w:pPr>
      <w:r>
        <w:rPr>
          <w:rFonts w:eastAsia="Calibri"/>
          <w:highlight w:val="yellow"/>
          <w:lang w:val="en-US"/>
        </w:rPr>
        <w:br w:type="page"/>
      </w:r>
    </w:p>
    <w:p w14:paraId="6816238F" w14:textId="28802242" w:rsidR="002663F3" w:rsidRPr="001603AD" w:rsidRDefault="002663F3" w:rsidP="002663F3">
      <w:pPr>
        <w:rPr>
          <w:lang w:val="en-US"/>
        </w:rPr>
      </w:pPr>
      <w:r w:rsidRPr="002663F3">
        <w:rPr>
          <w:b/>
          <w:bCs/>
          <w:lang w:val="en-US"/>
        </w:rPr>
        <w:lastRenderedPageBreak/>
        <w:t>Table S11.</w:t>
      </w:r>
      <w:r w:rsidRPr="001603AD">
        <w:rPr>
          <w:lang w:val="en-US"/>
        </w:rPr>
        <w:t xml:space="preserve"> Probabilities of right-handed female</w:t>
      </w:r>
      <w:r w:rsidR="00867FB4">
        <w:rPr>
          <w:lang w:val="en-US"/>
        </w:rPr>
        <w:t xml:space="preserve"> offspring</w:t>
      </w:r>
      <w:r w:rsidR="008E79E7">
        <w:rPr>
          <w:lang w:val="en-US"/>
        </w:rPr>
        <w:t xml:space="preserve"> (top) and </w:t>
      </w:r>
      <w:r w:rsidR="00867FB4">
        <w:rPr>
          <w:lang w:val="en-US"/>
        </w:rPr>
        <w:t xml:space="preserve">right-handed </w:t>
      </w:r>
      <w:r w:rsidR="008E79E7">
        <w:rPr>
          <w:lang w:val="en-US"/>
        </w:rPr>
        <w:t xml:space="preserve">male </w:t>
      </w:r>
      <w:r w:rsidR="00867FB4">
        <w:rPr>
          <w:lang w:val="en-US"/>
        </w:rPr>
        <w:t xml:space="preserve">offspring </w:t>
      </w:r>
      <w:r w:rsidR="008E79E7">
        <w:rPr>
          <w:lang w:val="en-US"/>
        </w:rPr>
        <w:t xml:space="preserve">(bottom) </w:t>
      </w:r>
      <w:r w:rsidRPr="001603AD">
        <w:rPr>
          <w:lang w:val="en-US"/>
        </w:rPr>
        <w:t xml:space="preserve">given </w:t>
      </w:r>
      <w:r w:rsidR="008E79E7">
        <w:rPr>
          <w:lang w:val="en-US"/>
        </w:rPr>
        <w:t xml:space="preserve">offspring </w:t>
      </w:r>
      <w:r w:rsidRPr="001603AD">
        <w:rPr>
          <w:lang w:val="en-US"/>
        </w:rPr>
        <w:t xml:space="preserve">genotype </w:t>
      </w:r>
      <w:r w:rsidR="008E79E7">
        <w:rPr>
          <w:lang w:val="en-US"/>
        </w:rPr>
        <w:t xml:space="preserve">(columns) </w:t>
      </w:r>
      <w:r w:rsidRPr="001603AD">
        <w:rPr>
          <w:lang w:val="en-US"/>
        </w:rPr>
        <w:t xml:space="preserve">and </w:t>
      </w:r>
      <w:r w:rsidR="008E79E7">
        <w:rPr>
          <w:lang w:val="en-US"/>
        </w:rPr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</w:tbl>
    <w:p w14:paraId="16C97128" w14:textId="05E4FD02" w:rsidR="002663F3" w:rsidRPr="001603AD" w:rsidRDefault="002663F3" w:rsidP="002663F3">
      <w:pPr>
        <w:rPr>
          <w:lang w:val="en-US"/>
        </w:rPr>
      </w:pPr>
    </w:p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  <w:lang w:val="en-US"/>
        </w:rPr>
      </w:pPr>
    </w:p>
    <w:p w14:paraId="0B71AAAC" w14:textId="77777777" w:rsidR="00095A1C" w:rsidRDefault="00095A1C" w:rsidP="002663F3">
      <w:pPr>
        <w:rPr>
          <w:rFonts w:eastAsia="Calibri"/>
          <w:lang w:val="en-US"/>
        </w:rPr>
      </w:pPr>
    </w:p>
    <w:p w14:paraId="6F695341" w14:textId="1692237F" w:rsidR="00095A1C" w:rsidRPr="0008427E" w:rsidRDefault="00095A1C" w:rsidP="002663F3">
      <w:pPr>
        <w:rPr>
          <w:rFonts w:eastAsia="Calibri"/>
          <w:lang w:val="en-US"/>
        </w:rPr>
      </w:pPr>
      <w:r w:rsidRPr="0008427E">
        <w:rPr>
          <w:rFonts w:eastAsia="Calibri"/>
          <w:b/>
          <w:bCs/>
          <w:lang w:val="en-US"/>
        </w:rPr>
        <w:t xml:space="preserve">Table S12. </w:t>
      </w:r>
      <w:r w:rsidRPr="0008427E">
        <w:rPr>
          <w:rFonts w:eastAsia="Calibri"/>
          <w:lang w:val="en-US"/>
        </w:rPr>
        <w:t>Maximum-likelihood estimates for parameters of the extended models.</w:t>
      </w:r>
      <w:r>
        <w:rPr>
          <w:rFonts w:eastAsia="Calibri"/>
          <w:lang w:val="en-US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561"/>
        <w:gridCol w:w="596"/>
        <w:gridCol w:w="1115"/>
        <w:gridCol w:w="1393"/>
        <w:gridCol w:w="776"/>
      </w:tblGrid>
      <w:tr w:rsidR="00095A1C" w:rsidRPr="00935444" w14:paraId="6DEE4B6C" w14:textId="77777777" w:rsidTr="004D6F56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4D6F56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5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A5569E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69ECD288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3D55A338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EB2F62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329AF570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</w:tr>
      <w:tr w:rsidR="00095A1C" w:rsidRPr="00513FF8" w14:paraId="3A80BBCE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11AB5517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1C8788A7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6216217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273D88B9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DC6A279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</w:tr>
      <w:tr w:rsidR="00095A1C" w:rsidRPr="00935444" w14:paraId="16EC0862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0BCBE7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39F6F423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1460229B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3767E15D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48540586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879FD4A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1FD1166B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15B733CE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18D4D123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5A64D266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.0309</w:t>
            </w:r>
          </w:p>
        </w:tc>
      </w:tr>
      <w:tr w:rsidR="00095A1C" w:rsidRPr="00935444" w14:paraId="4F2E55BF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1B458EBF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FD140D7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2672F3BB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28FCDA9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68E88265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.085</w:t>
            </w:r>
          </w:p>
        </w:tc>
      </w:tr>
      <w:tr w:rsidR="00095A1C" w:rsidRPr="00935444" w14:paraId="3AF0D3FC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  <w:proofErr w:type="spellEnd"/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51E04BA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458CE109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3C9EE15A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47A079A5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3ADF59BF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.095</w:t>
            </w:r>
          </w:p>
        </w:tc>
      </w:tr>
      <w:tr w:rsidR="00095A1C" w:rsidRPr="00935444" w14:paraId="33C25650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2567863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4CC6667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6397792E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4510BDD1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2582D44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</w:tr>
      <w:tr w:rsidR="00095A1C" w:rsidRPr="00935444" w14:paraId="4DBA244E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θ|D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  <w:lang w:val="en-US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0D70CEF" w:rsidR="00A267AB" w:rsidRPr="006F0CEE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</w:p>
    <w:p w14:paraId="123BD72C" w14:textId="3927910C" w:rsidR="00A267AB" w:rsidRPr="00D905C5" w:rsidRDefault="00A267AB">
      <w:pPr>
        <w:rPr>
          <w:rFonts w:asciiTheme="majorBidi" w:eastAsia="Calibri" w:hAnsiTheme="majorBidi" w:cstheme="majorBidi"/>
          <w:sz w:val="22"/>
          <w:szCs w:val="22"/>
          <w:lang w:val="en-US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  <w:r w:rsidR="005F0D08" w:rsidRPr="00D905C5">
        <w:rPr>
          <w:rFonts w:asciiTheme="majorBidi" w:eastAsia="Calibri" w:hAnsiTheme="majorBidi" w:cstheme="majorBidi"/>
          <w:i/>
          <w:iCs/>
          <w:noProof/>
          <w:sz w:val="22"/>
          <w:szCs w:val="22"/>
        </w:rPr>
        <w:lastRenderedPageBreak/>
        <w:drawing>
          <wp:inline distT="0" distB="0" distL="0" distR="0" wp14:anchorId="3DF45393" wp14:editId="39C1702D">
            <wp:extent cx="5930265" cy="3288665"/>
            <wp:effectExtent l="0" t="0" r="0" b="6985"/>
            <wp:docPr id="653336810" name="Picture 1" descr="A group of graphs with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336810" name="Picture 1" descr="A group of graphs with different colored lines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6E10E" w14:textId="31D1358F" w:rsidR="00D905C5" w:rsidRPr="00D905C5" w:rsidRDefault="006F0CEE" w:rsidP="00D905C5">
      <w:pPr>
        <w:keepNext/>
        <w:spacing w:line="360" w:lineRule="auto"/>
        <w:rPr>
          <w:b/>
          <w:bCs/>
          <w:sz w:val="22"/>
          <w:szCs w:val="22"/>
        </w:rPr>
      </w:pPr>
      <w:r w:rsidRPr="00D905C5"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4. </w:t>
      </w:r>
      <w:r w:rsidR="00D905C5" w:rsidRPr="00D905C5">
        <w:rPr>
          <w:b/>
          <w:bCs/>
          <w:sz w:val="22"/>
          <w:szCs w:val="22"/>
        </w:rPr>
        <w:t xml:space="preserve">Performance of the estimation method without adjustment </w:t>
      </w:r>
      <w:r w:rsidR="00D905C5" w:rsidRPr="00D905C5">
        <w:rPr>
          <w:b/>
          <w:bCs/>
          <w:sz w:val="22"/>
          <w:szCs w:val="22"/>
        </w:rPr>
        <w:t xml:space="preserve">and </w:t>
      </w:r>
      <w:r w:rsidR="003C4999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with linear regression 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correction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w:r w:rsidR="00D905C5" w:rsidRPr="00D905C5">
        <w:rPr>
          <w:b/>
          <w:bCs/>
          <w:sz w:val="22"/>
          <w:szCs w:val="22"/>
        </w:rPr>
        <w:t>on simulated synthetic data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w:r w:rsidR="00D905C5">
        <w:rPr>
          <w:rFonts w:asciiTheme="majorBidi" w:hAnsiTheme="majorBidi" w:cstheme="majorBidi"/>
          <w:sz w:val="22"/>
          <w:szCs w:val="22"/>
          <w:lang w:val="en-US"/>
        </w:rPr>
        <w:t xml:space="preserve">This figure reproduces Figure 3 from the main text with an additional step in which the estimated are corrected using a linear regression model. 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(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a, b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)</w:t>
      </w:r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The distribution of </w:t>
      </w:r>
      <m:oMath>
        <m:acc>
          <m:accPr>
            <m:ctrlPr>
              <w:rPr>
                <w:rFonts w:ascii="Cambria Math" w:hAnsi="Cambria Math" w:cstheme="majorBidi"/>
                <w:i/>
                <w:sz w:val="22"/>
                <w:szCs w:val="22"/>
                <w:lang w:val="en-US"/>
              </w:rPr>
            </m:ctrlPr>
          </m:accPr>
          <m:e>
            <m: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  <m:ctrlPr>
              <w:rPr>
                <w:rFonts w:ascii="Cambria Math" w:hAnsi="Cambria Math" w:cstheme="majorBidi"/>
                <w:i/>
                <w:iCs/>
                <w:sz w:val="22"/>
                <w:szCs w:val="22"/>
                <w:lang w:val="en-US"/>
              </w:rPr>
            </m:ctrlPr>
          </m:e>
        </m:acc>
      </m:oMath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/>
                <w:sz w:val="22"/>
                <w:szCs w:val="22"/>
                <w:lang w:val="en-US"/>
              </w:rPr>
            </m:ctrlPr>
          </m:accPr>
          <m:e>
            <m:r>
              <w:rPr>
                <w:rFonts w:ascii="Cambria Math" w:hAnsi="Cambria Math" w:cstheme="majorBidi"/>
                <w:sz w:val="22"/>
                <w:szCs w:val="22"/>
                <w:lang w:val="en-US"/>
              </w:rPr>
              <m:t>ρ</m:t>
            </m:r>
            <m:ctrlPr>
              <w:rPr>
                <w:rFonts w:ascii="Cambria Math" w:hAnsi="Cambria Math" w:cstheme="majorBidi"/>
                <w:i/>
                <w:iCs/>
                <w:sz w:val="22"/>
                <w:szCs w:val="22"/>
                <w:lang w:val="en-US"/>
              </w:rPr>
            </m:ctrlPr>
          </m:e>
        </m:acc>
      </m:oMath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estimate</w:t>
      </w:r>
      <w:r w:rsidR="00D905C5" w:rsidRPr="00D905C5">
        <w:rPr>
          <w:rFonts w:asciiTheme="majorBidi" w:hAnsiTheme="majorBidi" w:cstheme="majorBidi"/>
          <w:sz w:val="22"/>
          <w:szCs w:val="22"/>
          <w:lang w:val="en-US"/>
        </w:rPr>
        <w:t>d</w:t>
      </w:r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from data </w:t>
      </w:r>
      <w:r w:rsidR="00D905C5" w:rsidRPr="00D905C5">
        <w:rPr>
          <w:sz w:val="22"/>
          <w:szCs w:val="22"/>
        </w:rPr>
        <w:t>simulated with the values estimated by Laland et al. (solid lines; ρ=0.277 in panel a and α=0.138 in panel b)</w:t>
      </w:r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. </w:t>
      </w:r>
      <w:r w:rsidR="00D905C5" w:rsidRPr="00D905C5">
        <w:rPr>
          <w:b/>
          <w:bCs/>
          <w:sz w:val="22"/>
          <w:szCs w:val="22"/>
        </w:rPr>
        <w:t xml:space="preserve">(c, d) </w:t>
      </w:r>
      <w:r w:rsidR="00D905C5" w:rsidRPr="00D905C5">
        <w:rPr>
          <w:sz w:val="22"/>
          <w:szCs w:val="22"/>
        </w:rPr>
        <w:t>Scatter plot</w:t>
      </w:r>
      <w:r w:rsidR="00D905C5" w:rsidRPr="00D905C5">
        <w:rPr>
          <w:b/>
          <w:bCs/>
          <w:sz w:val="22"/>
          <w:szCs w:val="22"/>
        </w:rPr>
        <w:t xml:space="preserve"> </w:t>
      </w:r>
      <w:r w:rsidR="00D905C5" w:rsidRPr="00D905C5">
        <w:rPr>
          <w:sz w:val="22"/>
          <w:szCs w:val="22"/>
        </w:rPr>
        <w:t xml:space="preserve">of parameter estimates (y-axis) vs. the true parameter (x-axis). </w:t>
      </w:r>
      <w:r w:rsidR="00D905C5" w:rsidRPr="00D905C5">
        <w:rPr>
          <w:b/>
          <w:bCs/>
          <w:sz w:val="22"/>
          <w:szCs w:val="22"/>
        </w:rPr>
        <w:t>(e, f)</w:t>
      </w:r>
      <w:r w:rsidR="00D905C5" w:rsidRPr="00D905C5">
        <w:rPr>
          <w:sz w:val="22"/>
          <w:szCs w:val="22"/>
        </w:rPr>
        <w:t xml:space="preserve"> Coverage for various confidence levels: the rate at which the true parameter value falls within the estimated confidence interval at a given confidence level (higher is confidence level gives a wider confidence interval). Confidence interval computed by non-parametric bootstrap with 200 resamples. </w:t>
      </w:r>
    </w:p>
    <w:p w14:paraId="7D8CE1D5" w14:textId="1CA4BB3E" w:rsidR="006F0CEE" w:rsidRPr="00D905C5" w:rsidRDefault="006F0CEE" w:rsidP="00D905C5">
      <w:pPr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657F01B0" w14:textId="1982EA0D" w:rsidR="005F0D08" w:rsidRDefault="005F0D08" w:rsidP="005F0D08">
      <w:pPr>
        <w:rPr>
          <w:rFonts w:eastAsia="Calibri"/>
          <w:lang w:val="en-US"/>
        </w:rPr>
      </w:pPr>
      <w:r>
        <w:rPr>
          <w:rFonts w:eastAsia="Calibri"/>
          <w:lang w:val="en-US"/>
        </w:rPr>
        <w:br/>
      </w:r>
    </w:p>
    <w:p w14:paraId="61E10F53" w14:textId="77777777" w:rsidR="005F0D08" w:rsidRDefault="005F0D08" w:rsidP="005F0D08">
      <w:pPr>
        <w:rPr>
          <w:rFonts w:eastAsia="Calibri"/>
          <w:lang w:val="en-US"/>
        </w:rPr>
      </w:pPr>
    </w:p>
    <w:p w14:paraId="6AA663E9" w14:textId="0C53E4C6" w:rsidR="005F0D08" w:rsidRDefault="005F0D08">
      <w:pPr>
        <w:rPr>
          <w:rFonts w:eastAsia="Calibri"/>
          <w:lang w:val="en-US"/>
        </w:rPr>
      </w:pPr>
      <w:r>
        <w:rPr>
          <w:rFonts w:eastAsia="Calibri"/>
          <w:lang w:val="en-US"/>
        </w:rPr>
        <w:br w:type="page"/>
      </w:r>
    </w:p>
    <w:p w14:paraId="1CBA60B9" w14:textId="66CE09EF" w:rsidR="00EF2271" w:rsidRDefault="00EF2271" w:rsidP="00EF2271">
      <w:pPr>
        <w:keepNext/>
        <w:spacing w:line="360" w:lineRule="auto"/>
        <w:rPr>
          <w:sz w:val="22"/>
          <w:szCs w:val="22"/>
        </w:rPr>
      </w:pPr>
      <w:r w:rsidRPr="00D15D14">
        <w:rPr>
          <w:rFonts w:asciiTheme="majorBidi" w:eastAsia="Calibri" w:hAnsiTheme="majorBidi" w:cstheme="majorBidi"/>
          <w:i/>
          <w:iCs/>
          <w:noProof/>
          <w:sz w:val="22"/>
          <w:szCs w:val="22"/>
        </w:rPr>
        <w:lastRenderedPageBreak/>
        <w:drawing>
          <wp:inline distT="0" distB="0" distL="0" distR="0" wp14:anchorId="096008FE" wp14:editId="17D67F45">
            <wp:extent cx="5930265" cy="3358139"/>
            <wp:effectExtent l="0" t="0" r="635" b="0"/>
            <wp:docPr id="2124956706" name="Picture 1" descr="A group of graphs with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56706" name="Picture 1" descr="A group of graphs with different colored lines&#10;&#10;Description automatically generated with medium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358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0CEE" w:rsidRPr="00EF2271"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="006F0CEE" w:rsidRPr="00EF2271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5. </w:t>
      </w:r>
      <w:r w:rsidRPr="00EF2271">
        <w:rPr>
          <w:b/>
          <w:bCs/>
          <w:sz w:val="22"/>
          <w:szCs w:val="22"/>
        </w:rPr>
        <w:t xml:space="preserve">Performance of the estimation method </w:t>
      </w:r>
      <w:r w:rsidRPr="00EF2271">
        <w:rPr>
          <w:b/>
          <w:bCs/>
          <w:sz w:val="22"/>
          <w:szCs w:val="22"/>
        </w:rPr>
        <w:t>with</w:t>
      </w:r>
      <w:r w:rsidRPr="00EF2271">
        <w:rPr>
          <w:b/>
          <w:bCs/>
          <w:sz w:val="22"/>
          <w:szCs w:val="22"/>
        </w:rPr>
        <w:t xml:space="preserve"> adjustment on simulated synthetic data.</w:t>
      </w:r>
      <w:r w:rsidRPr="00EF2271">
        <w:rPr>
          <w:b/>
          <w:bCs/>
          <w:sz w:val="22"/>
          <w:szCs w:val="22"/>
        </w:rPr>
        <w:t xml:space="preserve"> </w:t>
      </w:r>
      <w:r w:rsidRPr="00EF2271">
        <w:rPr>
          <w:sz w:val="22"/>
          <w:szCs w:val="22"/>
        </w:rPr>
        <w:t xml:space="preserve">Compare to panels c-f in Figure 3. </w:t>
      </w:r>
      <w:r w:rsidRPr="00EF2271">
        <w:rPr>
          <w:b/>
          <w:bCs/>
          <w:sz w:val="22"/>
          <w:szCs w:val="22"/>
        </w:rPr>
        <w:t>(</w:t>
      </w:r>
      <w:r w:rsidRPr="00EF2271">
        <w:rPr>
          <w:b/>
          <w:bCs/>
          <w:sz w:val="22"/>
          <w:szCs w:val="22"/>
        </w:rPr>
        <w:t>a</w:t>
      </w:r>
      <w:r w:rsidRPr="00EF2271">
        <w:rPr>
          <w:b/>
          <w:bCs/>
          <w:sz w:val="22"/>
          <w:szCs w:val="22"/>
        </w:rPr>
        <w:t xml:space="preserve">, </w:t>
      </w:r>
      <w:r w:rsidRPr="00EF2271">
        <w:rPr>
          <w:b/>
          <w:bCs/>
          <w:sz w:val="22"/>
          <w:szCs w:val="22"/>
        </w:rPr>
        <w:t>b</w:t>
      </w:r>
      <w:r w:rsidRPr="00EF2271">
        <w:rPr>
          <w:b/>
          <w:bCs/>
          <w:sz w:val="22"/>
          <w:szCs w:val="22"/>
        </w:rPr>
        <w:t xml:space="preserve">) </w:t>
      </w:r>
      <w:r w:rsidRPr="00EF2271">
        <w:rPr>
          <w:sz w:val="22"/>
          <w:szCs w:val="22"/>
        </w:rPr>
        <w:t>Scatter plot</w:t>
      </w:r>
      <w:r w:rsidRPr="00EF2271">
        <w:rPr>
          <w:b/>
          <w:bCs/>
          <w:sz w:val="22"/>
          <w:szCs w:val="22"/>
        </w:rPr>
        <w:t xml:space="preserve"> </w:t>
      </w:r>
      <w:r w:rsidRPr="00EF2271">
        <w:rPr>
          <w:sz w:val="22"/>
          <w:szCs w:val="22"/>
        </w:rPr>
        <w:t xml:space="preserve">of parameter estimates (y-axis) vs. the true parameter (x-axis). 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EF2271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(c, d) </w:t>
      </w:r>
      <w:r w:rsidRPr="00EF2271">
        <w:rPr>
          <w:rFonts w:asciiTheme="majorBidi" w:hAnsiTheme="majorBidi" w:cstheme="majorBidi"/>
          <w:sz w:val="22"/>
          <w:szCs w:val="22"/>
          <w:lang w:val="en-US"/>
        </w:rPr>
        <w:t xml:space="preserve">Similar to panels a and b, respectively, after filtering synthetic 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data </w:t>
      </w:r>
      <w:r w:rsidRPr="00EF2271">
        <w:rPr>
          <w:rFonts w:asciiTheme="majorBidi" w:hAnsiTheme="majorBidi" w:cstheme="majorBidi"/>
          <w:sz w:val="22"/>
          <w:szCs w:val="22"/>
          <w:lang w:val="en-US"/>
        </w:rPr>
        <w:t xml:space="preserve">in which </w:t>
      </w:r>
      <w:proofErr w:type="spellStart"/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m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o</w:t>
      </w:r>
      <w:proofErr w:type="spellEnd"/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 ≤ 0.01 or 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m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p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≤0.01 or 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|p(R|R×R) - |p(R|L×</w:t>
      </w:r>
      <w:proofErr w:type="gramStart"/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L)|</w:t>
      </w:r>
      <w:proofErr w:type="gramEnd"/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>&lt;0.07</w:t>
      </w:r>
      <w:r w:rsidRPr="00EF2271">
        <w:rPr>
          <w:rFonts w:asciiTheme="majorBidi" w:hAnsiTheme="majorBidi" w:cstheme="majorBidi"/>
          <w:sz w:val="22"/>
          <w:szCs w:val="22"/>
          <w:lang w:val="en-US"/>
        </w:rPr>
        <w:t>.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  </w:t>
      </w:r>
      <w:r w:rsidRPr="00EF2271">
        <w:rPr>
          <w:b/>
          <w:bCs/>
          <w:sz w:val="22"/>
          <w:szCs w:val="22"/>
        </w:rPr>
        <w:t>(e, f)</w:t>
      </w:r>
      <w:r w:rsidRPr="00EF2271">
        <w:rPr>
          <w:sz w:val="22"/>
          <w:szCs w:val="22"/>
        </w:rPr>
        <w:t xml:space="preserve"> Coverage for various confidence levels: the rate at which the true parameter value falls within the estimated confidence interval at a given confidence</w:t>
      </w:r>
      <w:r>
        <w:rPr>
          <w:sz w:val="22"/>
          <w:szCs w:val="22"/>
        </w:rPr>
        <w:t xml:space="preserve"> </w:t>
      </w:r>
      <w:r w:rsidRPr="00EF2271">
        <w:rPr>
          <w:sz w:val="22"/>
          <w:szCs w:val="22"/>
        </w:rPr>
        <w:t>level (higher is confidence level gives a wider</w:t>
      </w:r>
      <w:r w:rsidRPr="00EF2271">
        <w:rPr>
          <w:sz w:val="22"/>
          <w:szCs w:val="22"/>
        </w:rPr>
        <w:t xml:space="preserve"> </w:t>
      </w:r>
      <w:r w:rsidRPr="00EF2271">
        <w:rPr>
          <w:sz w:val="22"/>
          <w:szCs w:val="22"/>
        </w:rPr>
        <w:t xml:space="preserve">confidence interval). Confidence interval computed by non-parametric bootstrap with 200 resamples. </w:t>
      </w:r>
    </w:p>
    <w:p w14:paraId="4BCEEF9E" w14:textId="77777777" w:rsidR="00EF2271" w:rsidRPr="00EF2271" w:rsidRDefault="00EF2271" w:rsidP="00EF2271">
      <w:pPr>
        <w:keepNext/>
        <w:spacing w:line="360" w:lineRule="auto"/>
        <w:rPr>
          <w:b/>
          <w:bCs/>
          <w:sz w:val="22"/>
          <w:szCs w:val="22"/>
        </w:rPr>
      </w:pPr>
    </w:p>
    <w:p w14:paraId="6B4590B9" w14:textId="77777777" w:rsidR="00EF2271" w:rsidRDefault="00EF2271">
      <w:pPr>
        <w:rPr>
          <w:rFonts w:asciiTheme="majorBidi" w:eastAsia="Calibri" w:hAnsiTheme="majorBidi" w:cstheme="majorBidi"/>
          <w:i/>
          <w:iCs/>
          <w:sz w:val="22"/>
          <w:szCs w:val="22"/>
          <w:lang w:val="en-US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  <w:lang w:val="en-US"/>
        </w:rPr>
        <w:br w:type="page"/>
      </w:r>
    </w:p>
    <w:p w14:paraId="3EDE1C16" w14:textId="01AD2A8A" w:rsidR="001014F9" w:rsidRDefault="00A267AB" w:rsidP="00EF2271">
      <w:pPr>
        <w:rPr>
          <w:rFonts w:asciiTheme="majorBidi" w:eastAsia="Calibri" w:hAnsiTheme="majorBidi" w:cstheme="majorBidi"/>
          <w:i/>
          <w:iCs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39AC996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="002106C2">
        <w:rPr>
          <w:rFonts w:asciiTheme="majorBidi" w:hAnsiTheme="majorBidi" w:cstheme="majorBidi"/>
          <w:b/>
          <w:bCs/>
          <w:sz w:val="22"/>
          <w:szCs w:val="22"/>
          <w:lang w:val="en-US"/>
        </w:rPr>
        <w:t>6</w:t>
      </w:r>
      <w:r>
        <w:rPr>
          <w:rFonts w:asciiTheme="majorBidi" w:hAnsiTheme="majorBidi" w:cstheme="majorBidi"/>
          <w:b/>
          <w:bCs/>
          <w:sz w:val="22"/>
          <w:szCs w:val="22"/>
        </w:rPr>
        <w:t>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8"/>
      <w:headerReference w:type="default" r:id="rId19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613007C" w14:textId="77777777" w:rsidR="00FF0736" w:rsidRDefault="00FF0736">
      <w:r>
        <w:separator/>
      </w:r>
    </w:p>
  </w:endnote>
  <w:endnote w:type="continuationSeparator" w:id="0">
    <w:p w14:paraId="08FEACFD" w14:textId="77777777" w:rsidR="00FF0736" w:rsidRDefault="00FF0736">
      <w:r>
        <w:continuationSeparator/>
      </w:r>
    </w:p>
  </w:endnote>
  <w:endnote w:type="continuationNotice" w:id="1">
    <w:p w14:paraId="6A502A87" w14:textId="77777777" w:rsidR="00FF0736" w:rsidRDefault="00FF073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0182036" w14:textId="77777777" w:rsidR="00FF0736" w:rsidRDefault="00FF0736">
      <w:r>
        <w:separator/>
      </w:r>
    </w:p>
  </w:footnote>
  <w:footnote w:type="continuationSeparator" w:id="0">
    <w:p w14:paraId="0F78AE09" w14:textId="77777777" w:rsidR="00FF0736" w:rsidRDefault="00FF0736">
      <w:r>
        <w:continuationSeparator/>
      </w:r>
    </w:p>
  </w:footnote>
  <w:footnote w:type="continuationNotice" w:id="1">
    <w:p w14:paraId="1370C003" w14:textId="77777777" w:rsidR="00FF0736" w:rsidRDefault="00FF073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41F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27E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00A2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06C2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041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221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2E4A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A7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999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6A29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6F56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3FF8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0779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D08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27E16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4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0CE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2DDB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67FB4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043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8BF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3C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4EBE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5C5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592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359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44B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271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1E3B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0899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3"/>
    <w:rsid w:val="00FB0ADC"/>
    <w:rsid w:val="00FB11E9"/>
    <w:rsid w:val="00FB1CA5"/>
    <w:rsid w:val="00FB1CFF"/>
    <w:rsid w:val="00FB206A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736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CEE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val="en-US"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19</Pages>
  <Words>3187</Words>
  <Characters>18166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64</cp:revision>
  <dcterms:created xsi:type="dcterms:W3CDTF">2024-07-16T13:18:00Z</dcterms:created>
  <dcterms:modified xsi:type="dcterms:W3CDTF">2025-01-05T13:59:00Z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