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Karstadt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Chloe </w:t>
      </w:r>
      <w:proofErr w:type="spellStart"/>
      <w:r w:rsidRPr="004B656C">
        <w:rPr>
          <w:rFonts w:asciiTheme="majorBidi" w:hAnsiTheme="majorBidi" w:cstheme="majorBidi"/>
          <w:sz w:val="22"/>
          <w:szCs w:val="22"/>
          <w:lang w:val="en-US"/>
        </w:rPr>
        <w:t>Shiff</w:t>
      </w:r>
      <w:proofErr w:type="spellEnd"/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5F64A70D" w:rsidR="008E3C52" w:rsidRPr="004B656C" w:rsidRDefault="0006441F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5</w:t>
      </w:r>
      <w:r w:rsidR="00CC4EBE">
        <w:rPr>
          <w:rFonts w:asciiTheme="majorBidi" w:hAnsiTheme="majorBidi" w:cstheme="majorBidi"/>
          <w:sz w:val="22"/>
          <w:szCs w:val="22"/>
          <w:lang w:val="en-US"/>
        </w:rPr>
        <w:t xml:space="preserve"> January 2025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RxR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RxL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, and </w:t>
      </w:r>
      <w:proofErr w:type="spellStart"/>
      <w:r w:rsidRPr="0028238A">
        <w:rPr>
          <w:rFonts w:asciiTheme="majorBidi" w:hAnsiTheme="majorBidi" w:cstheme="majorBidi"/>
          <w:sz w:val="22"/>
          <w:szCs w:val="22"/>
          <w:lang w:val="en-US"/>
        </w:rPr>
        <w:t>LxL</w:t>
      </w:r>
      <w:proofErr w:type="spellEnd"/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6F0CEE">
        <w:rPr>
          <w:rFonts w:asciiTheme="majorBidi" w:hAnsiTheme="majorBidi" w:cstheme="majorBidi"/>
          <w:sz w:val="22"/>
          <w:szCs w:val="22"/>
          <w:lang w:val="en-US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proofErr w:type="spellStart"/>
      <w:r w:rsidR="00642C7A" w:rsidRPr="00642C7A">
        <w:rPr>
          <w:bCs/>
          <w:lang w:val="en-US"/>
        </w:rPr>
        <w:t>df</w:t>
      </w:r>
      <w:proofErr w:type="spellEnd"/>
      <w:r w:rsidR="00642C7A" w:rsidRPr="00642C7A">
        <w:rPr>
          <w:bCs/>
          <w:lang w:val="en-US"/>
        </w:rPr>
        <w:t>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B537F8">
              <w:rPr>
                <w:sz w:val="16"/>
                <w:szCs w:val="16"/>
                <w:lang w:val="en-US"/>
              </w:rPr>
              <w:t>df</w:t>
            </w:r>
            <w:proofErr w:type="spellEnd"/>
            <w:r w:rsidRPr="00B537F8">
              <w:rPr>
                <w:sz w:val="16"/>
                <w:szCs w:val="16"/>
                <w:lang w:val="en-US"/>
              </w:rPr>
              <w:t>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Bouterwek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Thyss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Zazzo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proofErr w:type="spellStart"/>
            <w:r w:rsidRPr="00137F3F">
              <w:rPr>
                <w:sz w:val="16"/>
                <w:szCs w:val="16"/>
                <w:lang w:val="en-US"/>
              </w:rPr>
              <w:t>Loehlin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 xml:space="preserve">Springer &amp; </w:t>
            </w:r>
            <w:proofErr w:type="spellStart"/>
            <w:r w:rsidRPr="00137F3F">
              <w:rPr>
                <w:sz w:val="16"/>
                <w:szCs w:val="16"/>
                <w:lang w:val="en-US"/>
              </w:rPr>
              <w:t>Searleman</w:t>
            </w:r>
            <w:proofErr w:type="spellEnd"/>
            <w:r w:rsidRPr="00137F3F">
              <w:rPr>
                <w:sz w:val="16"/>
                <w:szCs w:val="16"/>
                <w:lang w:val="en-US"/>
              </w:rPr>
              <w:t xml:space="preserve">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  <w:proofErr w:type="spellEnd"/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proofErr w:type="spellStart"/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  <w:proofErr w:type="spellEnd"/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561"/>
        <w:gridCol w:w="596"/>
        <w:gridCol w:w="1115"/>
        <w:gridCol w:w="1393"/>
        <w:gridCol w:w="776"/>
      </w:tblGrid>
      <w:tr w:rsidR="00095A1C" w:rsidRPr="00935444" w14:paraId="6DEE4B6C" w14:textId="77777777" w:rsidTr="004D6F56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4D6F56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59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.0335</w:t>
            </w:r>
          </w:p>
        </w:tc>
      </w:tr>
      <w:tr w:rsidR="00095A1C" w:rsidRPr="00513FF8" w14:paraId="3A80BBCE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.0163</w:t>
            </w:r>
          </w:p>
        </w:tc>
      </w:tr>
      <w:tr w:rsidR="00095A1C" w:rsidRPr="00935444" w14:paraId="16EC0862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  <w:proofErr w:type="spellEnd"/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proofErr w:type="spellStart"/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  <w:proofErr w:type="spellEnd"/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4D6F56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4D6F56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4D6F56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4D6F5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4D6F56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4D6F56">
              <w:rPr>
                <w:rFonts w:ascii="Cambria" w:eastAsia="Cambria" w:hAnsi="Cambria" w:cs="Cambria"/>
                <w:color w:val="000000"/>
                <w:sz w:val="20"/>
              </w:rPr>
              <w:t>.3655</w:t>
            </w:r>
          </w:p>
        </w:tc>
      </w:tr>
      <w:tr w:rsidR="00095A1C" w:rsidRPr="00935444" w14:paraId="4DBA244E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proofErr w:type="spellStart"/>
            <w:r>
              <w:rPr>
                <w:rFonts w:ascii="Cambria" w:eastAsia="Cambria" w:hAnsi="Cambria" w:cs="Cambria"/>
                <w:color w:val="000000"/>
                <w:sz w:val="20"/>
              </w:rPr>
              <w:t>θ|D</w:t>
            </w:r>
            <w:proofErr w:type="spellEnd"/>
            <w:r>
              <w:rPr>
                <w:rFonts w:ascii="Cambria" w:eastAsia="Cambria" w:hAnsi="Cambria" w:cs="Cambria"/>
                <w:color w:val="000000"/>
                <w:sz w:val="20"/>
              </w:rPr>
              <w:t>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4D6F56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5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0D70CEF" w:rsidR="00A267AB" w:rsidRPr="006F0CEE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  <w:r w:rsidR="006F0CEE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  <w:br/>
      </w:r>
    </w:p>
    <w:p w14:paraId="123BD72C" w14:textId="3927910C" w:rsidR="00A267AB" w:rsidRPr="00D905C5" w:rsidRDefault="00A267AB">
      <w:pPr>
        <w:rPr>
          <w:rFonts w:asciiTheme="majorBidi" w:eastAsia="Calibri" w:hAnsiTheme="majorBidi" w:cstheme="majorBidi"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  <w:r w:rsidR="005F0D08" w:rsidRPr="00D905C5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3DF45393" wp14:editId="39C1702D">
            <wp:extent cx="5930265" cy="3288665"/>
            <wp:effectExtent l="0" t="0" r="0" b="6985"/>
            <wp:docPr id="653336810" name="Picture 1" descr="A group of graphs with different colo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36810" name="Picture 1" descr="A group of graphs with different colored lines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6E10E" w14:textId="33D7F381" w:rsidR="00D905C5" w:rsidRPr="00D905C5" w:rsidRDefault="006F0CEE" w:rsidP="00D905C5">
      <w:pPr>
        <w:keepNext/>
        <w:spacing w:line="360" w:lineRule="auto"/>
        <w:rPr>
          <w:b/>
          <w:bCs/>
          <w:sz w:val="22"/>
          <w:szCs w:val="22"/>
        </w:rPr>
      </w:pPr>
      <w:r w:rsidRPr="00D905C5"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4. </w:t>
      </w:r>
      <w:r w:rsidR="00D905C5" w:rsidRPr="00D905C5">
        <w:rPr>
          <w:b/>
          <w:bCs/>
          <w:sz w:val="22"/>
          <w:szCs w:val="22"/>
        </w:rPr>
        <w:t xml:space="preserve">Performance of the estimation method without adjustment and </w:t>
      </w:r>
      <w:r w:rsidR="003C4999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with linear regression 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correction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D905C5" w:rsidRPr="00D905C5">
        <w:rPr>
          <w:b/>
          <w:bCs/>
          <w:sz w:val="22"/>
          <w:szCs w:val="22"/>
        </w:rPr>
        <w:t>on simulated synthetic data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w:r w:rsidR="00D905C5">
        <w:rPr>
          <w:rFonts w:asciiTheme="majorBidi" w:hAnsiTheme="majorBidi" w:cstheme="majorBidi"/>
          <w:sz w:val="22"/>
          <w:szCs w:val="22"/>
          <w:lang w:val="en-US"/>
        </w:rPr>
        <w:t xml:space="preserve">This figure reproduces Figure 3 from the main text with an additional step in which the </w:t>
      </w:r>
      <w:del w:id="50" w:author="Lawrence Bond" w:date="2025-01-13T14:02:00Z" w16du:dateUtc="2025-01-13T22:02:00Z">
        <w:r w:rsidR="00D905C5" w:rsidDel="00676090">
          <w:rPr>
            <w:rFonts w:asciiTheme="majorBidi" w:hAnsiTheme="majorBidi" w:cstheme="majorBidi"/>
            <w:sz w:val="22"/>
            <w:szCs w:val="22"/>
            <w:lang w:val="en-US"/>
          </w:rPr>
          <w:delText xml:space="preserve">estimated </w:delText>
        </w:r>
      </w:del>
      <w:ins w:id="51" w:author="Lawrence Bond" w:date="2025-01-13T14:02:00Z" w16du:dateUtc="2025-01-13T22:02:00Z">
        <w:r w:rsidR="00676090">
          <w:rPr>
            <w:rFonts w:asciiTheme="majorBidi" w:hAnsiTheme="majorBidi" w:cstheme="majorBidi"/>
            <w:sz w:val="22"/>
            <w:szCs w:val="22"/>
            <w:lang w:val="en-US"/>
          </w:rPr>
          <w:t>estimate</w:t>
        </w:r>
        <w:r w:rsidR="00676090">
          <w:rPr>
            <w:rFonts w:asciiTheme="majorBidi" w:hAnsiTheme="majorBidi" w:cstheme="majorBidi"/>
            <w:sz w:val="22"/>
            <w:szCs w:val="22"/>
            <w:lang w:val="en-US"/>
          </w:rPr>
          <w:t>s</w:t>
        </w:r>
        <w:r w:rsidR="00676090">
          <w:rPr>
            <w:rFonts w:asciiTheme="majorBidi" w:hAnsiTheme="majorBidi" w:cstheme="majorBidi"/>
            <w:sz w:val="22"/>
            <w:szCs w:val="22"/>
            <w:lang w:val="en-US"/>
          </w:rPr>
          <w:t xml:space="preserve"> </w:t>
        </w:r>
      </w:ins>
      <w:r w:rsidR="00D905C5">
        <w:rPr>
          <w:rFonts w:asciiTheme="majorBidi" w:hAnsiTheme="majorBidi" w:cstheme="majorBidi"/>
          <w:sz w:val="22"/>
          <w:szCs w:val="22"/>
          <w:lang w:val="en-US"/>
        </w:rPr>
        <w:t xml:space="preserve">are corrected using a linear regression model. 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(</w:t>
      </w:r>
      <w:r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a, b</w:t>
      </w:r>
      <w:r w:rsidR="00D905C5" w:rsidRPr="00D905C5">
        <w:rPr>
          <w:rFonts w:asciiTheme="majorBidi" w:hAnsiTheme="majorBidi" w:cstheme="majorBidi"/>
          <w:b/>
          <w:bCs/>
          <w:sz w:val="22"/>
          <w:szCs w:val="22"/>
          <w:lang w:val="en-US"/>
        </w:rPr>
        <w:t>)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The distribution of </w:t>
      </w:r>
      <m:oMath>
        <m:acc>
          <m:accPr>
            <m:ctrlPr>
              <w:rPr>
                <w:rFonts w:ascii="Cambria Math" w:hAnsi="Cambria Math" w:cstheme="majorBidi"/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  <m:ctrlPr>
              <w:rPr>
                <w:rFonts w:ascii="Cambria Math" w:hAnsi="Cambria Math" w:cstheme="majorBidi"/>
                <w:i/>
                <w:iCs/>
                <w:sz w:val="22"/>
                <w:szCs w:val="22"/>
                <w:lang w:val="en-US"/>
              </w:rPr>
            </m:ctrlPr>
          </m:e>
        </m:acc>
      </m:oMath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/>
                <w:sz w:val="22"/>
                <w:szCs w:val="22"/>
                <w:lang w:val="en-US"/>
              </w:rPr>
            </m:ctrlPr>
          </m:accPr>
          <m:e>
            <m:r>
              <w:rPr>
                <w:rFonts w:ascii="Cambria Math" w:hAnsi="Cambria Math" w:cstheme="majorBidi"/>
                <w:sz w:val="22"/>
                <w:szCs w:val="22"/>
                <w:lang w:val="en-US"/>
              </w:rPr>
              <m:t>ρ</m:t>
            </m:r>
            <m:ctrlPr>
              <w:rPr>
                <w:rFonts w:ascii="Cambria Math" w:hAnsi="Cambria Math" w:cstheme="majorBidi"/>
                <w:i/>
                <w:iCs/>
                <w:sz w:val="22"/>
                <w:szCs w:val="22"/>
                <w:lang w:val="en-US"/>
              </w:rPr>
            </m:ctrlPr>
          </m:e>
        </m:acc>
      </m:oMath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estimate</w:t>
      </w:r>
      <w:r w:rsidR="00D905C5" w:rsidRPr="00D905C5">
        <w:rPr>
          <w:rFonts w:asciiTheme="majorBidi" w:hAnsiTheme="majorBidi" w:cstheme="majorBidi"/>
          <w:sz w:val="22"/>
          <w:szCs w:val="22"/>
          <w:lang w:val="en-US"/>
        </w:rPr>
        <w:t>d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 from data </w:t>
      </w:r>
      <w:r w:rsidR="00D905C5" w:rsidRPr="00D905C5">
        <w:rPr>
          <w:sz w:val="22"/>
          <w:szCs w:val="22"/>
        </w:rPr>
        <w:t>simulated with the values estimated by Laland et al. (solid lines; ρ=0.277 in panel a and α=0.138 in panel b)</w:t>
      </w:r>
      <w:r w:rsidRPr="00D905C5">
        <w:rPr>
          <w:rFonts w:asciiTheme="majorBidi" w:hAnsiTheme="majorBidi" w:cstheme="majorBidi"/>
          <w:sz w:val="22"/>
          <w:szCs w:val="22"/>
          <w:lang w:val="en-US"/>
        </w:rPr>
        <w:t xml:space="preserve">. </w:t>
      </w:r>
      <w:r w:rsidR="00D905C5" w:rsidRPr="00D905C5">
        <w:rPr>
          <w:b/>
          <w:bCs/>
          <w:sz w:val="22"/>
          <w:szCs w:val="22"/>
        </w:rPr>
        <w:t xml:space="preserve">(c, d) </w:t>
      </w:r>
      <w:r w:rsidR="00D905C5" w:rsidRPr="00D905C5">
        <w:rPr>
          <w:sz w:val="22"/>
          <w:szCs w:val="22"/>
        </w:rPr>
        <w:t>Scatter plot</w:t>
      </w:r>
      <w:r w:rsidR="00D905C5" w:rsidRPr="00D905C5">
        <w:rPr>
          <w:b/>
          <w:bCs/>
          <w:sz w:val="22"/>
          <w:szCs w:val="22"/>
        </w:rPr>
        <w:t xml:space="preserve"> </w:t>
      </w:r>
      <w:r w:rsidR="00D905C5" w:rsidRPr="00D905C5">
        <w:rPr>
          <w:sz w:val="22"/>
          <w:szCs w:val="22"/>
        </w:rPr>
        <w:t xml:space="preserve">of parameter estimates (y-axis) vs. the true parameter (x-axis). </w:t>
      </w:r>
      <w:r w:rsidR="00D905C5" w:rsidRPr="00D905C5">
        <w:rPr>
          <w:b/>
          <w:bCs/>
          <w:sz w:val="22"/>
          <w:szCs w:val="22"/>
        </w:rPr>
        <w:t>(e, f)</w:t>
      </w:r>
      <w:r w:rsidR="00D905C5" w:rsidRPr="00D905C5">
        <w:rPr>
          <w:sz w:val="22"/>
          <w:szCs w:val="22"/>
        </w:rPr>
        <w:t xml:space="preserve"> Coverage for various confidence levels: the rate at which the true parameter value falls within the estimated confidence interval at a given confidence level (higher is confidence level gives a wider confidence interval). Confidence interval computed by non-parametric bootstrap with 200 resamples. </w:t>
      </w:r>
    </w:p>
    <w:p w14:paraId="7D8CE1D5" w14:textId="1CA4BB3E" w:rsidR="006F0CEE" w:rsidRPr="00D905C5" w:rsidRDefault="006F0CEE" w:rsidP="00D905C5">
      <w:pPr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657F01B0" w14:textId="1982EA0D" w:rsidR="005F0D08" w:rsidRDefault="005F0D08" w:rsidP="005F0D08">
      <w:pPr>
        <w:rPr>
          <w:rFonts w:eastAsia="Calibri"/>
          <w:lang w:val="en-US"/>
        </w:rPr>
      </w:pPr>
      <w:r>
        <w:rPr>
          <w:rFonts w:eastAsia="Calibri"/>
          <w:lang w:val="en-US"/>
        </w:rPr>
        <w:br/>
      </w:r>
    </w:p>
    <w:p w14:paraId="61E10F53" w14:textId="77777777" w:rsidR="005F0D08" w:rsidRDefault="005F0D08" w:rsidP="005F0D08">
      <w:pPr>
        <w:rPr>
          <w:rFonts w:eastAsia="Calibri"/>
          <w:lang w:val="en-US"/>
        </w:rPr>
      </w:pPr>
    </w:p>
    <w:p w14:paraId="6AA663E9" w14:textId="0C53E4C6" w:rsidR="005F0D08" w:rsidRDefault="005F0D08">
      <w:pPr>
        <w:rPr>
          <w:rFonts w:eastAsia="Calibri"/>
          <w:lang w:val="en-US"/>
        </w:rPr>
      </w:pPr>
      <w:r>
        <w:rPr>
          <w:rFonts w:eastAsia="Calibri"/>
          <w:lang w:val="en-US"/>
        </w:rPr>
        <w:br w:type="page"/>
      </w:r>
    </w:p>
    <w:p w14:paraId="1CBA60B9" w14:textId="33E41ACA" w:rsidR="00EF2271" w:rsidRDefault="00EF2271" w:rsidP="00EF2271">
      <w:pPr>
        <w:keepNext/>
        <w:spacing w:line="360" w:lineRule="auto"/>
        <w:rPr>
          <w:sz w:val="22"/>
          <w:szCs w:val="22"/>
        </w:rPr>
      </w:pPr>
      <w:r w:rsidRPr="00D15D14">
        <w:rPr>
          <w:rFonts w:asciiTheme="majorBidi" w:eastAsia="Calibri" w:hAnsiTheme="majorBidi" w:cstheme="majorBidi"/>
          <w:i/>
          <w:iCs/>
          <w:noProof/>
          <w:sz w:val="22"/>
          <w:szCs w:val="22"/>
        </w:rPr>
        <w:lastRenderedPageBreak/>
        <w:drawing>
          <wp:inline distT="0" distB="0" distL="0" distR="0" wp14:anchorId="096008FE" wp14:editId="17D67F45">
            <wp:extent cx="5930265" cy="3358139"/>
            <wp:effectExtent l="0" t="0" r="635" b="0"/>
            <wp:docPr id="2124956706" name="Picture 1" descr="A group of graphs with different colored lines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56706" name="Picture 1" descr="A group of graphs with different colored lines&#10;&#10;Description automatically generated with medium confidenc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0265" cy="3358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0CEE" w:rsidRPr="00EF2271"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6F0CEE" w:rsidRPr="00EF2271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5. </w:t>
      </w:r>
      <w:r w:rsidRPr="00EF2271">
        <w:rPr>
          <w:b/>
          <w:bCs/>
          <w:sz w:val="22"/>
          <w:szCs w:val="22"/>
        </w:rPr>
        <w:t xml:space="preserve">Performance of the estimation method with adjustment on simulated synthetic data. </w:t>
      </w:r>
      <w:r w:rsidRPr="00EF2271">
        <w:rPr>
          <w:sz w:val="22"/>
          <w:szCs w:val="22"/>
        </w:rPr>
        <w:t xml:space="preserve">Compare to panels c-f in Figure 3. </w:t>
      </w:r>
      <w:r w:rsidRPr="00EF2271">
        <w:rPr>
          <w:b/>
          <w:bCs/>
          <w:sz w:val="22"/>
          <w:szCs w:val="22"/>
        </w:rPr>
        <w:t xml:space="preserve">(a, b) </w:t>
      </w:r>
      <w:r w:rsidRPr="00EF2271">
        <w:rPr>
          <w:sz w:val="22"/>
          <w:szCs w:val="22"/>
        </w:rPr>
        <w:t>Scatter plot</w:t>
      </w:r>
      <w:r w:rsidRPr="00EF2271">
        <w:rPr>
          <w:b/>
          <w:bCs/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of parameter estimates (y-axis) vs. the true parameter (x-axis). 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EF2271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(c, d) 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 xml:space="preserve">Similar to panels a and b, respectively, after filtering synthetic 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data 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 xml:space="preserve">in which </w:t>
      </w:r>
      <w:proofErr w:type="spellStart"/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m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o</w:t>
      </w:r>
      <w:proofErr w:type="spellEnd"/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≤ 0.01 or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m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p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≤0.01 or </w:t>
      </w:r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|p(R|R×R) - |p(R|L×</w:t>
      </w:r>
      <w:proofErr w:type="gramStart"/>
      <w:r w:rsidR="006F0CEE" w:rsidRPr="00EF2271">
        <w:rPr>
          <w:rFonts w:asciiTheme="majorBidi" w:hAnsiTheme="majorBidi" w:cstheme="majorBidi"/>
          <w:i/>
          <w:iCs/>
          <w:sz w:val="22"/>
          <w:szCs w:val="22"/>
          <w:lang w:val="en-US"/>
        </w:rPr>
        <w:t>L)|</w:t>
      </w:r>
      <w:proofErr w:type="gramEnd"/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>&lt;0.07</w:t>
      </w:r>
      <w:r w:rsidRPr="00EF2271">
        <w:rPr>
          <w:rFonts w:asciiTheme="majorBidi" w:hAnsiTheme="majorBidi" w:cstheme="majorBidi"/>
          <w:sz w:val="22"/>
          <w:szCs w:val="22"/>
          <w:lang w:val="en-US"/>
        </w:rPr>
        <w:t>.</w:t>
      </w:r>
      <w:r w:rsidR="006F0CEE" w:rsidRPr="00EF2271">
        <w:rPr>
          <w:rFonts w:asciiTheme="majorBidi" w:hAnsiTheme="majorBidi" w:cstheme="majorBidi"/>
          <w:sz w:val="22"/>
          <w:szCs w:val="22"/>
          <w:lang w:val="en-US"/>
        </w:rPr>
        <w:t xml:space="preserve">  </w:t>
      </w:r>
      <w:r w:rsidRPr="00EF2271">
        <w:rPr>
          <w:b/>
          <w:bCs/>
          <w:sz w:val="22"/>
          <w:szCs w:val="22"/>
        </w:rPr>
        <w:t>(e, f)</w:t>
      </w:r>
      <w:r w:rsidRPr="00EF2271">
        <w:rPr>
          <w:sz w:val="22"/>
          <w:szCs w:val="22"/>
        </w:rPr>
        <w:t xml:space="preserve"> Coverage for various confidence levels: the rate at which the true parameter value falls within the estimated confidence interval at a given confidence</w:t>
      </w:r>
      <w:r>
        <w:rPr>
          <w:sz w:val="22"/>
          <w:szCs w:val="22"/>
        </w:rPr>
        <w:t xml:space="preserve"> </w:t>
      </w:r>
      <w:r w:rsidRPr="00EF2271">
        <w:rPr>
          <w:sz w:val="22"/>
          <w:szCs w:val="22"/>
        </w:rPr>
        <w:t xml:space="preserve">level (higher </w:t>
      </w:r>
      <w:del w:id="52" w:author="Lawrence Bond" w:date="2025-01-13T14:03:00Z" w16du:dateUtc="2025-01-13T22:03:00Z">
        <w:r w:rsidRPr="00EF2271" w:rsidDel="00676090">
          <w:rPr>
            <w:sz w:val="22"/>
            <w:szCs w:val="22"/>
          </w:rPr>
          <w:delText xml:space="preserve">is </w:delText>
        </w:r>
      </w:del>
      <w:r w:rsidRPr="00EF2271">
        <w:rPr>
          <w:sz w:val="22"/>
          <w:szCs w:val="22"/>
        </w:rPr>
        <w:t xml:space="preserve">confidence level gives a wider confidence interval). Confidence interval computed by non-parametric bootstrap with 200 resamples. </w:t>
      </w:r>
    </w:p>
    <w:p w14:paraId="4BCEEF9E" w14:textId="77777777" w:rsidR="00EF2271" w:rsidRPr="00EF2271" w:rsidRDefault="00EF2271" w:rsidP="00EF2271">
      <w:pPr>
        <w:keepNext/>
        <w:spacing w:line="360" w:lineRule="auto"/>
        <w:rPr>
          <w:b/>
          <w:bCs/>
          <w:sz w:val="22"/>
          <w:szCs w:val="22"/>
        </w:rPr>
      </w:pPr>
    </w:p>
    <w:p w14:paraId="6B4590B9" w14:textId="77777777" w:rsidR="00EF2271" w:rsidRDefault="00EF2271">
      <w:pP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  <w:br w:type="page"/>
      </w:r>
    </w:p>
    <w:p w14:paraId="3EDE1C16" w14:textId="01AD2A8A" w:rsidR="001014F9" w:rsidRDefault="00A267AB" w:rsidP="00EF2271">
      <w:pPr>
        <w:rPr>
          <w:rFonts w:asciiTheme="majorBidi" w:eastAsia="Calibri" w:hAnsiTheme="majorBidi" w:cstheme="majorBidi"/>
          <w:i/>
          <w:iCs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39AC996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</w:t>
      </w:r>
      <w:r w:rsidR="002106C2">
        <w:rPr>
          <w:rFonts w:asciiTheme="majorBidi" w:hAnsiTheme="majorBidi" w:cstheme="majorBidi"/>
          <w:b/>
          <w:bCs/>
          <w:sz w:val="22"/>
          <w:szCs w:val="22"/>
          <w:lang w:val="en-US"/>
        </w:rPr>
        <w:t>6</w:t>
      </w:r>
      <w:r>
        <w:rPr>
          <w:rFonts w:asciiTheme="majorBidi" w:hAnsiTheme="majorBidi" w:cstheme="majorBidi"/>
          <w:b/>
          <w:bCs/>
          <w:sz w:val="22"/>
          <w:szCs w:val="22"/>
        </w:rPr>
        <w:t>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8"/>
      <w:headerReference w:type="default" r:id="rId19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D4EFB44" w14:textId="77777777" w:rsidR="00E16462" w:rsidRDefault="00E16462">
      <w:r>
        <w:separator/>
      </w:r>
    </w:p>
  </w:endnote>
  <w:endnote w:type="continuationSeparator" w:id="0">
    <w:p w14:paraId="5E720A2F" w14:textId="77777777" w:rsidR="00E16462" w:rsidRDefault="00E16462">
      <w:r>
        <w:continuationSeparator/>
      </w:r>
    </w:p>
  </w:endnote>
  <w:endnote w:type="continuationNotice" w:id="1">
    <w:p w14:paraId="37C2876D" w14:textId="77777777" w:rsidR="00E16462" w:rsidRDefault="00E164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BC4178" w14:textId="77777777" w:rsidR="00E16462" w:rsidRDefault="00E16462">
      <w:r>
        <w:separator/>
      </w:r>
    </w:p>
  </w:footnote>
  <w:footnote w:type="continuationSeparator" w:id="0">
    <w:p w14:paraId="7BF486EB" w14:textId="77777777" w:rsidR="00E16462" w:rsidRDefault="00E16462">
      <w:r>
        <w:continuationSeparator/>
      </w:r>
    </w:p>
  </w:footnote>
  <w:footnote w:type="continuationNotice" w:id="1">
    <w:p w14:paraId="744C71B8" w14:textId="77777777" w:rsidR="00E16462" w:rsidRDefault="00E1646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Lawrence Bond">
    <w15:presenceInfo w15:providerId="AD" w15:userId="S::lbond@stanford.edu::d2a7f643-c2a4-42b9-9548-5e80e4e1fbc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trackRevisions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41F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00A2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06C2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221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2E4A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A7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999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6F56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D08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4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09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0CE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1C3B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3C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4EBE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5C5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592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6462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271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1E3B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0899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06A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736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CEE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header" Target="header3.xml"/><Relationship Id="rId3" Type="http://schemas.openxmlformats.org/officeDocument/2006/relationships/numbering" Target="numbering.xml"/><Relationship Id="rId21" Type="http://schemas.microsoft.com/office/2011/relationships/people" Target="people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Props1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19</Pages>
  <Words>3188</Words>
  <Characters>18175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Lawrence Bond</cp:lastModifiedBy>
  <cp:revision>65</cp:revision>
  <cp:lastPrinted>2025-01-13T22:04:00Z</cp:lastPrinted>
  <dcterms:created xsi:type="dcterms:W3CDTF">2024-07-16T13:18:00Z</dcterms:created>
  <dcterms:modified xsi:type="dcterms:W3CDTF">2025-01-13T22:04:00Z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