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23A70B3E" w:rsidR="002C58FF" w:rsidRPr="00442A52" w:rsidRDefault="002C58FF" w:rsidP="002C58FF">
      <w:pPr>
        <w:rPr>
          <w:b/>
          <w:bCs/>
        </w:rPr>
      </w:pPr>
      <w:r w:rsidRPr="002C58FF">
        <w:rPr>
          <w:b/>
          <w:bCs/>
        </w:rPr>
        <w:t>Revisiting the Gene-Culture Model of</w:t>
      </w:r>
      <w:r w:rsidR="0094247F">
        <w:rPr>
          <w:b/>
          <w:bCs/>
        </w:rPr>
        <w:t xml:space="preserve"> Human</w:t>
      </w:r>
      <w:r w:rsidRPr="002C58FF">
        <w:rPr>
          <w:b/>
          <w:bCs/>
        </w:rPr>
        <w:t xml:space="preserve"> Handedness through a Replication and Extension of Laland et al. 1995</w:t>
      </w:r>
    </w:p>
    <w:p w14:paraId="54024E10" w14:textId="2E55D628" w:rsidR="00CA52DA" w:rsidRDefault="00CA52DA" w:rsidP="00CB5F62">
      <w:r>
        <w:t>Rony Karstadt</w:t>
      </w:r>
      <w:r w:rsidRPr="00CA52DA">
        <w:rPr>
          <w:vertAlign w:val="superscript"/>
        </w:rPr>
        <w:t>1</w:t>
      </w:r>
      <w:r w:rsidR="00B36D8D">
        <w:rPr>
          <w:vertAlign w:val="superscript"/>
        </w:rPr>
        <w:t>,#</w:t>
      </w:r>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17827C54" w:rsidR="00A42949" w:rsidRDefault="000C6B4A" w:rsidP="00CB5F62">
      <w:r>
        <w:t>5</w:t>
      </w:r>
      <w:r w:rsidR="00C2140C">
        <w:t xml:space="preserve"> </w:t>
      </w:r>
      <w:r>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t>Abstract</w:t>
      </w:r>
    </w:p>
    <w:p w14:paraId="28008B9A" w14:textId="2210F6E8" w:rsidR="00982361" w:rsidRDefault="008E05EC" w:rsidP="007A0C3A">
      <w:pPr>
        <w:rPr>
          <w:rFonts w:ascii="Calibri" w:hAnsi="Calibri" w:cs="Calibri"/>
        </w:rPr>
      </w:pPr>
      <w:r w:rsidRPr="008E05EC">
        <w:rPr>
          <w:rFonts w:ascii="Calibri" w:hAnsi="Calibri" w:cs="Calibri"/>
        </w:rPr>
        <w:t>Human handedness results from the interplay of genetic and cultural influences. Building on the foundational gene-culture co-evolutionary model introduced by Laland et al. (1995), which improved earlier genetic models but remained unreplicated, this study replicates and extends the model. We address ambiguities in the original methodology, particularly regarding maximum likelihood estimation, and incorporate sex differences in cultural transmission to enhance the model. By fitting the extended model to existing familial and twin datasets, we demonstrate that accounting for criterion shifts significantly improves model fit and parameter estimation accuracy. Our findings reveal stronger maternal than paternal effects on handedness, with daughters exhibiting greater sensitivity to these effects than sons. To promote further research, we provide an open-source Python implementation of the model, establishing a robust platform for comparing gene-culture models and applying them to diverse datasets. This study advances the understanding of handedness evolution and its gene-culture dynamics, offering new avenues for exploration.</w:t>
      </w:r>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t>Introduction</w:t>
      </w:r>
    </w:p>
    <w:p w14:paraId="5F7765C5" w14:textId="5671601B" w:rsidR="004814D0" w:rsidRDefault="00D629F9" w:rsidP="00CB5F62">
      <w:pPr>
        <w:rPr>
          <w:highlight w:val="white"/>
        </w:rPr>
      </w:pPr>
      <w:r w:rsidRPr="00EF21D5">
        <w:rPr>
          <w:highlight w:val="white"/>
        </w:rPr>
        <w:t>It is widely argued that about 90% of humans are right-handed (e.g.</w:t>
      </w:r>
      <w:r w:rsidR="00982361">
        <w:rPr>
          <w:highlight w:val="white"/>
        </w:rPr>
        <w:t>,</w:t>
      </w:r>
      <w:r w:rsidRPr="00EF21D5">
        <w:rPr>
          <w:highlight w:val="white"/>
        </w:rPr>
        <w:t xml:space="preserve">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proofErr w:type="gramStart"/>
      <w:r w:rsidR="00504DB0" w:rsidRPr="00504DB0">
        <w:t>The current</w:t>
      </w:r>
      <w:proofErr w:type="gramEnd"/>
      <w:r w:rsidR="00504DB0" w:rsidRPr="00504DB0">
        <w:t xml:space="preserve"> literature provides valuable insights but leaves certain aspects open for further exploration</w:t>
      </w:r>
      <w:r w:rsidR="00504DB0">
        <w:t>, such as</w:t>
      </w:r>
      <w:r w:rsidRPr="00EF21D5">
        <w:rPr>
          <w:highlight w:val="white"/>
        </w:rPr>
        <w:t xml:space="preserve">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predict that </w:t>
      </w:r>
      <w:proofErr w:type="gramStart"/>
      <w:r>
        <w:rPr>
          <w:highlight w:val="white"/>
        </w:rPr>
        <w:t>offspring</w:t>
      </w:r>
      <w:proofErr w:type="gramEnd"/>
      <w:r>
        <w:rPr>
          <w:highlight w:val="white"/>
        </w:rPr>
        <w:t xml:space="preserve"> of 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66039DBC"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In a meta-analysis, Papadatou-</w:t>
      </w:r>
      <w:proofErr w:type="spellStart"/>
      <w:r w:rsidR="00953024" w:rsidRPr="00EF21D5">
        <w:t>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w:t>
      </w:r>
      <w:proofErr w:type="spellStart"/>
      <w:r w:rsidR="00C4200C" w:rsidRPr="00EF21D5">
        <w:t>Pastou</w:t>
      </w:r>
      <w:proofErr w:type="spellEnd"/>
      <w:r w:rsidR="00C4200C" w:rsidRPr="00EF21D5">
        <w:t xml:space="preserve">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Laland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  in the offspring of two </w:t>
      </w:r>
      <w:r w:rsidR="00AD2F72">
        <w:rPr>
          <w:color w:val="000000"/>
          <w:shd w:val="clear" w:color="auto" w:fill="FFFFFF"/>
        </w:rPr>
        <w:t>left-handed parents.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2A982BA9"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w:t>
      </w:r>
      <w:proofErr w:type="gramStart"/>
      <w:r w:rsidRPr="00EF21D5">
        <w:rPr>
          <w:highlight w:val="white"/>
        </w:rPr>
        <w:t>data,</w:t>
      </w:r>
      <w:proofErr w:type="gramEnd"/>
      <w:r w:rsidRPr="00EF21D5">
        <w:rPr>
          <w:highlight w:val="white"/>
        </w:rPr>
        <w:t xml:space="preserve"> yield results consistent with those originally published. </w:t>
      </w:r>
      <w:r>
        <w:rPr>
          <w:highlight w:val="white"/>
        </w:rPr>
        <w:t>N</w:t>
      </w:r>
      <w:r w:rsidRPr="00EF21D5">
        <w:rPr>
          <w:highlight w:val="white"/>
        </w:rPr>
        <w:t>o</w:t>
      </w:r>
      <w:r>
        <w:rPr>
          <w:highlight w:val="white"/>
        </w:rPr>
        <w:t xml:space="preserve">r have there </w:t>
      </w:r>
      <w:proofErr w:type="gramStart"/>
      <w:r w:rsidR="00DA4C72">
        <w:rPr>
          <w:highlight w:val="white"/>
        </w:rPr>
        <w:t>been</w:t>
      </w:r>
      <w:r w:rsidRPr="00EF21D5">
        <w:rPr>
          <w:highlight w:val="white"/>
        </w:rPr>
        <w:t xml:space="preserve"> </w:t>
      </w:r>
      <w:r w:rsidR="00DA4C72">
        <w:rPr>
          <w:highlight w:val="white"/>
        </w:rPr>
        <w:t>published</w:t>
      </w:r>
      <w:proofErr w:type="gramEnd"/>
      <w:r w:rsidR="00DA4C72">
        <w:rPr>
          <w:highlight w:val="white"/>
        </w:rPr>
        <w:t xml:space="preserve"> </w:t>
      </w:r>
      <w:r w:rsidRPr="00EF21D5">
        <w:rPr>
          <w:highlight w:val="white"/>
        </w:rPr>
        <w:t>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5E083B55"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Laland et al.’s analysis to establish a foundation for its application and extension. </w:t>
      </w:r>
      <w:r w:rsidR="00022B80" w:rsidRPr="00022B80">
        <w:t xml:space="preserve">We provided additional detail to aspects of the analysis that were less explicitly documented in the original </w:t>
      </w:r>
      <w:r w:rsidR="00F6701A" w:rsidRPr="00022B80">
        <w:t>paper</w:t>
      </w:r>
      <w:r w:rsidR="00F6701A" w:rsidRPr="004814D0">
        <w:rPr>
          <w:highlight w:val="white"/>
        </w:rPr>
        <w:t xml:space="preserve"> and</w:t>
      </w:r>
      <w:r w:rsidRPr="004814D0">
        <w:rPr>
          <w:highlight w:val="white"/>
        </w:rPr>
        <w:t xml:space="preserve"> validated the results. We then extended the model to account for differences in parental and offspring sex and compared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twins dataset</w:t>
      </w:r>
      <w:r w:rsidR="00090882" w:rsidRPr="004814D0">
        <w:rPr>
          <w:highlight w:val="white"/>
        </w:rPr>
        <w:t>.</w:t>
      </w:r>
    </w:p>
    <w:p w14:paraId="04204344" w14:textId="65BE580E"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w:t>
      </w:r>
      <w:proofErr w:type="gramStart"/>
      <w:r w:rsidR="00C265BA" w:rsidRPr="00C265BA">
        <w:t>The</w:t>
      </w:r>
      <w:proofErr w:type="gramEnd"/>
      <w:r w:rsidR="00C265BA" w:rsidRPr="00C265BA">
        <w:t xml:space="preserv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proofErr w:type="gramStart"/>
      <w:r w:rsidR="004B0D57" w:rsidRPr="004814D0">
        <w:rPr>
          <w:highlight w:val="white"/>
        </w:rPr>
        <w:t>Similar to</w:t>
      </w:r>
      <w:proofErr w:type="gramEnd"/>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research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not described</w:t>
      </w:r>
      <w:r w:rsidR="00BD322F">
        <w:t xml:space="preserve">, </w:t>
      </w:r>
      <w:r w:rsidRPr="00EF21D5">
        <w:t xml:space="preserve">and </w:t>
      </w:r>
      <w:proofErr w:type="spellStart"/>
      <w:r w:rsidRPr="00EF21D5">
        <w:rPr>
          <w:color w:val="000000"/>
        </w:rPr>
        <w:t>Mascie</w:t>
      </w:r>
      <w:proofErr w:type="spellEnd"/>
      <w:r w:rsidRPr="00EF21D5">
        <w:rPr>
          <w:color w:val="000000"/>
        </w:rPr>
        <w:t>-Taylor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4B2FC88B" w:rsidR="004814D0" w:rsidRDefault="0005230D" w:rsidP="00CB5F62">
      <w:r>
        <w:t>We</w:t>
      </w:r>
      <w:r w:rsidR="007F07FB" w:rsidRPr="00A87049">
        <w:t xml:space="preserve"> </w:t>
      </w:r>
      <w:r w:rsidR="00090882" w:rsidRPr="00A87049">
        <w:t xml:space="preserve">found </w:t>
      </w:r>
      <w:r w:rsidR="00D2689A">
        <w:t xml:space="preserve">some differences </w:t>
      </w:r>
      <w:r w:rsidR="00090882" w:rsidRPr="00A87049">
        <w:t>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w:t>
      </w:r>
      <w:r w:rsidR="003863E7" w:rsidRPr="003863E7">
        <w:t xml:space="preserve">These </w:t>
      </w:r>
      <w:r w:rsidR="00D2689A">
        <w:t xml:space="preserve">differences </w:t>
      </w:r>
      <w:r w:rsidR="003863E7" w:rsidRPr="003863E7">
        <w:t>appear to stem from reliance on secondary data sources without direct validation</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0ABE6985"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w:t>
      </w:r>
      <w:proofErr w:type="gramStart"/>
      <w:r w:rsidRPr="00EF21D5">
        <w:rPr>
          <w:highlight w:val="white"/>
        </w:rPr>
        <w:t>population</w:t>
      </w:r>
      <w:r w:rsidR="0042127B">
        <w:rPr>
          <w:highlight w:val="white"/>
        </w:rPr>
        <w:t xml:space="preserve">, </w:t>
      </w:r>
      <w:r w:rsidR="0042127B">
        <w:rPr>
          <w:i/>
          <w:iCs/>
          <w:highlight w:val="white"/>
        </w:rPr>
        <w:t>t</w:t>
      </w:r>
      <w:proofErr w:type="gramEnd"/>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The adjustment for criterion shift is not explicitly described in Laland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twins,  Hm-Hm, given the true phenotype, </w:t>
      </w:r>
      <w:proofErr w:type="spellStart"/>
      <w:r w:rsidR="005911A5">
        <w:t>Ht-Ht</w:t>
      </w:r>
      <w:proofErr w:type="spellEnd"/>
      <w:r w:rsidR="005911A5">
        <w: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w:t>
      </w:r>
      <w:proofErr w:type="gramStart"/>
      <w:r w:rsidR="00A87049">
        <w:t>log</w:t>
      </w:r>
      <w:proofErr w:type="gramEnd"/>
      <w:r w:rsidR="00A87049">
        <w:t xml:space="preserve">-likelihood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rPr>
        <w:t>scipy.optimize.minimize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 xml:space="preserve">2-1)=2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w:t>
      </w:r>
      <w:proofErr w:type="gramStart"/>
      <w:r>
        <w:t>nested</w:t>
      </w:r>
      <w:proofErr w:type="gramEnd"/>
      <w:r>
        <w:t xml:space="preserve">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t>Simulations</w:t>
      </w:r>
    </w:p>
    <w:p w14:paraId="0D39E85D" w14:textId="7416D420"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 xml:space="preserve">17 </w:t>
      </w:r>
      <w:proofErr w:type="gramStart"/>
      <w:r w:rsidR="00D86094" w:rsidRPr="00591650">
        <w:t>datasets</w:t>
      </w:r>
      <w:proofErr w:type="gramEnd"/>
      <w:r w:rsidR="00D86094" w:rsidRPr="00591650">
        <w:t xml:space="preserve"> presenting triplet</w:t>
      </w:r>
      <w:r>
        <w:t xml:space="preserve"> as in </w:t>
      </w:r>
      <w:r w:rsidRPr="0005266C">
        <w:t>Table S3</w:t>
      </w:r>
      <w:r w:rsidR="00D86094">
        <w:t xml:space="preserve">. </w:t>
      </w:r>
      <w:r w:rsidR="00D86094" w:rsidRPr="00591650">
        <w:t xml:space="preserve">As </w:t>
      </w:r>
      <w:commentRangeStart w:id="45"/>
      <w:r w:rsidR="00D86094" w:rsidRPr="00591650">
        <w:t>the number of families in each dataset varie</w:t>
      </w:r>
      <w:r>
        <w:t>s</w:t>
      </w:r>
      <w:r w:rsidR="00D86094" w:rsidRPr="00591650">
        <w:t xml:space="preserve">, we </w:t>
      </w:r>
      <w:r>
        <w:t xml:space="preserve">draw </w:t>
      </w:r>
      <w:r w:rsidR="00D86094" w:rsidRPr="00591650">
        <w:t xml:space="preserve">the number of families </w:t>
      </w:r>
      <w:r>
        <w:t>from t</w:t>
      </w:r>
      <w:r w:rsidR="004D280C">
        <w:t>h</w:t>
      </w:r>
      <w:r>
        <w:t xml:space="preserve">e </w:t>
      </w:r>
      <w:r w:rsidR="00D86094" w:rsidRPr="00591650">
        <w:t>uniform</w:t>
      </w:r>
      <w:r>
        <w:t xml:space="preserve"> distribution </w:t>
      </w:r>
      <w:r w:rsidRPr="0005266C">
        <w:rPr>
          <w:i/>
          <w:iCs/>
        </w:rPr>
        <w:t>U(</w:t>
      </w:r>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commentRangeEnd w:id="45"/>
      <w:r w:rsidR="00A6036D">
        <w:rPr>
          <w:rStyle w:val="CommentReference"/>
          <w:rFonts w:ascii="Times New Roman" w:eastAsia="Times New Roman" w:hAnsi="Times New Roman" w:cs="Times New Roman"/>
          <w:kern w:val="0"/>
          <w14:ligatures w14:val="none"/>
        </w:rPr>
        <w:commentReference w:id="45"/>
      </w:r>
      <w:r w:rsidR="00D86094">
        <w:t xml:space="preserve">. The number of offspring per family </w:t>
      </w:r>
      <w:r>
        <w:t xml:space="preserve">is drawn </w:t>
      </w:r>
      <w:r w:rsidR="00D86094">
        <w:t xml:space="preserve">from </w:t>
      </w:r>
      <w:r w:rsidR="00D86094" w:rsidRPr="00591650">
        <w:t>the multiple offspring datasets of McManus (1985)</w:t>
      </w:r>
      <w:r w:rsidR="00D86094">
        <w:t xml:space="preserve"> </w:t>
      </w:r>
      <w:commentRangeStart w:id="46"/>
      <w:r w:rsidR="00D86094">
        <w:t xml:space="preserve">as </w:t>
      </w:r>
      <w:r w:rsidR="00D86094" w:rsidRPr="0005266C">
        <w:rPr>
          <w:i/>
          <w:iCs/>
        </w:rPr>
        <w:t>1+Bin (4,</w:t>
      </w:r>
      <w:r w:rsidRPr="0005266C">
        <w:rPr>
          <w:i/>
          <w:iCs/>
        </w:rPr>
        <w:t xml:space="preserve"> </w:t>
      </w:r>
      <w:r w:rsidR="00D86094" w:rsidRPr="0005266C">
        <w:rPr>
          <w:i/>
          <w:iCs/>
        </w:rPr>
        <w:t>0.354</w:t>
      </w:r>
      <w:commentRangeEnd w:id="46"/>
      <w:r w:rsidR="00ED276E">
        <w:rPr>
          <w:rStyle w:val="CommentReference"/>
          <w:rFonts w:ascii="Times New Roman" w:eastAsia="Times New Roman" w:hAnsi="Times New Roman" w:cs="Times New Roman"/>
          <w:kern w:val="0"/>
          <w14:ligatures w14:val="none"/>
        </w:rPr>
        <w:commentReference w:id="46"/>
      </w:r>
      <w:r w:rsidR="00D86094" w:rsidRPr="0005266C">
        <w:rPr>
          <w:i/>
          <w:iCs/>
        </w:rPr>
        <w:t>)</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7" w:name="_Toc147242192"/>
      <w:bookmarkStart w:id="48" w:name="_Toc164785463"/>
      <w:bookmarkStart w:id="49" w:name="_Toc171803955"/>
      <w:r w:rsidRPr="00EF21D5">
        <w:t>Scenario A: Estimati</w:t>
      </w:r>
      <w:r>
        <w:t>on</w:t>
      </w:r>
      <w:r w:rsidRPr="00EF21D5">
        <w:t xml:space="preserve"> and testing without adjustment</w:t>
      </w:r>
      <w:bookmarkEnd w:id="47"/>
      <w:bookmarkEnd w:id="48"/>
      <w:bookmarkEnd w:id="49"/>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50" w:name="_Toc164785464"/>
      <w:bookmarkStart w:id="51" w:name="_Toc171803956"/>
      <w:r w:rsidRPr="00EF21D5">
        <w:t>Maximum</w:t>
      </w:r>
      <w:r>
        <w:t>-l</w:t>
      </w:r>
      <w:r w:rsidRPr="000817A5">
        <w:t>ikelihood</w:t>
      </w:r>
      <w:r w:rsidRPr="00EF21D5">
        <w:t xml:space="preserve"> </w:t>
      </w:r>
      <w:r>
        <w:t>e</w:t>
      </w:r>
      <w:r w:rsidRPr="00EF21D5">
        <w:t>stimation</w:t>
      </w:r>
      <w:bookmarkEnd w:id="50"/>
      <w:bookmarkEnd w:id="51"/>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2" w:name="_heading=h.1pxezwc" w:colFirst="0" w:colLast="0"/>
    <w:bookmarkStart w:id="53" w:name="_Toc147242194"/>
    <w:bookmarkEnd w:id="52"/>
    <w:p w14:paraId="41D87BAF" w14:textId="75231942" w:rsidR="000817A5" w:rsidRPr="00EF21D5" w:rsidRDefault="00C4194C" w:rsidP="00CB5F62">
      <w:pPr>
        <w:pStyle w:val="Heading3"/>
      </w:pPr>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" filled="f" stroked="f">
                <v:textbox inset="2.53958mm,1.2694mm,2.53958mm,1.2694mm">
                  <w:txbxContent>
                    <w:p w14:paraId="4A2BCDF7" w14:textId="77777777" w:rsidR="00C4194C" w:rsidRDefault="00C4194C" w:rsidP="00CB5F62">
                      <w:r>
                        <w:t>(b)</w:t>
                      </w:r>
                    </w:p>
                  </w:txbxContent>
                </v:textbox>
              </v:rect>
            </w:pict>
          </mc:Fallback>
        </mc:AlternateContent>
      </w:r>
      <w:bookmarkStart w:id="54" w:name="_heading=h.1rvwp1q" w:colFirst="0" w:colLast="0"/>
      <w:bookmarkStart w:id="55" w:name="_Toc164785465"/>
      <w:bookmarkStart w:id="56" w:name="_Toc171803957"/>
      <w:bookmarkEnd w:id="54"/>
      <w:r w:rsidR="00A838B5">
        <w:t>G</w:t>
      </w:r>
      <w:r w:rsidR="000817A5" w:rsidRPr="00EF21D5">
        <w:t>oodness-of-fit</w:t>
      </w:r>
      <w:bookmarkEnd w:id="55"/>
      <w:bookmarkEnd w:id="56"/>
      <w:r w:rsidR="000817A5" w:rsidRPr="00EF21D5">
        <w:t xml:space="preserve"> </w:t>
      </w:r>
      <w:bookmarkEnd w:id="53"/>
      <w:r w:rsidR="00A838B5">
        <w:t>test</w:t>
      </w:r>
    </w:p>
    <w:p w14:paraId="25FFBBC8" w14:textId="61238659"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365D8783" w14:textId="77777777" w:rsidR="003F76CD" w:rsidRDefault="003F76CD" w:rsidP="00CB5F62">
      <w:r w:rsidRPr="003F76CD">
        <w:t>Consequently, our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57" w:name="_Toc147242196"/>
      <w:bookmarkStart w:id="58" w:name="_Toc164785467"/>
      <w:bookmarkStart w:id="59" w:name="_Toc171803959"/>
      <w:r w:rsidRPr="00EF21D5">
        <w:t xml:space="preserve">Scenario B: Estimating </w:t>
      </w:r>
      <w:r w:rsidRPr="002C70F8">
        <w:t>without</w:t>
      </w:r>
      <w:r w:rsidRPr="00EF21D5">
        <w:t xml:space="preserve"> adjustment</w:t>
      </w:r>
      <w:r>
        <w:t>,</w:t>
      </w:r>
      <w:r w:rsidRPr="00EF21D5">
        <w:t xml:space="preserve"> testing with adjustment</w:t>
      </w:r>
      <w:bookmarkEnd w:id="57"/>
      <w:bookmarkEnd w:id="58"/>
      <w:bookmarkEnd w:id="59"/>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0" w:name="_Toc164785468"/>
      <w:bookmarkStart w:id="61" w:name="_Toc171803960"/>
      <w:bookmarkStart w:id="62" w:name="_Toc147242197"/>
      <w:r>
        <w:t>G</w:t>
      </w:r>
      <w:r w:rsidR="002C70F8" w:rsidRPr="00EF21D5">
        <w:t>oodness-of-fit</w:t>
      </w:r>
      <w:bookmarkEnd w:id="60"/>
      <w:bookmarkEnd w:id="61"/>
      <w:bookmarkEnd w:id="62"/>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63" w:name="_heading=h.23ckvvd" w:colFirst="0" w:colLast="0"/>
      <w:bookmarkEnd w:id="63"/>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proofErr w:type="gramStart"/>
      <w:r w:rsidR="005D4D8C">
        <w:t>al.'s</w:t>
      </w:r>
      <w:proofErr w:type="gramEnd"/>
      <w:r w:rsidR="005D4D8C">
        <w:t xml:space="preserve">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609461C0"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3776F64A"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t>G</w:t>
      </w:r>
      <w:r w:rsidR="002F16CE" w:rsidRPr="00C45582">
        <w:t>oodness</w:t>
      </w:r>
      <w:r w:rsidR="002F16CE" w:rsidRPr="00EF21D5">
        <w:t>-of-fit</w:t>
      </w:r>
      <w:bookmarkEnd w:id="73"/>
      <w:bookmarkEnd w:id="74"/>
      <w:r w:rsidR="002F16CE" w:rsidRPr="00EF21D5">
        <w:t xml:space="preserve"> </w:t>
      </w:r>
      <w:bookmarkEnd w:id="75"/>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209CD248"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 xml:space="preserve">one study the model </w:t>
      </w:r>
      <w:r w:rsidR="006079E0">
        <w:t>did not</w:t>
      </w:r>
      <w:r w:rsidRPr="00EF21D5">
        <w:t xml:space="preserve">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5DBFCCCE" w:rsidR="003A6842" w:rsidRDefault="003A6842" w:rsidP="00150438">
      <w:pPr>
        <w:rPr>
          <w:rFonts w:eastAsiaTheme="minorEastAsia"/>
        </w:rPr>
      </w:pPr>
      <w:commentRangeStart w:id="77"/>
      <w:r w:rsidRPr="00591650">
        <w:t xml:space="preserve">After establishing the estimation </w:t>
      </w:r>
      <w:r w:rsidR="00F83789" w:rsidRPr="00467837">
        <w:t>method</w:t>
      </w:r>
      <w:r w:rsidR="00F83789" w:rsidRPr="00591650">
        <w:t xml:space="preserve"> </w:t>
      </w:r>
      <w:r w:rsidRPr="00591650">
        <w:t xml:space="preserve">performed by Laland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commentRangeEnd w:id="77"/>
      <w:r w:rsidR="00B27673">
        <w:rPr>
          <w:rStyle w:val="CommentReference"/>
          <w:rFonts w:ascii="Times New Roman" w:eastAsia="Times New Roman" w:hAnsi="Times New Roman" w:cs="Times New Roman"/>
          <w:kern w:val="0"/>
          <w14:ligatures w14:val="none"/>
        </w:rPr>
        <w:commentReference w:id="77"/>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t xml:space="preserve">the </w:t>
      </w:r>
      <w:r w:rsidR="00F83789">
        <w:t>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between the true and estimated parameter value is 0.0068 and 0.0025 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xml:space="preserve">, respectively.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2B769CA4"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F04747">
        <w:rPr>
          <w:rFonts w:eastAsiaTheme="minorEastAsia"/>
        </w:rPr>
        <w:t>estimation method's true coverage</w:t>
      </w:r>
      <w:r>
        <w:rPr>
          <w:rFonts w:eastAsiaTheme="minorEastAsia"/>
        </w:rPr>
        <w:t xml:space="preserve">,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sidR="00F04747">
        <w:rPr>
          <w:rFonts w:eastAsiaTheme="minorEastAsia"/>
        </w:rPr>
        <w:t xml:space="preserve"> (</w:t>
      </w:r>
      <w:r>
        <w:rPr>
          <w:rFonts w:eastAsiaTheme="minorEastAsia"/>
        </w:rPr>
        <w:t>CI</w:t>
      </w:r>
      <w:r w:rsidR="00F04747">
        <w:rPr>
          <w:rFonts w:eastAsiaTheme="minorEastAsia"/>
        </w:rPr>
        <w:t>)</w:t>
      </w:r>
      <w:r>
        <w:rPr>
          <w:rFonts w:eastAsiaTheme="minorEastAsia"/>
        </w:rPr>
        <w:t xml:space="preserve">; </w:t>
      </w:r>
      <w:commentRangeStart w:id="78"/>
      <w:r>
        <w:rPr>
          <w:rFonts w:eastAsiaTheme="minorEastAsia"/>
        </w:rPr>
        <w:t xml:space="preserve">that is, for </w:t>
      </w:r>
      <w:r w:rsidR="003A6842">
        <w:rPr>
          <w:rFonts w:eastAsiaTheme="minorEastAsia"/>
        </w:rPr>
        <w:t xml:space="preserve">a CI </w:t>
      </w:r>
      <w:r>
        <w:rPr>
          <w:rFonts w:eastAsiaTheme="minorEastAsia"/>
        </w:rPr>
        <w:t xml:space="preserve">with </w:t>
      </w:r>
      <w:r w:rsidR="00F04747">
        <w:rPr>
          <w:rFonts w:eastAsiaTheme="minorEastAsia"/>
        </w:rPr>
        <w:t xml:space="preserve">a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commentRangeEnd w:id="78"/>
      <w:r w:rsidR="00D168D7">
        <w:rPr>
          <w:rStyle w:val="CommentReference"/>
          <w:rFonts w:ascii="Times New Roman" w:eastAsia="Times New Roman" w:hAnsi="Times New Roman" w:cs="Times New Roman"/>
          <w:kern w:val="0"/>
          <w14:ligatures w14:val="none"/>
        </w:rPr>
        <w:commentReference w:id="78"/>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3542505C"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generating 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sidR="000C5E5A">
        <w:rPr>
          <w:rFonts w:eastAsiaTheme="minorEastAsia"/>
        </w:rPr>
        <w:t>of the</w:t>
      </w:r>
      <w:r>
        <w:rPr>
          <w:rFonts w:eastAsiaTheme="minorEastAsia"/>
        </w:rPr>
        <w:t xml:space="preserve">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6872D48B" w:rsidR="00490431" w:rsidRDefault="00EE6EE1" w:rsidP="003A6842">
      <w:pPr>
        <w:rPr>
          <w:rFonts w:eastAsiaTheme="minorEastAsia"/>
        </w:rPr>
      </w:pPr>
      <w:commentRangeStart w:id="79"/>
      <w:r>
        <w:rPr>
          <w:rFonts w:eastAsiaTheme="minorEastAsia"/>
        </w:rPr>
        <w:t xml:space="preserve">To correct the </w:t>
      </w:r>
      <w:r w:rsidR="00526056">
        <w:rPr>
          <w:rFonts w:eastAsiaTheme="minorEastAsia"/>
        </w:rPr>
        <w:t>estimat</w:t>
      </w:r>
      <w:r>
        <w:rPr>
          <w:rFonts w:eastAsiaTheme="minorEastAsia"/>
        </w:rPr>
        <w:t xml:space="preserve">ion bias, we </w:t>
      </w:r>
      <w:r w:rsidR="008A146E">
        <w:rPr>
          <w:rFonts w:eastAsiaTheme="minorEastAsia"/>
        </w:rPr>
        <w:t xml:space="preserve">fitted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sidR="008A146E">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Pr>
          <w:rFonts w:eastAsiaTheme="minorEastAsia"/>
        </w:rPr>
        <w:t xml:space="preserve"> </w:t>
      </w:r>
      <w:r w:rsidR="008A146E">
        <w:rPr>
          <w:rFonts w:eastAsiaTheme="minorEastAsia"/>
        </w:rPr>
        <w:t xml:space="preserve">using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3419C0">
        <w:rPr>
          <w:rFonts w:eastAsiaTheme="minorEastAsia"/>
        </w:rPr>
        <w:t xml:space="preserve">. </w:t>
      </w:r>
      <w:r>
        <w:rPr>
          <w:rFonts w:eastAsiaTheme="minorEastAsia"/>
        </w:rPr>
        <w:t xml:space="preserve">The linear regression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0.0021 and 0.0014,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commentRangeEnd w:id="79"/>
      <w:r w:rsidR="00470032">
        <w:rPr>
          <w:rStyle w:val="CommentReference"/>
          <w:rFonts w:ascii="Times New Roman" w:eastAsia="Times New Roman" w:hAnsi="Times New Roman" w:cs="Times New Roman"/>
          <w:kern w:val="0"/>
          <w14:ligatures w14:val="none"/>
        </w:rPr>
        <w:commentReference w:id="79"/>
      </w:r>
      <w:r w:rsidR="00DD4FDD">
        <w:rPr>
          <w:rFonts w:eastAsiaTheme="minorEastAsia"/>
        </w:rPr>
        <w:t>However</w:t>
      </w:r>
      <w:r w:rsidR="00AC6E35">
        <w:rPr>
          <w:rFonts w:eastAsiaTheme="minorEastAsia"/>
        </w:rPr>
        <w:t>, applying this correction to Laland</w:t>
      </w:r>
      <w:r w:rsidR="00DD4FDD">
        <w:rPr>
          <w:rFonts w:eastAsiaTheme="minorEastAsia"/>
        </w:rPr>
        <w:t xml:space="preserve"> et al.</w:t>
      </w:r>
      <w:r w:rsidR="00AC6E35">
        <w:rPr>
          <w:rFonts w:eastAsiaTheme="minorEastAsia"/>
        </w:rPr>
        <w:t>'s estimates resulted in</w:t>
      </w:r>
      <w:r w:rsidR="00DD4FDD">
        <w:rPr>
          <w:rFonts w:eastAsiaTheme="minorEastAsia"/>
        </w:rPr>
        <w:t xml:space="preserve"> </w:t>
      </w:r>
      <w:commentRangeStart w:id="80"/>
      <w:r w:rsidR="00DD4FDD">
        <w:rPr>
          <w:rFonts w:eastAsiaTheme="minorEastAsia"/>
        </w:rPr>
        <w:t>incorrect</w:t>
      </w:r>
      <w:commentRangeEnd w:id="80"/>
      <w:r w:rsidR="00597455">
        <w:rPr>
          <w:rStyle w:val="CommentReference"/>
          <w:rFonts w:ascii="Times New Roman" w:eastAsia="Times New Roman" w:hAnsi="Times New Roman" w:cs="Times New Roman"/>
          <w:kern w:val="0"/>
          <w14:ligatures w14:val="none"/>
        </w:rPr>
        <w:commentReference w:id="80"/>
      </w:r>
      <w:r w:rsidR="00DD4FDD">
        <w:rPr>
          <w:rFonts w:eastAsiaTheme="minorEastAsia"/>
        </w:rPr>
        <w:t xml:space="preserve">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DD4FDD">
        <w:rPr>
          <w:rFonts w:eastAsiaTheme="minorEastAsia"/>
        </w:rPr>
        <w:t xml:space="preserve">Furthermore, these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F04747">
        <w:rPr>
          <w:rFonts w:eastAsiaTheme="minorEastAsia"/>
        </w:rPr>
        <w:t>. 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 consistently</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42BCECAD"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commentRangeStart w:id="81"/>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commentRangeEnd w:id="81"/>
      <w:r w:rsidR="00C63043">
        <w:rPr>
          <w:rStyle w:val="CommentReference"/>
          <w:rFonts w:ascii="Times New Roman" w:eastAsia="Times New Roman" w:hAnsi="Times New Roman" w:cs="Times New Roman"/>
          <w:kern w:val="0"/>
          <w14:ligatures w14:val="none"/>
        </w:rPr>
        <w:commentReference w:id="81"/>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0.0025 and 0.01,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r w:rsidR="009E5339">
        <w:rPr>
          <w:rFonts w:eastAsiaTheme="minorEastAsia"/>
        </w:rPr>
        <w:t xml:space="preserve"> the </w:t>
      </w:r>
      <w:commentRangeStart w:id="82"/>
      <w:r w:rsidR="009E5339">
        <w:rPr>
          <w:rFonts w:eastAsiaTheme="minorEastAsia"/>
        </w:rPr>
        <w:t>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commentRangeEnd w:id="82"/>
      <w:r w:rsidR="004D5E3D">
        <w:rPr>
          <w:rStyle w:val="CommentReference"/>
          <w:rFonts w:ascii="Times New Roman" w:eastAsia="Times New Roman" w:hAnsi="Times New Roman" w:cs="Times New Roman"/>
          <w:kern w:val="0"/>
          <w14:ligatures w14:val="none"/>
        </w:rPr>
        <w:commentReference w:id="82"/>
      </w:r>
      <w:r w:rsidR="00A820B4">
        <w:rPr>
          <w:rFonts w:eastAsiaTheme="minorEastAsia"/>
        </w:rPr>
        <w:t>.</w:t>
      </w:r>
      <w:r w:rsidR="00BA244D">
        <w:rPr>
          <w:rFonts w:eastAsiaTheme="minorEastAsia"/>
        </w:rPr>
        <w:t xml:space="preserve"> Indeed, in these cases the frequency of right-handed offspring is </w:t>
      </w:r>
      <w:commentRangeStart w:id="83"/>
      <w:r w:rsidR="00BA244D">
        <w:rPr>
          <w:rFonts w:eastAsiaTheme="minorEastAsia"/>
        </w:rPr>
        <w:t>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w:t>
      </w:r>
      <w:commentRangeEnd w:id="83"/>
      <w:r w:rsidR="005A736C">
        <w:rPr>
          <w:rStyle w:val="CommentReference"/>
          <w:rFonts w:ascii="Times New Roman" w:eastAsia="Times New Roman" w:hAnsi="Times New Roman" w:cs="Times New Roman"/>
          <w:kern w:val="0"/>
          <w14:ligatures w14:val="none"/>
        </w:rPr>
        <w:commentReference w:id="83"/>
      </w:r>
      <w:r w:rsidR="00BA244D">
        <w:rPr>
          <w:rFonts w:eastAsiaTheme="minorEastAsia"/>
        </w:rPr>
        <w:t>,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655FB04D" w:rsidR="00911917" w:rsidRPr="00B81546" w:rsidRDefault="00165C5E" w:rsidP="006174A8">
      <w:pPr>
        <w:rPr>
          <w:rFonts w:eastAsiaTheme="minorEastAsia"/>
        </w:rPr>
      </w:pPr>
      <w:r>
        <w:rPr>
          <w:rFonts w:eastAsiaTheme="minorEastAsia"/>
        </w:rPr>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w:t>
      </w:r>
      <w:proofErr w:type="spellStart"/>
      <w:r w:rsidR="00A820B4">
        <w:rPr>
          <w:rFonts w:eastAsiaTheme="minorEastAsia"/>
        </w:rPr>
        <w:t>i</w:t>
      </w:r>
      <w:proofErr w:type="spellEnd"/>
      <w:r w:rsidR="00A820B4">
        <w:rPr>
          <w:rFonts w:eastAsiaTheme="minorEastAsia"/>
        </w:rPr>
        <w:t xml:space="preserve">-ii) </w:t>
      </w:r>
      <w:r w:rsidR="00464F7C">
        <w:rPr>
          <w:rFonts w:eastAsiaTheme="minorEastAsia"/>
        </w:rPr>
        <w:t>d</w:t>
      </w:r>
      <w:r w:rsidR="00A820B4">
        <w:rPr>
          <w:rFonts w:eastAsiaTheme="minorEastAsia"/>
        </w:rPr>
        <w: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Laland et al.’s model to </w:t>
      </w:r>
      <w:r w:rsidRPr="00116963">
        <w:t>include sex differences in parental effects and offspring response (Table</w:t>
      </w:r>
      <w:r w:rsidR="00682358" w:rsidRPr="00116963">
        <w:t> </w:t>
      </w:r>
      <w:r w:rsidRPr="00116963">
        <w:t xml:space="preserve">S11). As in Laland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 xml:space="preserve">V, which has a total of seven </w:t>
      </w:r>
      <w:proofErr w:type="gramStart"/>
      <w:r w:rsidR="00AF0CA8">
        <w:t>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proofErr w:type="gram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4" w:name="_Toc164785475"/>
      <w:bookmarkStart w:id="85" w:name="_Toc171803967"/>
      <w:r w:rsidRPr="00EF21D5">
        <w:rPr>
          <w:highlight w:val="white"/>
        </w:rPr>
        <w:t xml:space="preserve">Key </w:t>
      </w:r>
      <w:r w:rsidRPr="00D86F72">
        <w:rPr>
          <w:highlight w:val="white"/>
        </w:rPr>
        <w:t>findings</w:t>
      </w:r>
      <w:bookmarkEnd w:id="84"/>
      <w:bookmarkEnd w:id="85"/>
    </w:p>
    <w:p w14:paraId="42B483E0" w14:textId="270FFE98" w:rsidR="00D86F72" w:rsidRDefault="00D86F72" w:rsidP="00CB5F62">
      <w:pPr>
        <w:rPr>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58B8F61F" w:rsidR="00FC12ED" w:rsidRPr="00212D3E" w:rsidRDefault="00FC12ED" w:rsidP="00FC12ED">
      <w:r>
        <w:rPr>
          <w:color w:val="000000"/>
        </w:rPr>
        <w:t xml:space="preserve">Finally, we find that Laland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while adjusting for criterion shift, estimating successfully estimates the parameters,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w:t>
      </w:r>
      <w:proofErr w:type="gramStart"/>
      <w:r w:rsidR="00FC12ED">
        <w:rPr>
          <w:color w:val="000000"/>
        </w:rPr>
        <w:t xml:space="preserve">overestimated </w:t>
      </w:r>
      <w:r w:rsidR="00FC12ED" w:rsidRPr="00982F72">
        <w:rPr>
          <w:i/>
          <w:iCs/>
          <w:lang w:val="el-GR"/>
        </w:rPr>
        <w:t>ρ</w:t>
      </w:r>
      <w:r w:rsidR="00FC12ED" w:rsidRPr="00FC12ED">
        <w:t>,</w:t>
      </w:r>
      <w:proofErr w:type="gramEnd"/>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proofErr w:type="gramStart"/>
      <w:r w:rsidR="00783C7E">
        <w:rPr>
          <w:highlight w:val="white"/>
        </w:rPr>
        <w:t>), and</w:t>
      </w:r>
      <w:proofErr w:type="gramEnd"/>
      <w:r w:rsidR="00783C7E">
        <w:rPr>
          <w:highlight w:val="white"/>
        </w:rPr>
        <w:t xml:space="preserve">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r w:rsidR="00D86F72" w:rsidRPr="00457C55">
        <w:rPr>
          <w:i/>
          <w:iCs/>
          <w:color w:val="000000"/>
        </w:rPr>
        <w:t>F(1,14)=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86" w:name="_Toc164785476"/>
      <w:bookmarkStart w:id="87" w:name="_Toc171803968"/>
      <w:r w:rsidRPr="00212D3E">
        <w:rPr>
          <w:highlight w:val="white"/>
        </w:rPr>
        <w:t>Implications</w:t>
      </w:r>
      <w:bookmarkEnd w:id="86"/>
      <w:bookmarkEnd w:id="87"/>
      <w:r w:rsidRPr="00EF21D5">
        <w:rPr>
          <w:highlight w:val="white"/>
        </w:rPr>
        <w:t xml:space="preserve"> </w:t>
      </w:r>
    </w:p>
    <w:p w14:paraId="157AAE6D" w14:textId="07B6FA05"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2CF81BF0" w14:textId="020D6C5C" w:rsidR="0004164F" w:rsidRPr="000D111A" w:rsidRDefault="0004164F" w:rsidP="0004164F">
      <w:pPr>
        <w:pStyle w:val="Heading2"/>
      </w:pPr>
      <w:r>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8" w:name="_Toc164785479"/>
      <w:bookmarkStart w:id="89" w:name="_Toc171803971"/>
      <w:r w:rsidRPr="00EF21D5">
        <w:rPr>
          <w:highlight w:val="white"/>
        </w:rPr>
        <w:t xml:space="preserve">Future </w:t>
      </w:r>
      <w:r w:rsidR="004C3329">
        <w:rPr>
          <w:highlight w:val="white"/>
        </w:rPr>
        <w:t>d</w:t>
      </w:r>
      <w:r w:rsidRPr="00EF21D5">
        <w:rPr>
          <w:highlight w:val="white"/>
        </w:rPr>
        <w:t>irections</w:t>
      </w:r>
      <w:bookmarkEnd w:id="88"/>
      <w:bookmarkEnd w:id="89"/>
      <w:r w:rsidRPr="00EF21D5">
        <w:rPr>
          <w:highlight w:val="white"/>
        </w:rPr>
        <w:t xml:space="preserve"> </w:t>
      </w:r>
    </w:p>
    <w:p w14:paraId="16878370" w14:textId="77EB8F16"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analyze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Pfeifer, L. S., Schmitz, J., 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90" w:name="_Ref171864228"/>
    </w:p>
    <w:p w14:paraId="5691A347" w14:textId="3B06E348" w:rsidR="00FF49A6" w:rsidRDefault="00FF49A6" w:rsidP="00FF49A6">
      <w:bookmarkStart w:id="91"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90"/>
      <w:bookmarkEnd w:id="91"/>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92"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92"/>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7CA0FC37" w14:textId="77777777" w:rsidR="009C3726" w:rsidRDefault="00762D70" w:rsidP="00E4007C">
      <w:pPr>
        <w:keepNext/>
        <w:spacing w:before="0"/>
        <w:rPr>
          <w:noProof/>
        </w:rPr>
      </w:pPr>
      <w:r w:rsidRPr="00762D70">
        <w:rPr>
          <w:noProof/>
        </w:rPr>
        <w:t xml:space="preserve"> </w:t>
      </w:r>
      <w:bookmarkStart w:id="93"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20"/>
                    <a:stretch>
                      <a:fillRect/>
                    </a:stretch>
                  </pic:blipFill>
                  <pic:spPr>
                    <a:xfrm>
                      <a:off x="0" y="0"/>
                      <a:ext cx="5943600" cy="3333750"/>
                    </a:xfrm>
                    <a:prstGeom prst="rect">
                      <a:avLst/>
                    </a:prstGeom>
                  </pic:spPr>
                </pic:pic>
              </a:graphicData>
            </a:graphic>
          </wp:inline>
        </w:drawing>
      </w:r>
    </w:p>
    <w:p w14:paraId="220B6CDC" w14:textId="6338299B" w:rsidR="00C81739" w:rsidRPr="00E4007C" w:rsidRDefault="00192F32" w:rsidP="00E4007C">
      <w:pPr>
        <w:keepNext/>
        <w:spacing w:before="0"/>
        <w:rPr>
          <w:b/>
          <w:bCs/>
        </w:rPr>
      </w:pPr>
      <w:r w:rsidRPr="00E4007C">
        <w:rPr>
          <w:rFonts w:eastAsiaTheme="minorEastAsia"/>
          <w:b/>
          <w:bCs/>
        </w:rPr>
        <w:t xml:space="preserve">Figure </w:t>
      </w:r>
      <w:r w:rsidRPr="00E4007C">
        <w:rPr>
          <w:rFonts w:eastAsiaTheme="minorEastAsia"/>
          <w:b/>
          <w:bCs/>
          <w:i/>
          <w:iCs/>
        </w:rPr>
        <w:fldChar w:fldCharType="begin"/>
      </w:r>
      <w:r w:rsidRPr="00E4007C">
        <w:rPr>
          <w:rFonts w:eastAsiaTheme="minorEastAsia"/>
          <w:b/>
          <w:bCs/>
        </w:rPr>
        <w:instrText xml:space="preserve"> SEQ Figure \* ARABIC </w:instrText>
      </w:r>
      <w:r w:rsidRPr="00E4007C">
        <w:rPr>
          <w:rFonts w:eastAsiaTheme="minorEastAsia"/>
          <w:b/>
          <w:bCs/>
          <w:i/>
          <w:iCs/>
        </w:rPr>
        <w:fldChar w:fldCharType="separate"/>
      </w:r>
      <w:r w:rsidR="00557A93" w:rsidRPr="00E4007C">
        <w:rPr>
          <w:rFonts w:eastAsiaTheme="minorEastAsia"/>
          <w:b/>
          <w:bCs/>
          <w:noProof/>
        </w:rPr>
        <w:t>3</w:t>
      </w:r>
      <w:r w:rsidRPr="00E4007C">
        <w:rPr>
          <w:rFonts w:eastAsiaTheme="minorEastAsia"/>
          <w:b/>
          <w:bCs/>
          <w:i/>
          <w:iCs/>
        </w:rPr>
        <w:fldChar w:fldCharType="end"/>
      </w:r>
      <w:bookmarkEnd w:id="93"/>
      <w:r w:rsidRPr="00E4007C">
        <w:rPr>
          <w:b/>
          <w:bCs/>
        </w:rPr>
        <w:t xml:space="preserve">. </w:t>
      </w:r>
      <w:bookmarkStart w:id="94" w:name="_Hlk186641856"/>
      <w:r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Laland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Pr="00E4007C">
        <w:t>he rate at which the true parameter value</w:t>
      </w:r>
      <w:r w:rsidR="000F538A" w:rsidRPr="00E4007C">
        <w:t xml:space="preserve"> </w:t>
      </w:r>
      <w:r w:rsidRPr="00E4007C">
        <w:t xml:space="preserve">falls within the estimated confidence interval </w:t>
      </w:r>
      <w:r w:rsidR="005B02CF" w:rsidRPr="00E4007C">
        <w:t xml:space="preserve">at a given confidence level (higher is confidence level gives a wider confidence interval). Confidence interval computed by non-parametric </w:t>
      </w:r>
      <w:r w:rsidR="00801280" w:rsidRPr="00E4007C">
        <w:t>bootstrap</w:t>
      </w:r>
      <w:r w:rsidR="005B02CF" w:rsidRPr="00E4007C">
        <w:t xml:space="preserve"> with 200 resamples</w:t>
      </w:r>
      <w:r w:rsidR="00801280" w:rsidRPr="00E4007C">
        <w:t>.</w:t>
      </w:r>
      <w:bookmarkEnd w:id="94"/>
      <w:r w:rsidRPr="00E4007C">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t>Tables</w:t>
      </w:r>
      <w:bookmarkStart w:id="95" w:name="_Toc161849383"/>
      <w:bookmarkStart w:id="96" w:name="_Toc162276022"/>
      <w:bookmarkStart w:id="97" w:name="_Toc171803984"/>
    </w:p>
    <w:p w14:paraId="31F0EDE2" w14:textId="7266C48C" w:rsidR="003A3147" w:rsidRPr="00EE129F" w:rsidRDefault="003A3147" w:rsidP="007C6C76">
      <w:bookmarkStart w:id="98"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8"/>
      <w:r w:rsidRPr="00EE129F">
        <w:rPr>
          <w:b/>
          <w:bCs/>
        </w:rPr>
        <w:t xml:space="preserve">. </w:t>
      </w:r>
      <w:bookmarkStart w:id="99"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9"/>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5"/>
      <w:bookmarkEnd w:id="96"/>
      <w:bookmarkEnd w:id="97"/>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100" w:name="_Ref172122949"/>
      <w:r w:rsidRPr="00EE129F">
        <w:rPr>
          <w:rFonts w:asciiTheme="minorHAnsi" w:eastAsia="Calibri" w:hAnsiTheme="minorHAnsi" w:cstheme="majorBidi"/>
          <w:b/>
          <w:bCs/>
          <w:i w:val="0"/>
          <w:iCs w:val="0"/>
          <w:color w:val="auto"/>
          <w:kern w:val="2"/>
          <w:sz w:val="24"/>
          <w:szCs w:val="24"/>
          <w14:ligatures w14:val="standardContextual"/>
        </w:rPr>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100"/>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Chaurasia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w:t>
      </w:r>
      <w:proofErr w:type="gramStart"/>
      <w:r w:rsidR="00215555">
        <w:t xml:space="preserve">parameters (# </w:t>
      </w:r>
      <w:proofErr w:type="gramEnd"/>
      <w:r w:rsidR="00215555">
        <w:t>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101" w:name="bookmark=id.46r0co2" w:colFirst="0" w:colLast="0"/>
      <w:bookmarkEnd w:id="101"/>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5" w:author="chloe shiff" w:date="2025-01-13T16:19:00Z" w:initials="CS">
    <w:p w14:paraId="20889885" w14:textId="77777777" w:rsidR="00A6036D" w:rsidRDefault="00A6036D" w:rsidP="00A6036D">
      <w:pPr>
        <w:pStyle w:val="CommentText"/>
        <w:jc w:val="left"/>
      </w:pPr>
      <w:r>
        <w:rPr>
          <w:rStyle w:val="CommentReference"/>
        </w:rPr>
        <w:annotationRef/>
      </w:r>
      <w:r>
        <w:t>Why this distribution in particular? E.g., are the numbers of families in the datasets we look at distributed uniformly in this range?</w:t>
      </w:r>
    </w:p>
  </w:comment>
  <w:comment w:id="46" w:author="chloe shiff" w:date="2025-01-13T16:19:00Z" w:initials="CS">
    <w:p w14:paraId="58D4A7D8" w14:textId="77777777" w:rsidR="00ED276E" w:rsidRDefault="00ED276E" w:rsidP="00ED276E">
      <w:pPr>
        <w:pStyle w:val="CommentText"/>
        <w:jc w:val="left"/>
      </w:pPr>
      <w:r>
        <w:rPr>
          <w:rStyle w:val="CommentReference"/>
        </w:rPr>
        <w:annotationRef/>
      </w:r>
      <w:r>
        <w:t>Again, why this distribution?</w:t>
      </w:r>
    </w:p>
  </w:comment>
  <w:comment w:id="77" w:author="chloe shiff" w:date="2025-01-13T16:15:00Z" w:initials="CS">
    <w:p w14:paraId="5FD32D15" w14:textId="78A24412" w:rsidR="00B27673" w:rsidRDefault="00B27673" w:rsidP="00B27673">
      <w:pPr>
        <w:pStyle w:val="CommentText"/>
        <w:jc w:val="left"/>
      </w:pPr>
      <w:r>
        <w:rPr>
          <w:rStyle w:val="CommentReference"/>
        </w:rPr>
        <w:annotationRef/>
      </w:r>
      <w:r>
        <w:t>This sentence doesn’t make sense, maybe there are a few words missing?</w:t>
      </w:r>
    </w:p>
  </w:comment>
  <w:comment w:id="78" w:author="chloe shiff" w:date="2025-01-13T16:14:00Z" w:initials="CS">
    <w:p w14:paraId="3CDACB11" w14:textId="34725DB9" w:rsidR="00D168D7" w:rsidRDefault="00D168D7" w:rsidP="00D168D7">
      <w:pPr>
        <w:pStyle w:val="CommentText"/>
        <w:jc w:val="left"/>
      </w:pPr>
      <w:r>
        <w:rPr>
          <w:rStyle w:val="CommentReference"/>
        </w:rPr>
        <w:annotationRef/>
      </w:r>
      <w:r>
        <w:t>I don’t think we need to define what a confidence interval is</w:t>
      </w:r>
    </w:p>
  </w:comment>
  <w:comment w:id="79" w:author="chloe shiff" w:date="2025-01-13T17:31:00Z" w:initials="CS">
    <w:p w14:paraId="3B3E7977" w14:textId="77777777" w:rsidR="00470032" w:rsidRDefault="00470032" w:rsidP="00470032">
      <w:pPr>
        <w:pStyle w:val="CommentText"/>
        <w:jc w:val="left"/>
      </w:pPr>
      <w:r>
        <w:rPr>
          <w:rStyle w:val="CommentReference"/>
        </w:rPr>
        <w:annotationRef/>
      </w:r>
      <w:r>
        <w:t>Can you explain how you got alpha and rho from the estimation using linear regression? Are you using the estimation results from the process using scenario B described under “estimation accuracy”?</w:t>
      </w:r>
    </w:p>
  </w:comment>
  <w:comment w:id="80" w:author="chloe shiff" w:date="2025-01-13T17:27:00Z" w:initials="CS">
    <w:p w14:paraId="65DA62E2" w14:textId="78AAEB5A" w:rsidR="00597455" w:rsidRDefault="00597455" w:rsidP="00597455">
      <w:pPr>
        <w:pStyle w:val="CommentText"/>
        <w:jc w:val="left"/>
      </w:pPr>
      <w:r>
        <w:rPr>
          <w:rStyle w:val="CommentReference"/>
        </w:rPr>
        <w:annotationRef/>
      </w:r>
      <w:r>
        <w:t>“incorrect” is kind of a tricky word to describe estimates, maybe change this</w:t>
      </w:r>
    </w:p>
  </w:comment>
  <w:comment w:id="81" w:author="chloe shiff" w:date="2025-01-13T16:08:00Z" w:initials="CS">
    <w:p w14:paraId="285BF01C" w14:textId="77777777" w:rsidR="00A81F44" w:rsidRDefault="00C63043" w:rsidP="00A81F44">
      <w:pPr>
        <w:pStyle w:val="CommentText"/>
        <w:jc w:val="left"/>
      </w:pPr>
      <w:r>
        <w:rPr>
          <w:rStyle w:val="CommentReference"/>
        </w:rPr>
        <w:annotationRef/>
      </w:r>
      <w:r w:rsidR="00A81F44">
        <w:t>Note that this is compared to the estimation procedure from estimation B. I was at first confused because comparing it to the linear regression, the mse for alpha is higher</w:t>
      </w:r>
    </w:p>
  </w:comment>
  <w:comment w:id="82" w:author="chloe shiff" w:date="2025-01-13T16:17:00Z" w:initials="CS">
    <w:p w14:paraId="1C4A0456" w14:textId="223896D6" w:rsidR="004D5E3D" w:rsidRDefault="004D5E3D" w:rsidP="004D5E3D">
      <w:pPr>
        <w:pStyle w:val="CommentText"/>
        <w:jc w:val="left"/>
      </w:pPr>
      <w:r>
        <w:rPr>
          <w:rStyle w:val="CommentReference"/>
        </w:rPr>
        <w:annotationRef/>
      </w:r>
      <w:r>
        <w:t>I think we could be more clear about what we mean by “low” or “close to”</w:t>
      </w:r>
    </w:p>
  </w:comment>
  <w:comment w:id="83" w:author="chloe shiff" w:date="2025-01-13T16:16:00Z" w:initials="CS">
    <w:p w14:paraId="5040F871" w14:textId="1BEE974F" w:rsidR="005A736C" w:rsidRDefault="005A736C" w:rsidP="005A736C">
      <w:pPr>
        <w:pStyle w:val="CommentText"/>
        <w:jc w:val="left"/>
      </w:pPr>
      <w:r>
        <w:rPr>
          <w:rStyle w:val="CommentReference"/>
        </w:rPr>
        <w:annotationRef/>
      </w:r>
      <w:r>
        <w:t>I don’t think it is super clear what this ‘respectively’ is referring 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889885" w15:done="0"/>
  <w15:commentEx w15:paraId="58D4A7D8" w15:done="0"/>
  <w15:commentEx w15:paraId="5FD32D15" w15:done="0"/>
  <w15:commentEx w15:paraId="3CDACB11" w15:done="0"/>
  <w15:commentEx w15:paraId="3B3E7977" w15:done="0"/>
  <w15:commentEx w15:paraId="65DA62E2" w15:done="0"/>
  <w15:commentEx w15:paraId="285BF01C" w15:done="0"/>
  <w15:commentEx w15:paraId="1C4A0456" w15:done="0"/>
  <w15:commentEx w15:paraId="5040F8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8460C3" w16cex:dateUtc="2025-01-14T00:19:00Z"/>
  <w16cex:commentExtensible w16cex:durableId="2B3EB7D4" w16cex:dateUtc="2025-01-14T00:19:00Z"/>
  <w16cex:commentExtensible w16cex:durableId="7EC6B8F2" w16cex:dateUtc="2025-01-14T00:15:00Z"/>
  <w16cex:commentExtensible w16cex:durableId="4FB91DF6" w16cex:dateUtc="2025-01-14T00:14:00Z"/>
  <w16cex:commentExtensible w16cex:durableId="09076D1C" w16cex:dateUtc="2025-01-14T01:31:00Z"/>
  <w16cex:commentExtensible w16cex:durableId="3D0B78A8" w16cex:dateUtc="2025-01-14T01:27:00Z"/>
  <w16cex:commentExtensible w16cex:durableId="3A14D52A" w16cex:dateUtc="2025-01-14T00:08:00Z"/>
  <w16cex:commentExtensible w16cex:durableId="41C06840" w16cex:dateUtc="2025-01-14T00:17:00Z"/>
  <w16cex:commentExtensible w16cex:durableId="4FF8FA48" w16cex:dateUtc="2025-01-14T0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889885" w16cid:durableId="0A8460C3"/>
  <w16cid:commentId w16cid:paraId="58D4A7D8" w16cid:durableId="2B3EB7D4"/>
  <w16cid:commentId w16cid:paraId="5FD32D15" w16cid:durableId="7EC6B8F2"/>
  <w16cid:commentId w16cid:paraId="3CDACB11" w16cid:durableId="4FB91DF6"/>
  <w16cid:commentId w16cid:paraId="3B3E7977" w16cid:durableId="09076D1C"/>
  <w16cid:commentId w16cid:paraId="65DA62E2" w16cid:durableId="3D0B78A8"/>
  <w16cid:commentId w16cid:paraId="285BF01C" w16cid:durableId="3A14D52A"/>
  <w16cid:commentId w16cid:paraId="1C4A0456" w16cid:durableId="41C06840"/>
  <w16cid:commentId w16cid:paraId="5040F871" w16cid:durableId="4FF8FA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97EC6" w14:textId="77777777" w:rsidR="00E7359A" w:rsidRDefault="00E7359A" w:rsidP="00CB5F62">
      <w:r>
        <w:separator/>
      </w:r>
    </w:p>
  </w:endnote>
  <w:endnote w:type="continuationSeparator" w:id="0">
    <w:p w14:paraId="73374032" w14:textId="77777777" w:rsidR="00E7359A" w:rsidRDefault="00E7359A"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3E9C4" w14:textId="77777777" w:rsidR="00E7359A" w:rsidRDefault="00E7359A" w:rsidP="00CB5F62">
      <w:r>
        <w:separator/>
      </w:r>
    </w:p>
  </w:footnote>
  <w:footnote w:type="continuationSeparator" w:id="0">
    <w:p w14:paraId="46F777BC" w14:textId="77777777" w:rsidR="00E7359A" w:rsidRDefault="00E7359A"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3DC4"/>
    <w:rsid w:val="000C5E5A"/>
    <w:rsid w:val="000C6B4A"/>
    <w:rsid w:val="000D0202"/>
    <w:rsid w:val="000D4D05"/>
    <w:rsid w:val="000E4957"/>
    <w:rsid w:val="000F152E"/>
    <w:rsid w:val="000F4F9F"/>
    <w:rsid w:val="000F538A"/>
    <w:rsid w:val="001032E3"/>
    <w:rsid w:val="00106BAC"/>
    <w:rsid w:val="00110086"/>
    <w:rsid w:val="0011323B"/>
    <w:rsid w:val="00116963"/>
    <w:rsid w:val="00116A4F"/>
    <w:rsid w:val="00120641"/>
    <w:rsid w:val="001256AF"/>
    <w:rsid w:val="00131CE5"/>
    <w:rsid w:val="00133108"/>
    <w:rsid w:val="00143D85"/>
    <w:rsid w:val="0014758F"/>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A755E"/>
    <w:rsid w:val="002B61A0"/>
    <w:rsid w:val="002C5610"/>
    <w:rsid w:val="002C58FF"/>
    <w:rsid w:val="002C70F8"/>
    <w:rsid w:val="002C7524"/>
    <w:rsid w:val="002C7C69"/>
    <w:rsid w:val="002D7ADE"/>
    <w:rsid w:val="002D7FCD"/>
    <w:rsid w:val="002E3CDD"/>
    <w:rsid w:val="002E43F4"/>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5E7"/>
    <w:rsid w:val="00436171"/>
    <w:rsid w:val="00436EE1"/>
    <w:rsid w:val="00442A52"/>
    <w:rsid w:val="00445A97"/>
    <w:rsid w:val="00457C55"/>
    <w:rsid w:val="00461231"/>
    <w:rsid w:val="00464F7C"/>
    <w:rsid w:val="00467837"/>
    <w:rsid w:val="00470032"/>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C747A"/>
    <w:rsid w:val="004D2332"/>
    <w:rsid w:val="004D280C"/>
    <w:rsid w:val="004D545F"/>
    <w:rsid w:val="004D59C4"/>
    <w:rsid w:val="004D5E3D"/>
    <w:rsid w:val="004D6888"/>
    <w:rsid w:val="004E1101"/>
    <w:rsid w:val="004E3278"/>
    <w:rsid w:val="004E5BEE"/>
    <w:rsid w:val="004E5DFA"/>
    <w:rsid w:val="004E5F50"/>
    <w:rsid w:val="004F2A58"/>
    <w:rsid w:val="004F64AE"/>
    <w:rsid w:val="004F7551"/>
    <w:rsid w:val="004F7DAC"/>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97455"/>
    <w:rsid w:val="005A0339"/>
    <w:rsid w:val="005A736C"/>
    <w:rsid w:val="005B02CF"/>
    <w:rsid w:val="005B2840"/>
    <w:rsid w:val="005B5F4B"/>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32EB"/>
    <w:rsid w:val="00641042"/>
    <w:rsid w:val="006411B0"/>
    <w:rsid w:val="0065188E"/>
    <w:rsid w:val="00656B97"/>
    <w:rsid w:val="0066505A"/>
    <w:rsid w:val="00665B9F"/>
    <w:rsid w:val="006700D9"/>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A2E56"/>
    <w:rsid w:val="007B541B"/>
    <w:rsid w:val="007B729F"/>
    <w:rsid w:val="007C6C76"/>
    <w:rsid w:val="007C7052"/>
    <w:rsid w:val="007C7D30"/>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D5D"/>
    <w:rsid w:val="008B03CD"/>
    <w:rsid w:val="008B1E2F"/>
    <w:rsid w:val="008B3851"/>
    <w:rsid w:val="008B4292"/>
    <w:rsid w:val="008C1425"/>
    <w:rsid w:val="008D2B96"/>
    <w:rsid w:val="008D3A3B"/>
    <w:rsid w:val="008D523C"/>
    <w:rsid w:val="008E05EC"/>
    <w:rsid w:val="008F5978"/>
    <w:rsid w:val="008F6AED"/>
    <w:rsid w:val="009004BE"/>
    <w:rsid w:val="00900AD9"/>
    <w:rsid w:val="0090203B"/>
    <w:rsid w:val="00903101"/>
    <w:rsid w:val="00911917"/>
    <w:rsid w:val="0091207E"/>
    <w:rsid w:val="00914565"/>
    <w:rsid w:val="009159F6"/>
    <w:rsid w:val="0091718D"/>
    <w:rsid w:val="00923B02"/>
    <w:rsid w:val="00924B9A"/>
    <w:rsid w:val="0093345C"/>
    <w:rsid w:val="0093705C"/>
    <w:rsid w:val="009411D6"/>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C25AF"/>
    <w:rsid w:val="009C3726"/>
    <w:rsid w:val="009C416C"/>
    <w:rsid w:val="009C55A4"/>
    <w:rsid w:val="009C573E"/>
    <w:rsid w:val="009D2278"/>
    <w:rsid w:val="009D49C9"/>
    <w:rsid w:val="009D50C9"/>
    <w:rsid w:val="009D6992"/>
    <w:rsid w:val="009D73F0"/>
    <w:rsid w:val="009E25A1"/>
    <w:rsid w:val="009E3B93"/>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6036D"/>
    <w:rsid w:val="00A75332"/>
    <w:rsid w:val="00A81595"/>
    <w:rsid w:val="00A81F44"/>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27673"/>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6BB0"/>
    <w:rsid w:val="00BA7D74"/>
    <w:rsid w:val="00BB0FB1"/>
    <w:rsid w:val="00BB1F82"/>
    <w:rsid w:val="00BB585F"/>
    <w:rsid w:val="00BC1713"/>
    <w:rsid w:val="00BC3293"/>
    <w:rsid w:val="00BC7FBD"/>
    <w:rsid w:val="00BD2C50"/>
    <w:rsid w:val="00BD322F"/>
    <w:rsid w:val="00BD4FE1"/>
    <w:rsid w:val="00BE1CAF"/>
    <w:rsid w:val="00BE251C"/>
    <w:rsid w:val="00BE27E7"/>
    <w:rsid w:val="00BE4D04"/>
    <w:rsid w:val="00BE647C"/>
    <w:rsid w:val="00BE74DC"/>
    <w:rsid w:val="00BF53D2"/>
    <w:rsid w:val="00BF72F7"/>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63043"/>
    <w:rsid w:val="00C70517"/>
    <w:rsid w:val="00C73AD2"/>
    <w:rsid w:val="00C74489"/>
    <w:rsid w:val="00C7721E"/>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3CFD"/>
    <w:rsid w:val="00D14557"/>
    <w:rsid w:val="00D168D7"/>
    <w:rsid w:val="00D175F4"/>
    <w:rsid w:val="00D22385"/>
    <w:rsid w:val="00D223D2"/>
    <w:rsid w:val="00D2689A"/>
    <w:rsid w:val="00D278F6"/>
    <w:rsid w:val="00D3339E"/>
    <w:rsid w:val="00D34D79"/>
    <w:rsid w:val="00D40829"/>
    <w:rsid w:val="00D412FB"/>
    <w:rsid w:val="00D46AF5"/>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4C72"/>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6191"/>
    <w:rsid w:val="00E31C00"/>
    <w:rsid w:val="00E4007C"/>
    <w:rsid w:val="00E4244B"/>
    <w:rsid w:val="00E443D2"/>
    <w:rsid w:val="00E455B1"/>
    <w:rsid w:val="00E4684E"/>
    <w:rsid w:val="00E46DB0"/>
    <w:rsid w:val="00E4714F"/>
    <w:rsid w:val="00E47279"/>
    <w:rsid w:val="00E51CC1"/>
    <w:rsid w:val="00E65450"/>
    <w:rsid w:val="00E7359A"/>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276E"/>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30BF3"/>
    <w:rsid w:val="00F371E2"/>
    <w:rsid w:val="00F41455"/>
    <w:rsid w:val="00F44FD5"/>
    <w:rsid w:val="00F53B4E"/>
    <w:rsid w:val="00F549AD"/>
    <w:rsid w:val="00F564CA"/>
    <w:rsid w:val="00F61E3B"/>
    <w:rsid w:val="00F64502"/>
    <w:rsid w:val="00F66781"/>
    <w:rsid w:val="00F6701A"/>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857"/>
    <w:rsid w:val="00FD2F8B"/>
    <w:rsid w:val="00FD4569"/>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Pages>
  <Words>13456</Words>
  <Characters>76702</Characters>
  <Application>Microsoft Office Word</Application>
  <DocSecurity>0</DocSecurity>
  <Lines>639</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Chloe Shiff</cp:lastModifiedBy>
  <cp:revision>16</cp:revision>
  <cp:lastPrinted>2024-11-27T12:29:00Z</cp:lastPrinted>
  <dcterms:created xsi:type="dcterms:W3CDTF">2025-01-14T00:06:00Z</dcterms:created>
  <dcterms:modified xsi:type="dcterms:W3CDTF">2025-01-14T01:31:00Z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