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2014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Stress-induced mutagenesis breaks the trade-off between adaptability and adaptedness.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6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7">
        <w:r>
          <w:rPr>
            <w:rStyle w:val="Link"/>
          </w:rPr>
          <w:t xml:space="preserve">10.1111/j.1558-5646.2012.01576.x</w:t>
        </w:r>
      </w:hyperlink>
    </w:p>
    <w:bookmarkStart w:id="28" w:name="presentations"/>
    <w:p>
      <w:pPr>
        <w:pStyle w:val="Heading2"/>
      </w:pPr>
      <w:r>
        <w:t xml:space="preserve">Presentations</w:t>
      </w:r>
    </w:p>
    <w:bookmarkEnd w:id="28"/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Seminar presentation at the Pupko Lab at Tel-Aviv University, November</w:t>
      </w:r>
    </w:p>
    <w:p>
      <w:pPr>
        <w:pStyle w:val="Definition"/>
      </w:pPr>
      <w:r>
        <w:t xml:space="preserve">Seminar presentation at the Philisophy of Biology Group at the Humanities Faculty, Tel-Aviv University, October</w:t>
      </w:r>
    </w:p>
    <w:p>
      <w:pPr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9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June.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9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December.</w:t>
      </w:r>
    </w:p>
    <w:p>
      <w:pPr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0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1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2" w:name="awards"/>
    <w:p>
      <w:pPr>
        <w:pStyle w:val="Heading2"/>
      </w:pPr>
      <w:r>
        <w:t xml:space="preserve">Awards</w:t>
      </w:r>
    </w:p>
    <w:bookmarkEnd w:id="32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from the Life-Science faculty, Tel-Aviv University.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3" w:name="peer-reviews"/>
    <w:p>
      <w:pPr>
        <w:pStyle w:val="Heading2"/>
      </w:pPr>
      <w:r>
        <w:t xml:space="preserve">Peer-Reviews</w:t>
      </w:r>
    </w:p>
    <w:bookmarkEnd w:id="33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4" w:name="teaching"/>
    <w:p>
      <w:pPr>
        <w:pStyle w:val="Heading2"/>
      </w:pPr>
      <w:r>
        <w:t xml:space="preserve">Teaching</w:t>
      </w:r>
    </w:p>
    <w:bookmarkEnd w:id="34"/>
    <w:p>
      <w:pPr>
        <w:pStyle w:val="DefinitionTerm"/>
      </w:pPr>
      <w:r>
        <w:t xml:space="preserve">Fall 2013</w:t>
      </w:r>
    </w:p>
    <w:p>
      <w:pPr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Definition"/>
      </w:pPr>
      <w:r>
        <w:t xml:space="preserve">Gentle Introduction to Programming (preparation course for 1st year CS students)</w:t>
      </w:r>
    </w:p>
    <w:p>
      <w:pPr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5" w:name="conferences"/>
    <w:p>
      <w:pPr>
        <w:pStyle w:val="Heading2"/>
      </w:pPr>
      <w:r>
        <w:t xml:space="preserve">Conferences</w:t>
      </w:r>
    </w:p>
    <w:bookmarkEnd w:id="35"/>
    <w:p>
      <w:pPr>
        <w:pStyle w:val="DefinitionTerm"/>
      </w:pPr>
      <w:r>
        <w:t xml:space="preserve">2014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6" w:name="public-outreach"/>
    <w:p>
      <w:pPr>
        <w:pStyle w:val="Heading2"/>
      </w:pPr>
      <w:r>
        <w:t xml:space="preserve">Public Outreach</w:t>
      </w:r>
    </w:p>
    <w:bookmarkEnd w:id="36"/>
    <w:bookmarkStart w:id="37" w:name="publications-1"/>
    <w:p>
      <w:pPr>
        <w:pStyle w:val="Heading3"/>
      </w:pPr>
      <w:r>
        <w:t xml:space="preserve">Publications</w:t>
      </w:r>
    </w:p>
    <w:bookmarkEnd w:id="37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8" w:name="presentations-1"/>
    <w:p>
      <w:pPr>
        <w:pStyle w:val="Heading3"/>
      </w:pPr>
      <w:r>
        <w:t xml:space="preserve">Presentations</w:t>
      </w:r>
    </w:p>
    <w:bookmarkEnd w:id="38"/>
    <w:p>
      <w:pPr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33913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ce7b3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