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Upcoming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12.</w:t>
      </w:r>
    </w:p>
    <w:p>
      <w:pPr>
        <w:pStyle w:val="Compact"/>
        <w:pStyle w:val="Definition"/>
      </w:pPr>
      <w:r>
        <w:rPr>
          <w:i/>
        </w:rPr>
        <w:t xml:space="preserve">Models of Mutation Rate Evolution</w:t>
      </w:r>
      <w:r>
        <w:t xml:space="preserve"> </w:t>
      </w:r>
      <w:r>
        <w:t xml:space="preserve">- Oral presentation at the Quantitivate and Evolutionary Biology Seminar, Tel-Aviv University, March 25.</w:t>
      </w:r>
    </w:p>
    <w:p>
      <w:pPr>
        <w:pStyle w:val="Compact"/>
        <w:pStyle w:val="Definition"/>
      </w:pPr>
      <w:r>
        <w:rPr>
          <w:i/>
        </w:rPr>
        <w:t xml:space="preserve">Using experimental growth curves and simulated competition assays to infer selection coefficients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2015</w:t>
      </w:r>
      <w:r>
        <w:t xml:space="preserve"> </w:t>
      </w:r>
      <w:r>
        <w:t xml:space="preserve">in Lausanne, Switzerland, August 10-14.</w:t>
      </w:r>
    </w:p>
    <w:p>
      <w:pPr>
        <w:pStyle w:val="Compact"/>
        <w:pStyle w:val="Definition"/>
      </w:pPr>
      <w:r>
        <w:rPr>
          <w:i/>
        </w:rPr>
        <w:t xml:space="preserve">Using experimental growth curves and simulated competition assays to infer selection coefficients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 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The 15th Congress of the European Society for Evolutionary Biology</w:t>
      </w:r>
      <w:r>
        <w:t xml:space="preserve"> </w:t>
      </w:r>
      <w:r>
        <w:t xml:space="preserve">(ESEB) in Lausanne, Switzerland,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t xml:space="preserve">Two2Many 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6ceb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8c77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