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2014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3"/>
          <w:ilvl w:val="1"/>
        </w:numPr>
      </w:pPr>
      <w:r>
        <w:t xml:space="preserve">Advisor: Dr. Lilach Hadany</w:t>
      </w:r>
    </w:p>
    <w:p>
      <w:pPr>
        <w:pStyle w:val="Compact"/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2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"/>
          <w:ilvl w:val="0"/>
        </w:numPr>
      </w:pPr>
      <w:r>
        <w:t xml:space="preserve">Theoretical and Computational Biology, Tel-Aviv University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5" w:name="publications"/>
    <w:p>
      <w:pPr>
        <w:pStyle w:val="Heading2"/>
      </w:pPr>
      <w:r>
        <w:t xml:space="preserve">Publications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The probability of improvement in Fisher’s geometric model - a probabilistic approach.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6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7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8">
        <w:r>
          <w:rPr>
            <w:rStyle w:val="Link"/>
          </w:rPr>
          <w:t xml:space="preserve">10.1111/j.1558-5646.2012.01576.x</w:t>
        </w:r>
      </w:hyperlink>
    </w:p>
    <w:bookmarkStart w:id="29" w:name="presentations"/>
    <w:p>
      <w:pPr>
        <w:pStyle w:val="Heading2"/>
      </w:pPr>
      <w:r>
        <w:t xml:space="preserve">Presentations</w:t>
      </w:r>
    </w:p>
    <w:bookmarkEnd w:id="29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0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0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1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2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bookmarkStart w:id="33" w:name="awards"/>
    <w:p>
      <w:pPr>
        <w:pStyle w:val="Heading2"/>
      </w:pPr>
      <w:r>
        <w:t xml:space="preserve">Awards</w:t>
      </w:r>
    </w:p>
    <w:bookmarkEnd w:id="33"/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bookmarkStart w:id="34" w:name="peer-reviews"/>
    <w:p>
      <w:pPr>
        <w:pStyle w:val="Heading2"/>
      </w:pPr>
      <w:r>
        <w:t xml:space="preserve">Peer-Reviews</w:t>
      </w:r>
    </w:p>
    <w:bookmarkEnd w:id="34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bookmarkStart w:id="35" w:name="teaching"/>
    <w:p>
      <w:pPr>
        <w:pStyle w:val="Heading2"/>
      </w:pPr>
      <w:r>
        <w:t xml:space="preserve">Teaching</w:t>
      </w:r>
    </w:p>
    <w:bookmarkEnd w:id="35"/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Programming in Python for Life Science Graduate Students (Teacher)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bookmarkStart w:id="36" w:name="conferences"/>
    <w:p>
      <w:pPr>
        <w:pStyle w:val="Heading2"/>
      </w:pPr>
      <w:r>
        <w:t xml:space="preserve">Conferences</w:t>
      </w:r>
    </w:p>
    <w:bookmarkEnd w:id="36"/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bookmarkStart w:id="37" w:name="public-outreach"/>
    <w:p>
      <w:pPr>
        <w:pStyle w:val="Heading2"/>
      </w:pPr>
      <w:r>
        <w:t xml:space="preserve">Public Outreach</w:t>
      </w:r>
    </w:p>
    <w:bookmarkEnd w:id="37"/>
    <w:bookmarkStart w:id="38" w:name="publications-1"/>
    <w:p>
      <w:pPr>
        <w:pStyle w:val="Heading3"/>
      </w:pPr>
      <w:r>
        <w:t xml:space="preserve">Publications</w:t>
      </w:r>
    </w:p>
    <w:bookmarkEnd w:id="38"/>
    <w:p>
      <w:pPr>
        <w:pStyle w:val="Compact"/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39" w:name="presentations-1"/>
    <w:p>
      <w:pPr>
        <w:pStyle w:val="Heading3"/>
      </w:pPr>
      <w:r>
        <w:t xml:space="preserve">Presentations</w:t>
      </w:r>
    </w:p>
    <w:bookmarkEnd w:id="39"/>
    <w:p>
      <w:pPr>
        <w:pStyle w:val="Compact"/>
        <w:numPr>
          <w:numId w:val="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28b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e34c7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31" Target="http://dx.doi.org/10.6084/m9.figshare.95940" TargetMode="External" /><Relationship Type="http://schemas.openxmlformats.org/officeDocument/2006/relationships/hyperlink" Id="rId30" Target="http://dx.doi.org/10.6084/m9.figshare.96049" TargetMode="External" /><Relationship Type="http://schemas.openxmlformats.org/officeDocument/2006/relationships/hyperlink" Id="rId32" Target="http://f1000.com/posters/browse/summary/2211" TargetMode="External" /><Relationship Type="http://schemas.openxmlformats.org/officeDocument/2006/relationships/hyperlink" Id="rId28" Target="http://onlinelibrary.wiley.com/doi/10.1111/j.1558-5646.2012.01576.x/abstract" TargetMode="External" /><Relationship Type="http://schemas.openxmlformats.org/officeDocument/2006/relationships/hyperlink" Id="rId27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98/rspb.2014.1025" TargetMode="External" /><Relationship Type="http://schemas.openxmlformats.org/officeDocument/2006/relationships/hyperlink" Id="rId31" Target="http://dx.doi.org/10.6084/m9.figshare.95940" TargetMode="External" /><Relationship Type="http://schemas.openxmlformats.org/officeDocument/2006/relationships/hyperlink" Id="rId30" Target="http://dx.doi.org/10.6084/m9.figshare.96049" TargetMode="External" /><Relationship Type="http://schemas.openxmlformats.org/officeDocument/2006/relationships/hyperlink" Id="rId32" Target="http://f1000.com/posters/browse/summary/2211" TargetMode="External" /><Relationship Type="http://schemas.openxmlformats.org/officeDocument/2006/relationships/hyperlink" Id="rId28" Target="http://onlinelibrary.wiley.com/doi/10.1111/j.1558-5646.2012.01576.x/abstract" TargetMode="External" /><Relationship Type="http://schemas.openxmlformats.org/officeDocument/2006/relationships/hyperlink" Id="rId27" Target="http://www.biomedcentral.com/1471-2148/13/125/abstract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