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</w:t>
      </w:r>
      <w:r>
        <w:t xml:space="preserve"> </w:t>
      </w:r>
      <w:r>
        <w:rPr>
          <w:b/>
        </w:rPr>
        <w:t xml:space="preserve">ESEB 2015</w:t>
      </w:r>
      <w:r>
        <w:t xml:space="preserve"> </w:t>
      </w:r>
      <w:r>
        <w:t xml:space="preserve">in Lausanne, Switzerland, August 10-14.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Using experimental growth curves and simulated competition assays to infer selection coefficients</w:t>
      </w:r>
      <w:r>
        <w:t xml:space="preserve"> </w:t>
      </w:r>
      <w:r>
        <w:t xml:space="preserve">- Oral presentation at the Quantitivate and Evolutionary Biology Seminar, Tel-Aviv University, March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12.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 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The 15th Congress of the European Society for Evolutionary Biology</w:t>
      </w:r>
      <w:r>
        <w:t xml:space="preserve"> </w:t>
      </w:r>
      <w:r>
        <w:t xml:space="preserve">(ESEB) in Lausanne, Switzerland,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t xml:space="preserve">Two2Many 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9fe1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7ac0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