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1BFAC3" w14:textId="29FBD134" w:rsidR="0093181D" w:rsidRPr="00D373CC" w:rsidRDefault="00670FC1" w:rsidP="006775F0">
      <w:pPr>
        <w:pStyle w:val="Title"/>
        <w:rPr>
          <w:sz w:val="44"/>
          <w:szCs w:val="44"/>
        </w:rPr>
      </w:pPr>
      <w:r w:rsidRPr="00D373CC">
        <w:rPr>
          <w:sz w:val="44"/>
          <w:szCs w:val="44"/>
        </w:rPr>
        <w:softHyphen/>
      </w:r>
      <w:r w:rsidR="00541F23" w:rsidRPr="00D373CC">
        <w:rPr>
          <w:sz w:val="44"/>
          <w:szCs w:val="44"/>
        </w:rPr>
        <w:t>Predicting competition</w:t>
      </w:r>
      <w:r w:rsidR="0097184D" w:rsidRPr="00D373CC">
        <w:rPr>
          <w:sz w:val="44"/>
          <w:szCs w:val="44"/>
        </w:rPr>
        <w:t xml:space="preserve"> result</w:t>
      </w:r>
      <w:r w:rsidR="000A33E4" w:rsidRPr="00D373CC">
        <w:rPr>
          <w:sz w:val="44"/>
          <w:szCs w:val="44"/>
        </w:rPr>
        <w:t>s</w:t>
      </w:r>
      <w:r w:rsidR="006775F0">
        <w:rPr>
          <w:sz w:val="44"/>
          <w:szCs w:val="44"/>
        </w:rPr>
        <w:t xml:space="preserve"> </w:t>
      </w:r>
      <w:r w:rsidR="00541F23" w:rsidRPr="00D373CC">
        <w:rPr>
          <w:sz w:val="44"/>
          <w:szCs w:val="44"/>
        </w:rPr>
        <w:t>from growth curves</w:t>
      </w:r>
    </w:p>
    <w:p w14:paraId="476FD698" w14:textId="77777777" w:rsidR="00563F73" w:rsidRPr="00E95165" w:rsidRDefault="00563F73" w:rsidP="00507681"/>
    <w:p w14:paraId="28885133" w14:textId="233267F2" w:rsidR="00E95165" w:rsidRDefault="00563F73" w:rsidP="006775F0">
      <w:pPr>
        <w:pStyle w:val="Subtitle"/>
        <w:rPr>
          <w:rFonts w:ascii="Palatino Linotype" w:hAnsi="Palatino Linotype"/>
        </w:rPr>
      </w:pPr>
      <w:r w:rsidRPr="00E95165">
        <w:rPr>
          <w:rFonts w:ascii="Palatino Linotype" w:hAnsi="Palatino Linotype"/>
        </w:rPr>
        <w:t>Yoav Ram</w:t>
      </w:r>
      <w:r w:rsidR="00A01BA9" w:rsidRPr="00E95165">
        <w:rPr>
          <w:rFonts w:ascii="Palatino Linotype" w:hAnsi="Palatino Linotype"/>
          <w:vertAlign w:val="superscript"/>
        </w:rPr>
        <w:t>1</w:t>
      </w:r>
      <w:r w:rsidRPr="00E95165">
        <w:rPr>
          <w:rFonts w:ascii="Palatino Linotype" w:hAnsi="Palatino Linotype"/>
        </w:rPr>
        <w:t xml:space="preserve">, </w:t>
      </w:r>
      <w:proofErr w:type="spellStart"/>
      <w:r w:rsidRPr="00E95165">
        <w:rPr>
          <w:rFonts w:ascii="Palatino Linotype" w:hAnsi="Palatino Linotype"/>
        </w:rPr>
        <w:t>Eynat</w:t>
      </w:r>
      <w:proofErr w:type="spellEnd"/>
      <w:r w:rsidRPr="00E95165">
        <w:rPr>
          <w:rFonts w:ascii="Palatino Linotype" w:hAnsi="Palatino Linotype"/>
        </w:rPr>
        <w:t xml:space="preserve"> Deluss-Gur</w:t>
      </w:r>
      <w:r w:rsidR="00A01BA9" w:rsidRPr="00E95165">
        <w:rPr>
          <w:rFonts w:ascii="Palatino Linotype" w:hAnsi="Palatino Linotype"/>
          <w:vertAlign w:val="superscript"/>
        </w:rPr>
        <w:t>1</w:t>
      </w:r>
      <w:r w:rsidRPr="00E95165">
        <w:rPr>
          <w:rFonts w:ascii="Palatino Linotype" w:hAnsi="Palatino Linotype"/>
        </w:rPr>
        <w:t xml:space="preserve">, </w:t>
      </w:r>
      <w:proofErr w:type="spellStart"/>
      <w:r w:rsidR="006775F0" w:rsidRPr="00E95165">
        <w:rPr>
          <w:rFonts w:ascii="Palatino Linotype" w:hAnsi="Palatino Linotype"/>
        </w:rPr>
        <w:t>Maayan</w:t>
      </w:r>
      <w:proofErr w:type="spellEnd"/>
      <w:r w:rsidR="006775F0" w:rsidRPr="00E95165">
        <w:rPr>
          <w:rFonts w:ascii="Palatino Linotype" w:hAnsi="Palatino Linotype"/>
        </w:rPr>
        <w:t xml:space="preserve"> Bibi</w:t>
      </w:r>
      <w:r w:rsidR="006775F0" w:rsidRPr="00E95165">
        <w:rPr>
          <w:rFonts w:ascii="Palatino Linotype" w:hAnsi="Palatino Linotype"/>
          <w:vertAlign w:val="superscript"/>
        </w:rPr>
        <w:t>2</w:t>
      </w:r>
      <w:r w:rsidRPr="00E95165">
        <w:rPr>
          <w:rFonts w:ascii="Palatino Linotype" w:hAnsi="Palatino Linotype"/>
        </w:rPr>
        <w:t xml:space="preserve">, </w:t>
      </w:r>
    </w:p>
    <w:p w14:paraId="109FCC0D" w14:textId="5FCA7E7C" w:rsidR="00563F73" w:rsidRDefault="006775F0" w:rsidP="006775F0">
      <w:pPr>
        <w:pStyle w:val="Subtitle"/>
        <w:rPr>
          <w:rFonts w:ascii="Palatino Linotype" w:hAnsi="Palatino Linotype"/>
        </w:rPr>
      </w:pPr>
      <w:r w:rsidRPr="00E95165">
        <w:rPr>
          <w:rFonts w:ascii="Palatino Linotype" w:hAnsi="Palatino Linotype"/>
        </w:rPr>
        <w:t>Uri Obolski</w:t>
      </w:r>
      <w:r w:rsidRPr="00E95165">
        <w:rPr>
          <w:rFonts w:ascii="Palatino Linotype" w:hAnsi="Palatino Linotype"/>
          <w:vertAlign w:val="superscript"/>
        </w:rPr>
        <w:t>1</w:t>
      </w:r>
      <w:r w:rsidR="00563F73" w:rsidRPr="00E95165">
        <w:rPr>
          <w:rFonts w:ascii="Palatino Linotype" w:hAnsi="Palatino Linotype"/>
        </w:rPr>
        <w:t>, Judith Berman</w:t>
      </w:r>
      <w:r w:rsidR="00A01BA9" w:rsidRPr="00E95165">
        <w:rPr>
          <w:rFonts w:ascii="Palatino Linotype" w:hAnsi="Palatino Linotype"/>
          <w:vertAlign w:val="superscript"/>
        </w:rPr>
        <w:t>2</w:t>
      </w:r>
      <w:r w:rsidR="00ED1853">
        <w:rPr>
          <w:rFonts w:ascii="Palatino Linotype" w:hAnsi="Palatino Linotype"/>
          <w:vertAlign w:val="subscript"/>
        </w:rPr>
        <w:t>,</w:t>
      </w:r>
      <w:r w:rsidR="00563F73" w:rsidRPr="00E95165">
        <w:rPr>
          <w:rFonts w:ascii="Palatino Linotype" w:hAnsi="Palatino Linotype"/>
        </w:rPr>
        <w:t xml:space="preserve"> </w:t>
      </w:r>
      <w:r w:rsidR="00E95165">
        <w:rPr>
          <w:rFonts w:ascii="Palatino Linotype" w:hAnsi="Palatino Linotype"/>
        </w:rPr>
        <w:t>and</w:t>
      </w:r>
      <w:r w:rsidR="00563F73" w:rsidRPr="00E95165">
        <w:rPr>
          <w:rFonts w:ascii="Palatino Linotype" w:hAnsi="Palatino Linotype"/>
        </w:rPr>
        <w:t xml:space="preserve"> </w:t>
      </w:r>
      <w:proofErr w:type="spellStart"/>
      <w:r w:rsidR="00563F73" w:rsidRPr="00E95165">
        <w:rPr>
          <w:rFonts w:ascii="Palatino Linotype" w:hAnsi="Palatino Linotype"/>
        </w:rPr>
        <w:t>Lilach</w:t>
      </w:r>
      <w:proofErr w:type="spellEnd"/>
      <w:r w:rsidR="00563F73" w:rsidRPr="00E95165">
        <w:rPr>
          <w:rFonts w:ascii="Palatino Linotype" w:hAnsi="Palatino Linotype"/>
        </w:rPr>
        <w:t xml:space="preserve"> Hadany</w:t>
      </w:r>
      <w:r w:rsidR="00A01BA9" w:rsidRPr="00E95165">
        <w:rPr>
          <w:rFonts w:ascii="Palatino Linotype" w:hAnsi="Palatino Linotype"/>
          <w:vertAlign w:val="superscript"/>
        </w:rPr>
        <w:t>1</w:t>
      </w:r>
      <w:r w:rsidR="00837DFB" w:rsidRPr="00E95165">
        <w:rPr>
          <w:rFonts w:ascii="Palatino Linotype" w:hAnsi="Palatino Linotype"/>
          <w:vertAlign w:val="superscript"/>
        </w:rPr>
        <w:t>*</w:t>
      </w:r>
    </w:p>
    <w:p w14:paraId="5D63BCE1" w14:textId="341603A5" w:rsidR="004762FF" w:rsidRPr="004762FF" w:rsidRDefault="004762FF" w:rsidP="00507681">
      <w:pPr>
        <w:jc w:val="center"/>
      </w:pPr>
      <w:r>
        <w:fldChar w:fldCharType="begin"/>
      </w:r>
      <w:r>
        <w:instrText xml:space="preserve"> DATE \@ "MMMM d, yyyy" </w:instrText>
      </w:r>
      <w:r>
        <w:fldChar w:fldCharType="separate"/>
      </w:r>
      <w:r w:rsidR="00863AA2">
        <w:rPr>
          <w:noProof/>
        </w:rPr>
        <w:t>March 28, 2016</w:t>
      </w:r>
      <w:r>
        <w:fldChar w:fldCharType="end"/>
      </w:r>
    </w:p>
    <w:p w14:paraId="5651D961" w14:textId="77777777" w:rsidR="00A01BA9" w:rsidRDefault="00A01BA9" w:rsidP="00507681"/>
    <w:p w14:paraId="1D0D4FAF" w14:textId="77777777" w:rsidR="00E95165" w:rsidRDefault="00E95165" w:rsidP="00507681"/>
    <w:p w14:paraId="22B6A034" w14:textId="77777777" w:rsidR="00A01BA9" w:rsidRPr="00E95165" w:rsidRDefault="00A01BA9" w:rsidP="00507681">
      <w:r w:rsidRPr="00E95165">
        <w:rPr>
          <w:vertAlign w:val="superscript"/>
        </w:rPr>
        <w:t>1</w:t>
      </w:r>
      <w:r w:rsidRPr="00E95165">
        <w:t xml:space="preserve"> Dept. Molecular Biology </w:t>
      </w:r>
      <w:r w:rsidR="00E95165">
        <w:t>and</w:t>
      </w:r>
      <w:r w:rsidRPr="00E95165">
        <w:t xml:space="preserve"> Ecology of Plants, Tel</w:t>
      </w:r>
      <w:r w:rsidR="00675E28">
        <w:t xml:space="preserve"> </w:t>
      </w:r>
      <w:r w:rsidRPr="00E95165">
        <w:t>Aviv University, Tel</w:t>
      </w:r>
      <w:r w:rsidR="00675E28">
        <w:t xml:space="preserve"> </w:t>
      </w:r>
      <w:r w:rsidRPr="00E95165">
        <w:t>Aviv</w:t>
      </w:r>
      <w:r w:rsidR="004762FF">
        <w:t xml:space="preserve"> </w:t>
      </w:r>
      <w:r w:rsidR="004762FF" w:rsidRPr="004762FF">
        <w:t>69978,</w:t>
      </w:r>
      <w:r w:rsidRPr="00E95165">
        <w:t xml:space="preserve"> Israel</w:t>
      </w:r>
    </w:p>
    <w:p w14:paraId="532CA423" w14:textId="77777777" w:rsidR="00A01BA9" w:rsidRPr="00E95165" w:rsidRDefault="00E95165" w:rsidP="00507681">
      <w:r w:rsidRPr="00E95165">
        <w:rPr>
          <w:vertAlign w:val="superscript"/>
        </w:rPr>
        <w:t>2</w:t>
      </w:r>
      <w:r w:rsidRPr="00E95165">
        <w:t xml:space="preserve"> </w:t>
      </w:r>
      <w:r w:rsidR="00A01BA9" w:rsidRPr="00E95165">
        <w:t xml:space="preserve">Dept. of Molecular Microbiology </w:t>
      </w:r>
      <w:r>
        <w:t>and</w:t>
      </w:r>
      <w:r w:rsidR="00A01BA9" w:rsidRPr="00E95165">
        <w:t xml:space="preserve"> Biotechnology,</w:t>
      </w:r>
      <w:r w:rsidRPr="00E95165">
        <w:rPr>
          <w:vertAlign w:val="superscript"/>
        </w:rPr>
        <w:t xml:space="preserve"> </w:t>
      </w:r>
      <w:r w:rsidR="00A01BA9" w:rsidRPr="00E95165">
        <w:t>Tel</w:t>
      </w:r>
      <w:r w:rsidR="00675E28">
        <w:t xml:space="preserve"> </w:t>
      </w:r>
      <w:r w:rsidR="00A01BA9" w:rsidRPr="00E95165">
        <w:t>Aviv University, Tel</w:t>
      </w:r>
      <w:r w:rsidR="00675E28">
        <w:t xml:space="preserve"> </w:t>
      </w:r>
      <w:r w:rsidR="00A01BA9" w:rsidRPr="00E95165">
        <w:t>Aviv</w:t>
      </w:r>
      <w:r w:rsidR="004762FF">
        <w:t xml:space="preserve"> </w:t>
      </w:r>
      <w:r w:rsidR="004762FF" w:rsidRPr="004762FF">
        <w:t>69978</w:t>
      </w:r>
      <w:r w:rsidR="00A01BA9" w:rsidRPr="00E95165">
        <w:t>, Israel</w:t>
      </w:r>
    </w:p>
    <w:p w14:paraId="72A1A3DC" w14:textId="77777777" w:rsidR="00E95165" w:rsidRPr="00E95165" w:rsidRDefault="00E95165" w:rsidP="00507681">
      <w:pPr>
        <w:rPr>
          <w:vertAlign w:val="subscript"/>
        </w:rPr>
      </w:pPr>
      <w:r w:rsidRPr="00E95165">
        <w:rPr>
          <w:vertAlign w:val="superscript"/>
        </w:rPr>
        <w:t>*</w:t>
      </w:r>
      <w:r w:rsidRPr="00E95165">
        <w:rPr>
          <w:vertAlign w:val="subscript"/>
        </w:rPr>
        <w:t xml:space="preserve"> </w:t>
      </w:r>
      <w:r w:rsidRPr="00E95165">
        <w:t xml:space="preserve">Corresponding author: </w:t>
      </w:r>
      <w:r w:rsidR="00700FD5">
        <w:t>lilach.hadany</w:t>
      </w:r>
      <w:r w:rsidRPr="00E95165">
        <w:t>@</w:t>
      </w:r>
      <w:r w:rsidR="00700FD5">
        <w:t>gmail.com</w:t>
      </w:r>
    </w:p>
    <w:p w14:paraId="3E182443" w14:textId="77777777" w:rsidR="004762FF" w:rsidRDefault="004762FF" w:rsidP="00507681"/>
    <w:p w14:paraId="3F33E333" w14:textId="563621B0" w:rsidR="006161B0" w:rsidRDefault="004762FF" w:rsidP="00507681">
      <w:r w:rsidRPr="004762FF">
        <w:rPr>
          <w:b/>
          <w:bCs/>
        </w:rPr>
        <w:t>Keywords:</w:t>
      </w:r>
      <w:r>
        <w:t xml:space="preserve"> mathematical model, </w:t>
      </w:r>
      <w:r w:rsidR="00954602">
        <w:t>fitness, selection</w:t>
      </w:r>
      <w:r w:rsidR="004F69EA">
        <w:t xml:space="preserve"> coefficient</w:t>
      </w:r>
      <w:r w:rsidR="00954602">
        <w:t>, experimental evolution</w:t>
      </w:r>
      <w:r w:rsidR="00D36EDC">
        <w:t>, mixed culture, microbial growth</w:t>
      </w:r>
    </w:p>
    <w:p w14:paraId="449FF298" w14:textId="77777777" w:rsidR="006161B0" w:rsidRDefault="006161B0" w:rsidP="00507681"/>
    <w:p w14:paraId="795A36FC" w14:textId="77777777" w:rsidR="00030BD1" w:rsidRDefault="00030BD1">
      <w:pPr>
        <w:spacing w:line="240" w:lineRule="auto"/>
        <w:ind w:firstLine="0"/>
        <w:rPr>
          <w:rFonts w:ascii="Palatino Linotype" w:eastAsiaTheme="majorEastAsia" w:hAnsi="Palatino Linotype"/>
          <w:b/>
          <w:bCs/>
          <w:kern w:val="32"/>
          <w:sz w:val="32"/>
          <w:szCs w:val="32"/>
        </w:rPr>
      </w:pPr>
      <w:r>
        <w:br w:type="page"/>
      </w:r>
    </w:p>
    <w:p w14:paraId="472A8D9B" w14:textId="01CEE600" w:rsidR="006161B0" w:rsidRDefault="006161B0" w:rsidP="00507681">
      <w:pPr>
        <w:pStyle w:val="Heading1"/>
      </w:pPr>
      <w:r>
        <w:lastRenderedPageBreak/>
        <w:t>Abstract</w:t>
      </w:r>
    </w:p>
    <w:p w14:paraId="6335F154" w14:textId="4703DE64" w:rsidR="00030BD1" w:rsidRPr="006775F0" w:rsidRDefault="009B2A6B" w:rsidP="005B6BAF">
      <w:r>
        <w:t xml:space="preserve">Measuring </w:t>
      </w:r>
      <w:r w:rsidR="00030BD1">
        <w:t xml:space="preserve">microbial growth in a mixed culture </w:t>
      </w:r>
      <w:r w:rsidR="00443E6C">
        <w:t xml:space="preserve">is laborious and expensive as it </w:t>
      </w:r>
      <w:r w:rsidR="00030BD1">
        <w:t>requires the insertion or identification of unique genotypic or phenotypic markers.</w:t>
      </w:r>
      <w:r w:rsidR="00443E6C">
        <w:t xml:space="preserve"> </w:t>
      </w:r>
      <w:r w:rsidR="006775F0">
        <w:t xml:space="preserve">We have developed </w:t>
      </w:r>
      <w:r w:rsidR="006775F0">
        <w:rPr>
          <w:i/>
          <w:iCs/>
        </w:rPr>
        <w:t>Curveball</w:t>
      </w:r>
      <w:r w:rsidR="006775F0">
        <w:t xml:space="preserve"> (available at </w:t>
      </w:r>
      <w:hyperlink r:id="rId9" w:history="1">
        <w:r w:rsidR="006775F0" w:rsidRPr="006456E2">
          <w:rPr>
            <w:rStyle w:val="Hyperlink"/>
          </w:rPr>
          <w:t>http://curveball.yoavram.com</w:t>
        </w:r>
      </w:hyperlink>
      <w:r w:rsidR="00030BD1">
        <w:t xml:space="preserve">), a new method for predicting </w:t>
      </w:r>
      <w:r w:rsidR="00443E6C">
        <w:t xml:space="preserve">growth in mixed culture </w:t>
      </w:r>
      <w:r w:rsidR="00030BD1">
        <w:t xml:space="preserve">from growth curve data using a revisited population growth model and a newly derived competition model. We validated </w:t>
      </w:r>
      <w:r w:rsidR="00443E6C">
        <w:rPr>
          <w:i/>
          <w:iCs/>
        </w:rPr>
        <w:t>Curveball</w:t>
      </w:r>
      <w:r w:rsidR="00030BD1">
        <w:t xml:space="preserve">'s predictions </w:t>
      </w:r>
      <w:r w:rsidR="00443E6C">
        <w:t xml:space="preserve">using growth curve and </w:t>
      </w:r>
      <w:r w:rsidR="00030BD1">
        <w:t>competition exper</w:t>
      </w:r>
      <w:r w:rsidR="00443E6C">
        <w:t xml:space="preserve">iments with bacteria and yeast. </w:t>
      </w:r>
      <w:r w:rsidR="00030BD1">
        <w:t xml:space="preserve">Our method </w:t>
      </w:r>
      <w:r w:rsidR="00030BD1" w:rsidRPr="00FD5DB1">
        <w:t xml:space="preserve">not only result in </w:t>
      </w:r>
      <w:r w:rsidR="00030BD1">
        <w:t>a</w:t>
      </w:r>
      <w:r w:rsidR="00030BD1" w:rsidRPr="00FD5DB1">
        <w:t xml:space="preserve"> </w:t>
      </w:r>
      <w:r w:rsidR="00030BD1">
        <w:t>simpler</w:t>
      </w:r>
      <w:r w:rsidR="00030BD1" w:rsidRPr="00FD5DB1">
        <w:t xml:space="preserve"> and </w:t>
      </w:r>
      <w:r w:rsidR="00030BD1">
        <w:t>more cost-effective</w:t>
      </w:r>
      <w:r w:rsidR="00030BD1" w:rsidRPr="00FD5DB1">
        <w:t xml:space="preserve"> approach </w:t>
      </w:r>
      <w:r w:rsidR="00443E6C">
        <w:t xml:space="preserve">for analyzing growth in mixed culture and inferring relative </w:t>
      </w:r>
      <w:r w:rsidR="00030BD1">
        <w:t xml:space="preserve">fitness </w:t>
      </w:r>
      <w:r w:rsidR="00443E6C">
        <w:t>in microbes</w:t>
      </w:r>
      <w:r w:rsidR="00030BD1" w:rsidRPr="00FD5DB1">
        <w:t xml:space="preserve">, but also </w:t>
      </w:r>
      <w:r w:rsidR="00030BD1">
        <w:t>provide</w:t>
      </w:r>
      <w:r w:rsidR="00030BD1" w:rsidRPr="00FD5DB1">
        <w:t xml:space="preserve"> information on the specific </w:t>
      </w:r>
      <w:r w:rsidR="00030BD1">
        <w:t xml:space="preserve">growth </w:t>
      </w:r>
      <w:r w:rsidR="00030BD1" w:rsidRPr="00FD5DB1">
        <w:t xml:space="preserve">traits that </w:t>
      </w:r>
      <w:r w:rsidR="00030BD1">
        <w:t>contribute to differences in</w:t>
      </w:r>
      <w:r w:rsidR="00030BD1" w:rsidRPr="00FD5DB1">
        <w:t xml:space="preserve"> </w:t>
      </w:r>
      <w:r w:rsidR="00443E6C">
        <w:t>fitness and contributes to the integration between population dynamics and population genetics.</w:t>
      </w:r>
    </w:p>
    <w:p w14:paraId="4F70DEEF" w14:textId="77777777" w:rsidR="00563F73" w:rsidRDefault="00563F73" w:rsidP="00507681">
      <w:r>
        <w:br w:type="page"/>
      </w:r>
    </w:p>
    <w:p w14:paraId="382551CA" w14:textId="77777777" w:rsidR="00563F73" w:rsidRPr="00A362F7" w:rsidRDefault="00563F73" w:rsidP="00507681">
      <w:pPr>
        <w:pStyle w:val="Heading1"/>
      </w:pPr>
      <w:r w:rsidRPr="00A362F7">
        <w:lastRenderedPageBreak/>
        <w:t>Introduction</w:t>
      </w:r>
    </w:p>
    <w:p w14:paraId="38E8CD13" w14:textId="33005A69" w:rsidR="00D17DC9" w:rsidRDefault="00D17DC9" w:rsidP="005B6BAF">
      <w:r>
        <w:t xml:space="preserve">A key issue in </w:t>
      </w:r>
      <w:r w:rsidR="005B6BAF">
        <w:t xml:space="preserve">microbial ecology and </w:t>
      </w:r>
      <w:r>
        <w:t xml:space="preserve">evolutionary biology lies in understanding the factors underlying </w:t>
      </w:r>
      <w:r w:rsidR="005B6BAF">
        <w:t xml:space="preserve">the relationship between growth in monoculture and mixed culture. Such differences have a crucial impact on composition of microbial populations and communities and on microbial </w:t>
      </w:r>
      <w:r>
        <w:t xml:space="preserve">fitness. The advent of high-throughput experiments and omics data in microbiology yields information in unprecedented amount and detail. However, development of models for meaningful biological interpretation of this information </w:t>
      </w:r>
      <w:r w:rsidR="005B6BAF">
        <w:t>is ongoing.</w:t>
      </w:r>
    </w:p>
    <w:p w14:paraId="2F994DE7" w14:textId="5190ED95" w:rsidR="005B6BAF" w:rsidRDefault="005B6BAF" w:rsidP="005B6BAF">
      <w:pPr>
        <w:pStyle w:val="Heading2"/>
      </w:pPr>
      <w:r>
        <w:t>Predicting growth in mixed culture</w:t>
      </w:r>
    </w:p>
    <w:p w14:paraId="309D219A" w14:textId="7B5B138F" w:rsidR="004D4A11" w:rsidRPr="004D4A11" w:rsidRDefault="004D4A11" w:rsidP="004D4A11">
      <w:r>
        <w:t xml:space="preserve">For over a century, important discoveries have been made by studying growth in monoculture in bacteria </w:t>
      </w:r>
      <w:r>
        <w:fldChar w:fldCharType="begin" w:fldLock="1"/>
      </w:r>
      <w:r>
        <w:instrText>ADDIN CSL_CITATION { "citationItems" : [ { "id" : "ITEM-1", "itemData" : { "DOI" : "10.1146/annurev.mi.03.100149.002103", "ISBN" : "0066-4227", "ISSN" : "0066-4227", "PMID" : "190", "abstract" : "The study of the growth of bacterial cultures does not constitute a specialized subject or branch of research: it is the basic method of Microbiology. It would be a foolish enterprise, and doomed to failure, to attempt reviewing briefly a \"subject\" which covers actually our whole discipline. Unless, of course, we considered the formal laws of growth for their own sake, an approach which has repeatedly proved sterile. In the present review we shall consider bacterial growth as a method for the study of bacterial physiology and biochemistry. More precisely, we shall concern ourselves with the quantitative aspects of the method, with the interpretation of quantitative data referring to bacterial growth. Furthermore, we shall consider z exclusively the positive phases of growth, since the study of bacterial \"death,\" i.e., of the negative phases of growth, involves distinct problems and methods. The discussion will be limited to populations considered genetically homogeneous. The problems of mutation and selection in growing cultures have been excellently dealt with in recent review articles by Delbriick (1) and Luria (2). No attempt is made at reviewing the literature on a subject which, as we have just seen, is not really a subject at all. The papers and results quoted have been selected as illustrations of the points discussed.", "author" : [ { "dropping-particle" : "", "family" : "Monod", "given" : "Jacques", "non-dropping-particle" : "", "parse-names" : false, "suffix" : "" } ], "container-title" : "Annual Review of Microbiology", "id" : "ITEM-1", "issue" : "1", "issued" : { "date-parts" : [ [ "1949" ] ] }, "page" : "371-394", "title" : "The Growth of Bacterial Cultures", "type" : "article-journal", "volume" : "3" }, "uris" : [ "http://www.mendeley.com/documents/?uuid=22c58c6e-ebde-4748-83b1-9176b15b3df5" ] } ], "mendeley" : { "formattedCitation" : "(Monod 1949)", "plainTextFormattedCitation" : "(Monod 1949)", "previouslyFormattedCitation" : "(Monod 1949)" }, "properties" : { "noteIndex" : 0 }, "schema" : "https://github.com/citation-style-language/schema/raw/master/csl-citation.json" }</w:instrText>
      </w:r>
      <w:r>
        <w:fldChar w:fldCharType="separate"/>
      </w:r>
      <w:r w:rsidRPr="004D4A11">
        <w:rPr>
          <w:noProof/>
        </w:rPr>
        <w:t>(Monod 1949)</w:t>
      </w:r>
      <w:r>
        <w:fldChar w:fldCharType="end"/>
      </w:r>
      <w:r>
        <w:t xml:space="preserve"> and yeast </w:t>
      </w:r>
      <w:r>
        <w:fldChar w:fldCharType="begin" w:fldLock="1"/>
      </w:r>
      <w:r>
        <w:instrText>ADDIN CSL_CITATION { "citationItems" : [ { "id" : "ITEM-1", "itemData" : { "ISBN" : "7737021736", "ISSN" : "10773711", "author" : [ { "dropping-particle" : "", "family" : "Pearl", "given" : "Raymond", "non-dropping-particle" : "", "parse-names" : false, "suffix" : "" } ], "container-title" : "The Quarterly Review of Biology", "id" : "ITEM-1", "issue" : "4", "issued" : { "date-parts" : [ [ "1927" ] ] }, "page" : "532-548", "title" : "The Growth of Populations", "type" : "article-journal", "volume" : "2" }, "uris" : [ "http://www.mendeley.com/documents/?uuid=51fefa90-3588-44f3-8f74-e3c3272c5399" ] } ], "mendeley" : { "formattedCitation" : "(Pearl 1927)", "plainTextFormattedCitation" : "(Pearl 1927)", "previouslyFormattedCitation" : "(Pearl 1927)" }, "properties" : { "noteIndex" : 0 }, "schema" : "https://github.com/citation-style-language/schema/raw/master/csl-citation.json" }</w:instrText>
      </w:r>
      <w:r>
        <w:fldChar w:fldCharType="separate"/>
      </w:r>
      <w:r w:rsidRPr="004D4A11">
        <w:rPr>
          <w:noProof/>
        </w:rPr>
        <w:t>(Pearl 1927)</w:t>
      </w:r>
      <w:r>
        <w:fldChar w:fldCharType="end"/>
      </w:r>
      <w:r>
        <w:t xml:space="preserve">. However, growth in mixed culture is still poorly understood and often requires the construction of custom models for specific sets of species and strains </w:t>
      </w:r>
      <w:r>
        <w:fldChar w:fldCharType="begin" w:fldLock="1"/>
      </w:r>
      <w:r w:rsidR="00BF7152">
        <w:instrText>ADDIN CSL_CITATION { "citationItems" : [ { "id" : "ITEM-1", "itemData" : { "DOI" : "10.1038/msb.2013.39", "ISBN" : "1744-4292 (Electronic)\\r1744-4292 (Linking)", "ISSN" : "1744-4292", "PMID" : "23917989", "abstract" : "Inactivation of \u03b2-lactam antibiotics by resistant bacteria is a 'cooperative' behavior that may allow sensitive bacteria to survive antibiotic treatment. However, the factors that determine the fraction of resistant cells in the bacterial population remain unclear, indicating a fundamental gap in our understanding of how antibiotic resistance evolves. Here, we experimentally track the spread of a plasmid that encodes a \u03b2-lactamase enzyme through the bacterial population. We find that independent of the initial fraction of resistant cells, the population settles to an equilibrium fraction proportional to the antibiotic concentration divided by the cell density. A simple model explains this behavior, successfully predicting a data collapse over two orders of magnitude in antibiotic concentration. This model also successfully predicts that adding a commonly used \u03b2-lactamase inhibitor will lead to the spread of resistance, highlighting the need to incorporate social dynamics into the study of antibiotic resistance.", "author" : [ { "dropping-particle" : "", "family" : "Yurtsev", "given" : "Eugene A.", "non-dropping-particle" : "", "parse-names" : false, "suffix" : "" }, { "dropping-particle" : "", "family" : "Chao", "given" : "Hui Xiao", "non-dropping-particle" : "", "parse-names" : false, "suffix" : "" }, { "dropping-particle" : "", "family" : "Datta", "given" : "Manoshi S.", "non-dropping-particle" : "", "parse-names" : false, "suffix" : "" }, { "dropping-particle" : "", "family" : "Artemova", "given" : "Tatiana", "non-dropping-particle" : "", "parse-names" : false, "suffix" : "" }, { "dropping-particle" : "", "family" : "Gore", "given" : "Jeff", "non-dropping-particle" : "", "parse-names" : false, "suffix" : "" } ], "container-title" : "Molecular systems biology", "id" : "ITEM-1", "issue" : "683", "issued" : { "date-parts" : [ [ "2013" ] ] }, "page" : "683", "publisher" : "Nature Publishing Group", "title" : "Bacterial cheating drives the population dynamics of cooperative antibiotic resistance plasmids.", "type" : "article-journal", "volume" : "9" }, "uris" : [ "http://www.mendeley.com/documents/?uuid=51e87887-7d43-4279-801c-64890e199b9e" ] } ], "mendeley" : { "formattedCitation" : "(Yurtsev et al. 2013)", "plainTextFormattedCitation" : "(Yurtsev et al. 2013)", "previouslyFormattedCitation" : "(Yurtsev et al. 2013)" }, "properties" : { "noteIndex" : 0 }, "schema" : "https://github.com/citation-style-language/schema/raw/master/csl-citation.json" }</w:instrText>
      </w:r>
      <w:r>
        <w:fldChar w:fldCharType="separate"/>
      </w:r>
      <w:r w:rsidRPr="004D4A11">
        <w:rPr>
          <w:noProof/>
        </w:rPr>
        <w:t>(Yurtsev et al. 2013)</w:t>
      </w:r>
      <w:r>
        <w:fldChar w:fldCharType="end"/>
      </w:r>
      <w:r>
        <w:t xml:space="preserve">. </w:t>
      </w:r>
    </w:p>
    <w:p w14:paraId="2DA9438B" w14:textId="305C3448" w:rsidR="005B6BAF" w:rsidRPr="005B6BAF" w:rsidRDefault="005B6BAF" w:rsidP="005B6BAF">
      <w:pPr>
        <w:pStyle w:val="Heading2"/>
      </w:pPr>
      <w:r>
        <w:t>From growth to fitness</w:t>
      </w:r>
    </w:p>
    <w:p w14:paraId="56102034" w14:textId="6BFB5607" w:rsidR="00D17DC9" w:rsidRDefault="00D17DC9" w:rsidP="00D17DC9">
      <w:r>
        <w:t xml:space="preserve">Models in population dynamics focus on changes in population size and consider a number of growth traits, such as growth rate, maximum population size, and lag duration. Population genetic models focus on changes in frequencies of genotypes within populations and usually assume a single fitness value per genotype. There is statistical correlation between empirical estimates of growth traits and fitness </w:t>
      </w:r>
      <w:r>
        <w:fldChar w:fldCharType="begin" w:fldLock="1"/>
      </w:r>
      <w:r w:rsidR="00E22922">
        <w:instrText>ADDIN CSL_CITATION { "citationItems" : [ { "id" : "ITEM-1", "itemData" : { "DOI" : "10.1098/rspb.2009.2099", "ISBN" : "1471-2954 (Electronic)\\r0962-8452 (Linking)", "ISSN" : "0962-8452", "PMID" : "20129976", "abstract" : "The set of single-gene deletions in yeast can be used to evaluate the effect of mutation on fitness over the whole genome. The measurement of growth in pure culture or relative growth in mixtures has confirmed that most deletions have little effect in laboratory culture. Moreover, there is a sharp distinction between lethality and a very mild impairment of growth, with very few intermediate cases. Different components of fitness, such as growth rate and yield, are positively correlated. Growth is also positively correlated across environments, although new conditions of growth usually identify a few conditionally impaired strains. Double mutants on average show alleviating epistasis, although a few per cent of combinations are synthetic lethal. The properties of the yeast deletion set provide us with the first genome-wide account of fitness, although transferring these conclusions to the field is a task for the future.", "author" : [ { "dropping-particle" : "", "family" : "Bell", "given" : "Graham", "non-dropping-particle" : "", "parse-names" : false, "suffix" : "" } ], "container-title" : "Proceedings of the Royal Society B: Biological Sciences", "id" : "ITEM-1", "issue" : "1687", "issued" : { "date-parts" : [ [ "2010", "5", "22" ] ] }, "page" : "1459-1467", "title" : "Experimental genomics of fitness in yeast", "type" : "article-journal", "volume" : "277" }, "uris" : [ "http://www.mendeley.com/documents/?uuid=0d5cbc2a-de7d-4c8a-84cf-b6e928687089" ] } ], "mendeley" : { "formattedCitation" : "(Bell 2010)", "plainTextFormattedCitation" : "(Bell 2010)", "previouslyFormattedCitation" : "(Bell 2010)" }, "properties" : { "noteIndex" : 0 }, "schema" : "https://github.com/citation-style-language/schema/raw/master/csl-citation.json" }</w:instrText>
      </w:r>
      <w:r>
        <w:fldChar w:fldCharType="separate"/>
      </w:r>
      <w:r w:rsidRPr="00D17DC9">
        <w:rPr>
          <w:noProof/>
        </w:rPr>
        <w:t>(Bell 2010)</w:t>
      </w:r>
      <w:r>
        <w:fldChar w:fldCharType="end"/>
      </w:r>
      <w:r>
        <w:t>; however, there is currently no method to predict or interpret fitness from a combination of growth traits.</w:t>
      </w:r>
    </w:p>
    <w:p w14:paraId="0ABF797E" w14:textId="77777777" w:rsidR="003E7D70" w:rsidRPr="003E7D70" w:rsidRDefault="003E7D70" w:rsidP="00507681">
      <w:pPr>
        <w:pStyle w:val="Heading2"/>
      </w:pPr>
      <w:r w:rsidRPr="003E7D70">
        <w:t>Growth curves</w:t>
      </w:r>
    </w:p>
    <w:p w14:paraId="6EA498B5" w14:textId="746D2C9A" w:rsidR="00677B67" w:rsidRDefault="001539BA" w:rsidP="00507681">
      <w:r w:rsidRPr="003E7D70">
        <w:t xml:space="preserve">Growth curves </w:t>
      </w:r>
      <w:r>
        <w:t xml:space="preserve">are </w:t>
      </w:r>
      <w:r w:rsidR="00E429B2">
        <w:t>commonly used</w:t>
      </w:r>
      <w:r>
        <w:t xml:space="preserve"> to estimate fitness in microbiology, genetics, and evolutionary biology. </w:t>
      </w:r>
      <w:r w:rsidR="00F121DF">
        <w:t>Growth curves are acquired by measuring the o</w:t>
      </w:r>
      <w:r>
        <w:t xml:space="preserve">ptical </w:t>
      </w:r>
      <w:r w:rsidR="00F121DF">
        <w:t>d</w:t>
      </w:r>
      <w:r>
        <w:t>ensity (OD) of one or more populations of cells</w:t>
      </w:r>
      <w:r w:rsidR="00D220AB">
        <w:t xml:space="preserve"> growing in liquid culture</w:t>
      </w:r>
      <w:r>
        <w:t xml:space="preserve"> over </w:t>
      </w:r>
      <w:r w:rsidR="009B2A6B">
        <w:t xml:space="preserve">a range of </w:t>
      </w:r>
      <w:r>
        <w:t xml:space="preserve">time. </w:t>
      </w:r>
      <w:r w:rsidR="00563F73">
        <w:t xml:space="preserve">The simplest way to </w:t>
      </w:r>
      <w:r w:rsidR="00675E28">
        <w:t>infer</w:t>
      </w:r>
      <w:r w:rsidR="00563F73">
        <w:t xml:space="preserve"> fitness from </w:t>
      </w:r>
      <w:r w:rsidR="00675E28">
        <w:t>growth</w:t>
      </w:r>
      <w:r w:rsidR="00563F73">
        <w:t xml:space="preserve"> curves is to </w:t>
      </w:r>
      <w:r w:rsidR="00675E28">
        <w:t>estimate</w:t>
      </w:r>
      <w:r w:rsidR="00563F73">
        <w:t xml:space="preserve"> the growth rate</w:t>
      </w:r>
      <w:r>
        <w:t xml:space="preserve"> during the exponential growth phase. This is done by </w:t>
      </w:r>
      <w:r w:rsidR="00563F73">
        <w:t>taking the log of the</w:t>
      </w:r>
      <w:r>
        <w:t xml:space="preserve"> mean of the</w:t>
      </w:r>
      <w:r w:rsidR="00563F73">
        <w:t xml:space="preserve"> </w:t>
      </w:r>
      <w:r>
        <w:t xml:space="preserve">growth </w:t>
      </w:r>
      <w:r w:rsidR="00563F73">
        <w:t>curves during the exponential growth phase</w:t>
      </w:r>
      <w:r>
        <w:t xml:space="preserve"> and</w:t>
      </w:r>
      <w:r w:rsidR="00563F73">
        <w:t xml:space="preserve"> using linear regression to </w:t>
      </w:r>
      <w:r>
        <w:t xml:space="preserve">estimate </w:t>
      </w:r>
      <w:r w:rsidR="00677B67">
        <w:t xml:space="preserve">the </w:t>
      </w:r>
      <w:r w:rsidR="00563F73">
        <w:t xml:space="preserve">slope </w:t>
      </w:r>
      <w:r w:rsidR="00677B67">
        <w:t xml:space="preserve">of the </w:t>
      </w:r>
      <w:r w:rsidR="006C212D">
        <w:t>curve</w:t>
      </w:r>
      <w:r w:rsidR="00677B67">
        <w:t xml:space="preserve"> </w:t>
      </w:r>
      <w:r w:rsidR="00563F73">
        <w:t>as a measure of the growth rate</w:t>
      </w:r>
      <w:r w:rsidR="003D0164">
        <w:t xml:space="preserve"> </w:t>
      </w:r>
      <w:r w:rsidR="00563F73">
        <w:fldChar w:fldCharType="begin" w:fldLock="1"/>
      </w:r>
      <w:r w:rsidR="003D0164">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"(Hall et al. 2014)", "plainTextFormattedCitation" : "(Hall et al. 2014)", "previouslyFormattedCitation" : "(Hall et al. 2014)" }, "properties" : { "noteIndex" : 0 }, "schema" : "https://github.com/citation-style-language/schema/raw/master/csl-citation.json" }</w:instrText>
      </w:r>
      <w:r w:rsidR="00563F73">
        <w:fldChar w:fldCharType="separate"/>
      </w:r>
      <w:r w:rsidR="003D0164" w:rsidRPr="003D0164">
        <w:rPr>
          <w:noProof/>
        </w:rPr>
        <w:t>(Hall et al. 2014)</w:t>
      </w:r>
      <w:r w:rsidR="00563F73">
        <w:fldChar w:fldCharType="end"/>
      </w:r>
      <w:r w:rsidR="00563F73">
        <w:t xml:space="preserve">. </w:t>
      </w:r>
      <w:r w:rsidR="009B2A6B">
        <w:t xml:space="preserve">Indeed, growth </w:t>
      </w:r>
      <w:r w:rsidR="00563F73">
        <w:t xml:space="preserve">rates can be proxies of </w:t>
      </w:r>
      <w:r w:rsidR="00677B67">
        <w:t xml:space="preserve">the </w:t>
      </w:r>
      <w:r w:rsidR="00677B67" w:rsidRPr="00BB16DB">
        <w:t>selection coefficient</w:t>
      </w:r>
      <w:r w:rsidR="00BB16DB">
        <w:t>,</w:t>
      </w:r>
      <w:r w:rsidR="00677B67" w:rsidRPr="00677B67">
        <w:rPr>
          <w:i/>
          <w:iCs/>
        </w:rPr>
        <w:t xml:space="preserve"> s</w:t>
      </w:r>
      <w:r w:rsidR="00677B67">
        <w:t xml:space="preserve">, which is </w:t>
      </w:r>
      <w:r w:rsidR="00BB16DB">
        <w:t>a</w:t>
      </w:r>
      <w:r w:rsidR="009B2A6B">
        <w:t xml:space="preserve"> </w:t>
      </w:r>
      <w:r w:rsidR="00677B67">
        <w:t xml:space="preserve">standard </w:t>
      </w:r>
      <w:r w:rsidR="00BB16DB">
        <w:t>approach</w:t>
      </w:r>
      <w:r w:rsidR="00677B67">
        <w:t xml:space="preserve"> </w:t>
      </w:r>
      <w:r w:rsidR="00BB16DB">
        <w:t xml:space="preserve">for representing </w:t>
      </w:r>
      <w:r w:rsidR="00677B67">
        <w:t>relative fitness in population genetics</w:t>
      </w:r>
      <w:r w:rsidR="003D0164">
        <w:t xml:space="preserve"> </w:t>
      </w:r>
      <w:r w:rsidR="00677B67">
        <w:fldChar w:fldCharType="begin" w:fldLock="1"/>
      </w:r>
      <w:r w:rsidR="00551D58">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"id" : "ITEM-2",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"ITEM-2", "issue" : "2", "issued" : { "date-parts" : [ [ "2011", "4", "23" ] ] }, "page" : "210-3", "title" : "On measuring selection in experimental evolution.", "type" : "article-journal", "volume" : "7" }, "uris" : [ "http://www.mendeley.com/documents/?uuid=1e94d081-c729-43ac-b9be-63d792575b27" ] } ], "mendeley" : { "formattedCitation" : "(Crow and Kimura 1970; Chevin 2011)", "plainTextFormattedCitation" : "(Crow and Kimura 1970; Chevin 2011)", "previouslyFormattedCitation" : "(Crow and Kimura 1970; Chevin 2011)" }, "properties" : { "noteIndex" : 0 }, "schema" : "https://github.com/citation-style-language/schema/raw/master/csl-citation.json" }</w:instrText>
      </w:r>
      <w:r w:rsidR="00677B67">
        <w:fldChar w:fldCharType="separate"/>
      </w:r>
      <w:r w:rsidR="006C212D" w:rsidRPr="006C212D">
        <w:rPr>
          <w:noProof/>
        </w:rPr>
        <w:t>(Crow and Kimura 1970; Chevin 2011)</w:t>
      </w:r>
      <w:r w:rsidR="00677B67">
        <w:fldChar w:fldCharType="end"/>
      </w:r>
      <w:r w:rsidR="00677B67">
        <w:t>.</w:t>
      </w:r>
      <w:r w:rsidR="00563F73">
        <w:t xml:space="preserve"> </w:t>
      </w:r>
      <w:r w:rsidR="00E842FC">
        <w:t xml:space="preserve">However, the selection coefficient can </w:t>
      </w:r>
      <w:r w:rsidR="00D220AB">
        <w:t>be affected by other phases of</w:t>
      </w:r>
      <w:r w:rsidR="00E842FC">
        <w:t xml:space="preserve"> growth</w:t>
      </w:r>
      <w:r w:rsidR="00D220AB">
        <w:t>,</w:t>
      </w:r>
      <w:r w:rsidR="00E842FC">
        <w:t xml:space="preserve"> </w:t>
      </w:r>
      <w:r w:rsidR="00BB16DB">
        <w:t>such as</w:t>
      </w:r>
      <w:r w:rsidR="005F1042">
        <w:t xml:space="preserve"> the</w:t>
      </w:r>
      <w:r w:rsidR="00677B67">
        <w:t xml:space="preserve"> </w:t>
      </w:r>
      <w:r w:rsidR="00563F73">
        <w:t xml:space="preserve">lag phase and </w:t>
      </w:r>
      <w:r w:rsidR="005F1042">
        <w:t xml:space="preserve">the </w:t>
      </w:r>
      <w:r w:rsidR="00563F73">
        <w:t>stationary phase</w:t>
      </w:r>
      <w:r w:rsidR="006161B0">
        <w:t xml:space="preserve">. </w:t>
      </w:r>
      <w:r w:rsidR="00E842FC">
        <w:t xml:space="preserve">Thus, it is not surprising that </w:t>
      </w:r>
      <w:r w:rsidR="006161B0">
        <w:t>growth rate</w:t>
      </w:r>
      <w:r w:rsidR="00675E28">
        <w:t>s</w:t>
      </w:r>
      <w:r w:rsidR="006161B0">
        <w:t xml:space="preserve"> can be poor estimate</w:t>
      </w:r>
      <w:r w:rsidR="00675E28">
        <w:t>s</w:t>
      </w:r>
      <w:r w:rsidR="006161B0">
        <w:t xml:space="preserve"> of relative fitness </w:t>
      </w:r>
      <w:r w:rsidR="00321D10">
        <w:fldChar w:fldCharType="begin" w:fldLock="1"/>
      </w:r>
      <w:r w:rsidR="00321D10">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"plainTextFormattedCitation" : "(Concepci\u00f3n-Acevedo et al. 2015)", "previouslyFormattedCitation" : "(Concepci\u00f3n-Acevedo et al. 2015)" }, "properties" : { "noteIndex" : 0 }, "schema" : "https://github.com/citation-style-language/schema/raw/master/csl-citation.json" }</w:instrText>
      </w:r>
      <w:r w:rsidR="00321D10">
        <w:fldChar w:fldCharType="separate"/>
      </w:r>
      <w:r w:rsidR="00321D10" w:rsidRPr="00321D10">
        <w:rPr>
          <w:noProof/>
        </w:rPr>
        <w:t>(Concepción-Acevedo et al. 2015)</w:t>
      </w:r>
      <w:r w:rsidR="00321D10">
        <w:fldChar w:fldCharType="end"/>
      </w:r>
      <w:r w:rsidR="00563F73">
        <w:t>.</w:t>
      </w:r>
      <w:r w:rsidR="00720CF6">
        <w:t xml:space="preserve">  </w:t>
      </w:r>
    </w:p>
    <w:p w14:paraId="3B8351F6" w14:textId="290F14EE" w:rsidR="003E7D70" w:rsidRDefault="00551D58" w:rsidP="00507681">
      <w:pPr>
        <w:pStyle w:val="Heading2"/>
      </w:pPr>
      <w:r>
        <w:t>C</w:t>
      </w:r>
      <w:r w:rsidR="003E7D70" w:rsidRPr="003E7D70">
        <w:t>ompetition experiments</w:t>
      </w:r>
    </w:p>
    <w:p w14:paraId="37EC2E19" w14:textId="7EDFC46B" w:rsidR="003E7D70" w:rsidRDefault="00551D58" w:rsidP="00507681">
      <w:r>
        <w:t>C</w:t>
      </w:r>
      <w:r w:rsidR="00B12AFC" w:rsidRPr="003E7D70">
        <w:t xml:space="preserve">ompetition </w:t>
      </w:r>
      <w:r w:rsidR="001539BA" w:rsidRPr="003E7D70">
        <w:t>experiments</w:t>
      </w:r>
      <w:r w:rsidR="00B12AFC" w:rsidRPr="003E7D70">
        <w:t xml:space="preserve"> </w:t>
      </w:r>
      <w:r w:rsidR="001539BA">
        <w:t xml:space="preserve">infer </w:t>
      </w:r>
      <w:r w:rsidR="00BB7C4F">
        <w:t xml:space="preserve">relative </w:t>
      </w:r>
      <w:r w:rsidR="00B12AFC">
        <w:t xml:space="preserve">fitness </w:t>
      </w:r>
      <w:r w:rsidR="001539BA">
        <w:t xml:space="preserve">in a </w:t>
      </w:r>
      <w:r w:rsidR="00BB7C4F">
        <w:t xml:space="preserve">manner </w:t>
      </w:r>
      <w:r w:rsidR="00B12AFC">
        <w:t xml:space="preserve">that </w:t>
      </w:r>
      <w:r w:rsidR="003E7D70">
        <w:t xml:space="preserve">accounts for </w:t>
      </w:r>
      <w:r w:rsidR="006161B0">
        <w:t>all</w:t>
      </w:r>
      <w:r w:rsidR="00B12AFC">
        <w:t xml:space="preserve"> growth phases. </w:t>
      </w:r>
      <w:r w:rsidR="003E7D70">
        <w:t>In c</w:t>
      </w:r>
      <w:r w:rsidR="00B12AFC">
        <w:t xml:space="preserve">ompetition </w:t>
      </w:r>
      <w:r w:rsidR="001539BA">
        <w:t>experiments</w:t>
      </w:r>
      <w:r w:rsidR="00BB7C4F">
        <w:t>,</w:t>
      </w:r>
      <w:r w:rsidR="001539BA">
        <w:t xml:space="preserve"> </w:t>
      </w:r>
      <w:r w:rsidR="00B12AFC">
        <w:t>two</w:t>
      </w:r>
      <w:r w:rsidR="00675E28">
        <w:t xml:space="preserve"> or more</w:t>
      </w:r>
      <w:r w:rsidR="00B12AFC">
        <w:t xml:space="preserve"> strains </w:t>
      </w:r>
      <w:r w:rsidR="003E7D70">
        <w:t xml:space="preserve">are grown together </w:t>
      </w:r>
      <w:r w:rsidR="00B12AFC">
        <w:t xml:space="preserve">in </w:t>
      </w:r>
      <w:r w:rsidR="00D220AB">
        <w:t>a mixed culture:</w:t>
      </w:r>
      <w:r w:rsidR="00BB7C4F" w:rsidRPr="00BB7C4F">
        <w:t xml:space="preserve"> </w:t>
      </w:r>
      <w:r w:rsidR="00BB7C4F">
        <w:t xml:space="preserve">a reference strain and </w:t>
      </w:r>
      <w:r w:rsidR="00077B31">
        <w:t>one or more</w:t>
      </w:r>
      <w:r w:rsidR="00B12AFC">
        <w:t xml:space="preserve"> </w:t>
      </w:r>
      <w:r w:rsidR="00677B67">
        <w:t>strain</w:t>
      </w:r>
      <w:r w:rsidR="00077B31">
        <w:t>s</w:t>
      </w:r>
      <w:r w:rsidR="00677B67">
        <w:t xml:space="preserve"> of interest (for example, a </w:t>
      </w:r>
      <w:r w:rsidR="00BB7C4F">
        <w:t xml:space="preserve">wild-type reference </w:t>
      </w:r>
      <w:r w:rsidR="00677B67">
        <w:t xml:space="preserve">strain and a </w:t>
      </w:r>
      <w:r w:rsidR="00BB7C4F">
        <w:t xml:space="preserve">mutant </w:t>
      </w:r>
      <w:r w:rsidR="00677B67">
        <w:t>strain</w:t>
      </w:r>
      <w:r w:rsidR="00BB7C4F">
        <w:t xml:space="preserve"> of interest</w:t>
      </w:r>
      <w:r w:rsidR="00677B67">
        <w:t>).</w:t>
      </w:r>
      <w:r w:rsidR="001539BA">
        <w:t xml:space="preserve"> The frequency of each strain </w:t>
      </w:r>
      <w:r w:rsidR="00BB7C4F">
        <w:t xml:space="preserve">in the </w:t>
      </w:r>
      <w:r w:rsidR="00D220AB">
        <w:t>mixed culture</w:t>
      </w:r>
      <w:r w:rsidR="00BB7C4F">
        <w:t xml:space="preserve"> </w:t>
      </w:r>
      <w:r w:rsidR="001539BA">
        <w:t>is measured during the</w:t>
      </w:r>
      <w:r w:rsidR="00AC7A5E">
        <w:t xml:space="preserve"> course of the</w:t>
      </w:r>
      <w:r w:rsidR="001539BA">
        <w:t xml:space="preserve"> experiment</w:t>
      </w:r>
      <w:r w:rsidR="00AC7A5E">
        <w:t xml:space="preserve">. This is done classically by plating assays that distinguish the strains using </w:t>
      </w:r>
      <w:r w:rsidR="006C212D">
        <w:t>phenotypic</w:t>
      </w:r>
      <w:r w:rsidR="00AC7A5E">
        <w:t xml:space="preserve"> markers</w:t>
      </w:r>
      <w:r w:rsidR="005F1042">
        <w:t xml:space="preserve"> </w:t>
      </w:r>
      <w:r w:rsidR="005F1042">
        <w:fldChar w:fldCharType="begin" w:fldLock="1"/>
      </w:r>
      <w:r w:rsidR="00BF7152">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rsidR="005F1042">
        <w:fldChar w:fldCharType="separate"/>
      </w:r>
      <w:r w:rsidR="005F1042" w:rsidRPr="005F1042">
        <w:rPr>
          <w:noProof/>
        </w:rPr>
        <w:t>(Wiser and Lenski 2015)</w:t>
      </w:r>
      <w:r w:rsidR="005F1042">
        <w:fldChar w:fldCharType="end"/>
      </w:r>
      <w:r w:rsidR="00AC7A5E">
        <w:t xml:space="preserve">.  More recently, </w:t>
      </w:r>
      <w:r w:rsidR="006161B0">
        <w:t>flow cytometry</w:t>
      </w:r>
      <w:r w:rsidR="00675E28">
        <w:t xml:space="preserve"> </w:t>
      </w:r>
      <w:r w:rsidR="00AC7A5E">
        <w:t>has been used with fluorescently marked cells</w:t>
      </w:r>
      <w:r w:rsidR="005F1042">
        <w:t xml:space="preserve"> </w:t>
      </w:r>
      <w:r w:rsidR="005F1042">
        <w:fldChar w:fldCharType="begin" w:fldLock="1"/>
      </w:r>
      <w:r w:rsidR="00BF7152">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"http://www.mendeley.com/documents/?uuid=d48f9fea-e38a-44de-ac34-4311c53f344b" ] } ], "mendeley" : { "formattedCitation" : "(Gallet et al. 2012b)", "plainTextFormattedCitation" : "(Gallet et al. 2012b)", "previouslyFormattedCitation" : "(Gallet et al. 2012b)" }, "properties" : { "noteIndex" : 0 }, "schema" : "https://github.com/citation-style-language/schema/raw/master/csl-citation.json" }</w:instrText>
      </w:r>
      <w:r w:rsidR="005F1042">
        <w:fldChar w:fldCharType="separate"/>
      </w:r>
      <w:r w:rsidR="00223CEC" w:rsidRPr="00223CEC">
        <w:rPr>
          <w:noProof/>
        </w:rPr>
        <w:t>(Gallet et al. 2012b)</w:t>
      </w:r>
      <w:r w:rsidR="005F1042">
        <w:fldChar w:fldCharType="end"/>
      </w:r>
      <w:r w:rsidR="00AC7A5E">
        <w:t xml:space="preserve"> and</w:t>
      </w:r>
      <w:r w:rsidR="00675E28">
        <w:t xml:space="preserve"> deep sequencing</w:t>
      </w:r>
      <w:r w:rsidR="00AC7A5E">
        <w:t xml:space="preserve"> read counts have been used to determine the frequencies of different alleles in the population</w:t>
      </w:r>
      <w:r w:rsidR="00675E28">
        <w:t xml:space="preserve"> </w:t>
      </w:r>
      <w:r w:rsidR="00675E28">
        <w:fldChar w:fldCharType="begin" w:fldLock="1"/>
      </w:r>
      <w:r w:rsidR="00052DE4">
        <w:instrText>ADDIN CSL_CITATION { "citationItems" : [ { "id" : "ITEM-1", "itemData" : { "DOI" : "10.1534/genetics.113.156190", "ISSN" : "1943-2631", "PMID" : "24398421", "abstract" : "The role of adaptation in the evolutionary process has been contentious for decades. At the heart of the century-old debate between neutralists and selectionists lies the distribution of fitness effects (DFE) - that is, the selective effect of all mutations. Attempts to describe the DFE have been varied, occupying theoreticians and experimentalists alike. New high-throughput techniques stand to make important contributions to empirical efforts to characterize the DFE, but the usefulness of such approaches depends on the availability of robust statistical methods for their interpretation. We here present and discuss a Bayesian MCMC approach to estimate fitness from deep sequencing data, and use it to assess the DFE for the same 560 point mutations in a coding region of Hsp90 in Saccharomyces cerevisiae across six different environmental conditions. Using these estimates, we compare the differences in the DFEs resulting from mutations covering 1, 2 and 3 nucleotide steps from the wild type - showing that multiple-step mutations harbor more potential for adaptation in challenging environments, but also tend to be more deleterious in the standard environment. All observations are discussed in the light of expectations arising from Fisher's geometric model.", "author" : [ { "dropping-particle" : "", "family" : "Bank", "given" : "Claudia", "non-dropping-particle" : "", "parse-names" : false, "suffix" : "" }, { "dropping-particle" : "", "family" : "Hietpas", "given" : "Ryan T.", "non-dropping-particle" : "", "parse-names" : false, "suffix" : "" }, { "dropping-particle" : "", "family" : "Wong", "given" : "Alex", "non-dropping-particle" : "", "parse-names" : false, "suffix" : "" }, { "dropping-particle" : "", "family" : "Bolon", "given" : "Daniel N. A.", "non-dropping-particle" : "", "parse-names" : false, "suffix" : "" }, { "dropping-particle" : "", "family" : "Jensen", "given" : "Jeffrey D.", "non-dropping-particle" : "", "parse-names" : false, "suffix" : "" } ], "container-title" : "Genetics", "id" : "ITEM-1", "issue" : "3", "issued" : { "date-parts" : [ [ "2014", "1", "7" ] ] }, "page" : "1-35", "title" : "A Bayesian MCMC Approach To Assess the Complete Distribution of Fitness Effects of New Mutations: Uncovering the Potential for Adaptive Walks in Challenging Environments.", "type" : "article-journal", "volume" : "196" }, "uris" : [ "http://www.mendeley.com/documents/?uuid=b8f847ea-1b54-47de-87a1-50edb2cc40d9" ] }, { "id" : "ITEM-2", "itemData" : { "DOI" : "10.1038/nature14279", "ISSN" : "0028-0836",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"ITEM-2", "issue" : "7542", "issued" : { "date-parts" : [ [ "2015", "2", "25" ] ] }, "page" : "181-186", "title" : "Quantitative evolutionary dynamics using high-resolution lineage tracking", "type" : "article-journal", "volume" : "519" }, "uris" : [ "http://www.mendeley.com/documents/?uuid=35e8adc9-7156-49fa-aebf-5dca7aa1e05a" ] } ], "mendeley" : { "formattedCitation" : "(Bank et al. 2014; Levy et al. 2015)", "plainTextFormattedCitation" : "(Bank et al. 2014; Levy et al. 2015)", "previouslyFormattedCitation" : "(Bank et al. 2014; Levy et al. 2015)" }, "properties" : { "noteIndex" : 0 }, "schema" : "https://github.com/citation-style-language/schema/raw/master/csl-citation.json" }</w:instrText>
      </w:r>
      <w:r w:rsidR="00675E28">
        <w:fldChar w:fldCharType="separate"/>
      </w:r>
      <w:r w:rsidR="004D4A11" w:rsidRPr="004D4A11">
        <w:rPr>
          <w:noProof/>
        </w:rPr>
        <w:t>(Bank et al. 2014; Levy et al. 2015)</w:t>
      </w:r>
      <w:r w:rsidR="00675E28">
        <w:fldChar w:fldCharType="end"/>
      </w:r>
      <w:r w:rsidR="001539BA">
        <w:t>.</w:t>
      </w:r>
      <w:r w:rsidR="00B12AFC">
        <w:t xml:space="preserve"> </w:t>
      </w:r>
      <w:r w:rsidR="00AC7A5E">
        <w:t>The selection coefficient of the strains of interest can then be estimated f</w:t>
      </w:r>
      <w:r w:rsidR="00677B67">
        <w:t>rom change</w:t>
      </w:r>
      <w:r w:rsidR="00AC7A5E">
        <w:t>s</w:t>
      </w:r>
      <w:r w:rsidR="00677B67">
        <w:t xml:space="preserve"> in </w:t>
      </w:r>
      <w:r w:rsidR="00AC7A5E">
        <w:t>the</w:t>
      </w:r>
      <w:r w:rsidR="00D220AB">
        <w:t>ir</w:t>
      </w:r>
      <w:r w:rsidR="00AC7A5E">
        <w:t xml:space="preserve"> </w:t>
      </w:r>
      <w:r w:rsidR="00677B67">
        <w:t>frequenc</w:t>
      </w:r>
      <w:r w:rsidR="001539BA">
        <w:t>ies</w:t>
      </w:r>
      <w:r w:rsidR="00AC7A5E">
        <w:t xml:space="preserve"> </w:t>
      </w:r>
      <w:r w:rsidR="006161B0">
        <w:t>during</w:t>
      </w:r>
      <w:r w:rsidR="00AC7A5E">
        <w:t xml:space="preserve"> </w:t>
      </w:r>
      <w:r w:rsidR="00D220AB">
        <w:t xml:space="preserve">the </w:t>
      </w:r>
      <w:r w:rsidR="00677B67">
        <w:t>competition</w:t>
      </w:r>
      <w:r w:rsidR="00B12AFC" w:rsidRPr="00B12AFC">
        <w:t xml:space="preserve"> </w:t>
      </w:r>
      <w:r w:rsidR="006161B0">
        <w:t>experiment</w:t>
      </w:r>
      <w:r w:rsidR="00AC7A5E">
        <w:t>s</w:t>
      </w:r>
      <w:r w:rsidR="005B79A5">
        <w:t xml:space="preserve">. </w:t>
      </w:r>
      <w:r w:rsidR="006161B0">
        <w:t>T</w:t>
      </w:r>
      <w:r w:rsidR="00677B67">
        <w:t>h</w:t>
      </w:r>
      <w:r w:rsidR="00BB16DB">
        <w:t>ese</w:t>
      </w:r>
      <w:r w:rsidR="00677B67">
        <w:t xml:space="preserve"> method</w:t>
      </w:r>
      <w:r w:rsidR="00BB16DB">
        <w:t>s</w:t>
      </w:r>
      <w:r w:rsidR="00677B67">
        <w:t xml:space="preserve"> </w:t>
      </w:r>
      <w:r>
        <w:t>infer</w:t>
      </w:r>
      <w:r w:rsidR="006161B0">
        <w:t xml:space="preserve"> relative</w:t>
      </w:r>
      <w:r w:rsidR="00677B67">
        <w:t xml:space="preserve"> fitness</w:t>
      </w:r>
      <w:r w:rsidR="00D220AB">
        <w:t xml:space="preserve"> with high precision </w:t>
      </w:r>
      <w:r w:rsidR="00D220AB">
        <w:fldChar w:fldCharType="begin" w:fldLock="1"/>
      </w:r>
      <w:r w:rsidR="00BF7152">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"http://www.mendeley.com/documents/?uuid=d48f9fea-e38a-44de-ac34-4311c53f344b" ] } ], "mendeley" : { "formattedCitation" : "(Gallet et al. 2012b)", "plainTextFormattedCitation" : "(Gallet et al. 2012b)", "previouslyFormattedCitation" : "(Gallet et al. 2012b)" }, "properties" : { "noteIndex" : 0 }, "schema" : "https://github.com/citation-style-language/schema/raw/master/csl-citation.json" }</w:instrText>
      </w:r>
      <w:r w:rsidR="00D220AB">
        <w:fldChar w:fldCharType="separate"/>
      </w:r>
      <w:r w:rsidR="00223CEC" w:rsidRPr="00223CEC">
        <w:rPr>
          <w:noProof/>
        </w:rPr>
        <w:t>(Gallet et al. 2012b)</w:t>
      </w:r>
      <w:r w:rsidR="00D220AB">
        <w:fldChar w:fldCharType="end"/>
      </w:r>
      <w:r w:rsidR="00677B67">
        <w:t xml:space="preserve">, as </w:t>
      </w:r>
      <w:r w:rsidR="00BB16DB">
        <w:t>they</w:t>
      </w:r>
      <w:r w:rsidR="00677B67">
        <w:t xml:space="preserve"> directly estimate</w:t>
      </w:r>
      <w:r w:rsidR="00C77C23">
        <w:t xml:space="preserve"> </w:t>
      </w:r>
      <w:r w:rsidR="00677B67">
        <w:t>fitness</w:t>
      </w:r>
      <w:r w:rsidR="006161B0">
        <w:t xml:space="preserve"> from </w:t>
      </w:r>
      <w:r w:rsidR="00077B31">
        <w:t>change</w:t>
      </w:r>
      <w:r>
        <w:t>s</w:t>
      </w:r>
      <w:r w:rsidR="00077B31">
        <w:t xml:space="preserve"> in </w:t>
      </w:r>
      <w:r w:rsidR="006161B0">
        <w:t>frequencies over time</w:t>
      </w:r>
      <w:r w:rsidR="00677B67">
        <w:t xml:space="preserve">. However, competition </w:t>
      </w:r>
      <w:r w:rsidR="006161B0">
        <w:t>experiments</w:t>
      </w:r>
      <w:r w:rsidR="00677B67">
        <w:t xml:space="preserve"> are</w:t>
      </w:r>
      <w:r w:rsidR="00B12AFC">
        <w:t xml:space="preserve"> more</w:t>
      </w:r>
      <w:r w:rsidR="00677B67">
        <w:t xml:space="preserve"> laborious </w:t>
      </w:r>
      <w:r w:rsidR="00B12AFC">
        <w:t xml:space="preserve">than growth curve </w:t>
      </w:r>
      <w:r w:rsidR="006161B0">
        <w:t>experiments</w:t>
      </w:r>
      <w:r w:rsidR="00B12AFC">
        <w:t xml:space="preserve"> </w:t>
      </w:r>
      <w:r w:rsidR="00677B67">
        <w:t xml:space="preserve">and </w:t>
      </w:r>
      <w:r w:rsidR="00B12AFC">
        <w:t xml:space="preserve">are typically more </w:t>
      </w:r>
      <w:r w:rsidR="00AC7A5E">
        <w:t>expensive</w:t>
      </w:r>
      <w:r w:rsidR="00677B67">
        <w:t>, requiring the construction and assaying of genetic or phenotypic markers</w:t>
      </w:r>
      <w:r w:rsidR="003D0164">
        <w:t xml:space="preserve"> </w:t>
      </w:r>
      <w:r w:rsidR="00677B67">
        <w:fldChar w:fldCharType="begin" w:fldLock="1"/>
      </w:r>
      <w:r w:rsidR="00BB16DB">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"(Concepci\u00f3n-Acevedo et al. 2015)", "manualFormatting" : "(Concepci\u00f3n-Acevedo et al. 2015 and references therein)", "plainTextFormattedCitation" : "(Concepci\u00f3n-Acevedo et al. 2015)", "previouslyFormattedCitation" : "(Concepci\u00f3n-Acevedo et al. 2015)" }, "properties" : { "noteIndex" : 0 }, "schema" : "https://github.com/citation-style-language/schema/raw/master/csl-citation.json" }</w:instrText>
      </w:r>
      <w:r w:rsidR="00677B67">
        <w:fldChar w:fldCharType="separate"/>
      </w:r>
      <w:r w:rsidR="003D0164" w:rsidRPr="003D0164">
        <w:rPr>
          <w:noProof/>
        </w:rPr>
        <w:t>(Concepción-Acevedo et al. 2015</w:t>
      </w:r>
      <w:r w:rsidR="003D0164">
        <w:rPr>
          <w:noProof/>
        </w:rPr>
        <w:t xml:space="preserve"> and references therein</w:t>
      </w:r>
      <w:r w:rsidR="003D0164" w:rsidRPr="003D0164">
        <w:rPr>
          <w:noProof/>
        </w:rPr>
        <w:t>)</w:t>
      </w:r>
      <w:r w:rsidR="00677B67">
        <w:fldChar w:fldCharType="end"/>
      </w:r>
      <w:r w:rsidR="00FC0D75">
        <w:t xml:space="preserve">. </w:t>
      </w:r>
      <w:r w:rsidR="00920F1D">
        <w:t>Therefore</w:t>
      </w:r>
      <w:r w:rsidR="00FC0D75">
        <w:t xml:space="preserve">, many investigators </w:t>
      </w:r>
      <w:r w:rsidR="00AC7A5E">
        <w:t xml:space="preserve">prefer to </w:t>
      </w:r>
      <w:r w:rsidR="00FC0D75">
        <w:t>use proxies of fitness such as growth rates.</w:t>
      </w:r>
    </w:p>
    <w:p w14:paraId="58A49E20" w14:textId="48D45714" w:rsidR="00D17DC9" w:rsidRDefault="005302A1" w:rsidP="00D17DC9">
      <w:pPr>
        <w:pStyle w:val="Heading2"/>
      </w:pPr>
      <w:r>
        <w:t xml:space="preserve">Outlook </w:t>
      </w:r>
    </w:p>
    <w:p w14:paraId="0A447EA3" w14:textId="4DF8F613" w:rsidR="0044050E" w:rsidRDefault="0044050E" w:rsidP="00D17DC9">
      <w:pPr>
        <w:rPr>
          <w:lang w:bidi="ar-SA"/>
        </w:rPr>
      </w:pPr>
      <w:r w:rsidRPr="00FD5DB1">
        <w:t xml:space="preserve">Here </w:t>
      </w:r>
      <w:r w:rsidR="00D220AB">
        <w:t>we</w:t>
      </w:r>
      <w:r w:rsidRPr="00FD5DB1">
        <w:t xml:space="preserve"> </w:t>
      </w:r>
      <w:r w:rsidR="00D220AB">
        <w:t xml:space="preserve">present </w:t>
      </w:r>
      <w:r w:rsidRPr="00BE2CB3">
        <w:rPr>
          <w:lang w:bidi="ar-SA"/>
        </w:rPr>
        <w:t xml:space="preserve">a new computational method named </w:t>
      </w:r>
      <w:r w:rsidRPr="00BE2CB3">
        <w:rPr>
          <w:i/>
          <w:iCs/>
          <w:lang w:bidi="ar-SA"/>
        </w:rPr>
        <w:t>Curveball</w:t>
      </w:r>
      <w:r w:rsidRPr="00BE2CB3">
        <w:rPr>
          <w:lang w:bidi="ar-SA"/>
        </w:rPr>
        <w:t xml:space="preserve">: </w:t>
      </w:r>
      <w:r w:rsidR="00D17DC9">
        <w:t>a descriptive and predictive framework for estimating growth traits from growth dynamics, predicting competition results, and inferring relative fitness. This integration between growth and fitness is crucial for understanding microbial diversity and adaptation due to the fundamental role of fitness in evolution</w:t>
      </w:r>
    </w:p>
    <w:p w14:paraId="4EC11D9F" w14:textId="1D36A5B7" w:rsidR="00FC0D75" w:rsidRDefault="000D1077" w:rsidP="00507681">
      <w:pPr>
        <w:pStyle w:val="Heading1"/>
      </w:pPr>
      <w:r>
        <w:t>Results</w:t>
      </w:r>
      <w:r w:rsidR="00FC0D75">
        <w:t xml:space="preserve"> </w:t>
      </w:r>
    </w:p>
    <w:p w14:paraId="619A2F8E" w14:textId="257F903B" w:rsidR="00060445" w:rsidRDefault="00B12AFC" w:rsidP="00507681">
      <w:r>
        <w:t>O</w:t>
      </w:r>
      <w:r w:rsidR="00765CD6">
        <w:t xml:space="preserve">ur method </w:t>
      </w:r>
      <w:r>
        <w:t xml:space="preserve">includes </w:t>
      </w:r>
      <w:r w:rsidR="0044050E">
        <w:t>four</w:t>
      </w:r>
      <w:r>
        <w:t xml:space="preserve"> stages: (</w:t>
      </w:r>
      <w:proofErr w:type="spellStart"/>
      <w:r>
        <w:t>i</w:t>
      </w:r>
      <w:proofErr w:type="spellEnd"/>
      <w:r>
        <w:t xml:space="preserve">) </w:t>
      </w:r>
      <w:r w:rsidR="00765CD6">
        <w:t xml:space="preserve">fitting growth models to </w:t>
      </w:r>
      <w:r w:rsidR="0044050E">
        <w:t xml:space="preserve">monoculture </w:t>
      </w:r>
      <w:r w:rsidR="00765CD6">
        <w:t>growth curves data,</w:t>
      </w:r>
      <w:r w:rsidR="0044050E">
        <w:t xml:space="preserve"> (ii) fitting competition models to mixed culture growth curve data,</w:t>
      </w:r>
      <w:r w:rsidR="000363EF">
        <w:t xml:space="preserve"> </w:t>
      </w:r>
      <w:r w:rsidR="007C0F87">
        <w:t>(ii</w:t>
      </w:r>
      <w:r w:rsidR="0044050E">
        <w:t>i</w:t>
      </w:r>
      <w:r w:rsidR="007C0F87">
        <w:t>)</w:t>
      </w:r>
      <w:r w:rsidR="00765CD6">
        <w:t xml:space="preserve"> using the </w:t>
      </w:r>
      <w:r w:rsidR="0044050E">
        <w:t xml:space="preserve">estimated growth and competition parameters </w:t>
      </w:r>
      <w:r w:rsidR="00765CD6">
        <w:t xml:space="preserve">to predict the results of competition </w:t>
      </w:r>
      <w:r w:rsidR="00077B31">
        <w:t>experiments</w:t>
      </w:r>
      <w:r w:rsidR="00765CD6">
        <w:t xml:space="preserve">, and </w:t>
      </w:r>
      <w:proofErr w:type="gramStart"/>
      <w:r w:rsidR="0044050E">
        <w:t>(iv</w:t>
      </w:r>
      <w:r w:rsidR="003202F1">
        <w:t xml:space="preserve">) </w:t>
      </w:r>
      <w:r w:rsidR="00077B31">
        <w:t>estimating</w:t>
      </w:r>
      <w:proofErr w:type="gramEnd"/>
      <w:r w:rsidR="00765CD6">
        <w:t xml:space="preserve"> </w:t>
      </w:r>
      <w:r w:rsidR="0044050E">
        <w:t xml:space="preserve">fitness </w:t>
      </w:r>
      <w:r w:rsidR="00765CD6">
        <w:t>from the</w:t>
      </w:r>
      <w:r w:rsidR="00865920">
        <w:t xml:space="preserve"> predicted competition results.</w:t>
      </w:r>
    </w:p>
    <w:p w14:paraId="0F58CA5C" w14:textId="50A7E5BE" w:rsidR="002B4BAE" w:rsidRDefault="002B4BAE" w:rsidP="002B4BAE">
      <w:pPr>
        <w:pStyle w:val="Heading2"/>
      </w:pPr>
      <w:r>
        <w:t>Growth curves</w:t>
      </w:r>
    </w:p>
    <w:p w14:paraId="3C9F91C4" w14:textId="02BD1D51" w:rsidR="002B4BAE" w:rsidRDefault="002B4BAE" w:rsidP="00DA15C0">
      <w:r>
        <w:t xml:space="preserve">In each experiment we grew two </w:t>
      </w:r>
      <w:r>
        <w:rPr>
          <w:i/>
          <w:iCs/>
        </w:rPr>
        <w:t>E. coli</w:t>
      </w:r>
      <w:r>
        <w:t xml:space="preserve"> strains, each labeled with a different fluorescent marker – green or red – in monoculture and mixed culture, and measured their changing density over several hours (</w:t>
      </w:r>
      <w:r w:rsidR="00DA15C0">
        <w:fldChar w:fldCharType="begin"/>
      </w:r>
      <w:r w:rsidR="00DA15C0">
        <w:instrText xml:space="preserve"> REF _Ref439852115 \h </w:instrText>
      </w:r>
      <w:r w:rsidR="00DA15C0">
        <w:fldChar w:fldCharType="separate"/>
      </w:r>
      <w:r w:rsidR="007F2D48" w:rsidRPr="002B4BAE">
        <w:t xml:space="preserve">Figure </w:t>
      </w:r>
      <w:r w:rsidR="007F2D48">
        <w:rPr>
          <w:noProof/>
        </w:rPr>
        <w:t>1</w:t>
      </w:r>
      <w:r w:rsidR="00DA15C0">
        <w:fldChar w:fldCharType="end"/>
      </w:r>
      <w:r>
        <w:t>).</w:t>
      </w:r>
    </w:p>
    <w:p w14:paraId="2D9D7FB9" w14:textId="77777777" w:rsidR="002B4BAE" w:rsidRDefault="002B4BAE" w:rsidP="002B4BAE"/>
    <w:p w14:paraId="62D826DE" w14:textId="77777777" w:rsidR="002B4BAE" w:rsidRDefault="002B4BAE" w:rsidP="002B4BAE">
      <w:pPr>
        <w:keepNext/>
      </w:pPr>
      <w:r>
        <w:rPr>
          <w:noProof/>
        </w:rPr>
        <w:drawing>
          <wp:inline distT="0" distB="0" distL="0" distR="0" wp14:anchorId="51243536" wp14:editId="1819056B">
            <wp:extent cx="5262245" cy="1802765"/>
            <wp:effectExtent l="0" t="0" r="0" b="6985"/>
            <wp:docPr id="6" name="Picture 6" descr="D:\workspace\curveball_project\ms\Fig-we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curveball_project\ms\Fig-well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2245" cy="1802765"/>
                    </a:xfrm>
                    <a:prstGeom prst="rect">
                      <a:avLst/>
                    </a:prstGeom>
                    <a:noFill/>
                    <a:ln>
                      <a:noFill/>
                    </a:ln>
                  </pic:spPr>
                </pic:pic>
              </a:graphicData>
            </a:graphic>
          </wp:inline>
        </w:drawing>
      </w:r>
    </w:p>
    <w:p w14:paraId="52D0ECA8" w14:textId="4F34ADD3" w:rsidR="002B4BAE" w:rsidRPr="002B4BAE" w:rsidRDefault="002B4BAE" w:rsidP="002B4BAE">
      <w:pPr>
        <w:pStyle w:val="Caption"/>
        <w:jc w:val="center"/>
        <w:rPr>
          <w:b w:val="0"/>
          <w:bCs w:val="0"/>
          <w:color w:val="auto"/>
        </w:rPr>
      </w:pPr>
      <w:bookmarkStart w:id="0" w:name="_Ref439852115"/>
      <w:proofErr w:type="gramStart"/>
      <w:r w:rsidRPr="002B4BAE">
        <w:rPr>
          <w:color w:val="auto"/>
        </w:rPr>
        <w:t xml:space="preserve">Figure </w:t>
      </w:r>
      <w:r w:rsidRPr="002B4BAE">
        <w:rPr>
          <w:color w:val="auto"/>
        </w:rPr>
        <w:fldChar w:fldCharType="begin"/>
      </w:r>
      <w:r w:rsidRPr="002B4BAE">
        <w:rPr>
          <w:color w:val="auto"/>
        </w:rPr>
        <w:instrText xml:space="preserve"> SEQ Figure \* ARABIC </w:instrText>
      </w:r>
      <w:r w:rsidRPr="002B4BAE">
        <w:rPr>
          <w:color w:val="auto"/>
        </w:rPr>
        <w:fldChar w:fldCharType="separate"/>
      </w:r>
      <w:r w:rsidR="00755D4D">
        <w:rPr>
          <w:noProof/>
          <w:color w:val="auto"/>
        </w:rPr>
        <w:t>1</w:t>
      </w:r>
      <w:r w:rsidRPr="002B4BAE">
        <w:rPr>
          <w:color w:val="auto"/>
        </w:rPr>
        <w:fldChar w:fldCharType="end"/>
      </w:r>
      <w:bookmarkEnd w:id="0"/>
      <w:r>
        <w:rPr>
          <w:color w:val="auto"/>
        </w:rPr>
        <w:t>.</w:t>
      </w:r>
      <w:proofErr w:type="gramEnd"/>
      <w:r>
        <w:rPr>
          <w:color w:val="auto"/>
        </w:rPr>
        <w:t xml:space="preserve"> </w:t>
      </w:r>
      <w:proofErr w:type="gramStart"/>
      <w:r>
        <w:rPr>
          <w:color w:val="auto"/>
        </w:rPr>
        <w:t xml:space="preserve">Growth curve data from two experiments with </w:t>
      </w:r>
      <w:r>
        <w:rPr>
          <w:i/>
          <w:iCs/>
          <w:color w:val="auto"/>
        </w:rPr>
        <w:t>E. coli</w:t>
      </w:r>
      <w:r>
        <w:rPr>
          <w:color w:val="auto"/>
        </w:rPr>
        <w:t>.</w:t>
      </w:r>
      <w:proofErr w:type="gramEnd"/>
      <w:r>
        <w:rPr>
          <w:color w:val="auto"/>
        </w:rPr>
        <w:t xml:space="preserve"> </w:t>
      </w:r>
      <w:r>
        <w:rPr>
          <w:b w:val="0"/>
          <w:bCs w:val="0"/>
          <w:color w:val="auto"/>
        </w:rPr>
        <w:t xml:space="preserve">The optical density (OD) of two strains growing in monoculture (green lines for green labeled strain; red lines for red labeled strains) and mixed culture (blue lines). Each experimental replicate is represented by a separate line. </w:t>
      </w:r>
      <w:r>
        <w:rPr>
          <w:color w:val="auto"/>
        </w:rPr>
        <w:t>(A)</w:t>
      </w:r>
      <w:r>
        <w:rPr>
          <w:b w:val="0"/>
          <w:bCs w:val="0"/>
          <w:color w:val="auto"/>
        </w:rPr>
        <w:t xml:space="preserve"> Experiment started by diluting bacteria from stationary phase into fresh media. Therefore, there is a clear lag phase, which is longer for the green strain. </w:t>
      </w:r>
      <w:r>
        <w:rPr>
          <w:color w:val="auto"/>
        </w:rPr>
        <w:t>(B)</w:t>
      </w:r>
      <w:r>
        <w:rPr>
          <w:b w:val="0"/>
          <w:bCs w:val="0"/>
          <w:color w:val="auto"/>
        </w:rPr>
        <w:t xml:space="preserve"> Bacteria were diluted into fresh media before experiment started and allowed to adjust to growth for 4 hours. They were then diluted again into fresh media and the experiment started. Therefore, there is no observable lag phase.</w:t>
      </w:r>
    </w:p>
    <w:p w14:paraId="19EFE683" w14:textId="77777777" w:rsidR="001D6287" w:rsidRDefault="001D6287" w:rsidP="00DA15C0"/>
    <w:p w14:paraId="731F4FC5" w14:textId="29CCE69A" w:rsidR="00060445" w:rsidRPr="00A362F7" w:rsidRDefault="00060445" w:rsidP="00507681">
      <w:pPr>
        <w:pStyle w:val="Heading2"/>
      </w:pPr>
      <w:r w:rsidRPr="00A362F7">
        <w:t>Growth model</w:t>
      </w:r>
      <w:r w:rsidR="003202F1">
        <w:t>s</w:t>
      </w:r>
    </w:p>
    <w:p w14:paraId="13443C12" w14:textId="6E778184" w:rsidR="00765CD6" w:rsidRDefault="00765CD6" w:rsidP="00A4145D">
      <w:r>
        <w:t xml:space="preserve">Because we are interested in </w:t>
      </w:r>
      <w:r w:rsidR="003E7D70">
        <w:t>several</w:t>
      </w:r>
      <w:r w:rsidR="00984152">
        <w:t xml:space="preserve"> </w:t>
      </w:r>
      <w:r>
        <w:t xml:space="preserve">growth </w:t>
      </w:r>
      <w:r w:rsidR="00984152">
        <w:t xml:space="preserve">phases </w:t>
      </w:r>
      <w:r>
        <w:t xml:space="preserve">– the lag phase, the exponential phase, </w:t>
      </w:r>
      <w:r w:rsidR="00984152">
        <w:t>and the stationary phase</w:t>
      </w:r>
      <w:r w:rsidR="00895982">
        <w:t xml:space="preserve"> </w:t>
      </w:r>
      <w:r>
        <w:t>– we use an extension of the logistic mo</w:t>
      </w:r>
      <w:r w:rsidR="00966DD5">
        <w:t>del,</w:t>
      </w:r>
      <w:r w:rsidR="00984152">
        <w:t xml:space="preserve"> </w:t>
      </w:r>
      <w:r>
        <w:t xml:space="preserve">the </w:t>
      </w:r>
      <w:proofErr w:type="spellStart"/>
      <w:r w:rsidRPr="00966DD5">
        <w:t>Baranyi</w:t>
      </w:r>
      <w:proofErr w:type="spellEnd"/>
      <w:r w:rsidRPr="00966DD5">
        <w:t xml:space="preserve">-Roberts model </w:t>
      </w:r>
      <w:r>
        <w:fldChar w:fldCharType="begin" w:fldLock="1"/>
      </w:r>
      <w:r w:rsidR="00574E06">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fldChar w:fldCharType="separate"/>
      </w:r>
      <w:r w:rsidR="00CC51DD" w:rsidRPr="00CC51DD">
        <w:rPr>
          <w:noProof/>
        </w:rPr>
        <w:t>(Baranyi and Roberts 1994)</w:t>
      </w:r>
      <w:r>
        <w:fldChar w:fldCharType="end"/>
      </w:r>
      <w:r>
        <w:t>.</w:t>
      </w:r>
    </w:p>
    <w:p w14:paraId="3BC129A0" w14:textId="36D9B50A" w:rsidR="00765CD6" w:rsidRDefault="00765CD6" w:rsidP="00A4145D">
      <w:r>
        <w:t xml:space="preserve">The </w:t>
      </w:r>
      <w:proofErr w:type="spellStart"/>
      <w:r>
        <w:t>Baranyi</w:t>
      </w:r>
      <w:proofErr w:type="spellEnd"/>
      <w:r>
        <w:t>-</w:t>
      </w:r>
      <w:r w:rsidR="00984152">
        <w:t xml:space="preserve">Roberts </w:t>
      </w:r>
      <w:r>
        <w:t xml:space="preserve">model </w:t>
      </w:r>
      <w:r w:rsidR="00A4145D">
        <w:t>describes the growth of a cell population under a limiting resource; as the resource becomes scarce, growth decelerates, until it finally halts when the resource is depleted. The model is</w:t>
      </w:r>
      <w:r>
        <w:t xml:space="preserve"> </w:t>
      </w:r>
      <w:r w:rsidR="00A4145D">
        <w:t xml:space="preserve">described </w:t>
      </w:r>
      <w:r>
        <w:t>by the following ordinary differential equation</w:t>
      </w:r>
      <w:r w:rsidR="00966DD5">
        <w:t xml:space="preserve"> [</w:t>
      </w:r>
      <w:r w:rsidR="00EB7652">
        <w:t xml:space="preserve">see </w:t>
      </w:r>
      <w:proofErr w:type="spellStart"/>
      <w:r w:rsidR="00EB7652">
        <w:t>eqs</w:t>
      </w:r>
      <w:proofErr w:type="spellEnd"/>
      <w:r w:rsidR="00EB7652">
        <w:t xml:space="preserve">. 1c, 3a, and 5a in </w:t>
      </w:r>
      <w:r w:rsidR="00EB7652">
        <w:fldChar w:fldCharType="begin" w:fldLock="1"/>
      </w:r>
      <w:r w:rsidR="003D0164">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rsidR="00EB7652">
        <w:fldChar w:fldCharType="separate"/>
      </w:r>
      <w:r w:rsidR="003D0164" w:rsidRPr="003D0164">
        <w:rPr>
          <w:noProof/>
        </w:rPr>
        <w:t>(Baranyi and Roberts 1994)</w:t>
      </w:r>
      <w:r w:rsidR="00EB7652">
        <w:fldChar w:fldCharType="end"/>
      </w:r>
      <w:r w:rsidR="00966DD5">
        <w:t>]</w:t>
      </w:r>
      <w:r>
        <w:t>:</w:t>
      </w:r>
    </w:p>
    <w:p w14:paraId="7C66A39B" w14:textId="77777777" w:rsidR="00B551CC" w:rsidRDefault="00B551CC" w:rsidP="00507681"/>
    <w:p w14:paraId="089F7244" w14:textId="12495F45" w:rsidR="00765CD6" w:rsidRDefault="00D042EE" w:rsidP="00507681">
      <w:pPr>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EB7652">
        <w:t xml:space="preserve">          </w:t>
      </w:r>
      <w:r w:rsidR="00F54779">
        <w:t xml:space="preserve">   </w:t>
      </w:r>
      <w:r w:rsidR="00EB7652">
        <w:t xml:space="preserve">                              (1a)</w:t>
      </w:r>
    </w:p>
    <w:p w14:paraId="67EF3F0B" w14:textId="02645D7D" w:rsidR="00EB7652" w:rsidRDefault="00EB7652" w:rsidP="00507681">
      <w:pPr>
        <w:jc w:val="right"/>
      </w:pP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w:t>
      </w:r>
      <w:r w:rsidR="00E77F4F">
        <w:t xml:space="preserve"> </w:t>
      </w:r>
      <w:r>
        <w:t xml:space="preserve">                                      (1b)</w:t>
      </w:r>
    </w:p>
    <w:p w14:paraId="60526681" w14:textId="44E9089C" w:rsidR="00EB7652" w:rsidRDefault="00EB7652" w:rsidP="00A4145D">
      <w:pPr>
        <w:jc w:val="right"/>
      </w:pP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t xml:space="preserve">                          </w:t>
      </w:r>
      <w:r w:rsidR="00F54779">
        <w:t xml:space="preserve"> </w:t>
      </w:r>
      <w:r>
        <w:t xml:space="preserve">                         (1c)</w:t>
      </w:r>
    </w:p>
    <w:p w14:paraId="54335713" w14:textId="77777777" w:rsidR="00B551CC" w:rsidRDefault="00B551CC" w:rsidP="00507681"/>
    <w:p w14:paraId="50A0698A" w14:textId="12D08440" w:rsidR="00EB7652" w:rsidRDefault="00EB7652" w:rsidP="00A4145D">
      <w:r>
        <w:t xml:space="preserve">where </w:t>
      </w:r>
      <m:oMath>
        <m:r>
          <w:rPr>
            <w:rFonts w:ascii="Cambria Math" w:hAnsi="Cambria Math"/>
          </w:rPr>
          <m:t>N</m:t>
        </m:r>
      </m:oMath>
      <w:r>
        <w:t xml:space="preserve"> is the population density</w:t>
      </w:r>
      <w:r w:rsidR="003202F1">
        <w:t xml:space="preserve">, </w:t>
      </w:r>
      <m:oMath>
        <m:r>
          <w:rPr>
            <w:rFonts w:ascii="Cambria Math" w:hAnsi="Cambria Math"/>
          </w:rPr>
          <m:t>t</m:t>
        </m:r>
      </m:oMath>
      <w:r w:rsidR="003202F1">
        <w:t xml:space="preserve"> is time</w:t>
      </w:r>
      <w:r>
        <w:t xml:space="preserve">, </w:t>
      </w:r>
      <m:oMath>
        <m:r>
          <w:rPr>
            <w:rFonts w:ascii="Cambria Math" w:hAnsi="Cambria Math"/>
          </w:rPr>
          <m:t>r</m:t>
        </m:r>
      </m:oMath>
      <w:r>
        <w:t xml:space="preserve"> is the </w:t>
      </w:r>
      <w:r w:rsidR="003202F1">
        <w:t>specific</w:t>
      </w:r>
      <w:r>
        <w:t xml:space="preserve"> growth rate</w:t>
      </w:r>
      <w:r w:rsidR="00A4145D">
        <w:t xml:space="preserve"> in low density</w:t>
      </w:r>
      <w:r>
        <w:t xml:space="preserve">, </w:t>
      </w:r>
      <m:oMath>
        <m:r>
          <w:rPr>
            <w:rFonts w:ascii="Cambria Math" w:hAnsi="Cambria Math"/>
          </w:rPr>
          <m:t>α</m:t>
        </m:r>
        <m:d>
          <m:dPr>
            <m:ctrlPr>
              <w:rPr>
                <w:rFonts w:ascii="Cambria Math" w:hAnsi="Cambria Math"/>
                <w:i/>
              </w:rPr>
            </m:ctrlPr>
          </m:dPr>
          <m:e>
            <m:r>
              <w:rPr>
                <w:rFonts w:ascii="Cambria Math" w:hAnsi="Cambria Math"/>
              </w:rPr>
              <m:t>t</m:t>
            </m:r>
          </m:e>
        </m:d>
      </m:oMath>
      <w:r>
        <w:t xml:space="preserve"> is the adjustment function, </w:t>
      </w:r>
      <m:oMath>
        <m:r>
          <w:rPr>
            <w:rFonts w:ascii="Cambria Math" w:hAnsi="Cambria Math"/>
          </w:rPr>
          <m:t>K</m:t>
        </m:r>
      </m:oMath>
      <w:r>
        <w:t xml:space="preserve"> is the maximum density, and </w:t>
      </w:r>
      <m:oMath>
        <m:r>
          <w:rPr>
            <w:rFonts w:ascii="Cambria Math" w:hAnsi="Cambria Math"/>
          </w:rPr>
          <m:t>ν</m:t>
        </m:r>
      </m:oMath>
      <w:r>
        <w:t xml:space="preserve"> </w:t>
      </w:r>
      <w:r w:rsidR="003202F1">
        <w:rPr>
          <w:iCs/>
        </w:rPr>
        <w:t xml:space="preserve">is the </w:t>
      </w:r>
      <w:r w:rsidR="00A4145D">
        <w:rPr>
          <w:iCs/>
        </w:rPr>
        <w:t>cell population surface to mass ratio</w:t>
      </w:r>
      <w:r w:rsidR="003202F1">
        <w:t xml:space="preserve">. </w:t>
      </w:r>
      <w:r w:rsidR="00CC51DD">
        <w:t xml:space="preserve">For a derivation of eq. 1 </w:t>
      </w:r>
      <w:r w:rsidR="00A4145D">
        <w:t>and further details</w:t>
      </w:r>
      <w:r w:rsidR="00CC51DD">
        <w:t>, see Appendix A.</w:t>
      </w:r>
    </w:p>
    <w:p w14:paraId="34FDB3B7" w14:textId="4272D624" w:rsidR="00EB7652" w:rsidRDefault="00EB7652" w:rsidP="00200E78">
      <w:r>
        <w:t xml:space="preserve">The term </w:t>
      </w:r>
      <m:oMath>
        <m:r>
          <w:rPr>
            <w:rFonts w:ascii="Cambria Math" w:hAnsi="Cambria Math"/>
          </w:rPr>
          <m:t>1-</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oMath>
      <w:r>
        <w:t xml:space="preserve"> is used to</w:t>
      </w:r>
      <w:r w:rsidR="000363EF">
        <w:t xml:space="preserve"> describe the</w:t>
      </w:r>
      <w:r>
        <w:t xml:space="preserve"> </w:t>
      </w:r>
      <w:r w:rsidR="000363EF">
        <w:t xml:space="preserve">deceleration in </w:t>
      </w:r>
      <w:r>
        <w:t xml:space="preserve">the growth of the population as it </w:t>
      </w:r>
      <w:r w:rsidR="003202F1">
        <w:t>approaches</w:t>
      </w:r>
      <w:r>
        <w:t xml:space="preserve"> the maximum </w:t>
      </w:r>
      <w:proofErr w:type="gramStart"/>
      <w:r>
        <w:t>density</w:t>
      </w:r>
      <w:r w:rsidR="00551D58">
        <w:t xml:space="preserve"> </w:t>
      </w:r>
      <w:proofErr w:type="gramEnd"/>
      <m:oMath>
        <m:r>
          <w:rPr>
            <w:rFonts w:ascii="Cambria Math" w:hAnsi="Cambria Math"/>
          </w:rPr>
          <m:t>K</m:t>
        </m:r>
      </m:oMath>
      <w:r w:rsidR="00A4145D">
        <w:t xml:space="preserve">. </w:t>
      </w:r>
      <w:proofErr w:type="gramStart"/>
      <w:r w:rsidR="00A4145D">
        <w:t xml:space="preserve">When </w:t>
      </w:r>
      <w:proofErr w:type="gramEnd"/>
      <m:oMath>
        <m:r>
          <w:rPr>
            <w:rFonts w:ascii="Cambria Math" w:hAnsi="Cambria Math"/>
          </w:rPr>
          <m:t>ν=1</m:t>
        </m:r>
      </m:oMath>
      <w:r>
        <w:t>, the deceleratio</w:t>
      </w:r>
      <w:r w:rsidR="00984152">
        <w:t xml:space="preserve">n is the same as in the </w:t>
      </w:r>
      <w:r w:rsidR="009050CE">
        <w:t>standard</w:t>
      </w:r>
      <w:r>
        <w:t xml:space="preserve"> logistic model </w:t>
      </w:r>
      <m:oMath>
        <m:d>
          <m:dPr>
            <m:ctrlPr>
              <w:rPr>
                <w:rFonts w:ascii="Cambria Math" w:hAnsi="Cambria Math"/>
                <w:i/>
              </w:rPr>
            </m:ctrlPr>
          </m:dPr>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N</m:t>
                    </m:r>
                  </m:num>
                  <m:den>
                    <m:r>
                      <w:rPr>
                        <w:rFonts w:ascii="Cambria Math" w:hAnsi="Cambria Math"/>
                      </w:rPr>
                      <m:t>K</m:t>
                    </m:r>
                  </m:den>
                </m:f>
              </m:e>
            </m:d>
          </m:e>
        </m:d>
      </m:oMath>
      <w:r w:rsidR="003202F1">
        <w:t xml:space="preserve"> </w:t>
      </w:r>
      <w:r>
        <w:t xml:space="preserve">and the density at the time of the maximum growth rate </w:t>
      </w:r>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r>
                  <w:rPr>
                    <w:rFonts w:ascii="Cambria Math" w:hAnsi="Cambria Math"/>
                  </w:rPr>
                  <m:t>t</m:t>
                </m:r>
              </m:e>
            </m:d>
            <m:r>
              <w:rPr>
                <w:rFonts w:ascii="Cambria Math" w:hAnsi="Cambria Math"/>
              </w:rPr>
              <m:t>=0</m:t>
            </m:r>
          </m:e>
        </m:d>
      </m:oMath>
      <w:r>
        <w:t xml:space="preserve"> is half the maximum density</w:t>
      </w:r>
      <w:r w:rsidR="00966DD5">
        <w:t>,</w:t>
      </w:r>
      <w:r>
        <w:t xml:space="preserve"> </w:t>
      </w:r>
      <m:oMath>
        <m:f>
          <m:fPr>
            <m:ctrlPr>
              <w:rPr>
                <w:rFonts w:ascii="Cambria Math" w:hAnsi="Cambria Math"/>
                <w:i/>
              </w:rPr>
            </m:ctrlPr>
          </m:fPr>
          <m:num>
            <m:r>
              <w:rPr>
                <w:rFonts w:ascii="Cambria Math" w:hAnsi="Cambria Math"/>
              </w:rPr>
              <m:t>K</m:t>
            </m:r>
          </m:num>
          <m:den>
            <m:r>
              <w:rPr>
                <w:rFonts w:ascii="Cambria Math" w:hAnsi="Cambria Math"/>
              </w:rPr>
              <m:t>2</m:t>
            </m:r>
          </m:den>
        </m:f>
      </m:oMath>
      <w:r>
        <w:t xml:space="preserve">. </w:t>
      </w:r>
      <w:r w:rsidR="009050CE">
        <w:t xml:space="preserve">When </w:t>
      </w:r>
      <m:oMath>
        <m:r>
          <w:rPr>
            <w:rFonts w:ascii="Cambria Math" w:hAnsi="Cambria Math"/>
          </w:rPr>
          <m:t>ν&gt;1</m:t>
        </m:r>
      </m:oMath>
      <w:r w:rsidR="009050CE">
        <w:t xml:space="preserve"> or </w:t>
      </w:r>
      <m:oMath>
        <m:r>
          <w:rPr>
            <w:rFonts w:ascii="Cambria Math" w:hAnsi="Cambria Math"/>
          </w:rPr>
          <m:t>ν&lt;1</m:t>
        </m:r>
      </m:oMath>
      <w:r w:rsidR="009050CE">
        <w:t xml:space="preserve">, the deceleration is slower or faster, respectively, and </w:t>
      </w:r>
      <w:r>
        <w:t>th</w:t>
      </w:r>
      <w:r w:rsidR="003D0164">
        <w:t>e</w:t>
      </w:r>
      <w:r>
        <w:t xml:space="preserve"> density</w:t>
      </w:r>
      <w:r w:rsidR="00A26E97" w:rsidRPr="00A26E97">
        <w:t xml:space="preserve"> </w:t>
      </w:r>
      <w:r w:rsidR="00A26E97">
        <w:t>at the time of the maximum growth rate</w:t>
      </w:r>
      <w:r>
        <w:t xml:space="preserve"> is </w:t>
      </w:r>
      <m:oMath>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1+ν</m:t>
                    </m:r>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oMath>
      <w:r w:rsidR="009050CE">
        <w:t xml:space="preserve"> </w:t>
      </w:r>
      <w:r w:rsidR="009050CE">
        <w:fldChar w:fldCharType="begin" w:fldLock="1"/>
      </w:r>
      <w:r w:rsidR="00BF7152">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"manualFormatting" : "(Richards 1959, substituting W=N,A=K,m=\u03bd+1,k=r\u22c5\u03bd)", "plainTextFormattedCitation" : "(Richards 1959)", "previouslyFormattedCitation" : "(Richards 1959)" }, "properties" : { "noteIndex" : 0 }, "schema" : "https://github.com/citation-style-language/schema/raw/master/csl-citation.json" }</w:instrText>
      </w:r>
      <w:r w:rsidR="009050CE">
        <w:fldChar w:fldCharType="separate"/>
      </w:r>
      <w:r w:rsidR="009050CE" w:rsidRPr="009050CE">
        <w:rPr>
          <w:noProof/>
        </w:rPr>
        <w:t>(Richards 1959</w:t>
      </w:r>
      <w:r w:rsidR="009050CE">
        <w:rPr>
          <w:noProof/>
        </w:rPr>
        <w:t xml:space="preserve">, substituting </w:t>
      </w:r>
      <m:oMath>
        <m:r>
          <m:rPr>
            <m:sty m:val="p"/>
          </m:rPr>
          <w:rPr>
            <w:rFonts w:ascii="Cambria Math" w:hAnsi="Cambria Math"/>
            <w:noProof/>
          </w:rPr>
          <m:t>W=N,A=K,m=ν+1,k=r⋅ν</m:t>
        </m:r>
      </m:oMath>
      <w:r w:rsidR="009050CE" w:rsidRPr="009050CE">
        <w:rPr>
          <w:noProof/>
        </w:rPr>
        <w:t>)</w:t>
      </w:r>
      <w:r w:rsidR="009050CE">
        <w:fldChar w:fldCharType="end"/>
      </w:r>
      <w:r w:rsidR="003D0164">
        <w:t>.</w:t>
      </w:r>
    </w:p>
    <w:p w14:paraId="03E4527E" w14:textId="1A334990" w:rsidR="00EB7652" w:rsidRDefault="00EB7652" w:rsidP="00A4145D">
      <w:r>
        <w:t xml:space="preserve">The adjustment function </w:t>
      </w:r>
      <m:oMath>
        <m:r>
          <w:rPr>
            <w:rFonts w:ascii="Cambria Math" w:hAnsi="Cambria Math"/>
          </w:rPr>
          <m:t>α(t)</m:t>
        </m:r>
      </m:oMath>
      <w:r>
        <w:t xml:space="preserve"> describe</w:t>
      </w:r>
      <w:proofErr w:type="spellStart"/>
      <w:r w:rsidR="003202F1">
        <w:t>s</w:t>
      </w:r>
      <w:proofErr w:type="spellEnd"/>
      <w:r>
        <w:t xml:space="preserve"> the </w:t>
      </w:r>
      <w:r w:rsidR="003202F1">
        <w:t xml:space="preserve">fraction of the population that is adjusted for </w:t>
      </w:r>
      <w:r w:rsidR="009050CE">
        <w:t>growth</w:t>
      </w:r>
      <w:r w:rsidR="003202F1">
        <w:t xml:space="preserve"> at time </w:t>
      </w:r>
      <m:oMath>
        <m:r>
          <w:rPr>
            <w:rFonts w:ascii="Cambria Math" w:hAnsi="Cambria Math"/>
          </w:rPr>
          <m:t>t</m:t>
        </m:r>
      </m:oMath>
      <w:r w:rsidR="00A4145D">
        <w:t xml:space="preserve"> (</w:t>
      </w:r>
      <m:oMath>
        <m:r>
          <w:rPr>
            <w:rFonts w:ascii="Cambria Math" w:hAnsi="Cambria Math"/>
          </w:rPr>
          <m:t>0≤α</m:t>
        </m:r>
        <m:d>
          <m:dPr>
            <m:ctrlPr>
              <w:rPr>
                <w:rFonts w:ascii="Cambria Math" w:hAnsi="Cambria Math"/>
                <w:i/>
              </w:rPr>
            </m:ctrlPr>
          </m:dPr>
          <m:e>
            <m:r>
              <w:rPr>
                <w:rFonts w:ascii="Cambria Math" w:hAnsi="Cambria Math"/>
              </w:rPr>
              <m:t>t</m:t>
            </m:r>
          </m:e>
        </m:d>
        <m:r>
          <w:rPr>
            <w:rFonts w:ascii="Cambria Math" w:hAnsi="Cambria Math"/>
          </w:rPr>
          <m:t>≤1</m:t>
        </m:r>
      </m:oMath>
      <w:r w:rsidR="00A4145D">
        <w:t>)</w:t>
      </w:r>
      <w:r>
        <w:t xml:space="preserve">. Typically, </w:t>
      </w:r>
      <w:r w:rsidR="00984152">
        <w:t>micro</w:t>
      </w:r>
      <w:r>
        <w:t xml:space="preserve">organisms are grown in overnight </w:t>
      </w:r>
      <w:r w:rsidR="003202F1">
        <w:t xml:space="preserve">liquid </w:t>
      </w:r>
      <w:r>
        <w:t>culture</w:t>
      </w:r>
      <w:r w:rsidR="003202F1">
        <w:t>, reaching</w:t>
      </w:r>
      <w:r w:rsidR="00D46522">
        <w:t xml:space="preserve"> stationary phase</w:t>
      </w:r>
      <w:r w:rsidR="003202F1">
        <w:t>,</w:t>
      </w:r>
      <w:r>
        <w:t xml:space="preserve"> </w:t>
      </w:r>
      <w:r w:rsidR="00984152">
        <w:t xml:space="preserve">and </w:t>
      </w:r>
      <w:r w:rsidR="003202F1">
        <w:t xml:space="preserve">then </w:t>
      </w:r>
      <w:r>
        <w:t>diluted into fresh media</w:t>
      </w:r>
      <w:r w:rsidR="00406968">
        <w:t xml:space="preserve">. Therefore, </w:t>
      </w:r>
      <w:r w:rsidR="00A4145D">
        <w:t>populations in</w:t>
      </w:r>
      <w:r w:rsidR="00406968">
        <w:t xml:space="preserve"> stationary phase must adjust to growth</w:t>
      </w:r>
      <w:r w:rsidR="00CD3999">
        <w:t xml:space="preserve"> conditions</w:t>
      </w:r>
      <w:r w:rsidR="00406968">
        <w:t>, and this</w:t>
      </w:r>
      <w:r w:rsidR="00D46522">
        <w:t xml:space="preserve"> might</w:t>
      </w:r>
      <w:r w:rsidR="00406968">
        <w:t xml:space="preserve"> </w:t>
      </w:r>
      <w:r w:rsidR="00D46522">
        <w:t>take</w:t>
      </w:r>
      <w:r w:rsidR="00984152">
        <w:t xml:space="preserve"> some time. T</w:t>
      </w:r>
      <w:r w:rsidR="00406968">
        <w:t xml:space="preserve">his </w:t>
      </w:r>
      <w:r w:rsidR="00984152">
        <w:t xml:space="preserve">adjustment phase </w:t>
      </w:r>
      <w:r w:rsidR="00406968">
        <w:t xml:space="preserve">is called the </w:t>
      </w:r>
      <w:r w:rsidR="00406968">
        <w:rPr>
          <w:i/>
          <w:iCs/>
        </w:rPr>
        <w:t>lag phase</w:t>
      </w:r>
      <w:r w:rsidR="00406968">
        <w:t>. The specific adjustment function we use here</w:t>
      </w:r>
      <w:r w:rsidR="005C2E39">
        <w:t xml:space="preserve"> (eq. 1c)</w:t>
      </w:r>
      <w:r w:rsidR="00406968">
        <w:t xml:space="preserve"> was suggested by </w:t>
      </w:r>
      <w:proofErr w:type="spellStart"/>
      <w:r w:rsidR="00406968">
        <w:t>Baranyi</w:t>
      </w:r>
      <w:proofErr w:type="spellEnd"/>
      <w:r w:rsidR="00406968">
        <w:t xml:space="preserve"> and Roberts</w:t>
      </w:r>
      <w:r w:rsidR="00895982">
        <w:t xml:space="preserve"> </w:t>
      </w:r>
      <w:r w:rsidR="00984152">
        <w:fldChar w:fldCharType="begin" w:fldLock="1"/>
      </w:r>
      <w:r w:rsidR="00321D10">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rsidR="00984152">
        <w:fldChar w:fldCharType="separate"/>
      </w:r>
      <w:r w:rsidR="00895982" w:rsidRPr="00895982">
        <w:rPr>
          <w:noProof/>
        </w:rPr>
        <w:t>(1994)</w:t>
      </w:r>
      <w:r w:rsidR="00984152">
        <w:fldChar w:fldCharType="end"/>
      </w:r>
      <w:r w:rsidR="00406968">
        <w:t xml:space="preserve"> due to being both computationally convenient and having </w:t>
      </w:r>
      <w:r w:rsidR="001E63B9">
        <w:t xml:space="preserve">a </w:t>
      </w:r>
      <w:r w:rsidR="00406968">
        <w:t xml:space="preserve">biological </w:t>
      </w:r>
      <w:r w:rsidR="003202F1">
        <w:t>interpretation</w:t>
      </w:r>
      <w:r w:rsidR="00406968">
        <w:t xml:space="preserv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406968">
        <w:t xml:space="preserve"> is the initial amount of some molecule (nutrient, enzyme, etc.) that is required for growth; </w:t>
      </w:r>
      <m:oMath>
        <m:r>
          <w:rPr>
            <w:rFonts w:ascii="Cambria Math" w:hAnsi="Cambria Math"/>
          </w:rPr>
          <m:t>v</m:t>
        </m:r>
      </m:oMath>
      <w:r w:rsidR="00406968">
        <w:t xml:space="preserve"> is the rate in which this molecule is accumulated</w:t>
      </w:r>
      <w:r w:rsidR="00B551CC">
        <w:t xml:space="preserve"> in the cell</w:t>
      </w:r>
      <w:r w:rsidR="00406968">
        <w:t>.</w:t>
      </w:r>
    </w:p>
    <w:p w14:paraId="693D6B89" w14:textId="31797A7A" w:rsidR="00406968" w:rsidRDefault="00406968" w:rsidP="00507681">
      <w:r>
        <w:t xml:space="preserve">The </w:t>
      </w:r>
      <w:proofErr w:type="spellStart"/>
      <w:r>
        <w:t>Baranyi</w:t>
      </w:r>
      <w:proofErr w:type="spellEnd"/>
      <w:r>
        <w:t>-Roberts differential equation</w:t>
      </w:r>
      <w:r w:rsidR="003202F1">
        <w:t xml:space="preserve"> (eq. 1)</w:t>
      </w:r>
      <w:r>
        <w:t xml:space="preserve"> has a closed form solution:</w:t>
      </w:r>
    </w:p>
    <w:p w14:paraId="745356B6" w14:textId="77777777" w:rsidR="00B551CC" w:rsidRDefault="00B551CC" w:rsidP="00507681"/>
    <w:p w14:paraId="3C326C31" w14:textId="77777777" w:rsidR="00406968" w:rsidRDefault="00406968" w:rsidP="00507681">
      <w:pPr>
        <w:jc w:val="right"/>
      </w:pPr>
      <m:oMath>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m:oMath>
      <w:r>
        <w:t xml:space="preserve">                                                 (2a)</w:t>
      </w:r>
    </w:p>
    <w:p w14:paraId="756D792D" w14:textId="7C7FEA05" w:rsidR="00406968" w:rsidRDefault="00406968" w:rsidP="00200E78">
      <w:pPr>
        <w:jc w:val="right"/>
      </w:pPr>
      <m:oMath>
        <m:r>
          <w:rPr>
            <w:rFonts w:ascii="Cambria Math" w:hAnsi="Cambria Math"/>
          </w:rPr>
          <m:t>A</m:t>
        </m:r>
        <m:d>
          <m:dPr>
            <m:ctrlPr>
              <w:rPr>
                <w:rFonts w:ascii="Cambria Math" w:hAnsi="Cambria Math"/>
              </w:rPr>
            </m:ctrlPr>
          </m:dPr>
          <m:e>
            <m:r>
              <w:rPr>
                <w:rFonts w:ascii="Cambria Math" w:hAnsi="Cambria Math"/>
              </w:rPr>
              <m:t>t</m:t>
            </m:r>
          </m:e>
        </m:d>
        <m:box>
          <m:boxPr>
            <m:opEmu m:val="1"/>
            <m:ctrlPr>
              <w:rPr>
                <w:rFonts w:ascii="Cambria Math" w:hAnsi="Cambria Math"/>
              </w:rPr>
            </m:ctrlPr>
          </m:boxPr>
          <m:e>
            <m:r>
              <m:rPr>
                <m:sty m:val="p"/>
              </m:rPr>
              <w:rPr>
                <w:rFonts w:ascii="Cambria Math" w:hAnsi="Cambria Math"/>
              </w:rPr>
              <m:t>∶=</m:t>
            </m:r>
          </m:e>
        </m:box>
        <m:nary>
          <m:naryPr>
            <m:limLoc m:val="subSup"/>
            <m:ctrlPr>
              <w:rPr>
                <w:rFonts w:ascii="Cambria Math" w:hAnsi="Cambria Math"/>
              </w:rPr>
            </m:ctrlPr>
          </m:naryPr>
          <m:sub>
            <m:r>
              <m:rPr>
                <m:sty m:val="p"/>
              </m:rPr>
              <w:rPr>
                <w:rFonts w:ascii="Cambria Math" w:hAnsi="Cambria Math"/>
              </w:rPr>
              <m:t>0</m:t>
            </m:r>
          </m:sub>
          <m:sup>
            <m:r>
              <w:rPr>
                <w:rFonts w:ascii="Cambria Math" w:hAnsi="Cambria Math"/>
              </w:rPr>
              <m:t>t</m:t>
            </m:r>
          </m:sup>
          <m:e>
            <m:r>
              <w:rPr>
                <w:rFonts w:ascii="Cambria Math" w:hAnsi="Cambria Math"/>
              </w:rPr>
              <m:t>α</m:t>
            </m:r>
            <m:d>
              <m:dPr>
                <m:ctrlPr>
                  <w:rPr>
                    <w:rFonts w:ascii="Cambria Math" w:hAnsi="Cambria Math"/>
                  </w:rPr>
                </m:ctrlPr>
              </m:dPr>
              <m:e>
                <m:r>
                  <w:rPr>
                    <w:rFonts w:ascii="Cambria Math" w:hAnsi="Cambria Math"/>
                  </w:rPr>
                  <m:t>s</m:t>
                </m:r>
              </m:e>
            </m:d>
            <m:r>
              <m:rPr>
                <m:sty m:val="p"/>
              </m:rPr>
              <w:rPr>
                <w:rFonts w:ascii="Cambria Math" w:hAnsi="Cambria Math"/>
              </w:rPr>
              <m:t xml:space="preserve"> </m:t>
            </m:r>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mt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rsidR="00551D58">
        <w:t>,</w:t>
      </w:r>
      <w:r>
        <w:t xml:space="preserve">         </w:t>
      </w:r>
      <w:r w:rsidR="00F54779">
        <w:t xml:space="preserve">   </w:t>
      </w:r>
      <w:r>
        <w:t xml:space="preserve">                         (2b)</w:t>
      </w:r>
    </w:p>
    <w:p w14:paraId="03CEAA56" w14:textId="77777777" w:rsidR="00B551CC" w:rsidRDefault="00B551CC" w:rsidP="00507681"/>
    <w:p w14:paraId="51D46DBD" w14:textId="77460587" w:rsidR="00551D58" w:rsidRDefault="00551D58" w:rsidP="00507681">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≡N(0)</m:t>
        </m:r>
      </m:oMath>
      <w:r>
        <w:t xml:space="preserve"> is the initial population density</w:t>
      </w:r>
      <w:r w:rsidR="003202F1">
        <w:t xml:space="preserve"> (usually determined by the dilution chosen by the experimenter)</w:t>
      </w:r>
      <w:r>
        <w:t>.</w:t>
      </w:r>
      <w:r w:rsidR="00A4145D">
        <w:t xml:space="preserve"> For derivation of eq. 2 from eq. 1, see Appendix A.</w:t>
      </w:r>
    </w:p>
    <w:p w14:paraId="2A6969CE" w14:textId="50914289" w:rsidR="00AD6A92" w:rsidRDefault="005F02B4" w:rsidP="00200E78">
      <w:r>
        <w:t>W</w:t>
      </w:r>
      <w:r w:rsidR="00060445">
        <w:t xml:space="preserve">e </w:t>
      </w:r>
      <w:r>
        <w:t xml:space="preserve">use </w:t>
      </w:r>
      <w:r w:rsidR="00464BA0">
        <w:t>six</w:t>
      </w:r>
      <w:r w:rsidR="00060445">
        <w:t xml:space="preserve"> </w:t>
      </w:r>
      <w:r w:rsidR="00966DD5">
        <w:t>forms</w:t>
      </w:r>
      <w:r w:rsidR="00060445">
        <w:t xml:space="preserve"> of the </w:t>
      </w:r>
      <w:proofErr w:type="spellStart"/>
      <w:r w:rsidR="00060445">
        <w:t>Baranyi</w:t>
      </w:r>
      <w:proofErr w:type="spellEnd"/>
      <w:r w:rsidR="00060445">
        <w:t>-Roberts model</w:t>
      </w:r>
      <w:r w:rsidR="00F70C02">
        <w:t xml:space="preserve"> (Table 1)</w:t>
      </w:r>
      <w:r w:rsidR="00060445">
        <w:t xml:space="preserve">. The full </w:t>
      </w:r>
      <w:r>
        <w:t>model</w:t>
      </w:r>
      <w:r w:rsidR="00060445">
        <w:t xml:space="preserve"> is described by eq. 2 and has six parameters. </w:t>
      </w:r>
      <w:r w:rsidR="00966DD5">
        <w:t>A five parameter form</w:t>
      </w:r>
      <w:r w:rsidR="00060445">
        <w:t xml:space="preserve"> </w:t>
      </w:r>
      <w:r w:rsidR="00966DD5">
        <w:t>of</w:t>
      </w:r>
      <w:r w:rsidR="00060445">
        <w:t xml:space="preserve"> the </w:t>
      </w:r>
      <w:r>
        <w:t>model</w:t>
      </w:r>
      <w:r w:rsidR="00060445">
        <w:t xml:space="preserve"> </w:t>
      </w:r>
      <w:proofErr w:type="gramStart"/>
      <w:r w:rsidR="00966DD5">
        <w:t xml:space="preserve">has </w:t>
      </w:r>
      <w:proofErr w:type="gramEnd"/>
      <m:oMath>
        <m:r>
          <w:rPr>
            <w:rFonts w:ascii="Cambria Math" w:hAnsi="Cambria Math"/>
          </w:rPr>
          <m:t>ν=1</m:t>
        </m:r>
      </m:oMath>
      <w:r w:rsidR="00060445">
        <w:t xml:space="preserve">, as in the </w:t>
      </w:r>
      <w:r w:rsidR="00B66E46">
        <w:t>standard</w:t>
      </w:r>
      <w:r w:rsidR="00060445">
        <w:t xml:space="preserve"> logistic model</w:t>
      </w:r>
      <w:r w:rsidR="00B66E46">
        <w:t>.</w:t>
      </w:r>
      <w:r w:rsidR="00464BA0">
        <w:t xml:space="preserve"> Another five parameter form has both rate parameters set to the same value (</w:t>
      </w:r>
      <m:oMath>
        <m:r>
          <w:rPr>
            <w:rFonts w:ascii="Cambria Math" w:hAnsi="Cambria Math"/>
          </w:rPr>
          <m:t>m=r</m:t>
        </m:r>
      </m:oMath>
      <w:r w:rsidR="00464BA0">
        <w:t>), which can make the f</w:t>
      </w:r>
      <w:proofErr w:type="spellStart"/>
      <w:r w:rsidR="00464BA0">
        <w:t>itting</w:t>
      </w:r>
      <w:proofErr w:type="spellEnd"/>
      <w:r w:rsidR="00464BA0">
        <w:t xml:space="preserve"> procedure more stable </w:t>
      </w:r>
      <w:r w:rsidR="00464BA0">
        <w:fldChar w:fldCharType="begin" w:fldLock="1"/>
      </w:r>
      <w:r w:rsidR="00464BA0">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rsidR="00464BA0">
        <w:fldChar w:fldCharType="separate"/>
      </w:r>
      <w:r w:rsidR="00464BA0" w:rsidRPr="00464BA0">
        <w:rPr>
          <w:noProof/>
        </w:rPr>
        <w:t>(Baranyi 1997)</w:t>
      </w:r>
      <w:r w:rsidR="00464BA0">
        <w:fldChar w:fldCharType="end"/>
      </w:r>
      <w:r w:rsidR="00464BA0">
        <w:t xml:space="preserve">. A four parameter form has both of the previous reductions, setting </w:t>
      </w:r>
      <m:oMath>
        <m:r>
          <w:rPr>
            <w:rFonts w:ascii="Cambria Math" w:hAnsi="Cambria Math"/>
          </w:rPr>
          <m:t>m=r</m:t>
        </m:r>
      </m:oMath>
      <w:r w:rsidR="00464BA0">
        <w:t xml:space="preserve"> and </w:t>
      </w:r>
      <m:oMath>
        <m:r>
          <w:rPr>
            <w:rFonts w:ascii="Cambria Math" w:hAnsi="Cambria Math"/>
          </w:rPr>
          <m:t>ν=1</m:t>
        </m:r>
      </m:oMath>
      <w:r w:rsidR="00464BA0">
        <w:t xml:space="preserve"> </w:t>
      </w:r>
      <w:r w:rsidR="00464BA0">
        <w:fldChar w:fldCharType="begin" w:fldLock="1"/>
      </w:r>
      <w:r w:rsidR="00464BA0">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rsidR="00464BA0">
        <w:fldChar w:fldCharType="separate"/>
      </w:r>
      <w:r w:rsidR="00464BA0" w:rsidRPr="00464BA0">
        <w:rPr>
          <w:noProof/>
        </w:rPr>
        <w:t>(Baranyi 1997)</w:t>
      </w:r>
      <w:r w:rsidR="00464BA0">
        <w:fldChar w:fldCharType="end"/>
      </w:r>
      <w:r w:rsidR="00464BA0">
        <w:t>.</w:t>
      </w:r>
      <w:r w:rsidR="00B66E46">
        <w:t xml:space="preserve"> </w:t>
      </w:r>
      <w:r w:rsidR="00966DD5">
        <w:t>A</w:t>
      </w:r>
      <w:r w:rsidR="00464BA0">
        <w:t>nother</w:t>
      </w:r>
      <w:r w:rsidR="00966DD5">
        <w:t xml:space="preserve"> four parameter form</w:t>
      </w:r>
      <w:r w:rsidR="00060445">
        <w:t xml:space="preserve"> </w:t>
      </w:r>
      <w:r w:rsidR="00966DD5">
        <w:t>of</w:t>
      </w:r>
      <w:r w:rsidR="00060445">
        <w:t xml:space="preserve"> the </w:t>
      </w:r>
      <w:r>
        <w:t>mode</w:t>
      </w:r>
      <w:r w:rsidR="00BB3C26">
        <w:t>l</w:t>
      </w:r>
      <w:r w:rsidR="00060445">
        <w:t xml:space="preserve"> </w:t>
      </w:r>
      <w:r w:rsidR="00966DD5">
        <w:t xml:space="preserve">has no </w:t>
      </w:r>
      <w:r w:rsidR="00060445">
        <w:t>lag phase,</w:t>
      </w:r>
      <w:r w:rsidR="00BB3C26">
        <w:t xml:space="preserve"> </w:t>
      </w:r>
      <w:proofErr w:type="gramStart"/>
      <w:r w:rsidR="00966DD5">
        <w:t xml:space="preserve">with </w:t>
      </w:r>
      <w:proofErr w:type="gramEnd"/>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r>
          <m:rPr>
            <m:sty m:val="p"/>
          </m:rPr>
          <w:rPr>
            <w:rFonts w:ascii="Cambria Math" w:hAnsi="Cambria Math"/>
          </w:rPr>
          <m:t>⇒</m:t>
        </m:r>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≡t</m:t>
        </m:r>
      </m:oMath>
      <w:r w:rsidR="00060445">
        <w:t>. This is also known as the Richards model</w:t>
      </w:r>
      <w:r w:rsidR="00FE04E0">
        <w:t xml:space="preserve"> </w:t>
      </w:r>
      <w:r w:rsidR="00FE04E0">
        <w:fldChar w:fldCharType="begin" w:fldLock="1"/>
      </w:r>
      <w:r w:rsidR="0044050E">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rsidR="00FE04E0">
        <w:fldChar w:fldCharType="separate"/>
      </w:r>
      <w:r w:rsidR="00FE04E0" w:rsidRPr="00FE04E0">
        <w:rPr>
          <w:noProof/>
        </w:rPr>
        <w:t>(Richards 1959)</w:t>
      </w:r>
      <w:r w:rsidR="00FE04E0">
        <w:fldChar w:fldCharType="end"/>
      </w:r>
      <w:r w:rsidR="00464BA0">
        <w:t xml:space="preserve">, the </w:t>
      </w:r>
      <m:oMath>
        <m:r>
          <w:rPr>
            <w:rFonts w:ascii="Cambria Math" w:hAnsi="Cambria Math"/>
          </w:rPr>
          <m:t>θ</m:t>
        </m:r>
      </m:oMath>
      <w:r w:rsidR="00464BA0">
        <w:t xml:space="preserve">-logistic model </w:t>
      </w:r>
      <w:r w:rsidR="00464BA0">
        <w:fldChar w:fldCharType="begin" w:fldLock="1"/>
      </w:r>
      <w:r w:rsidR="00464BA0">
        <w:instrText>ADDIN CSL_CITATION { "citationItems" : [ { "id" : "ITEM-1", "itemData" : { "DOI" : "10.1073/pnas.70.12.3590", "ISSN" : "0027-8424", "PMID" : "4519647", "abstract" : "Very precise data on the dynamics of a competitive system of two species of Drosophila have been obtained. By a curvilinear regression approach, analytical models of competition have been fitted. By statistical and biological criteria of simplicity, reality, generality, and accuracy, the best of these models has been chosen. This model represents an extension of the Lotka-Volterra model of competition; it adds a fourth parameter that controls the degree of nonlinearity in intraspecific growth regulation. It represents a similar extension of the logistic model of population growth.", "author" : [ { "dropping-particle" : "", "family" : "Gilpin", "given" : "Michael E.", "non-dropping-particle" : "", "parse-names" : false, "suffix" : "" }, { "dropping-particle" : "", "family" : "Ayala", "given" : "Francisco J.", "non-dropping-particle" : "", "parse-names" : false, "suffix" : "" } ], "container-title" : "Proceedings of the National Academy of Sciences of the United States of America", "id" : "ITEM-1", "issue" : "12 Pt 1-2", "issued" : { "date-parts" : [ [ "1973" ] ] }, "page" : "3590-3593", "title" : "Global Models of Growth and Competition", "type" : "article-journal", "volume" : "70" }, "uris" : [ "http://www.mendeley.com/documents/?uuid=a01241e5-fa46-4c04-b702-57b2517c3e1b" ] } ], "mendeley" : { "formattedCitation" : "(Gilpin and Ayala 1973)", "plainTextFormattedCitation" : "(Gilpin and Ayala 1973)", "previouslyFormattedCitation" : "(Gilpin and Ayala 1973)" }, "properties" : { "noteIndex" : 0 }, "schema" : "https://github.com/citation-style-language/schema/raw/master/csl-citation.json" }</w:instrText>
      </w:r>
      <w:r w:rsidR="00464BA0">
        <w:fldChar w:fldCharType="separate"/>
      </w:r>
      <w:r w:rsidR="00464BA0" w:rsidRPr="00464BA0">
        <w:rPr>
          <w:noProof/>
        </w:rPr>
        <w:t>(Gilpin and Ayala 1973)</w:t>
      </w:r>
      <w:r w:rsidR="00464BA0">
        <w:fldChar w:fldCharType="end"/>
      </w:r>
      <w:r w:rsidR="00464BA0">
        <w:t>, or the generalized logistic model (see Wikipedia)</w:t>
      </w:r>
      <w:r w:rsidR="00060445">
        <w:t xml:space="preserve">. This </w:t>
      </w:r>
      <w:r w:rsidR="00966DD5">
        <w:t xml:space="preserve">form of the </w:t>
      </w:r>
      <w:r>
        <w:t xml:space="preserve">model </w:t>
      </w:r>
      <w:r w:rsidR="00060445">
        <w:t>is useful in cases where t</w:t>
      </w:r>
      <w:r w:rsidR="00984152">
        <w:t xml:space="preserve">here is no observed lag phase: </w:t>
      </w:r>
      <w:r w:rsidR="00060445">
        <w:t xml:space="preserve">either because the </w:t>
      </w:r>
      <w:r w:rsidR="00B551CC">
        <w:t>population</w:t>
      </w:r>
      <w:r w:rsidR="00060445">
        <w:t xml:space="preserve"> adjusts very rapidly or because </w:t>
      </w:r>
      <w:r w:rsidR="00B551CC">
        <w:t>it</w:t>
      </w:r>
      <w:r w:rsidR="00060445">
        <w:t xml:space="preserve"> </w:t>
      </w:r>
      <w:r w:rsidR="00984152">
        <w:t xml:space="preserve">is already </w:t>
      </w:r>
      <w:r w:rsidR="00060445">
        <w:t>adjusted prior to the growth experiment</w:t>
      </w:r>
      <w:r w:rsidR="00984152">
        <w:t>, usually</w:t>
      </w:r>
      <w:r w:rsidR="00060445">
        <w:t xml:space="preserve"> by priming it in fresh media</w:t>
      </w:r>
      <w:r w:rsidR="00984152">
        <w:t xml:space="preserve"> before the experiment</w:t>
      </w:r>
      <w:r w:rsidR="00060445">
        <w:t xml:space="preserve">. The </w:t>
      </w:r>
      <w:r w:rsidR="00A4145D">
        <w:t>last</w:t>
      </w:r>
      <w:r w:rsidR="00464BA0">
        <w:t xml:space="preserve"> </w:t>
      </w:r>
      <w:r w:rsidR="00966DD5">
        <w:t>form i</w:t>
      </w:r>
      <w:r w:rsidR="00B551CC">
        <w:t>s</w:t>
      </w:r>
      <w:r w:rsidR="00966DD5">
        <w:t xml:space="preserve"> the </w:t>
      </w:r>
      <w:r w:rsidR="00551D58">
        <w:t>standard</w:t>
      </w:r>
      <w:r w:rsidR="00966DD5">
        <w:t xml:space="preserve"> logistic model</w:t>
      </w:r>
      <w:r w:rsidR="00060445">
        <w:t xml:space="preserve">, in which </w:t>
      </w:r>
      <m:oMath>
        <m:r>
          <w:rPr>
            <w:rFonts w:ascii="Cambria Math" w:hAnsi="Cambria Math"/>
          </w:rPr>
          <m:t>ν=1</m:t>
        </m:r>
      </m:oMath>
      <w:r w:rsidR="00060445">
        <w:t xml:space="preserve"> </w:t>
      </w:r>
      <w:proofErr w:type="gramStart"/>
      <w:r w:rsidR="00060445">
        <w:t xml:space="preserve">and </w:t>
      </w:r>
      <w:proofErr w:type="gramEnd"/>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w:r w:rsidR="00966DD5">
        <w:t>.</w:t>
      </w:r>
    </w:p>
    <w:p w14:paraId="6FB2650C" w14:textId="77777777" w:rsidR="00AD6A92" w:rsidRDefault="00AD6A92">
      <w:pPr>
        <w:spacing w:line="240" w:lineRule="auto"/>
        <w:ind w:firstLine="0"/>
      </w:pPr>
      <w:r>
        <w:br w:type="page"/>
      </w:r>
    </w:p>
    <w:p w14:paraId="080C07BB" w14:textId="77777777" w:rsidR="008404BC" w:rsidRDefault="008404BC" w:rsidP="00200E78"/>
    <w:p w14:paraId="4BA71751" w14:textId="77777777" w:rsidR="008404BC" w:rsidRDefault="008404BC">
      <w:pPr>
        <w:spacing w:line="240" w:lineRule="auto"/>
        <w:ind w:firstLine="0"/>
      </w:pPr>
    </w:p>
    <w:p w14:paraId="378E4C63" w14:textId="64364A40" w:rsidR="008404BC" w:rsidRDefault="008404BC">
      <w:pPr>
        <w:spacing w:line="240" w:lineRule="auto"/>
        <w:ind w:firstLine="0"/>
      </w:pPr>
    </w:p>
    <w:tbl>
      <w:tblPr>
        <w:tblStyle w:val="MediumList1"/>
        <w:tblW w:w="0" w:type="auto"/>
        <w:tblLook w:val="04A0" w:firstRow="1" w:lastRow="0" w:firstColumn="1" w:lastColumn="0" w:noHBand="0" w:noVBand="1"/>
      </w:tblPr>
      <w:tblGrid>
        <w:gridCol w:w="1804"/>
        <w:gridCol w:w="1498"/>
        <w:gridCol w:w="1900"/>
        <w:gridCol w:w="1994"/>
        <w:gridCol w:w="1326"/>
      </w:tblGrid>
      <w:tr w:rsidR="008404BC" w14:paraId="6A047244" w14:textId="77777777" w:rsidTr="008404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090DADFE" w14:textId="77777777" w:rsidR="008404BC" w:rsidRDefault="008404BC" w:rsidP="008404BC">
            <w:pPr>
              <w:ind w:firstLine="0"/>
              <w:jc w:val="center"/>
            </w:pPr>
            <w:r>
              <w:t>Name</w:t>
            </w:r>
          </w:p>
        </w:tc>
        <w:tc>
          <w:tcPr>
            <w:tcW w:w="1498" w:type="dxa"/>
            <w:vAlign w:val="center"/>
          </w:tcPr>
          <w:p w14:paraId="6CD88C43" w14:textId="77777777" w:rsidR="008404BC" w:rsidRDefault="008404BC" w:rsidP="008404BC">
            <w:pPr>
              <w:ind w:firstLine="0"/>
              <w:jc w:val="center"/>
              <w:cnfStyle w:val="100000000000" w:firstRow="1" w:lastRow="0" w:firstColumn="0" w:lastColumn="0" w:oddVBand="0" w:evenVBand="0" w:oddHBand="0" w:evenHBand="0" w:firstRowFirstColumn="0" w:firstRowLastColumn="0" w:lastRowFirstColumn="0" w:lastRowLastColumn="0"/>
            </w:pPr>
            <w:r>
              <w:t xml:space="preserve"># </w:t>
            </w:r>
            <w:proofErr w:type="spellStart"/>
            <w:r>
              <w:t>Params</w:t>
            </w:r>
            <w:proofErr w:type="spellEnd"/>
          </w:p>
        </w:tc>
        <w:tc>
          <w:tcPr>
            <w:tcW w:w="1900" w:type="dxa"/>
            <w:vAlign w:val="center"/>
          </w:tcPr>
          <w:p w14:paraId="4A89DFE0" w14:textId="77777777" w:rsidR="008404BC" w:rsidRDefault="008404BC" w:rsidP="008404BC">
            <w:pPr>
              <w:ind w:firstLine="0"/>
              <w:jc w:val="center"/>
              <w:cnfStyle w:val="100000000000" w:firstRow="1" w:lastRow="0" w:firstColumn="0" w:lastColumn="0" w:oddVBand="0" w:evenVBand="0" w:oddHBand="0" w:evenHBand="0" w:firstRowFirstColumn="0" w:firstRowLastColumn="0" w:lastRowFirstColumn="0" w:lastRowLastColumn="0"/>
            </w:pPr>
            <w:r>
              <w:t>Free Parameters</w:t>
            </w:r>
          </w:p>
        </w:tc>
        <w:tc>
          <w:tcPr>
            <w:tcW w:w="1994" w:type="dxa"/>
            <w:vAlign w:val="center"/>
          </w:tcPr>
          <w:p w14:paraId="265E5FAE" w14:textId="77777777" w:rsidR="008404BC" w:rsidRDefault="008404BC" w:rsidP="008404BC">
            <w:pPr>
              <w:ind w:firstLine="0"/>
              <w:jc w:val="center"/>
              <w:cnfStyle w:val="100000000000" w:firstRow="1" w:lastRow="0" w:firstColumn="0" w:lastColumn="0" w:oddVBand="0" w:evenVBand="0" w:oddHBand="0" w:evenHBand="0" w:firstRowFirstColumn="0" w:firstRowLastColumn="0" w:lastRowFirstColumn="0" w:lastRowLastColumn="0"/>
            </w:pPr>
            <w:r>
              <w:t>Fixed Parameters</w:t>
            </w:r>
          </w:p>
        </w:tc>
        <w:tc>
          <w:tcPr>
            <w:tcW w:w="1326" w:type="dxa"/>
            <w:vAlign w:val="center"/>
          </w:tcPr>
          <w:p w14:paraId="0D895EBF" w14:textId="77777777" w:rsidR="008404BC" w:rsidRDefault="008404BC" w:rsidP="008404BC">
            <w:pPr>
              <w:ind w:firstLine="0"/>
              <w:jc w:val="center"/>
              <w:cnfStyle w:val="100000000000" w:firstRow="1" w:lastRow="0" w:firstColumn="0" w:lastColumn="0" w:oddVBand="0" w:evenVBand="0" w:oddHBand="0" w:evenHBand="0" w:firstRowFirstColumn="0" w:firstRowLastColumn="0" w:lastRowFirstColumn="0" w:lastRowLastColumn="0"/>
            </w:pPr>
            <w:r>
              <w:t>References</w:t>
            </w:r>
          </w:p>
        </w:tc>
      </w:tr>
      <w:tr w:rsidR="008404BC" w14:paraId="73B6D94C" w14:textId="77777777" w:rsidTr="00840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47A09356" w14:textId="77777777" w:rsidR="008404BC" w:rsidRDefault="008404BC" w:rsidP="008404BC">
            <w:pPr>
              <w:ind w:firstLine="0"/>
              <w:jc w:val="center"/>
            </w:pPr>
            <w:proofErr w:type="spellStart"/>
            <w:r>
              <w:t>Baranyi</w:t>
            </w:r>
            <w:proofErr w:type="spellEnd"/>
            <w:r>
              <w:t>-Roberts</w:t>
            </w:r>
          </w:p>
        </w:tc>
        <w:tc>
          <w:tcPr>
            <w:tcW w:w="1498" w:type="dxa"/>
            <w:vAlign w:val="center"/>
          </w:tcPr>
          <w:p w14:paraId="76413503"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6</w:t>
            </w:r>
          </w:p>
        </w:tc>
        <w:tc>
          <w:tcPr>
            <w:tcW w:w="1900" w:type="dxa"/>
            <w:vAlign w:val="center"/>
          </w:tcPr>
          <w:p w14:paraId="3E9BAE13" w14:textId="77777777" w:rsidR="008404BC" w:rsidRDefault="00D042EE"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,K,r,ν,</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m:t>
                </m:r>
              </m:oMath>
            </m:oMathPara>
          </w:p>
        </w:tc>
        <w:tc>
          <w:tcPr>
            <w:tcW w:w="1994" w:type="dxa"/>
            <w:vAlign w:val="center"/>
          </w:tcPr>
          <w:p w14:paraId="7571DDA6"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w:t>
            </w:r>
          </w:p>
          <w:p w14:paraId="2C5125D6"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p>
        </w:tc>
        <w:tc>
          <w:tcPr>
            <w:tcW w:w="1326" w:type="dxa"/>
            <w:vAlign w:val="center"/>
          </w:tcPr>
          <w:p w14:paraId="4025583C"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fldChar w:fldCharType="begin" w:fldLock="1"/>
            </w:r>
            <w: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"(Baranyi and Roberts 1994)", "plainTextFormattedCitation" : "(Baranyi and Roberts 1994)", "previouslyFormattedCitation" : "(Baranyi and Roberts 1994)" }, "properties" : { "noteIndex" : 0 }, "schema" : "https://github.com/citation-style-language/schema/raw/master/csl-citation.json" }</w:instrText>
            </w:r>
            <w:r>
              <w:fldChar w:fldCharType="separate"/>
            </w:r>
            <w:r w:rsidRPr="00200E78">
              <w:rPr>
                <w:noProof/>
              </w:rPr>
              <w:t>(Baranyi and Roberts 1994)</w:t>
            </w:r>
            <w:r>
              <w:fldChar w:fldCharType="end"/>
            </w:r>
          </w:p>
        </w:tc>
      </w:tr>
      <w:tr w:rsidR="008404BC" w14:paraId="51266A75" w14:textId="77777777" w:rsidTr="008404BC">
        <w:tc>
          <w:tcPr>
            <w:cnfStyle w:val="001000000000" w:firstRow="0" w:lastRow="0" w:firstColumn="1" w:lastColumn="0" w:oddVBand="0" w:evenVBand="0" w:oddHBand="0" w:evenHBand="0" w:firstRowFirstColumn="0" w:firstRowLastColumn="0" w:lastRowFirstColumn="0" w:lastRowLastColumn="0"/>
            <w:tcW w:w="1804" w:type="dxa"/>
            <w:vAlign w:val="center"/>
          </w:tcPr>
          <w:p w14:paraId="48BB4134" w14:textId="77777777" w:rsidR="008404BC" w:rsidRDefault="008404BC" w:rsidP="008404BC">
            <w:pPr>
              <w:ind w:firstLine="0"/>
              <w:jc w:val="center"/>
            </w:pPr>
            <w:r>
              <w:t>-</w:t>
            </w:r>
          </w:p>
        </w:tc>
        <w:tc>
          <w:tcPr>
            <w:tcW w:w="1498" w:type="dxa"/>
            <w:vAlign w:val="center"/>
          </w:tcPr>
          <w:p w14:paraId="52C146D3"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t>5</w:t>
            </w:r>
          </w:p>
        </w:tc>
        <w:tc>
          <w:tcPr>
            <w:tcW w:w="1900" w:type="dxa"/>
            <w:vAlign w:val="center"/>
          </w:tcPr>
          <w:p w14:paraId="5BC6EBCF" w14:textId="77777777" w:rsidR="008404BC" w:rsidRDefault="00D042EE"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,K,r,ν,</m:t>
                </m:r>
                <m:sSub>
                  <m:sSubPr>
                    <m:ctrlPr>
                      <w:rPr>
                        <w:rFonts w:ascii="Cambria Math" w:hAnsi="Cambria Math"/>
                        <w:i/>
                      </w:rPr>
                    </m:ctrlPr>
                  </m:sSubPr>
                  <m:e>
                    <m:r>
                      <w:rPr>
                        <w:rFonts w:ascii="Cambria Math" w:hAnsi="Cambria Math"/>
                      </w:rPr>
                      <m:t>q</m:t>
                    </m:r>
                  </m:e>
                  <m:sub>
                    <m:r>
                      <w:rPr>
                        <w:rFonts w:ascii="Cambria Math" w:hAnsi="Cambria Math"/>
                      </w:rPr>
                      <m:t>0</m:t>
                    </m:r>
                  </m:sub>
                </m:sSub>
              </m:oMath>
            </m:oMathPara>
          </w:p>
        </w:tc>
        <w:tc>
          <w:tcPr>
            <w:tcW w:w="1994" w:type="dxa"/>
            <w:vAlign w:val="center"/>
          </w:tcPr>
          <w:p w14:paraId="79515843"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m=r</m:t>
                </m:r>
              </m:oMath>
            </m:oMathPara>
          </w:p>
        </w:tc>
        <w:tc>
          <w:tcPr>
            <w:tcW w:w="1326" w:type="dxa"/>
            <w:vAlign w:val="center"/>
          </w:tcPr>
          <w:p w14:paraId="40B3EA0A"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t>-</w:t>
            </w:r>
          </w:p>
        </w:tc>
      </w:tr>
      <w:tr w:rsidR="008404BC" w14:paraId="5CF765F4" w14:textId="77777777" w:rsidTr="00840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49CEE8C3" w14:textId="77777777" w:rsidR="008404BC" w:rsidRDefault="008404BC" w:rsidP="008404BC">
            <w:pPr>
              <w:ind w:firstLine="0"/>
              <w:jc w:val="center"/>
            </w:pPr>
            <w:r>
              <w:t>-</w:t>
            </w:r>
          </w:p>
        </w:tc>
        <w:tc>
          <w:tcPr>
            <w:tcW w:w="1498" w:type="dxa"/>
            <w:vAlign w:val="center"/>
          </w:tcPr>
          <w:p w14:paraId="21C46E03"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5</w:t>
            </w:r>
          </w:p>
        </w:tc>
        <w:tc>
          <w:tcPr>
            <w:tcW w:w="1900" w:type="dxa"/>
            <w:vAlign w:val="center"/>
          </w:tcPr>
          <w:p w14:paraId="07BD3585" w14:textId="77777777" w:rsidR="008404BC" w:rsidRDefault="00D042EE"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m:t>
                </m:r>
              </m:oMath>
            </m:oMathPara>
          </w:p>
        </w:tc>
        <w:tc>
          <w:tcPr>
            <w:tcW w:w="1994" w:type="dxa"/>
            <w:vAlign w:val="center"/>
          </w:tcPr>
          <w:p w14:paraId="00BAED49"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ν=1</m:t>
                </m:r>
              </m:oMath>
            </m:oMathPara>
          </w:p>
        </w:tc>
        <w:tc>
          <w:tcPr>
            <w:tcW w:w="1326" w:type="dxa"/>
            <w:vAlign w:val="center"/>
          </w:tcPr>
          <w:p w14:paraId="1E2DC551"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w:t>
            </w:r>
          </w:p>
        </w:tc>
      </w:tr>
      <w:tr w:rsidR="008404BC" w14:paraId="3FF0E39D" w14:textId="77777777" w:rsidTr="008404BC">
        <w:tc>
          <w:tcPr>
            <w:cnfStyle w:val="001000000000" w:firstRow="0" w:lastRow="0" w:firstColumn="1" w:lastColumn="0" w:oddVBand="0" w:evenVBand="0" w:oddHBand="0" w:evenHBand="0" w:firstRowFirstColumn="0" w:firstRowLastColumn="0" w:lastRowFirstColumn="0" w:lastRowLastColumn="0"/>
            <w:tcW w:w="1804" w:type="dxa"/>
            <w:vAlign w:val="center"/>
          </w:tcPr>
          <w:p w14:paraId="1A0F2975" w14:textId="77777777" w:rsidR="008404BC" w:rsidRDefault="008404BC" w:rsidP="008404BC">
            <w:pPr>
              <w:ind w:firstLine="0"/>
              <w:jc w:val="center"/>
            </w:pPr>
            <w:r>
              <w:t>Richards</w:t>
            </w:r>
          </w:p>
        </w:tc>
        <w:tc>
          <w:tcPr>
            <w:tcW w:w="1498" w:type="dxa"/>
            <w:vAlign w:val="center"/>
          </w:tcPr>
          <w:p w14:paraId="52B62746"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t>4</w:t>
            </w:r>
          </w:p>
        </w:tc>
        <w:tc>
          <w:tcPr>
            <w:tcW w:w="1900" w:type="dxa"/>
            <w:vAlign w:val="center"/>
          </w:tcPr>
          <w:p w14:paraId="310D83FE" w14:textId="77777777" w:rsidR="008404BC" w:rsidRDefault="00D042EE"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,K,r,ν</m:t>
                </m:r>
              </m:oMath>
            </m:oMathPara>
          </w:p>
        </w:tc>
        <w:tc>
          <w:tcPr>
            <w:tcW w:w="1994" w:type="dxa"/>
            <w:vAlign w:val="center"/>
          </w:tcPr>
          <w:p w14:paraId="6E8D7FC3" w14:textId="77777777" w:rsidR="008404BC" w:rsidRDefault="00D042EE"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m:oMathPara>
          </w:p>
        </w:tc>
        <w:tc>
          <w:tcPr>
            <w:tcW w:w="1326" w:type="dxa"/>
            <w:vAlign w:val="center"/>
          </w:tcPr>
          <w:p w14:paraId="456B4989"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fldChar w:fldCharType="separate"/>
            </w:r>
            <w:r w:rsidRPr="00200E78">
              <w:rPr>
                <w:noProof/>
              </w:rPr>
              <w:t>(Richards 1959)</w:t>
            </w:r>
            <w:r>
              <w:fldChar w:fldCharType="end"/>
            </w:r>
          </w:p>
        </w:tc>
      </w:tr>
      <w:tr w:rsidR="008404BC" w14:paraId="7F6A3747" w14:textId="77777777" w:rsidTr="00840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vAlign w:val="center"/>
          </w:tcPr>
          <w:p w14:paraId="1758C585" w14:textId="77777777" w:rsidR="008404BC" w:rsidRDefault="008404BC" w:rsidP="008404BC">
            <w:pPr>
              <w:ind w:firstLine="0"/>
              <w:jc w:val="center"/>
            </w:pPr>
            <w:r>
              <w:t xml:space="preserve">Simplified </w:t>
            </w:r>
            <w:proofErr w:type="spellStart"/>
            <w:r>
              <w:t>Baranyi</w:t>
            </w:r>
            <w:proofErr w:type="spellEnd"/>
            <w:r>
              <w:t>-Roberts</w:t>
            </w:r>
          </w:p>
        </w:tc>
        <w:tc>
          <w:tcPr>
            <w:tcW w:w="1498" w:type="dxa"/>
            <w:vAlign w:val="center"/>
          </w:tcPr>
          <w:p w14:paraId="439E3DBB"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t>4</w:t>
            </w:r>
          </w:p>
        </w:tc>
        <w:tc>
          <w:tcPr>
            <w:tcW w:w="1900" w:type="dxa"/>
            <w:vAlign w:val="center"/>
          </w:tcPr>
          <w:p w14:paraId="28B3148A" w14:textId="77777777" w:rsidR="008404BC" w:rsidRDefault="00D042EE"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m:t>
                </m:r>
                <m:sSub>
                  <m:sSubPr>
                    <m:ctrlPr>
                      <w:rPr>
                        <w:rFonts w:ascii="Cambria Math" w:hAnsi="Cambria Math"/>
                        <w:i/>
                      </w:rPr>
                    </m:ctrlPr>
                  </m:sSubPr>
                  <m:e>
                    <m:r>
                      <w:rPr>
                        <w:rFonts w:ascii="Cambria Math" w:hAnsi="Cambria Math"/>
                      </w:rPr>
                      <m:t>q</m:t>
                    </m:r>
                  </m:e>
                  <m:sub>
                    <m:r>
                      <w:rPr>
                        <w:rFonts w:ascii="Cambria Math" w:hAnsi="Cambria Math"/>
                      </w:rPr>
                      <m:t>0</m:t>
                    </m:r>
                  </m:sub>
                </m:sSub>
              </m:oMath>
            </m:oMathPara>
          </w:p>
        </w:tc>
        <w:tc>
          <w:tcPr>
            <w:tcW w:w="1994" w:type="dxa"/>
            <w:vAlign w:val="center"/>
          </w:tcPr>
          <w:p w14:paraId="7927B14B" w14:textId="77777777" w:rsidR="008404BC" w:rsidRPr="00200E78"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ν=1</m:t>
                </m:r>
              </m:oMath>
            </m:oMathPara>
          </w:p>
          <w:p w14:paraId="02C98F2C"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m=r</m:t>
                </m:r>
              </m:oMath>
            </m:oMathPara>
          </w:p>
        </w:tc>
        <w:tc>
          <w:tcPr>
            <w:tcW w:w="1326" w:type="dxa"/>
            <w:vAlign w:val="center"/>
          </w:tcPr>
          <w:p w14:paraId="0986474E" w14:textId="77777777" w:rsidR="008404BC" w:rsidRDefault="008404BC" w:rsidP="008404BC">
            <w:pPr>
              <w:ind w:firstLine="0"/>
              <w:jc w:val="center"/>
              <w:cnfStyle w:val="000000100000" w:firstRow="0" w:lastRow="0" w:firstColumn="0" w:lastColumn="0" w:oddVBand="0" w:evenVBand="0" w:oddHBand="1" w:evenHBand="0" w:firstRowFirstColumn="0" w:firstRowLastColumn="0" w:lastRowFirstColumn="0" w:lastRowLastColumn="0"/>
            </w:pPr>
            <w:r>
              <w:fldChar w:fldCharType="begin" w:fldLock="1"/>
            </w:r>
            <w: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fldChar w:fldCharType="separate"/>
            </w:r>
            <w:r w:rsidRPr="00200E78">
              <w:rPr>
                <w:noProof/>
              </w:rPr>
              <w:t>(Baranyi 1997)</w:t>
            </w:r>
            <w:r>
              <w:fldChar w:fldCharType="end"/>
            </w:r>
          </w:p>
        </w:tc>
      </w:tr>
      <w:tr w:rsidR="008404BC" w14:paraId="3B5D0717" w14:textId="77777777" w:rsidTr="008404BC">
        <w:tc>
          <w:tcPr>
            <w:cnfStyle w:val="001000000000" w:firstRow="0" w:lastRow="0" w:firstColumn="1" w:lastColumn="0" w:oddVBand="0" w:evenVBand="0" w:oddHBand="0" w:evenHBand="0" w:firstRowFirstColumn="0" w:firstRowLastColumn="0" w:lastRowFirstColumn="0" w:lastRowLastColumn="0"/>
            <w:tcW w:w="1804" w:type="dxa"/>
            <w:vAlign w:val="center"/>
          </w:tcPr>
          <w:p w14:paraId="28D79B9E" w14:textId="77777777" w:rsidR="008404BC" w:rsidRDefault="008404BC" w:rsidP="008404BC">
            <w:pPr>
              <w:ind w:firstLine="0"/>
              <w:jc w:val="center"/>
            </w:pPr>
            <w:r>
              <w:t>Logistic</w:t>
            </w:r>
          </w:p>
        </w:tc>
        <w:tc>
          <w:tcPr>
            <w:tcW w:w="1498" w:type="dxa"/>
            <w:vAlign w:val="center"/>
          </w:tcPr>
          <w:p w14:paraId="7279B81D" w14:textId="77777777" w:rsidR="008404BC"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w:r>
              <w:t>3</w:t>
            </w:r>
          </w:p>
        </w:tc>
        <w:tc>
          <w:tcPr>
            <w:tcW w:w="1900" w:type="dxa"/>
            <w:vAlign w:val="center"/>
          </w:tcPr>
          <w:p w14:paraId="429927D2" w14:textId="77777777" w:rsidR="008404BC" w:rsidRDefault="00D042EE"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,K,r</m:t>
                </m:r>
              </m:oMath>
            </m:oMathPara>
          </w:p>
        </w:tc>
        <w:tc>
          <w:tcPr>
            <w:tcW w:w="1994" w:type="dxa"/>
            <w:vAlign w:val="center"/>
          </w:tcPr>
          <w:p w14:paraId="089983BA" w14:textId="77777777" w:rsidR="008404BC" w:rsidRPr="00200E78" w:rsidRDefault="008404BC"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ν=1</m:t>
                </m:r>
              </m:oMath>
            </m:oMathPara>
          </w:p>
          <w:p w14:paraId="045F2149" w14:textId="77777777" w:rsidR="008404BC" w:rsidRDefault="00D042EE" w:rsidP="008404BC">
            <w:pPr>
              <w:ind w:firstLine="0"/>
              <w:jc w:val="center"/>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q</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m:oMathPara>
          </w:p>
        </w:tc>
        <w:tc>
          <w:tcPr>
            <w:tcW w:w="1326" w:type="dxa"/>
            <w:vAlign w:val="center"/>
          </w:tcPr>
          <w:p w14:paraId="508C8F29" w14:textId="77777777" w:rsidR="008404BC" w:rsidRDefault="008404BC" w:rsidP="008404BC">
            <w:pPr>
              <w:keepNext/>
              <w:ind w:firstLine="0"/>
              <w:jc w:val="center"/>
              <w:cnfStyle w:val="000000000000" w:firstRow="0" w:lastRow="0" w:firstColumn="0" w:lastColumn="0" w:oddVBand="0" w:evenVBand="0" w:oddHBand="0" w:evenHBand="0" w:firstRowFirstColumn="0" w:firstRowLastColumn="0" w:lastRowFirstColumn="0" w:lastRowLastColumn="0"/>
            </w:pPr>
            <w:r>
              <w:fldChar w:fldCharType="begin" w:fldLock="1"/>
            </w:r>
            <w:r>
              <w:instrText>ADDIN CSL_CITATION { "citationItems" : [ { "id" : "ITEM-1", "itemData" : { "author" : [ { "dropping-particle" : "", "family" : "Verhulst", "given" : "Pierre-Fran\u00e7ois", "non-dropping-particle" : "", "parse-names" : false, "suffix" : "" } ], "container-title" : "Quetelet", "id" : "ITEM-1", "issued" : { "date-parts" : [ [ "1838" ] ] }, "page" : "113-121", "title" : "Notice sur la loi que la population suit dans son accroissement. Correspondance Math\u00e9matique et Physique Publi\u00e9e par A", "type" : "article-journal", "volume" : "10" }, "uris" : [ "http://www.mendeley.com/documents/?uuid=6adda804-3b0d-4cad-87ee-80f795595789" ] } ], "mendeley" : { "formattedCitation" : "(Verhulst 1838)", "plainTextFormattedCitation" : "(Verhulst 1838)", "previouslyFormattedCitation" : "(Verhulst 1838)" }, "properties" : { "noteIndex" : 0 }, "schema" : "https://github.com/citation-style-language/schema/raw/master/csl-citation.json" }</w:instrText>
            </w:r>
            <w:r>
              <w:fldChar w:fldCharType="separate"/>
            </w:r>
            <w:r w:rsidRPr="00200E78">
              <w:rPr>
                <w:noProof/>
              </w:rPr>
              <w:t>(Verhulst 1838)</w:t>
            </w:r>
            <w:r>
              <w:fldChar w:fldCharType="end"/>
            </w:r>
          </w:p>
        </w:tc>
      </w:tr>
    </w:tbl>
    <w:p w14:paraId="7AE5C61C" w14:textId="77777777" w:rsidR="008404BC" w:rsidRPr="008404BC" w:rsidRDefault="008404BC" w:rsidP="008404BC">
      <w:pPr>
        <w:pStyle w:val="Caption"/>
        <w:rPr>
          <w:b w:val="0"/>
          <w:bCs w:val="0"/>
          <w:color w:val="auto"/>
        </w:rPr>
      </w:pPr>
      <w:proofErr w:type="gramStart"/>
      <w:r w:rsidRPr="00200E78">
        <w:rPr>
          <w:color w:val="auto"/>
        </w:rPr>
        <w:t xml:space="preserve">Table </w:t>
      </w:r>
      <w:r w:rsidRPr="00200E78">
        <w:rPr>
          <w:color w:val="auto"/>
        </w:rPr>
        <w:fldChar w:fldCharType="begin"/>
      </w:r>
      <w:r w:rsidRPr="00200E78">
        <w:rPr>
          <w:color w:val="auto"/>
        </w:rPr>
        <w:instrText xml:space="preserve"> SEQ Table \* ARABIC </w:instrText>
      </w:r>
      <w:r w:rsidRPr="00200E78">
        <w:rPr>
          <w:color w:val="auto"/>
        </w:rPr>
        <w:fldChar w:fldCharType="separate"/>
      </w:r>
      <w:r w:rsidR="007F2D48">
        <w:rPr>
          <w:noProof/>
          <w:color w:val="auto"/>
        </w:rPr>
        <w:t>1</w:t>
      </w:r>
      <w:r w:rsidRPr="00200E78">
        <w:rPr>
          <w:color w:val="auto"/>
        </w:rPr>
        <w:fldChar w:fldCharType="end"/>
      </w:r>
      <w:r>
        <w:rPr>
          <w:color w:val="auto"/>
        </w:rPr>
        <w:t>.</w:t>
      </w:r>
      <w:proofErr w:type="gramEnd"/>
      <w:r>
        <w:rPr>
          <w:color w:val="auto"/>
        </w:rPr>
        <w:t xml:space="preserve"> </w:t>
      </w:r>
      <w:proofErr w:type="gramStart"/>
      <w:r>
        <w:rPr>
          <w:color w:val="auto"/>
        </w:rPr>
        <w:t>Growth models.</w:t>
      </w:r>
      <w:proofErr w:type="gramEnd"/>
      <w:r>
        <w:rPr>
          <w:b w:val="0"/>
          <w:bCs w:val="0"/>
          <w:color w:val="auto"/>
        </w:rPr>
        <w:t xml:space="preserve"> The table lists the growth models </w:t>
      </w:r>
      <w:r w:rsidRPr="008404BC">
        <w:rPr>
          <w:b w:val="0"/>
          <w:bCs w:val="0"/>
          <w:color w:val="auto"/>
        </w:rPr>
        <w:t xml:space="preserve">used for fitting growth curve data. All models are defined by </w:t>
      </w:r>
      <w:proofErr w:type="spellStart"/>
      <w:r w:rsidRPr="008404BC">
        <w:rPr>
          <w:b w:val="0"/>
          <w:bCs w:val="0"/>
          <w:color w:val="auto"/>
        </w:rPr>
        <w:t>eqs</w:t>
      </w:r>
      <w:proofErr w:type="spellEnd"/>
      <w:r w:rsidRPr="008404BC">
        <w:rPr>
          <w:b w:val="0"/>
          <w:bCs w:val="0"/>
          <w:color w:val="auto"/>
        </w:rPr>
        <w:t xml:space="preserve">. </w:t>
      </w:r>
      <w:proofErr w:type="gramStart"/>
      <w:r w:rsidRPr="008404BC">
        <w:rPr>
          <w:b w:val="0"/>
          <w:bCs w:val="0"/>
          <w:color w:val="auto"/>
        </w:rPr>
        <w:t>1 and 2 by setting the respective fixed parameters.</w:t>
      </w:r>
      <w:proofErr w:type="gramEnd"/>
      <w:r w:rsidRPr="008404BC">
        <w:rPr>
          <w:b w:val="0"/>
          <w:bCs w:val="0"/>
          <w:color w:val="auto"/>
        </w:rPr>
        <w:t xml:space="preserve">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0</m:t>
            </m:r>
          </m:sub>
        </m:sSub>
      </m:oMath>
      <w:r w:rsidRPr="008404BC">
        <w:rPr>
          <w:b w:val="0"/>
          <w:bCs w:val="0"/>
          <w:color w:val="auto"/>
        </w:rPr>
        <w:t xml:space="preserve"> </w:t>
      </w:r>
      <w:proofErr w:type="gramStart"/>
      <w:r w:rsidRPr="008404BC">
        <w:rPr>
          <w:b w:val="0"/>
          <w:bCs w:val="0"/>
          <w:color w:val="auto"/>
        </w:rPr>
        <w:t>is</w:t>
      </w:r>
      <w:proofErr w:type="gramEnd"/>
      <w:r w:rsidRPr="008404BC">
        <w:rPr>
          <w:b w:val="0"/>
          <w:bCs w:val="0"/>
          <w:color w:val="auto"/>
        </w:rPr>
        <w:t xml:space="preserve"> the initial population density; </w:t>
      </w:r>
      <m:oMath>
        <m:r>
          <m:rPr>
            <m:sty m:val="bi"/>
          </m:rPr>
          <w:rPr>
            <w:rFonts w:ascii="Cambria Math" w:hAnsi="Cambria Math"/>
            <w:color w:val="auto"/>
          </w:rPr>
          <m:t>K</m:t>
        </m:r>
      </m:oMath>
      <w:r w:rsidRPr="008404BC">
        <w:rPr>
          <w:b w:val="0"/>
          <w:bCs w:val="0"/>
          <w:color w:val="auto"/>
        </w:rPr>
        <w:t xml:space="preserve"> is the maximum population density; </w:t>
      </w:r>
      <m:oMath>
        <m:r>
          <m:rPr>
            <m:sty m:val="bi"/>
          </m:rPr>
          <w:rPr>
            <w:rFonts w:ascii="Cambria Math" w:hAnsi="Cambria Math"/>
            <w:color w:val="auto"/>
          </w:rPr>
          <m:t>r</m:t>
        </m:r>
      </m:oMath>
      <w:r w:rsidRPr="008404BC">
        <w:rPr>
          <w:b w:val="0"/>
          <w:bCs w:val="0"/>
          <w:color w:val="auto"/>
        </w:rPr>
        <w:t xml:space="preserve"> is the specific growth rate in low density; </w:t>
      </w:r>
      <m:oMath>
        <m:r>
          <m:rPr>
            <m:sty m:val="bi"/>
          </m:rPr>
          <w:rPr>
            <w:rFonts w:ascii="Cambria Math" w:hAnsi="Cambria Math"/>
            <w:color w:val="auto"/>
          </w:rPr>
          <m:t>ν</m:t>
        </m:r>
      </m:oMath>
      <w:r w:rsidRPr="008404BC">
        <w:rPr>
          <w:b w:val="0"/>
          <w:bCs w:val="0"/>
          <w:color w:val="auto"/>
        </w:rPr>
        <w:t xml:space="preserve"> is the surface to mass ratio; </w:t>
      </w:r>
      <m:oMath>
        <m:sSub>
          <m:sSubPr>
            <m:ctrlPr>
              <w:rPr>
                <w:rFonts w:ascii="Cambria Math" w:hAnsi="Cambria Math"/>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8404BC">
        <w:rPr>
          <w:b w:val="0"/>
          <w:bCs w:val="0"/>
          <w:color w:val="auto"/>
        </w:rPr>
        <w:t xml:space="preserve"> is the initial physiological state; </w:t>
      </w:r>
      <m:oMath>
        <m:r>
          <m:rPr>
            <m:sty m:val="bi"/>
          </m:rPr>
          <w:rPr>
            <w:rFonts w:ascii="Cambria Math" w:hAnsi="Cambria Math"/>
            <w:color w:val="auto"/>
          </w:rPr>
          <m:t>m</m:t>
        </m:r>
      </m:oMath>
      <w:r w:rsidRPr="008404BC">
        <w:rPr>
          <w:b w:val="0"/>
          <w:bCs w:val="0"/>
          <w:color w:val="auto"/>
        </w:rPr>
        <w:t xml:space="preserve"> is the physiological adjustment rate. For detailed discussion of the derivation of these models, see Appendix A.</w:t>
      </w:r>
    </w:p>
    <w:p w14:paraId="272B256D" w14:textId="77777777" w:rsidR="005F02B4" w:rsidRDefault="005F02B4" w:rsidP="00507681">
      <w:pPr>
        <w:pStyle w:val="Heading2"/>
      </w:pPr>
      <w:r>
        <w:t>Model fitting and selection</w:t>
      </w:r>
    </w:p>
    <w:p w14:paraId="7E2DCE03" w14:textId="7FC01831" w:rsidR="005F02B4" w:rsidRDefault="005F02B4" w:rsidP="00F70C02">
      <w:r>
        <w:t xml:space="preserve">We fit all </w:t>
      </w:r>
      <w:r w:rsidR="00464BA0">
        <w:t>six</w:t>
      </w:r>
      <w:r>
        <w:t xml:space="preserve"> model</w:t>
      </w:r>
      <w:r w:rsidR="00966DD5">
        <w:t xml:space="preserve"> form</w:t>
      </w:r>
      <w:r>
        <w:t xml:space="preserve">s to the </w:t>
      </w:r>
      <w:r w:rsidR="00F70C02">
        <w:t xml:space="preserve">monoculture </w:t>
      </w:r>
      <w:r>
        <w:t xml:space="preserve">growth curve </w:t>
      </w:r>
      <w:r w:rsidR="00464BA0">
        <w:t xml:space="preserve">data </w:t>
      </w:r>
      <w:r>
        <w:t>of each strain</w:t>
      </w:r>
      <w:r w:rsidR="00B37B5A">
        <w:t xml:space="preserve"> </w:t>
      </w:r>
      <w:r w:rsidR="00F06897">
        <w:t>using</w:t>
      </w:r>
      <w:r w:rsidR="00464BA0">
        <w:t xml:space="preserve"> the </w:t>
      </w:r>
      <w:proofErr w:type="spellStart"/>
      <w:r w:rsidR="00464BA0">
        <w:rPr>
          <w:i/>
          <w:iCs/>
        </w:rPr>
        <w:t>leastsq</w:t>
      </w:r>
      <w:proofErr w:type="spellEnd"/>
      <w:r w:rsidR="00F06897">
        <w:t xml:space="preserve"> non-linear curve fitting</w:t>
      </w:r>
      <w:r w:rsidR="00464BA0">
        <w:t xml:space="preserve"> procedure</w:t>
      </w:r>
      <w:r w:rsidR="002065DF">
        <w:t xml:space="preserve"> </w:t>
      </w:r>
      <w:r w:rsidR="002065DF">
        <w:fldChar w:fldCharType="begin" w:fldLock="1"/>
      </w:r>
      <w:r w:rsidR="00464BA0">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"id" : "ITEM-2",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"ITEM-2", "issued" : { "date-parts" : [ [ "2014", "9", "21" ] ] }, "title" : "LMFIT: Non-Linear Least-Square Minimization and Curve-Fitting for Python", "type" : "article-journal" }, "uris" : [ "http://www.mendeley.com/documents/?uuid=b27e9422-dbf1-4362-9b8b-7ca94863acd6" ] } ], "mendeley" : { "formattedCitation" : "(Jones et al. 2001; Newville et al. 2014)", "plainTextFormattedCitation" : "(Jones et al. 2001; Newville et al. 2014)", "previouslyFormattedCitation" : "(Jones et al. 2001; Newville et al. 2014)" }, "properties" : { "noteIndex" : 0 }, "schema" : "https://github.com/citation-style-language/schema/raw/master/csl-citation.json" }</w:instrText>
      </w:r>
      <w:r w:rsidR="002065DF">
        <w:fldChar w:fldCharType="separate"/>
      </w:r>
      <w:r w:rsidR="00464BA0" w:rsidRPr="00464BA0">
        <w:rPr>
          <w:noProof/>
        </w:rPr>
        <w:t>(Jones et al. 2001; Newville et al. 2014)</w:t>
      </w:r>
      <w:r w:rsidR="002065DF">
        <w:fldChar w:fldCharType="end"/>
      </w:r>
      <w:r>
        <w:t>. We then calculate the Bayesian Information C</w:t>
      </w:r>
      <w:r w:rsidR="00984152">
        <w:t>riteria (BIC) of each model fit</w:t>
      </w:r>
      <w:r w:rsidR="00F06897">
        <w:t>:</w:t>
      </w:r>
    </w:p>
    <w:p w14:paraId="3E45556E" w14:textId="77777777" w:rsidR="005F02B4" w:rsidRDefault="00984152" w:rsidP="00507681">
      <w:pPr>
        <w:jc w:val="center"/>
      </w:pPr>
      <m:oMath>
        <m:r>
          <w:rPr>
            <w:rFonts w:ascii="Cambria Math" w:hAnsi="Cambria Math"/>
          </w:rPr>
          <m:t>BIC=n</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e>
                          <m:sup>
                            <m:r>
                              <m:rPr>
                                <m:sty m:val="p"/>
                              </m:rPr>
                              <w:rPr>
                                <w:rFonts w:ascii="Cambria Math" w:hAnsi="Cambria Math"/>
                              </w:rPr>
                              <m:t>2</m:t>
                            </m:r>
                          </m:sup>
                        </m:sSup>
                      </m:e>
                    </m:nary>
                  </m:num>
                  <m:den>
                    <m:r>
                      <w:rPr>
                        <w:rFonts w:ascii="Cambria Math" w:hAnsi="Cambria Math"/>
                      </w:rPr>
                      <m:t>n</m:t>
                    </m:r>
                  </m:den>
                </m:f>
              </m:e>
            </m:d>
          </m:e>
        </m:func>
        <m:r>
          <m:rPr>
            <m:sty m:val="p"/>
          </m:rPr>
          <w:rPr>
            <w:rFonts w:ascii="Cambria Math" w:hAnsi="Cambria Math"/>
          </w:rPr>
          <m:t>+</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005F02B4">
        <w:t>,</w:t>
      </w:r>
    </w:p>
    <w:p w14:paraId="04EB3F0C" w14:textId="708ECFFD" w:rsidR="005F02B4" w:rsidRDefault="005F02B4" w:rsidP="00507681">
      <w:r>
        <w:t xml:space="preserve">where </w:t>
      </w:r>
      <m:oMath>
        <m:r>
          <w:rPr>
            <w:rFonts w:ascii="Cambria Math" w:hAnsi="Cambria Math"/>
          </w:rPr>
          <m:t>k</m:t>
        </m:r>
      </m:oMath>
      <w:r>
        <w:t xml:space="preserve"> is the number </w:t>
      </w:r>
      <w:r w:rsidR="00464BA0">
        <w:t>model</w:t>
      </w:r>
      <w:r>
        <w:t xml:space="preserve"> parameters, </w:t>
      </w:r>
      <m:oMath>
        <m:r>
          <w:rPr>
            <w:rFonts w:ascii="Cambria Math" w:hAnsi="Cambria Math"/>
          </w:rPr>
          <m:t>n</m:t>
        </m:r>
      </m:oMath>
      <w:r>
        <w:t xml:space="preserve"> is the number of </w:t>
      </w:r>
      <w:r w:rsidR="00464BA0">
        <w:t xml:space="preserve">data </w:t>
      </w:r>
      <w:r>
        <w:t>points</w:t>
      </w:r>
      <w:r w:rsidR="00464BA0">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464BA0">
        <w:t xml:space="preserve"> are the time points</w:t>
      </w:r>
      <w:r>
        <w:t xml:space="preserve">,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w:t>
      </w:r>
      <w:r w:rsidR="00464BA0">
        <w:t xml:space="preserve">optical </w:t>
      </w:r>
      <w:r w:rsidR="003D0164">
        <w:t>density</w:t>
      </w:r>
      <w:r>
        <w:t xml:space="preserve">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t xml:space="preserve">is the </w:t>
      </w:r>
      <w:r w:rsidRPr="003D0164">
        <w:t xml:space="preserve">expected </w:t>
      </w:r>
      <w:r w:rsidR="003D0164">
        <w:t>density</w:t>
      </w:r>
      <w:r>
        <w:t xml:space="preserve">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according to the model.</w:t>
      </w:r>
      <w:r w:rsidR="00154E23">
        <w:t xml:space="preserve"> We select the model </w:t>
      </w:r>
      <w:r w:rsidR="00966DD5">
        <w:t xml:space="preserve">form </w:t>
      </w:r>
      <w:r w:rsidR="00154E23">
        <w:t>with the lowest BIC</w:t>
      </w:r>
      <w:r w:rsidR="00464BA0">
        <w:t xml:space="preserve"> </w:t>
      </w:r>
      <w:r w:rsidR="00464BA0">
        <w:fldChar w:fldCharType="begin" w:fldLock="1"/>
      </w:r>
      <w:r w:rsidR="00D44992">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"id" : "ITEM-2", "itemData" : { "DOI" : "10.1016/j.ecolmodel.2007.10.030", "ISBN" : "03043800", "ISSN" : "03043800", "PMID" : "2742", "abstract" : "Many tools have become available for biologists for evaluating competing ecological models - models may be judged based on the fit to data alone (e.g. likelihood), or more formal statistical criteria may be used. Because of the implied assumptions of each tool, model selection criteria should be chosen a priori for the problem at hand, - a model that is considered 'good' in its explanatory power may not be the best choice for a problem that requires prediction. In this paper, I review the behavior and assumptions of the four most commonly used statistical criteria (Akaike's Information Criterion, AIC; Schwarz or Bayesian Information Criterion, BIC; Deviance Information Criterion, DIC; Bayes factors). Second, I illustrate differences in these model selection tools by applying the four criteria to thousands of simulated abundance trajectories. With the simulation model known, I examine whether each of the criteria are useful in selecting models to evaluate simple questions, such as whether time series support evidence of density dependent population growth. Across simulations, the maximum likelihood criteria consistently favored simpler population models when compared to Bayesian criteria. Among the Bayesian criteria, the Bayes factor favored the correct simulation model more frequently than the Deviance Information Criterion. There was considerable uncertainty in the ability of the Bayes factor to discriminate between models, this tool selected the simulation model slightly more frequently than other approaches. ?? 2007 Elsevier B.V. All rights reserved.", "author" : [ { "dropping-particle" : "", "family" : "Ward", "given" : "Eric J.", "non-dropping-particle" : "", "parse-names" : false, "suffix" : "" } ], "container-title" : "Ecological Modelling", "id" : "ITEM-2", "issue" : "1-2", "issued" : { "date-parts" : [ [ "2008" ] ] }, "page" : "1-10", "title" : "A review and comparison of four commonly used Bayesian and maximum likelihood model selection tools", "type" : "article-journal", "volume" : "211" }, "uris" : [ "http://www.mendeley.com/documents/?uuid=192bfd77-cca7-4a95-8e9d-bc1f8551d94b" ] } ], "mendeley" : { "formattedCitation" : "(Kass and Raftery 1995; Ward 2008)", "plainTextFormattedCitation" : "(Kass and Raftery 1995; Ward 2008)", "previouslyFormattedCitation" : "(Kass and Raftery 1995; Ward 2008)" }, "properties" : { "noteIndex" : 0 }, "schema" : "https://github.com/citation-style-language/schema/raw/master/csl-citation.json" }</w:instrText>
      </w:r>
      <w:r w:rsidR="00464BA0">
        <w:fldChar w:fldCharType="separate"/>
      </w:r>
      <w:r w:rsidR="00464BA0" w:rsidRPr="00464BA0">
        <w:rPr>
          <w:noProof/>
        </w:rPr>
        <w:t>(Kass and Raftery 1995; Ward 2008)</w:t>
      </w:r>
      <w:r w:rsidR="00464BA0">
        <w:fldChar w:fldCharType="end"/>
      </w:r>
      <w:r w:rsidR="00154E23">
        <w:t>.</w:t>
      </w:r>
    </w:p>
    <w:p w14:paraId="202C6CCE" w14:textId="5976E042" w:rsidR="00154E23" w:rsidRDefault="00C05ED5" w:rsidP="00997352">
      <w:r>
        <w:t xml:space="preserve">We repeat the model fitting procedure for the </w:t>
      </w:r>
      <w:r w:rsidR="00F70C02">
        <w:t>monoculture growth curve</w:t>
      </w:r>
      <w:r>
        <w:t xml:space="preserve"> data of each strain to produce estimates for all six parameters as well as confidence intervals on these </w:t>
      </w:r>
      <w:r w:rsidR="00895982">
        <w:t>estimates</w:t>
      </w:r>
      <w:r w:rsidR="00E74D07">
        <w:t xml:space="preserve"> (</w:t>
      </w:r>
      <w:r w:rsidR="00E74D07" w:rsidRPr="008F3527">
        <w:rPr>
          <w:highlight w:val="yellow"/>
        </w:rPr>
        <w:t xml:space="preserve">Fig. </w:t>
      </w:r>
      <w:proofErr w:type="gramStart"/>
      <w:r w:rsidR="008404BC" w:rsidRPr="008404BC">
        <w:rPr>
          <w:highlight w:val="yellow"/>
        </w:rPr>
        <w:t>SX</w:t>
      </w:r>
      <w:r w:rsidR="00E74D07">
        <w:t>)</w:t>
      </w:r>
      <w:r w:rsidR="00DA15C0">
        <w:t>.</w:t>
      </w:r>
      <w:proofErr w:type="gramEnd"/>
      <w:r w:rsidR="00DA15C0">
        <w:t xml:space="preserve"> The best fit</w:t>
      </w:r>
      <w:r w:rsidR="00997352">
        <w:t xml:space="preserve"> </w:t>
      </w:r>
      <w:r w:rsidR="00DA15C0">
        <w:t xml:space="preserve">is shown in </w:t>
      </w:r>
      <w:r w:rsidR="00DA15C0">
        <w:fldChar w:fldCharType="begin"/>
      </w:r>
      <w:r w:rsidR="00DA15C0">
        <w:instrText xml:space="preserve"> REF _Ref439852214 \h </w:instrText>
      </w:r>
      <w:r w:rsidR="00DA15C0">
        <w:fldChar w:fldCharType="separate"/>
      </w:r>
      <w:r w:rsidR="007F2D48" w:rsidRPr="00DA15C0">
        <w:t xml:space="preserve">Figure </w:t>
      </w:r>
      <w:r w:rsidR="007F2D48">
        <w:rPr>
          <w:noProof/>
        </w:rPr>
        <w:t>2</w:t>
      </w:r>
      <w:r w:rsidR="00DA15C0">
        <w:fldChar w:fldCharType="end"/>
      </w:r>
      <w:r w:rsidR="00997352">
        <w:t>; the estimated growth parameters are given in Table X.</w:t>
      </w:r>
    </w:p>
    <w:p w14:paraId="4F993615" w14:textId="77777777" w:rsidR="00DA15C0" w:rsidRDefault="00DA15C0" w:rsidP="008404BC"/>
    <w:p w14:paraId="3983ED24" w14:textId="77777777" w:rsidR="00DA15C0" w:rsidRDefault="00DA15C0" w:rsidP="00DA15C0">
      <w:pPr>
        <w:keepNext/>
      </w:pPr>
      <w:r>
        <w:rPr>
          <w:noProof/>
        </w:rPr>
        <w:drawing>
          <wp:inline distT="0" distB="0" distL="0" distR="0" wp14:anchorId="0695AF6D" wp14:editId="3777AD02">
            <wp:extent cx="5262245" cy="1802765"/>
            <wp:effectExtent l="0" t="0" r="0" b="6985"/>
            <wp:docPr id="7" name="Picture 7" descr="D:\workspace\curveball_project\ms\Fig-model_fi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workspace\curveball_project\ms\Fig-model_fitt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245" cy="1802765"/>
                    </a:xfrm>
                    <a:prstGeom prst="rect">
                      <a:avLst/>
                    </a:prstGeom>
                    <a:noFill/>
                    <a:ln>
                      <a:noFill/>
                    </a:ln>
                  </pic:spPr>
                </pic:pic>
              </a:graphicData>
            </a:graphic>
          </wp:inline>
        </w:drawing>
      </w:r>
    </w:p>
    <w:p w14:paraId="152D5154" w14:textId="1FA7C775" w:rsidR="00DA15C0" w:rsidRPr="00DA15C0" w:rsidRDefault="00DA15C0" w:rsidP="007F2D48">
      <w:pPr>
        <w:pStyle w:val="Caption"/>
        <w:jc w:val="center"/>
        <w:rPr>
          <w:color w:val="auto"/>
        </w:rPr>
      </w:pPr>
      <w:bookmarkStart w:id="1" w:name="_Ref439852214"/>
      <w:proofErr w:type="gramStart"/>
      <w:r w:rsidRPr="00DA15C0">
        <w:rPr>
          <w:color w:val="auto"/>
        </w:rPr>
        <w:t xml:space="preserve">Figure </w:t>
      </w:r>
      <w:r w:rsidRPr="00DA15C0">
        <w:rPr>
          <w:color w:val="auto"/>
        </w:rPr>
        <w:fldChar w:fldCharType="begin"/>
      </w:r>
      <w:r w:rsidRPr="00DA15C0">
        <w:rPr>
          <w:color w:val="auto"/>
        </w:rPr>
        <w:instrText xml:space="preserve"> SEQ Figure \* ARABIC </w:instrText>
      </w:r>
      <w:r w:rsidRPr="00DA15C0">
        <w:rPr>
          <w:color w:val="auto"/>
        </w:rPr>
        <w:fldChar w:fldCharType="separate"/>
      </w:r>
      <w:r w:rsidR="00755D4D">
        <w:rPr>
          <w:noProof/>
          <w:color w:val="auto"/>
        </w:rPr>
        <w:t>2</w:t>
      </w:r>
      <w:r w:rsidRPr="00DA15C0">
        <w:rPr>
          <w:color w:val="auto"/>
        </w:rPr>
        <w:fldChar w:fldCharType="end"/>
      </w:r>
      <w:bookmarkEnd w:id="1"/>
      <w:r>
        <w:rPr>
          <w:color w:val="auto"/>
        </w:rPr>
        <w:t>.</w:t>
      </w:r>
      <w:proofErr w:type="gramEnd"/>
      <w:r>
        <w:rPr>
          <w:color w:val="auto"/>
        </w:rPr>
        <w:t xml:space="preserve"> Fitting growth </w:t>
      </w:r>
      <w:r w:rsidR="007F2D48">
        <w:rPr>
          <w:color w:val="auto"/>
        </w:rPr>
        <w:t>model</w:t>
      </w:r>
      <w:r>
        <w:rPr>
          <w:color w:val="auto"/>
        </w:rPr>
        <w:t xml:space="preserve"> to growth </w:t>
      </w:r>
      <w:r w:rsidR="007F2D48">
        <w:rPr>
          <w:color w:val="auto"/>
        </w:rPr>
        <w:t>curves data</w:t>
      </w:r>
      <w:r>
        <w:rPr>
          <w:color w:val="auto"/>
        </w:rPr>
        <w:t>.</w:t>
      </w:r>
      <w:r>
        <w:rPr>
          <w:b w:val="0"/>
          <w:bCs w:val="0"/>
          <w:color w:val="auto"/>
        </w:rPr>
        <w:t xml:space="preserve"> The figure shows the best model fit (solid lines) to the growth curves data (markers) of two strains (green and red) growing in monoculture.</w:t>
      </w:r>
      <w:r w:rsidR="00997352">
        <w:rPr>
          <w:b w:val="0"/>
          <w:bCs w:val="0"/>
          <w:color w:val="auto"/>
        </w:rPr>
        <w:t xml:space="preserve"> </w:t>
      </w:r>
      <w:r>
        <w:rPr>
          <w:color w:val="auto"/>
        </w:rPr>
        <w:t>(A)</w:t>
      </w:r>
      <w:r>
        <w:rPr>
          <w:b w:val="0"/>
          <w:bCs w:val="0"/>
          <w:color w:val="auto"/>
        </w:rPr>
        <w:t xml:space="preserve"> Experiment that includes a lag phase. </w:t>
      </w:r>
      <w:r>
        <w:rPr>
          <w:color w:val="auto"/>
        </w:rPr>
        <w:t>(B)</w:t>
      </w:r>
      <w:r>
        <w:rPr>
          <w:i/>
          <w:iCs/>
          <w:color w:val="auto"/>
        </w:rPr>
        <w:t xml:space="preserve"> </w:t>
      </w:r>
      <w:r w:rsidRPr="00DA15C0">
        <w:rPr>
          <w:b w:val="0"/>
          <w:bCs w:val="0"/>
          <w:color w:val="auto"/>
        </w:rPr>
        <w:t xml:space="preserve">Experiment that doesn't include a lag phase (see </w:t>
      </w:r>
      <w:r w:rsidRPr="00DA15C0">
        <w:rPr>
          <w:b w:val="0"/>
          <w:bCs w:val="0"/>
          <w:color w:val="auto"/>
        </w:rPr>
        <w:fldChar w:fldCharType="begin"/>
      </w:r>
      <w:r w:rsidRPr="00DA15C0">
        <w:rPr>
          <w:b w:val="0"/>
          <w:bCs w:val="0"/>
          <w:color w:val="auto"/>
        </w:rPr>
        <w:instrText xml:space="preserve"> REF _Ref439852115 \h  \* MERGEFORMAT </w:instrText>
      </w:r>
      <w:r w:rsidRPr="00DA15C0">
        <w:rPr>
          <w:b w:val="0"/>
          <w:bCs w:val="0"/>
          <w:color w:val="auto"/>
        </w:rPr>
      </w:r>
      <w:r w:rsidRPr="00DA15C0">
        <w:rPr>
          <w:b w:val="0"/>
          <w:bCs w:val="0"/>
          <w:color w:val="auto"/>
        </w:rPr>
        <w:fldChar w:fldCharType="separate"/>
      </w:r>
      <w:r w:rsidR="007F2D48" w:rsidRPr="007F2D48">
        <w:rPr>
          <w:b w:val="0"/>
          <w:bCs w:val="0"/>
          <w:color w:val="auto"/>
        </w:rPr>
        <w:t xml:space="preserve">Figure </w:t>
      </w:r>
      <w:r w:rsidR="007F2D48" w:rsidRPr="007F2D48">
        <w:rPr>
          <w:b w:val="0"/>
          <w:bCs w:val="0"/>
          <w:noProof/>
          <w:color w:val="auto"/>
        </w:rPr>
        <w:t>1</w:t>
      </w:r>
      <w:r w:rsidRPr="00DA15C0">
        <w:rPr>
          <w:b w:val="0"/>
          <w:bCs w:val="0"/>
          <w:color w:val="auto"/>
        </w:rPr>
        <w:fldChar w:fldCharType="end"/>
      </w:r>
      <w:r>
        <w:rPr>
          <w:b w:val="0"/>
          <w:bCs w:val="0"/>
          <w:color w:val="auto"/>
        </w:rPr>
        <w:t>).</w:t>
      </w:r>
    </w:p>
    <w:p w14:paraId="4086193F" w14:textId="77777777" w:rsidR="00997352" w:rsidRDefault="00997352" w:rsidP="00604C25"/>
    <w:tbl>
      <w:tblPr>
        <w:tblStyle w:val="LightShading"/>
        <w:tblW w:w="0" w:type="auto"/>
        <w:tblLook w:val="04A0" w:firstRow="1" w:lastRow="0" w:firstColumn="1" w:lastColumn="0" w:noHBand="0" w:noVBand="1"/>
      </w:tblPr>
      <w:tblGrid>
        <w:gridCol w:w="1704"/>
        <w:gridCol w:w="1704"/>
        <w:gridCol w:w="1704"/>
        <w:gridCol w:w="1705"/>
        <w:gridCol w:w="1705"/>
      </w:tblGrid>
      <w:tr w:rsidR="00997352" w14:paraId="3C45AC95" w14:textId="77777777" w:rsidTr="009973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0203180C" w14:textId="10197C2B" w:rsidR="00997352" w:rsidRDefault="00997352" w:rsidP="00997352">
            <w:pPr>
              <w:ind w:firstLine="0"/>
              <w:jc w:val="center"/>
            </w:pPr>
            <w:r>
              <w:t>Parameter</w:t>
            </w:r>
          </w:p>
        </w:tc>
        <w:tc>
          <w:tcPr>
            <w:tcW w:w="1704" w:type="dxa"/>
          </w:tcPr>
          <w:p w14:paraId="4BBE23AE" w14:textId="76EEFA15" w:rsidR="00997352" w:rsidRDefault="00997352" w:rsidP="00997352">
            <w:pPr>
              <w:ind w:firstLine="0"/>
              <w:jc w:val="center"/>
              <w:cnfStyle w:val="100000000000" w:firstRow="1" w:lastRow="0" w:firstColumn="0" w:lastColumn="0" w:oddVBand="0" w:evenVBand="0" w:oddHBand="0" w:evenHBand="0" w:firstRowFirstColumn="0" w:firstRowLastColumn="0" w:lastRowFirstColumn="0" w:lastRowLastColumn="0"/>
            </w:pPr>
            <w:r>
              <w:t>Exp. A/Green</w:t>
            </w:r>
          </w:p>
        </w:tc>
        <w:tc>
          <w:tcPr>
            <w:tcW w:w="1704" w:type="dxa"/>
          </w:tcPr>
          <w:p w14:paraId="586BA134" w14:textId="215F2E76" w:rsidR="00997352" w:rsidRDefault="00997352" w:rsidP="00997352">
            <w:pPr>
              <w:ind w:firstLine="0"/>
              <w:jc w:val="center"/>
              <w:cnfStyle w:val="100000000000" w:firstRow="1" w:lastRow="0" w:firstColumn="0" w:lastColumn="0" w:oddVBand="0" w:evenVBand="0" w:oddHBand="0" w:evenHBand="0" w:firstRowFirstColumn="0" w:firstRowLastColumn="0" w:lastRowFirstColumn="0" w:lastRowLastColumn="0"/>
            </w:pPr>
            <w:r>
              <w:t>Exp. A/Red</w:t>
            </w:r>
          </w:p>
        </w:tc>
        <w:tc>
          <w:tcPr>
            <w:tcW w:w="1705" w:type="dxa"/>
          </w:tcPr>
          <w:p w14:paraId="34143450" w14:textId="42833817" w:rsidR="00997352" w:rsidRDefault="00997352" w:rsidP="00997352">
            <w:pPr>
              <w:ind w:firstLine="0"/>
              <w:jc w:val="center"/>
              <w:cnfStyle w:val="100000000000" w:firstRow="1" w:lastRow="0" w:firstColumn="0" w:lastColumn="0" w:oddVBand="0" w:evenVBand="0" w:oddHBand="0" w:evenHBand="0" w:firstRowFirstColumn="0" w:firstRowLastColumn="0" w:lastRowFirstColumn="0" w:lastRowLastColumn="0"/>
            </w:pPr>
            <w:r>
              <w:t>Exp. B/Green</w:t>
            </w:r>
          </w:p>
        </w:tc>
        <w:tc>
          <w:tcPr>
            <w:tcW w:w="1705" w:type="dxa"/>
          </w:tcPr>
          <w:p w14:paraId="0627B489" w14:textId="3AEC37C1" w:rsidR="00997352" w:rsidRDefault="00997352" w:rsidP="00997352">
            <w:pPr>
              <w:ind w:firstLine="0"/>
              <w:jc w:val="center"/>
              <w:cnfStyle w:val="100000000000" w:firstRow="1" w:lastRow="0" w:firstColumn="0" w:lastColumn="0" w:oddVBand="0" w:evenVBand="0" w:oddHBand="0" w:evenHBand="0" w:firstRowFirstColumn="0" w:firstRowLastColumn="0" w:lastRowFirstColumn="0" w:lastRowLastColumn="0"/>
            </w:pPr>
            <w:r>
              <w:t>Exp. B/Green</w:t>
            </w:r>
          </w:p>
        </w:tc>
      </w:tr>
      <w:tr w:rsidR="00997352" w14:paraId="242B60E5" w14:textId="77777777" w:rsidTr="00997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57FAAE8A" w14:textId="724331F6" w:rsidR="00997352" w:rsidRPr="007F2D48" w:rsidRDefault="00D042EE" w:rsidP="00997352">
            <w:pPr>
              <w:ind w:firstLine="0"/>
              <w:jc w:val="center"/>
              <w:rPr>
                <w:vertAlign w:val="subscript"/>
              </w:rPr>
            </w:pPr>
            <m:oMathPara>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0</m:t>
                    </m:r>
                  </m:sub>
                </m:sSub>
              </m:oMath>
            </m:oMathPara>
          </w:p>
        </w:tc>
        <w:tc>
          <w:tcPr>
            <w:tcW w:w="1704" w:type="dxa"/>
          </w:tcPr>
          <w:p w14:paraId="4706B8E0" w14:textId="61723D5F" w:rsidR="00997352" w:rsidRDefault="00997352" w:rsidP="00997352">
            <w:pPr>
              <w:ind w:firstLine="0"/>
              <w:jc w:val="center"/>
              <w:cnfStyle w:val="000000100000" w:firstRow="0" w:lastRow="0" w:firstColumn="0" w:lastColumn="0" w:oddVBand="0" w:evenVBand="0" w:oddHBand="1" w:evenHBand="0" w:firstRowFirstColumn="0" w:firstRowLastColumn="0" w:lastRowFirstColumn="0" w:lastRowLastColumn="0"/>
            </w:pPr>
            <w:r>
              <w:t>0.125</w:t>
            </w:r>
          </w:p>
        </w:tc>
        <w:tc>
          <w:tcPr>
            <w:tcW w:w="1704" w:type="dxa"/>
          </w:tcPr>
          <w:p w14:paraId="67EF53EC" w14:textId="33FBA246" w:rsidR="00997352" w:rsidRDefault="00997352" w:rsidP="00997352">
            <w:pPr>
              <w:ind w:firstLine="0"/>
              <w:jc w:val="center"/>
              <w:cnfStyle w:val="000000100000" w:firstRow="0" w:lastRow="0" w:firstColumn="0" w:lastColumn="0" w:oddVBand="0" w:evenVBand="0" w:oddHBand="1" w:evenHBand="0" w:firstRowFirstColumn="0" w:firstRowLastColumn="0" w:lastRowFirstColumn="0" w:lastRowLastColumn="0"/>
            </w:pPr>
            <w:r>
              <w:t>0.124</w:t>
            </w:r>
          </w:p>
        </w:tc>
        <w:tc>
          <w:tcPr>
            <w:tcW w:w="1705" w:type="dxa"/>
          </w:tcPr>
          <w:p w14:paraId="637369D0" w14:textId="7473976A" w:rsidR="00997352" w:rsidRDefault="007F2D48" w:rsidP="00997352">
            <w:pPr>
              <w:ind w:firstLine="0"/>
              <w:jc w:val="center"/>
              <w:cnfStyle w:val="000000100000" w:firstRow="0" w:lastRow="0" w:firstColumn="0" w:lastColumn="0" w:oddVBand="0" w:evenVBand="0" w:oddHBand="1" w:evenHBand="0" w:firstRowFirstColumn="0" w:firstRowLastColumn="0" w:lastRowFirstColumn="0" w:lastRowLastColumn="0"/>
            </w:pPr>
            <w:r>
              <w:t>0.286</w:t>
            </w:r>
          </w:p>
        </w:tc>
        <w:tc>
          <w:tcPr>
            <w:tcW w:w="1705" w:type="dxa"/>
          </w:tcPr>
          <w:p w14:paraId="5DAF2BAC" w14:textId="0A0AEA74" w:rsidR="00997352" w:rsidRDefault="007F2D48" w:rsidP="00997352">
            <w:pPr>
              <w:ind w:firstLine="0"/>
              <w:jc w:val="center"/>
              <w:cnfStyle w:val="000000100000" w:firstRow="0" w:lastRow="0" w:firstColumn="0" w:lastColumn="0" w:oddVBand="0" w:evenVBand="0" w:oddHBand="1" w:evenHBand="0" w:firstRowFirstColumn="0" w:firstRowLastColumn="0" w:lastRowFirstColumn="0" w:lastRowLastColumn="0"/>
            </w:pPr>
            <w:r>
              <w:t>0.23</w:t>
            </w:r>
          </w:p>
        </w:tc>
      </w:tr>
      <w:tr w:rsidR="00997352" w14:paraId="496164D8" w14:textId="77777777" w:rsidTr="00997352">
        <w:tc>
          <w:tcPr>
            <w:cnfStyle w:val="001000000000" w:firstRow="0" w:lastRow="0" w:firstColumn="1" w:lastColumn="0" w:oddVBand="0" w:evenVBand="0" w:oddHBand="0" w:evenHBand="0" w:firstRowFirstColumn="0" w:firstRowLastColumn="0" w:lastRowFirstColumn="0" w:lastRowLastColumn="0"/>
            <w:tcW w:w="1704" w:type="dxa"/>
          </w:tcPr>
          <w:p w14:paraId="2F30EAE3" w14:textId="3FBB05BA" w:rsidR="00997352" w:rsidRPr="007F2D48" w:rsidRDefault="007F2D48" w:rsidP="00997352">
            <w:pPr>
              <w:ind w:firstLine="0"/>
              <w:jc w:val="center"/>
            </w:pPr>
            <m:oMathPara>
              <m:oMath>
                <m:r>
                  <m:rPr>
                    <m:sty m:val="bi"/>
                  </m:rPr>
                  <w:rPr>
                    <w:rFonts w:ascii="Cambria Math" w:hAnsi="Cambria Math"/>
                    <w:color w:val="auto"/>
                  </w:rPr>
                  <m:t>K</m:t>
                </m:r>
              </m:oMath>
            </m:oMathPara>
          </w:p>
        </w:tc>
        <w:tc>
          <w:tcPr>
            <w:tcW w:w="1704" w:type="dxa"/>
          </w:tcPr>
          <w:p w14:paraId="02AFDB10" w14:textId="76A962CA" w:rsidR="00997352" w:rsidRDefault="00997352" w:rsidP="00997352">
            <w:pPr>
              <w:ind w:firstLine="0"/>
              <w:jc w:val="center"/>
              <w:cnfStyle w:val="000000000000" w:firstRow="0" w:lastRow="0" w:firstColumn="0" w:lastColumn="0" w:oddVBand="0" w:evenVBand="0" w:oddHBand="0" w:evenHBand="0" w:firstRowFirstColumn="0" w:firstRowLastColumn="0" w:lastRowFirstColumn="0" w:lastRowLastColumn="0"/>
            </w:pPr>
            <w:r>
              <w:t>0.528</w:t>
            </w:r>
          </w:p>
        </w:tc>
        <w:tc>
          <w:tcPr>
            <w:tcW w:w="1704" w:type="dxa"/>
          </w:tcPr>
          <w:p w14:paraId="2F73AB10" w14:textId="578D3876" w:rsidR="00997352" w:rsidRDefault="00997352" w:rsidP="00997352">
            <w:pPr>
              <w:ind w:firstLine="0"/>
              <w:jc w:val="center"/>
              <w:cnfStyle w:val="000000000000" w:firstRow="0" w:lastRow="0" w:firstColumn="0" w:lastColumn="0" w:oddVBand="0" w:evenVBand="0" w:oddHBand="0" w:evenHBand="0" w:firstRowFirstColumn="0" w:firstRowLastColumn="0" w:lastRowFirstColumn="0" w:lastRowLastColumn="0"/>
            </w:pPr>
            <w:r>
              <w:t>0.65</w:t>
            </w:r>
          </w:p>
        </w:tc>
        <w:tc>
          <w:tcPr>
            <w:tcW w:w="1705" w:type="dxa"/>
          </w:tcPr>
          <w:p w14:paraId="03764BC7" w14:textId="1184AF67" w:rsidR="00997352" w:rsidRDefault="007F2D48" w:rsidP="00997352">
            <w:pPr>
              <w:ind w:firstLine="0"/>
              <w:jc w:val="center"/>
              <w:cnfStyle w:val="000000000000" w:firstRow="0" w:lastRow="0" w:firstColumn="0" w:lastColumn="0" w:oddVBand="0" w:evenVBand="0" w:oddHBand="0" w:evenHBand="0" w:firstRowFirstColumn="0" w:firstRowLastColumn="0" w:lastRowFirstColumn="0" w:lastRowLastColumn="0"/>
            </w:pPr>
            <w:r>
              <w:t>0.619</w:t>
            </w:r>
          </w:p>
        </w:tc>
        <w:tc>
          <w:tcPr>
            <w:tcW w:w="1705" w:type="dxa"/>
          </w:tcPr>
          <w:p w14:paraId="6C45B5EE" w14:textId="5FD1246D" w:rsidR="00997352" w:rsidRDefault="007F2D48" w:rsidP="00997352">
            <w:pPr>
              <w:ind w:firstLine="0"/>
              <w:jc w:val="center"/>
              <w:cnfStyle w:val="000000000000" w:firstRow="0" w:lastRow="0" w:firstColumn="0" w:lastColumn="0" w:oddVBand="0" w:evenVBand="0" w:oddHBand="0" w:evenHBand="0" w:firstRowFirstColumn="0" w:firstRowLastColumn="0" w:lastRowFirstColumn="0" w:lastRowLastColumn="0"/>
            </w:pPr>
            <w:r>
              <w:t>0.631</w:t>
            </w:r>
          </w:p>
        </w:tc>
      </w:tr>
      <w:tr w:rsidR="00997352" w14:paraId="24C25DCB" w14:textId="77777777" w:rsidTr="00997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38669633" w14:textId="5A2DE39A" w:rsidR="00997352" w:rsidRPr="007F2D48" w:rsidRDefault="007F2D48" w:rsidP="00997352">
            <w:pPr>
              <w:ind w:firstLine="0"/>
              <w:jc w:val="center"/>
            </w:pPr>
            <m:oMathPara>
              <m:oMath>
                <m:r>
                  <m:rPr>
                    <m:sty m:val="bi"/>
                  </m:rPr>
                  <w:rPr>
                    <w:rFonts w:ascii="Cambria Math" w:hAnsi="Cambria Math"/>
                    <w:color w:val="auto"/>
                  </w:rPr>
                  <m:t>r</m:t>
                </m:r>
              </m:oMath>
            </m:oMathPara>
          </w:p>
        </w:tc>
        <w:tc>
          <w:tcPr>
            <w:tcW w:w="1704" w:type="dxa"/>
          </w:tcPr>
          <w:p w14:paraId="529CF34D" w14:textId="14241409" w:rsidR="00997352" w:rsidRDefault="00997352" w:rsidP="00997352">
            <w:pPr>
              <w:ind w:firstLine="0"/>
              <w:jc w:val="center"/>
              <w:cnfStyle w:val="000000100000" w:firstRow="0" w:lastRow="0" w:firstColumn="0" w:lastColumn="0" w:oddVBand="0" w:evenVBand="0" w:oddHBand="1" w:evenHBand="0" w:firstRowFirstColumn="0" w:firstRowLastColumn="0" w:lastRowFirstColumn="0" w:lastRowLastColumn="0"/>
            </w:pPr>
            <w:r>
              <w:t>0.265</w:t>
            </w:r>
            <w:r w:rsidR="007F2D48">
              <w:t>±0</w:t>
            </w:r>
          </w:p>
        </w:tc>
        <w:tc>
          <w:tcPr>
            <w:tcW w:w="1704" w:type="dxa"/>
          </w:tcPr>
          <w:p w14:paraId="6A2EA377" w14:textId="28DD0E75" w:rsidR="00997352" w:rsidRDefault="00997352" w:rsidP="00997352">
            <w:pPr>
              <w:ind w:firstLine="0"/>
              <w:jc w:val="center"/>
              <w:cnfStyle w:val="000000100000" w:firstRow="0" w:lastRow="0" w:firstColumn="0" w:lastColumn="0" w:oddVBand="0" w:evenVBand="0" w:oddHBand="1" w:evenHBand="0" w:firstRowFirstColumn="0" w:firstRowLastColumn="0" w:lastRowFirstColumn="0" w:lastRowLastColumn="0"/>
            </w:pPr>
            <w:r>
              <w:t>0.587±0.003</w:t>
            </w:r>
          </w:p>
        </w:tc>
        <w:tc>
          <w:tcPr>
            <w:tcW w:w="1705" w:type="dxa"/>
          </w:tcPr>
          <w:p w14:paraId="1A420BE9" w14:textId="7F001184" w:rsidR="00997352" w:rsidRDefault="007F2D48" w:rsidP="007F2D48">
            <w:pPr>
              <w:ind w:firstLine="0"/>
              <w:jc w:val="center"/>
              <w:cnfStyle w:val="000000100000" w:firstRow="0" w:lastRow="0" w:firstColumn="0" w:lastColumn="0" w:oddVBand="0" w:evenVBand="0" w:oddHBand="1" w:evenHBand="0" w:firstRowFirstColumn="0" w:firstRowLastColumn="0" w:lastRowFirstColumn="0" w:lastRowLastColumn="0"/>
            </w:pPr>
            <w:r>
              <w:t>0.304±0.012</w:t>
            </w:r>
          </w:p>
        </w:tc>
        <w:tc>
          <w:tcPr>
            <w:tcW w:w="1705" w:type="dxa"/>
          </w:tcPr>
          <w:p w14:paraId="72CFB0E6" w14:textId="22E9B45C" w:rsidR="00997352" w:rsidRDefault="007F2D48" w:rsidP="00997352">
            <w:pPr>
              <w:ind w:firstLine="0"/>
              <w:jc w:val="center"/>
              <w:cnfStyle w:val="000000100000" w:firstRow="0" w:lastRow="0" w:firstColumn="0" w:lastColumn="0" w:oddVBand="0" w:evenVBand="0" w:oddHBand="1" w:evenHBand="0" w:firstRowFirstColumn="0" w:firstRowLastColumn="0" w:lastRowFirstColumn="0" w:lastRowLastColumn="0"/>
            </w:pPr>
            <w:r>
              <w:t>0.483±0.017</w:t>
            </w:r>
          </w:p>
        </w:tc>
      </w:tr>
      <w:tr w:rsidR="00997352" w14:paraId="451EF5B9" w14:textId="77777777" w:rsidTr="00997352">
        <w:tc>
          <w:tcPr>
            <w:cnfStyle w:val="001000000000" w:firstRow="0" w:lastRow="0" w:firstColumn="1" w:lastColumn="0" w:oddVBand="0" w:evenVBand="0" w:oddHBand="0" w:evenHBand="0" w:firstRowFirstColumn="0" w:firstRowLastColumn="0" w:lastRowFirstColumn="0" w:lastRowLastColumn="0"/>
            <w:tcW w:w="1704" w:type="dxa"/>
          </w:tcPr>
          <w:p w14:paraId="4F950059" w14:textId="5A7408A0" w:rsidR="00997352" w:rsidRPr="007F2D48" w:rsidRDefault="007F2D48" w:rsidP="00997352">
            <w:pPr>
              <w:ind w:firstLine="0"/>
              <w:jc w:val="center"/>
            </w:pPr>
            <m:oMathPara>
              <m:oMath>
                <m:r>
                  <m:rPr>
                    <m:sty m:val="bi"/>
                  </m:rPr>
                  <w:rPr>
                    <w:rFonts w:ascii="Cambria Math" w:hAnsi="Cambria Math"/>
                    <w:color w:val="auto"/>
                  </w:rPr>
                  <m:t>ν</m:t>
                </m:r>
              </m:oMath>
            </m:oMathPara>
          </w:p>
        </w:tc>
        <w:tc>
          <w:tcPr>
            <w:tcW w:w="1704" w:type="dxa"/>
          </w:tcPr>
          <w:p w14:paraId="223B3ABD" w14:textId="6F9DDE24" w:rsidR="00997352" w:rsidRDefault="00997352" w:rsidP="00997352">
            <w:pPr>
              <w:ind w:firstLine="0"/>
              <w:jc w:val="center"/>
              <w:cnfStyle w:val="000000000000" w:firstRow="0" w:lastRow="0" w:firstColumn="0" w:lastColumn="0" w:oddVBand="0" w:evenVBand="0" w:oddHBand="0" w:evenHBand="0" w:firstRowFirstColumn="0" w:firstRowLastColumn="0" w:lastRowFirstColumn="0" w:lastRowLastColumn="0"/>
            </w:pPr>
            <w:r>
              <w:t>4.417</w:t>
            </w:r>
            <w:r w:rsidR="007F2D48">
              <w:t>±0</w:t>
            </w:r>
          </w:p>
        </w:tc>
        <w:tc>
          <w:tcPr>
            <w:tcW w:w="1704" w:type="dxa"/>
          </w:tcPr>
          <w:p w14:paraId="5549276C" w14:textId="66495560" w:rsidR="00997352" w:rsidRDefault="007F2D48" w:rsidP="007F2D48">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1705" w:type="dxa"/>
          </w:tcPr>
          <w:p w14:paraId="727A2E00" w14:textId="40EA579C" w:rsidR="00997352" w:rsidRDefault="007F2D48" w:rsidP="00997352">
            <w:pPr>
              <w:ind w:firstLine="0"/>
              <w:jc w:val="center"/>
              <w:cnfStyle w:val="000000000000" w:firstRow="0" w:lastRow="0" w:firstColumn="0" w:lastColumn="0" w:oddVBand="0" w:evenVBand="0" w:oddHBand="0" w:evenHBand="0" w:firstRowFirstColumn="0" w:firstRowLastColumn="0" w:lastRowFirstColumn="0" w:lastRowLastColumn="0"/>
            </w:pPr>
            <w:r>
              <w:t>2.484±0.164</w:t>
            </w:r>
          </w:p>
        </w:tc>
        <w:tc>
          <w:tcPr>
            <w:tcW w:w="1705" w:type="dxa"/>
          </w:tcPr>
          <w:p w14:paraId="5443B90C" w14:textId="4E611129" w:rsidR="00997352" w:rsidRDefault="007F2D48" w:rsidP="00997352">
            <w:pPr>
              <w:ind w:firstLine="0"/>
              <w:jc w:val="center"/>
              <w:cnfStyle w:val="000000000000" w:firstRow="0" w:lastRow="0" w:firstColumn="0" w:lastColumn="0" w:oddVBand="0" w:evenVBand="0" w:oddHBand="0" w:evenHBand="0" w:firstRowFirstColumn="0" w:firstRowLastColumn="0" w:lastRowFirstColumn="0" w:lastRowLastColumn="0"/>
            </w:pPr>
            <w:r>
              <w:t>1.512±0.083</w:t>
            </w:r>
          </w:p>
        </w:tc>
      </w:tr>
      <w:tr w:rsidR="00997352" w14:paraId="362096E8" w14:textId="77777777" w:rsidTr="00997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4FC5976B" w14:textId="6C7695C8" w:rsidR="00997352" w:rsidRPr="007F2D48" w:rsidRDefault="00D042EE" w:rsidP="00997352">
            <w:pPr>
              <w:ind w:firstLine="0"/>
              <w:jc w:val="center"/>
              <w:rPr>
                <w:vertAlign w:val="subscript"/>
              </w:rPr>
            </w:pPr>
            <m:oMathPara>
              <m:oMath>
                <m:sSub>
                  <m:sSubPr>
                    <m:ctrlPr>
                      <w:rPr>
                        <w:rFonts w:ascii="Cambria Math" w:hAnsi="Cambria Math"/>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m:oMathPara>
          </w:p>
        </w:tc>
        <w:tc>
          <w:tcPr>
            <w:tcW w:w="1704" w:type="dxa"/>
          </w:tcPr>
          <w:p w14:paraId="6A4EBC36" w14:textId="79258E5F" w:rsidR="00997352" w:rsidRDefault="00997352" w:rsidP="00997352">
            <w:pPr>
              <w:ind w:firstLine="0"/>
              <w:jc w:val="center"/>
              <w:cnfStyle w:val="000000100000" w:firstRow="0" w:lastRow="0" w:firstColumn="0" w:lastColumn="0" w:oddVBand="0" w:evenVBand="0" w:oddHBand="1" w:evenHBand="0" w:firstRowFirstColumn="0" w:firstRowLastColumn="0" w:lastRowFirstColumn="0" w:lastRowLastColumn="0"/>
            </w:pPr>
            <w:r>
              <w:t>0.0001</w:t>
            </w:r>
            <w:r w:rsidR="007F2D48">
              <w:t>±0</w:t>
            </w:r>
          </w:p>
        </w:tc>
        <w:tc>
          <w:tcPr>
            <w:tcW w:w="1704" w:type="dxa"/>
          </w:tcPr>
          <w:p w14:paraId="69974360" w14:textId="5AF0A2A2" w:rsidR="00997352" w:rsidRDefault="007F2D48" w:rsidP="00997352">
            <w:pPr>
              <w:ind w:firstLine="0"/>
              <w:jc w:val="center"/>
              <w:cnfStyle w:val="000000100000" w:firstRow="0" w:lastRow="0" w:firstColumn="0" w:lastColumn="0" w:oddVBand="0" w:evenVBand="0" w:oddHBand="1" w:evenHBand="0" w:firstRowFirstColumn="0" w:firstRowLastColumn="0" w:lastRowFirstColumn="0" w:lastRowLastColumn="0"/>
            </w:pPr>
            <w:r>
              <w:t>0.008±0.006</w:t>
            </w:r>
          </w:p>
        </w:tc>
        <w:tc>
          <w:tcPr>
            <w:tcW w:w="1705" w:type="dxa"/>
          </w:tcPr>
          <w:p w14:paraId="6B0098F5" w14:textId="265D394A" w:rsidR="00997352" w:rsidRPr="007F2D48" w:rsidRDefault="007F2D48" w:rsidP="00997352">
            <w:pPr>
              <w:ind w:firstLine="0"/>
              <w:jc w:val="center"/>
              <w:cnfStyle w:val="000000100000" w:firstRow="0" w:lastRow="0" w:firstColumn="0" w:lastColumn="0" w:oddVBand="0" w:evenVBand="0" w:oddHBand="1" w:evenHBand="0" w:firstRowFirstColumn="0" w:firstRowLastColumn="0" w:lastRowFirstColumn="0" w:lastRowLastColumn="0"/>
              <w:rPr>
                <w:b/>
                <w:bCs/>
              </w:rPr>
            </w:pPr>
            <w:r w:rsidRPr="007F2D48">
              <w:rPr>
                <w:b/>
                <w:bCs/>
              </w:rPr>
              <w:t>-</w:t>
            </w:r>
            <w:r>
              <w:rPr>
                <w:b/>
                <w:bCs/>
              </w:rPr>
              <w:t>*</w:t>
            </w:r>
          </w:p>
        </w:tc>
        <w:tc>
          <w:tcPr>
            <w:tcW w:w="1705" w:type="dxa"/>
          </w:tcPr>
          <w:p w14:paraId="10F8DC1A" w14:textId="77A23452" w:rsidR="00997352" w:rsidRPr="007F2D48" w:rsidRDefault="007F2D48" w:rsidP="00997352">
            <w:pPr>
              <w:ind w:firstLine="0"/>
              <w:jc w:val="center"/>
              <w:cnfStyle w:val="000000100000" w:firstRow="0" w:lastRow="0" w:firstColumn="0" w:lastColumn="0" w:oddVBand="0" w:evenVBand="0" w:oddHBand="1" w:evenHBand="0" w:firstRowFirstColumn="0" w:firstRowLastColumn="0" w:lastRowFirstColumn="0" w:lastRowLastColumn="0"/>
              <w:rPr>
                <w:b/>
                <w:bCs/>
              </w:rPr>
            </w:pPr>
            <w:r w:rsidRPr="007F2D48">
              <w:rPr>
                <w:b/>
                <w:bCs/>
              </w:rPr>
              <w:t>-</w:t>
            </w:r>
            <w:r>
              <w:rPr>
                <w:b/>
                <w:bCs/>
              </w:rPr>
              <w:t>*</w:t>
            </w:r>
          </w:p>
        </w:tc>
      </w:tr>
      <w:tr w:rsidR="00997352" w14:paraId="64C90D8B" w14:textId="77777777" w:rsidTr="00997352">
        <w:tc>
          <w:tcPr>
            <w:cnfStyle w:val="001000000000" w:firstRow="0" w:lastRow="0" w:firstColumn="1" w:lastColumn="0" w:oddVBand="0" w:evenVBand="0" w:oddHBand="0" w:evenHBand="0" w:firstRowFirstColumn="0" w:firstRowLastColumn="0" w:lastRowFirstColumn="0" w:lastRowLastColumn="0"/>
            <w:tcW w:w="1704" w:type="dxa"/>
          </w:tcPr>
          <w:p w14:paraId="1B4A045F" w14:textId="39710D35" w:rsidR="00997352" w:rsidRPr="007F2D48" w:rsidRDefault="007F2D48" w:rsidP="00997352">
            <w:pPr>
              <w:ind w:firstLine="0"/>
              <w:jc w:val="center"/>
            </w:pPr>
            <m:oMathPara>
              <m:oMath>
                <m:r>
                  <m:rPr>
                    <m:sty m:val="bi"/>
                  </m:rPr>
                  <w:rPr>
                    <w:rFonts w:ascii="Cambria Math" w:hAnsi="Cambria Math"/>
                    <w:color w:val="auto"/>
                  </w:rPr>
                  <m:t>m</m:t>
                </m:r>
              </m:oMath>
            </m:oMathPara>
          </w:p>
        </w:tc>
        <w:tc>
          <w:tcPr>
            <w:tcW w:w="1704" w:type="dxa"/>
          </w:tcPr>
          <w:p w14:paraId="01966BEF" w14:textId="18A10618" w:rsidR="00997352" w:rsidRDefault="00997352" w:rsidP="00997352">
            <w:pPr>
              <w:ind w:firstLine="0"/>
              <w:jc w:val="center"/>
              <w:cnfStyle w:val="000000000000" w:firstRow="0" w:lastRow="0" w:firstColumn="0" w:lastColumn="0" w:oddVBand="0" w:evenVBand="0" w:oddHBand="0" w:evenHBand="0" w:firstRowFirstColumn="0" w:firstRowLastColumn="0" w:lastRowFirstColumn="0" w:lastRowLastColumn="0"/>
            </w:pPr>
            <w:r>
              <w:t>3.316</w:t>
            </w:r>
            <w:r w:rsidR="007F2D48">
              <w:t>±0</w:t>
            </w:r>
          </w:p>
        </w:tc>
        <w:tc>
          <w:tcPr>
            <w:tcW w:w="1704" w:type="dxa"/>
          </w:tcPr>
          <w:p w14:paraId="02B764E1" w14:textId="5AB10331" w:rsidR="00997352" w:rsidRDefault="007F2D48" w:rsidP="00997352">
            <w:pPr>
              <w:ind w:firstLine="0"/>
              <w:jc w:val="center"/>
              <w:cnfStyle w:val="000000000000" w:firstRow="0" w:lastRow="0" w:firstColumn="0" w:lastColumn="0" w:oddVBand="0" w:evenVBand="0" w:oddHBand="0" w:evenHBand="0" w:firstRowFirstColumn="0" w:firstRowLastColumn="0" w:lastRowFirstColumn="0" w:lastRowLastColumn="0"/>
            </w:pPr>
            <w:r>
              <w:t>3.738±0.64</w:t>
            </w:r>
          </w:p>
        </w:tc>
        <w:tc>
          <w:tcPr>
            <w:tcW w:w="1705" w:type="dxa"/>
          </w:tcPr>
          <w:p w14:paraId="50A5AFEE" w14:textId="616B978F" w:rsidR="00997352" w:rsidRPr="007F2D48" w:rsidRDefault="007F2D48" w:rsidP="00997352">
            <w:pPr>
              <w:ind w:firstLine="0"/>
              <w:jc w:val="center"/>
              <w:cnfStyle w:val="000000000000" w:firstRow="0" w:lastRow="0" w:firstColumn="0" w:lastColumn="0" w:oddVBand="0" w:evenVBand="0" w:oddHBand="0" w:evenHBand="0" w:firstRowFirstColumn="0" w:firstRowLastColumn="0" w:lastRowFirstColumn="0" w:lastRowLastColumn="0"/>
              <w:rPr>
                <w:b/>
                <w:bCs/>
              </w:rPr>
            </w:pPr>
            <w:r w:rsidRPr="007F2D48">
              <w:rPr>
                <w:b/>
                <w:bCs/>
              </w:rPr>
              <w:t>-</w:t>
            </w:r>
            <w:r>
              <w:rPr>
                <w:b/>
                <w:bCs/>
              </w:rPr>
              <w:t>*</w:t>
            </w:r>
          </w:p>
        </w:tc>
        <w:tc>
          <w:tcPr>
            <w:tcW w:w="1705" w:type="dxa"/>
          </w:tcPr>
          <w:p w14:paraId="7F5B1888" w14:textId="24BE12CB" w:rsidR="00997352" w:rsidRPr="007F2D48" w:rsidRDefault="007F2D48" w:rsidP="007F2D48">
            <w:pPr>
              <w:keepNext/>
              <w:ind w:firstLine="0"/>
              <w:jc w:val="center"/>
              <w:cnfStyle w:val="000000000000" w:firstRow="0" w:lastRow="0" w:firstColumn="0" w:lastColumn="0" w:oddVBand="0" w:evenVBand="0" w:oddHBand="0" w:evenHBand="0" w:firstRowFirstColumn="0" w:firstRowLastColumn="0" w:lastRowFirstColumn="0" w:lastRowLastColumn="0"/>
              <w:rPr>
                <w:b/>
                <w:bCs/>
              </w:rPr>
            </w:pPr>
            <w:r w:rsidRPr="007F2D48">
              <w:rPr>
                <w:b/>
                <w:bCs/>
              </w:rPr>
              <w:t>-</w:t>
            </w:r>
            <w:r>
              <w:rPr>
                <w:b/>
                <w:bCs/>
              </w:rPr>
              <w:t>*</w:t>
            </w:r>
          </w:p>
        </w:tc>
      </w:tr>
      <w:tr w:rsidR="007F2D48" w14:paraId="691A4645" w14:textId="77777777" w:rsidTr="00997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66E146F3" w14:textId="76B6A806" w:rsidR="007F2D48" w:rsidRPr="007F2D48" w:rsidRDefault="007F2D48" w:rsidP="00997352">
            <w:pPr>
              <w:ind w:firstLine="0"/>
              <w:jc w:val="center"/>
              <w:rPr>
                <w:rFonts w:ascii="Times New Roman" w:eastAsia="MS Mincho" w:hAnsi="Times New Roman" w:cs="Times New Roman"/>
              </w:rPr>
            </w:pPr>
            <w:proofErr w:type="gramStart"/>
            <w:r>
              <w:rPr>
                <w:rFonts w:ascii="Times New Roman" w:eastAsia="MS Mincho" w:hAnsi="Times New Roman" w:cs="Times New Roman"/>
              </w:rPr>
              <w:t>max</w:t>
            </w:r>
            <w:proofErr w:type="gramEnd"/>
            <w:r>
              <w:rPr>
                <w:rFonts w:ascii="Times New Roman" w:eastAsia="MS Mincho" w:hAnsi="Times New Roman" w:cs="Times New Roman"/>
              </w:rPr>
              <w:t>. specific growth rate</w:t>
            </w:r>
          </w:p>
        </w:tc>
        <w:tc>
          <w:tcPr>
            <w:tcW w:w="1704" w:type="dxa"/>
          </w:tcPr>
          <w:p w14:paraId="6B6BC406" w14:textId="6CB93C4A" w:rsidR="007F2D48" w:rsidRDefault="00D372D0" w:rsidP="00997352">
            <w:pPr>
              <w:ind w:firstLine="0"/>
              <w:jc w:val="center"/>
              <w:cnfStyle w:val="000000100000" w:firstRow="0" w:lastRow="0" w:firstColumn="0" w:lastColumn="0" w:oddVBand="0" w:evenVBand="0" w:oddHBand="1" w:evenHBand="0" w:firstRowFirstColumn="0" w:firstRowLastColumn="0" w:lastRowFirstColumn="0" w:lastRowLastColumn="0"/>
            </w:pPr>
            <w:r>
              <w:t>0.26</w:t>
            </w:r>
          </w:p>
        </w:tc>
        <w:tc>
          <w:tcPr>
            <w:tcW w:w="1704" w:type="dxa"/>
          </w:tcPr>
          <w:p w14:paraId="204BFBAA" w14:textId="3FFEA693" w:rsidR="007F2D48" w:rsidRDefault="00D372D0" w:rsidP="00997352">
            <w:pPr>
              <w:ind w:firstLine="0"/>
              <w:jc w:val="center"/>
              <w:cnfStyle w:val="000000100000" w:firstRow="0" w:lastRow="0" w:firstColumn="0" w:lastColumn="0" w:oddVBand="0" w:evenVBand="0" w:oddHBand="1" w:evenHBand="0" w:firstRowFirstColumn="0" w:firstRowLastColumn="0" w:lastRowFirstColumn="0" w:lastRowLastColumn="0"/>
            </w:pPr>
            <w:r>
              <w:t>0.376</w:t>
            </w:r>
          </w:p>
        </w:tc>
        <w:tc>
          <w:tcPr>
            <w:tcW w:w="1705" w:type="dxa"/>
          </w:tcPr>
          <w:p w14:paraId="1E026860" w14:textId="194ACA96" w:rsidR="007F2D48" w:rsidRPr="00D372D0" w:rsidRDefault="00D372D0" w:rsidP="00997352">
            <w:pPr>
              <w:ind w:firstLine="0"/>
              <w:jc w:val="center"/>
              <w:cnfStyle w:val="000000100000" w:firstRow="0" w:lastRow="0" w:firstColumn="0" w:lastColumn="0" w:oddVBand="0" w:evenVBand="0" w:oddHBand="1" w:evenHBand="0" w:firstRowFirstColumn="0" w:firstRowLastColumn="0" w:lastRowFirstColumn="0" w:lastRowLastColumn="0"/>
            </w:pPr>
            <w:r w:rsidRPr="00D372D0">
              <w:t>0.256</w:t>
            </w:r>
          </w:p>
        </w:tc>
        <w:tc>
          <w:tcPr>
            <w:tcW w:w="1705" w:type="dxa"/>
          </w:tcPr>
          <w:p w14:paraId="5D6AE684" w14:textId="654A9EF4" w:rsidR="007F2D48" w:rsidRPr="00D372D0" w:rsidRDefault="00D372D0" w:rsidP="007F2D48">
            <w:pPr>
              <w:keepNext/>
              <w:ind w:firstLine="0"/>
              <w:jc w:val="center"/>
              <w:cnfStyle w:val="000000100000" w:firstRow="0" w:lastRow="0" w:firstColumn="0" w:lastColumn="0" w:oddVBand="0" w:evenVBand="0" w:oddHBand="1" w:evenHBand="0" w:firstRowFirstColumn="0" w:firstRowLastColumn="0" w:lastRowFirstColumn="0" w:lastRowLastColumn="0"/>
            </w:pPr>
            <w:r w:rsidRPr="00D372D0">
              <w:t>0.37</w:t>
            </w:r>
          </w:p>
        </w:tc>
      </w:tr>
      <w:tr w:rsidR="007F2D48" w14:paraId="5DE5D1C3" w14:textId="77777777" w:rsidTr="00997352">
        <w:tc>
          <w:tcPr>
            <w:cnfStyle w:val="001000000000" w:firstRow="0" w:lastRow="0" w:firstColumn="1" w:lastColumn="0" w:oddVBand="0" w:evenVBand="0" w:oddHBand="0" w:evenHBand="0" w:firstRowFirstColumn="0" w:firstRowLastColumn="0" w:lastRowFirstColumn="0" w:lastRowLastColumn="0"/>
            <w:tcW w:w="1704" w:type="dxa"/>
          </w:tcPr>
          <w:p w14:paraId="0AFED169" w14:textId="3172353C" w:rsidR="007F2D48" w:rsidRPr="007F2D48" w:rsidRDefault="007F2D48" w:rsidP="00997352">
            <w:pPr>
              <w:ind w:firstLine="0"/>
              <w:jc w:val="center"/>
              <w:rPr>
                <w:rFonts w:ascii="Times New Roman" w:eastAsia="MS Mincho" w:hAnsi="Times New Roman" w:cs="Times New Roman"/>
              </w:rPr>
            </w:pPr>
            <w:r>
              <w:rPr>
                <w:rFonts w:ascii="Times New Roman" w:eastAsia="MS Mincho" w:hAnsi="Times New Roman" w:cs="Times New Roman"/>
              </w:rPr>
              <w:t>lag duration</w:t>
            </w:r>
          </w:p>
        </w:tc>
        <w:tc>
          <w:tcPr>
            <w:tcW w:w="1704" w:type="dxa"/>
          </w:tcPr>
          <w:p w14:paraId="6CB462FD" w14:textId="7AC0D4E6" w:rsidR="007F2D48" w:rsidRDefault="00D372D0" w:rsidP="00997352">
            <w:pPr>
              <w:ind w:firstLine="0"/>
              <w:jc w:val="center"/>
              <w:cnfStyle w:val="000000000000" w:firstRow="0" w:lastRow="0" w:firstColumn="0" w:lastColumn="0" w:oddVBand="0" w:evenVBand="0" w:oddHBand="0" w:evenHBand="0" w:firstRowFirstColumn="0" w:firstRowLastColumn="0" w:lastRowFirstColumn="0" w:lastRowLastColumn="0"/>
            </w:pPr>
            <w:r>
              <w:t>3.796</w:t>
            </w:r>
          </w:p>
        </w:tc>
        <w:tc>
          <w:tcPr>
            <w:tcW w:w="1704" w:type="dxa"/>
          </w:tcPr>
          <w:p w14:paraId="5F466670" w14:textId="52B468B9" w:rsidR="007F2D48" w:rsidRDefault="00D372D0" w:rsidP="00997352">
            <w:pPr>
              <w:ind w:firstLine="0"/>
              <w:jc w:val="center"/>
              <w:cnfStyle w:val="000000000000" w:firstRow="0" w:lastRow="0" w:firstColumn="0" w:lastColumn="0" w:oddVBand="0" w:evenVBand="0" w:oddHBand="0" w:evenHBand="0" w:firstRowFirstColumn="0" w:firstRowLastColumn="0" w:lastRowFirstColumn="0" w:lastRowLastColumn="0"/>
            </w:pPr>
            <w:r>
              <w:t>1.578</w:t>
            </w:r>
          </w:p>
        </w:tc>
        <w:tc>
          <w:tcPr>
            <w:tcW w:w="1705" w:type="dxa"/>
          </w:tcPr>
          <w:p w14:paraId="2AD4D17F" w14:textId="6E227412" w:rsidR="007F2D48" w:rsidRPr="00D372D0" w:rsidRDefault="00D372D0" w:rsidP="00997352">
            <w:pPr>
              <w:ind w:firstLine="0"/>
              <w:jc w:val="center"/>
              <w:cnfStyle w:val="000000000000" w:firstRow="0" w:lastRow="0" w:firstColumn="0" w:lastColumn="0" w:oddVBand="0" w:evenVBand="0" w:oddHBand="0" w:evenHBand="0" w:firstRowFirstColumn="0" w:firstRowLastColumn="0" w:lastRowFirstColumn="0" w:lastRowLastColumn="0"/>
            </w:pPr>
            <w:r w:rsidRPr="00D372D0">
              <w:t>0</w:t>
            </w:r>
          </w:p>
        </w:tc>
        <w:tc>
          <w:tcPr>
            <w:tcW w:w="1705" w:type="dxa"/>
          </w:tcPr>
          <w:p w14:paraId="4175C3D0" w14:textId="3ACBC1D6" w:rsidR="007F2D48" w:rsidRPr="00D372D0" w:rsidRDefault="00D372D0" w:rsidP="007F2D48">
            <w:pPr>
              <w:keepNext/>
              <w:ind w:firstLine="0"/>
              <w:jc w:val="center"/>
              <w:cnfStyle w:val="000000000000" w:firstRow="0" w:lastRow="0" w:firstColumn="0" w:lastColumn="0" w:oddVBand="0" w:evenVBand="0" w:oddHBand="0" w:evenHBand="0" w:firstRowFirstColumn="0" w:firstRowLastColumn="0" w:lastRowFirstColumn="0" w:lastRowLastColumn="0"/>
            </w:pPr>
            <w:r w:rsidRPr="00D372D0">
              <w:t>0</w:t>
            </w:r>
          </w:p>
        </w:tc>
      </w:tr>
    </w:tbl>
    <w:p w14:paraId="7383547C" w14:textId="02C1B6E7" w:rsidR="00997352" w:rsidRPr="007F2D48" w:rsidRDefault="007F2D48" w:rsidP="007F2D48">
      <w:pPr>
        <w:pStyle w:val="Caption"/>
        <w:jc w:val="center"/>
        <w:rPr>
          <w:b w:val="0"/>
          <w:bCs w:val="0"/>
          <w:color w:val="auto"/>
        </w:rPr>
      </w:pPr>
      <w:proofErr w:type="gramStart"/>
      <w:r w:rsidRPr="007F2D48">
        <w:rPr>
          <w:color w:val="auto"/>
        </w:rPr>
        <w:t xml:space="preserve">Table </w:t>
      </w:r>
      <w:r w:rsidRPr="007F2D48">
        <w:rPr>
          <w:color w:val="auto"/>
        </w:rPr>
        <w:fldChar w:fldCharType="begin"/>
      </w:r>
      <w:r w:rsidRPr="007F2D48">
        <w:rPr>
          <w:color w:val="auto"/>
        </w:rPr>
        <w:instrText xml:space="preserve"> SEQ Table \* ARABIC </w:instrText>
      </w:r>
      <w:r w:rsidRPr="007F2D48">
        <w:rPr>
          <w:color w:val="auto"/>
        </w:rPr>
        <w:fldChar w:fldCharType="separate"/>
      </w:r>
      <w:r>
        <w:rPr>
          <w:noProof/>
          <w:color w:val="auto"/>
        </w:rPr>
        <w:t>2</w:t>
      </w:r>
      <w:r w:rsidRPr="007F2D48">
        <w:rPr>
          <w:color w:val="auto"/>
        </w:rPr>
        <w:fldChar w:fldCharType="end"/>
      </w:r>
      <w:r>
        <w:rPr>
          <w:color w:val="auto"/>
        </w:rPr>
        <w:t>.</w:t>
      </w:r>
      <w:proofErr w:type="gramEnd"/>
      <w:r>
        <w:rPr>
          <w:color w:val="auto"/>
        </w:rPr>
        <w:t xml:space="preserve"> Estimated parameters from growth model fitting. </w:t>
      </w:r>
      <w:r>
        <w:rPr>
          <w:b w:val="0"/>
          <w:bCs w:val="0"/>
          <w:color w:val="auto"/>
        </w:rPr>
        <w:t xml:space="preserve">Where applicable, the estimation standard </w:t>
      </w:r>
      <w:r w:rsidRPr="007F2D48">
        <w:rPr>
          <w:b w:val="0"/>
          <w:bCs w:val="0"/>
          <w:color w:val="auto"/>
        </w:rPr>
        <w:t>deviation is given after the ± sign.</w:t>
      </w:r>
      <w:r>
        <w:rPr>
          <w:b w:val="0"/>
          <w:bCs w:val="0"/>
          <w:color w:val="auto"/>
        </w:rPr>
        <w:t xml:space="preserve"> * denotes cases where the best model had a parameter fixed. – denotes cases where the selected model had no lag phase.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0</m:t>
            </m:r>
          </m:sub>
        </m:sSub>
      </m:oMath>
      <w:r w:rsidRPr="008404BC">
        <w:rPr>
          <w:b w:val="0"/>
          <w:bCs w:val="0"/>
          <w:color w:val="auto"/>
        </w:rPr>
        <w:t xml:space="preserve"> </w:t>
      </w:r>
      <w:proofErr w:type="gramStart"/>
      <w:r w:rsidRPr="008404BC">
        <w:rPr>
          <w:b w:val="0"/>
          <w:bCs w:val="0"/>
          <w:color w:val="auto"/>
        </w:rPr>
        <w:t>is</w:t>
      </w:r>
      <w:proofErr w:type="gramEnd"/>
      <w:r w:rsidRPr="008404BC">
        <w:rPr>
          <w:b w:val="0"/>
          <w:bCs w:val="0"/>
          <w:color w:val="auto"/>
        </w:rPr>
        <w:t xml:space="preserve"> the initial population density; </w:t>
      </w:r>
      <m:oMath>
        <m:r>
          <m:rPr>
            <m:sty m:val="bi"/>
          </m:rPr>
          <w:rPr>
            <w:rFonts w:ascii="Cambria Math" w:hAnsi="Cambria Math"/>
            <w:color w:val="auto"/>
          </w:rPr>
          <m:t>K</m:t>
        </m:r>
      </m:oMath>
      <w:r w:rsidRPr="008404BC">
        <w:rPr>
          <w:b w:val="0"/>
          <w:bCs w:val="0"/>
          <w:color w:val="auto"/>
        </w:rPr>
        <w:t xml:space="preserve"> is the maximum population density; </w:t>
      </w:r>
      <m:oMath>
        <m:r>
          <m:rPr>
            <m:sty m:val="bi"/>
          </m:rPr>
          <w:rPr>
            <w:rFonts w:ascii="Cambria Math" w:hAnsi="Cambria Math"/>
            <w:color w:val="auto"/>
          </w:rPr>
          <m:t>r</m:t>
        </m:r>
      </m:oMath>
      <w:r w:rsidRPr="008404BC">
        <w:rPr>
          <w:b w:val="0"/>
          <w:bCs w:val="0"/>
          <w:color w:val="auto"/>
        </w:rPr>
        <w:t xml:space="preserve"> is the specific growth rate in low density; </w:t>
      </w:r>
      <m:oMath>
        <m:r>
          <m:rPr>
            <m:sty m:val="bi"/>
          </m:rPr>
          <w:rPr>
            <w:rFonts w:ascii="Cambria Math" w:hAnsi="Cambria Math"/>
            <w:color w:val="auto"/>
          </w:rPr>
          <m:t>ν</m:t>
        </m:r>
      </m:oMath>
      <w:r w:rsidRPr="008404BC">
        <w:rPr>
          <w:b w:val="0"/>
          <w:bCs w:val="0"/>
          <w:color w:val="auto"/>
        </w:rPr>
        <w:t xml:space="preserve"> is the s</w:t>
      </w:r>
      <w:proofErr w:type="spellStart"/>
      <w:r w:rsidRPr="008404BC">
        <w:rPr>
          <w:b w:val="0"/>
          <w:bCs w:val="0"/>
          <w:color w:val="auto"/>
        </w:rPr>
        <w:t>urface</w:t>
      </w:r>
      <w:proofErr w:type="spellEnd"/>
      <w:r w:rsidRPr="008404BC">
        <w:rPr>
          <w:b w:val="0"/>
          <w:bCs w:val="0"/>
          <w:color w:val="auto"/>
        </w:rPr>
        <w:t xml:space="preserve"> to mass ratio; </w:t>
      </w:r>
      <m:oMath>
        <m:sSub>
          <m:sSubPr>
            <m:ctrlPr>
              <w:rPr>
                <w:rFonts w:ascii="Cambria Math" w:hAnsi="Cambria Math"/>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8404BC">
        <w:rPr>
          <w:b w:val="0"/>
          <w:bCs w:val="0"/>
          <w:color w:val="auto"/>
        </w:rPr>
        <w:t xml:space="preserve"> is the initial physiological state; </w:t>
      </w:r>
      <m:oMath>
        <m:r>
          <m:rPr>
            <m:sty m:val="bi"/>
          </m:rPr>
          <w:rPr>
            <w:rFonts w:ascii="Cambria Math" w:hAnsi="Cambria Math"/>
            <w:color w:val="auto"/>
          </w:rPr>
          <m:t>m</m:t>
        </m:r>
      </m:oMath>
      <w:r w:rsidRPr="008404BC">
        <w:rPr>
          <w:b w:val="0"/>
          <w:bCs w:val="0"/>
          <w:color w:val="auto"/>
        </w:rPr>
        <w:t xml:space="preserve"> is the physiological adjustment rate. For detailed discussion of the derivation of these models, see Appendix A.</w:t>
      </w:r>
    </w:p>
    <w:p w14:paraId="70FD87B0" w14:textId="00BB61E1" w:rsidR="00464BA0" w:rsidRDefault="00464BA0" w:rsidP="00507681">
      <w:pPr>
        <w:pStyle w:val="Heading2"/>
      </w:pPr>
      <w:r>
        <w:t>Competition model</w:t>
      </w:r>
    </w:p>
    <w:p w14:paraId="18A511A7" w14:textId="0FCAC075" w:rsidR="005F02B4" w:rsidRDefault="00F70C02" w:rsidP="00755D4D">
      <w:r>
        <w:t xml:space="preserve">For modeling growth in mixed culture, we assume that interactions between the strains or species are solely due to resource competition. The competition model for two strains is given by this differential equation system </w:t>
      </w:r>
      <w:r w:rsidR="00FB4568">
        <w:t xml:space="preserve">(see </w:t>
      </w:r>
      <w:r w:rsidR="00755D4D">
        <w:t>Appendix B</w:t>
      </w:r>
      <w:r w:rsidR="00FB4568">
        <w:t xml:space="preserve"> for more details)</w:t>
      </w:r>
      <w:r w:rsidR="00C05ED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F70C02" w:rsidRPr="00F9516D" w14:paraId="6DD53718" w14:textId="77777777" w:rsidTr="00F70C02">
        <w:tc>
          <w:tcPr>
            <w:tcW w:w="1951" w:type="dxa"/>
            <w:vAlign w:val="center"/>
          </w:tcPr>
          <w:p w14:paraId="2A321508" w14:textId="77777777" w:rsidR="00F70C02" w:rsidRPr="00F9516D" w:rsidRDefault="00F70C02" w:rsidP="00F70C02">
            <w:pPr>
              <w:jc w:val="right"/>
              <w:rPr>
                <w:i/>
                <w:iCs/>
              </w:rPr>
            </w:pPr>
          </w:p>
        </w:tc>
        <w:tc>
          <w:tcPr>
            <w:tcW w:w="5103" w:type="dxa"/>
            <w:vAlign w:val="center"/>
          </w:tcPr>
          <w:p w14:paraId="5E5DA760" w14:textId="6042FE97" w:rsidR="00F70C02" w:rsidRPr="00507681" w:rsidRDefault="00D042EE" w:rsidP="00F70C02">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0,i</m:t>
                                </m:r>
                              </m:sub>
                            </m:sSub>
                          </m:num>
                          <m:den>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t</m:t>
                                </m:r>
                              </m:sup>
                            </m:sSup>
                          </m:den>
                        </m:f>
                        <m:ctrlPr>
                          <w:rPr>
                            <w:rFonts w:ascii="Cambria Math" w:eastAsia="Cambria Math" w:hAnsi="Cambria Math" w:cs="Cambria Math"/>
                            <w:i/>
                            <w:iCs/>
                          </w:rPr>
                        </m:ctrlPr>
                      </m:e>
                      <m:e>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0,i</m:t>
                            </m:r>
                          </m:sub>
                        </m:sSub>
                      </m:e>
                    </m:eqArr>
                  </m:e>
                </m:d>
              </m:oMath>
            </m:oMathPara>
          </w:p>
        </w:tc>
        <w:tc>
          <w:tcPr>
            <w:tcW w:w="1468" w:type="dxa"/>
            <w:vAlign w:val="center"/>
          </w:tcPr>
          <w:p w14:paraId="49EAF50D" w14:textId="0A88F49D" w:rsidR="00F70C02" w:rsidRPr="00F9516D" w:rsidRDefault="00F70C02" w:rsidP="00F70C02">
            <w:pPr>
              <w:jc w:val="right"/>
              <w:rPr>
                <w:i/>
                <w:iCs/>
              </w:rPr>
            </w:pPr>
            <w:r w:rsidRPr="00F9516D">
              <w:rPr>
                <w:i/>
                <w:iCs/>
              </w:rPr>
              <w:t>[</w:t>
            </w:r>
            <w:r>
              <w:rPr>
                <w:i/>
                <w:iCs/>
              </w:rPr>
              <w:t>3</w:t>
            </w:r>
            <w:r w:rsidRPr="00F9516D">
              <w:rPr>
                <w:i/>
                <w:iCs/>
              </w:rPr>
              <w:t>a]</w:t>
            </w:r>
          </w:p>
          <w:p w14:paraId="39E0FB9E" w14:textId="77777777" w:rsidR="00F70C02" w:rsidRDefault="00F70C02" w:rsidP="00F70C02">
            <w:pPr>
              <w:jc w:val="right"/>
              <w:rPr>
                <w:i/>
                <w:iCs/>
              </w:rPr>
            </w:pPr>
            <w:r w:rsidRPr="00F9516D">
              <w:rPr>
                <w:i/>
                <w:iCs/>
              </w:rPr>
              <w:t>[</w:t>
            </w:r>
            <w:r>
              <w:rPr>
                <w:i/>
                <w:iCs/>
              </w:rPr>
              <w:t>3</w:t>
            </w:r>
            <w:r w:rsidRPr="00F9516D">
              <w:rPr>
                <w:i/>
                <w:iCs/>
              </w:rPr>
              <w:t>b</w:t>
            </w:r>
            <w:r>
              <w:rPr>
                <w:i/>
                <w:iCs/>
              </w:rPr>
              <w:t>]</w:t>
            </w:r>
          </w:p>
          <w:p w14:paraId="33E5ED7F" w14:textId="6615DA94" w:rsidR="00F70C02" w:rsidRDefault="00F70C02" w:rsidP="00F70C02">
            <w:pPr>
              <w:jc w:val="right"/>
              <w:rPr>
                <w:i/>
                <w:iCs/>
              </w:rPr>
            </w:pPr>
            <w:r w:rsidRPr="00F9516D">
              <w:rPr>
                <w:i/>
                <w:iCs/>
              </w:rPr>
              <w:t>[</w:t>
            </w:r>
            <w:r>
              <w:rPr>
                <w:i/>
                <w:iCs/>
              </w:rPr>
              <w:t>3c]</w:t>
            </w:r>
          </w:p>
          <w:p w14:paraId="55C7D222" w14:textId="1AD942C7" w:rsidR="00F70C02" w:rsidRPr="00F9516D" w:rsidRDefault="00F70C02" w:rsidP="00F70C02">
            <w:pPr>
              <w:jc w:val="right"/>
              <w:rPr>
                <w:i/>
                <w:iCs/>
              </w:rPr>
            </w:pPr>
            <w:r w:rsidRPr="00F9516D">
              <w:rPr>
                <w:i/>
                <w:iCs/>
              </w:rPr>
              <w:t>[</w:t>
            </w:r>
            <w:r>
              <w:rPr>
                <w:i/>
                <w:iCs/>
              </w:rPr>
              <w:t>3d]</w:t>
            </w:r>
          </w:p>
        </w:tc>
      </w:tr>
    </w:tbl>
    <w:p w14:paraId="1819F52B" w14:textId="0A554CB0" w:rsidR="002D475F" w:rsidRDefault="00D042EE" w:rsidP="00755D4D">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B37B5A">
        <w:t xml:space="preserve"> </w:t>
      </w:r>
      <w:proofErr w:type="gramStart"/>
      <w:r w:rsidR="00B37B5A">
        <w:t>is</w:t>
      </w:r>
      <w:proofErr w:type="gramEnd"/>
      <w:r w:rsidR="00B37B5A">
        <w:t xml:space="preserve"> the density of strain </w:t>
      </w:r>
      <m:oMath>
        <m:r>
          <w:rPr>
            <w:rFonts w:ascii="Cambria Math" w:hAnsi="Cambria Math"/>
          </w:rPr>
          <m:t>i</m:t>
        </m:r>
      </m:oMath>
      <w:r w:rsidR="00B37B5A">
        <w:t xml:space="preserve"> and</w:t>
      </w:r>
      <w:r w:rsidR="003578D2">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oMath>
      <w:r w:rsidR="00B37B5A">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3578D2">
        <w:t xml:space="preserve"> </w:t>
      </w:r>
      <w:r w:rsidR="00B37B5A">
        <w:t>are</w:t>
      </w:r>
      <w:r w:rsidR="00984152">
        <w:t xml:space="preserve"> the value</w:t>
      </w:r>
      <w:r w:rsidR="00B37B5A">
        <w:t>s</w:t>
      </w:r>
      <w:r w:rsidR="00984152">
        <w:t xml:space="preserve"> of</w:t>
      </w:r>
      <w:r w:rsidR="003578D2">
        <w:t xml:space="preserve"> </w:t>
      </w:r>
      <w:r w:rsidR="00B37B5A">
        <w:t>the corresponding parameters for</w:t>
      </w:r>
      <w:r w:rsidR="003578D2">
        <w:t xml:space="preserve"> strain </w:t>
      </w:r>
      <m:oMath>
        <m:r>
          <w:rPr>
            <w:rFonts w:ascii="Cambria Math" w:hAnsi="Cambria Math"/>
          </w:rPr>
          <m:t>i</m:t>
        </m:r>
      </m:oMath>
      <w:r w:rsidR="003578D2">
        <w:t xml:space="preserve"> which we </w:t>
      </w:r>
      <w:r w:rsidR="00984152">
        <w:t xml:space="preserve">get </w:t>
      </w:r>
      <w:r w:rsidR="003578D2">
        <w:t xml:space="preserve">from the fitting </w:t>
      </w:r>
      <w:r w:rsidR="002D475F">
        <w:t>the monoculture growth curve data</w:t>
      </w:r>
      <w:r w:rsidR="003578D2">
        <w:t>.</w:t>
      </w:r>
      <w:r w:rsidR="00FB4568">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D475F">
        <w:t xml:space="preserve"> is a competition coefficient, the ratio between inter- and intra-strain competitions, or the ratio between strain </w:t>
      </w:r>
      <w:proofErr w:type="spellStart"/>
      <w:r w:rsidR="002D475F">
        <w:rPr>
          <w:i/>
          <w:iCs/>
        </w:rPr>
        <w:t>i</w:t>
      </w:r>
      <w:proofErr w:type="spellEnd"/>
      <w:r w:rsidR="002D475F">
        <w:rPr>
          <w:i/>
          <w:iCs/>
        </w:rPr>
        <w:t xml:space="preserve"> </w:t>
      </w:r>
      <w:r w:rsidR="002D475F" w:rsidRPr="002D475F">
        <w:t>competitive</w:t>
      </w:r>
      <w:r w:rsidR="002D475F">
        <w:rPr>
          <w:i/>
          <w:iCs/>
        </w:rPr>
        <w:t xml:space="preserve"> </w:t>
      </w:r>
      <w:r w:rsidR="002D475F">
        <w:t xml:space="preserve">effect on cells of strain </w:t>
      </w:r>
      <w:r w:rsidR="002D475F">
        <w:rPr>
          <w:i/>
          <w:iCs/>
        </w:rPr>
        <w:t>j</w:t>
      </w:r>
      <w:r w:rsidR="002D475F">
        <w:t xml:space="preserve"> and its effect on cells from its own strain</w:t>
      </w:r>
      <w:r w:rsidR="00FB4568">
        <w:t>.</w:t>
      </w:r>
      <w:r w:rsidR="002D475F">
        <w:t xml:space="preserve"> See </w:t>
      </w:r>
      <w:r w:rsidR="00755D4D">
        <w:t xml:space="preserve">Appendix B </w:t>
      </w:r>
      <w:r w:rsidR="002D475F">
        <w:t>for a definition based on a resource consumption approach.</w:t>
      </w:r>
      <w:r w:rsidR="00FB4568">
        <w:t xml:space="preserve"> </w:t>
      </w:r>
    </w:p>
    <w:p w14:paraId="40D60065" w14:textId="16F8E0A9" w:rsidR="00FB4568" w:rsidRDefault="008F3527" w:rsidP="00755D4D">
      <w:r>
        <w:t>The competition mode</w:t>
      </w:r>
      <w:r w:rsidRPr="00895982">
        <w:t xml:space="preserve">l explicitly assumes that interactions between the strains </w:t>
      </w:r>
      <w:r>
        <w:t xml:space="preserve">are solely due </w:t>
      </w:r>
      <w:r w:rsidRPr="00895982">
        <w:t xml:space="preserve">to </w:t>
      </w:r>
      <w:r w:rsidRPr="008F3527">
        <w:t>resource competition</w:t>
      </w:r>
      <w:r w:rsidRPr="00895982">
        <w:t>. Therefore, all</w:t>
      </w:r>
      <w:r>
        <w:t xml:space="preserve"> </w:t>
      </w:r>
      <w:r w:rsidRPr="00895982">
        <w:t>interactions are described by the deceleration of the growth rate of each strain in response to growth of the other strain</w:t>
      </w:r>
      <w:r>
        <w:t xml:space="preserve">. We do not however assume the same limiting resource or resource efficiency for both strains, as we use different maximum densities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for each strain and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(see </w:t>
      </w:r>
      <w:r w:rsidR="00755D4D">
        <w:fldChar w:fldCharType="begin"/>
      </w:r>
      <w:r w:rsidR="00755D4D">
        <w:instrText xml:space="preserve"> REF _Ref439853477 \h </w:instrText>
      </w:r>
      <w:r w:rsidR="00755D4D">
        <w:fldChar w:fldCharType="separate"/>
      </w:r>
      <w:r w:rsidR="00755D4D">
        <w:t xml:space="preserve">Appendix B </w:t>
      </w:r>
      <w:r w:rsidR="00755D4D">
        <w:fldChar w:fldCharType="end"/>
      </w:r>
      <w:r w:rsidR="00755D4D">
        <w:t>for a formal description</w:t>
      </w:r>
      <w:r>
        <w:t>).</w:t>
      </w:r>
    </w:p>
    <w:p w14:paraId="44A4379B" w14:textId="2C65F2F5" w:rsidR="00FB4568" w:rsidRDefault="00FB4568" w:rsidP="00755D4D">
      <w:r>
        <w:t>Eq. 3 is fitted to the growth curve of a mixed culture</w:t>
      </w:r>
      <w:r w:rsidR="002D475F">
        <w:t xml:space="preserve"> that includes </w:t>
      </w:r>
      <w:r>
        <w:t xml:space="preserve">both strains, in which the combined OD of </w:t>
      </w:r>
      <w:r w:rsidR="002D475F">
        <w:t>the</w:t>
      </w:r>
      <w:r>
        <w:t xml:space="preserve"> strains is recorded over time. This</w:t>
      </w:r>
      <w:r w:rsidR="00353E9F">
        <w:t xml:space="preserve"> fitting</w:t>
      </w:r>
      <w:r>
        <w:t xml:space="preserve"> provides estimate</w:t>
      </w:r>
      <w:r w:rsidR="00353E9F">
        <w:t>s</w:t>
      </w:r>
      <w:r>
        <w:t xml:space="preserve"> for the </w:t>
      </w:r>
      <w:r w:rsidR="00353E9F">
        <w:t>competition</w:t>
      </w:r>
      <w:r>
        <w:t xml:space="preserve"> </w:t>
      </w:r>
      <w:proofErr w:type="gramStart"/>
      <w:r>
        <w:t xml:space="preserve">coefficients </w:t>
      </w:r>
      <w:proofErr w:type="gramEnd"/>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The </w:t>
      </w:r>
      <w:r w:rsidR="002D475F">
        <w:t xml:space="preserve">fitting </w:t>
      </w:r>
      <w:r>
        <w:t xml:space="preserve">is </w:t>
      </w:r>
      <w:r w:rsidR="00353E9F">
        <w:t>performed</w:t>
      </w:r>
      <w:r>
        <w:t xml:space="preserve"> to minimize the squared differences between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and the </w:t>
      </w:r>
      <w:r w:rsidR="002D475F">
        <w:t xml:space="preserve">observed </w:t>
      </w:r>
      <w:r>
        <w:t>OD from the mixed culture</w:t>
      </w:r>
      <w:r w:rsidR="00353E9F">
        <w:t xml:space="preserve"> (</w:t>
      </w:r>
      <w:r w:rsidR="00755D4D">
        <w:fldChar w:fldCharType="begin"/>
      </w:r>
      <w:r w:rsidR="00755D4D">
        <w:instrText xml:space="preserve"> REF _Ref439853356 \h </w:instrText>
      </w:r>
      <w:r w:rsidR="00755D4D">
        <w:fldChar w:fldCharType="separate"/>
      </w:r>
      <w:r w:rsidR="00755D4D" w:rsidRPr="00755D4D">
        <w:t xml:space="preserve">Figure </w:t>
      </w:r>
      <w:r w:rsidR="00755D4D" w:rsidRPr="00755D4D">
        <w:rPr>
          <w:noProof/>
        </w:rPr>
        <w:t>3</w:t>
      </w:r>
      <w:r w:rsidR="00755D4D">
        <w:fldChar w:fldCharType="end"/>
      </w:r>
      <w:r w:rsidR="00755D4D">
        <w:t>A</w:t>
      </w:r>
      <w:proofErr w:type="gramStart"/>
      <w:r w:rsidR="00755D4D">
        <w:t>,C</w:t>
      </w:r>
      <w:proofErr w:type="gramEnd"/>
      <w:r w:rsidR="00353E9F">
        <w:t>)</w:t>
      </w:r>
      <w:r>
        <w:t>.</w:t>
      </w:r>
    </w:p>
    <w:p w14:paraId="2C0CE35C" w14:textId="78A3522E" w:rsidR="00353E9F" w:rsidRDefault="00353E9F" w:rsidP="00507681">
      <w:pPr>
        <w:pStyle w:val="Heading2"/>
      </w:pPr>
      <w:r>
        <w:t>Competition prediction</w:t>
      </w:r>
    </w:p>
    <w:p w14:paraId="3F886ACF" w14:textId="3367B3B5" w:rsidR="003578D2" w:rsidRDefault="00353E9F" w:rsidP="00755D4D">
      <w:r>
        <w:t>Once all growth and competition parameters have been estimated, e</w:t>
      </w:r>
      <w:r w:rsidR="00FB4568">
        <w:t xml:space="preserve">q. 3 </w:t>
      </w:r>
      <w:r w:rsidR="003578D2">
        <w:t>is solved</w:t>
      </w:r>
      <w:r>
        <w:t xml:space="preserve"> by numerical integration</w:t>
      </w:r>
      <w:r w:rsidR="008F3527">
        <w:t xml:space="preserve">, providing a prediction for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008F3527">
        <w:t xml:space="preserve"> </w:t>
      </w:r>
      <w:proofErr w:type="gramStart"/>
      <w:r w:rsidR="008F3527">
        <w:t xml:space="preserve">and </w:t>
      </w:r>
      <w:proofErr w:type="gramEnd"/>
      <m:oMath>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oMath>
      <w:r>
        <w:t>. This predicts</w:t>
      </w:r>
      <w:r w:rsidR="003578D2">
        <w:t xml:space="preserve"> the </w:t>
      </w:r>
      <w:r w:rsidR="00FB4568" w:rsidRPr="002D475F">
        <w:rPr>
          <w:i/>
          <w:iCs/>
        </w:rPr>
        <w:t>frequenc</w:t>
      </w:r>
      <w:r w:rsidR="008F3527" w:rsidRPr="002D475F">
        <w:rPr>
          <w:i/>
          <w:iCs/>
        </w:rPr>
        <w:t>y</w:t>
      </w:r>
      <w:r w:rsidR="00FB4568">
        <w:t xml:space="preserve"> of each strain over time</w:t>
      </w:r>
      <w:r w:rsidR="008F3527">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den>
            </m:f>
          </m:e>
        </m:d>
      </m:oMath>
      <w:r w:rsidR="00FB4568">
        <w:t xml:space="preserve"> during </w:t>
      </w:r>
      <w:r w:rsidR="002D475F">
        <w:t xml:space="preserve">growth in </w:t>
      </w:r>
      <w:r w:rsidR="00FB4568">
        <w:t>a</w:t>
      </w:r>
      <w:r w:rsidR="002D475F">
        <w:t xml:space="preserve"> mixed culture, such as in a</w:t>
      </w:r>
      <w:r w:rsidR="00FB4568">
        <w:t xml:space="preserve"> </w:t>
      </w:r>
      <w:r w:rsidR="003578D2">
        <w:t xml:space="preserve">competition </w:t>
      </w:r>
      <w:r w:rsidR="00755D4D">
        <w:t>experiment.</w:t>
      </w:r>
    </w:p>
    <w:p w14:paraId="71456173" w14:textId="3DD76F43" w:rsidR="002168D9" w:rsidRDefault="002168D9" w:rsidP="002168D9">
      <w:pPr>
        <w:pStyle w:val="Heading2"/>
      </w:pPr>
      <w:r>
        <w:t>Prediction verification</w:t>
      </w:r>
    </w:p>
    <w:p w14:paraId="5685D906" w14:textId="0A7E897C" w:rsidR="002168D9" w:rsidRDefault="00634C7E" w:rsidP="00212934">
      <w:r>
        <w:t xml:space="preserve">To verify our method, we performed </w:t>
      </w:r>
      <w:r w:rsidR="002168D9">
        <w:t xml:space="preserve">growth curve and </w:t>
      </w:r>
      <w:r>
        <w:t xml:space="preserve">competition experiments with two different sets of </w:t>
      </w:r>
      <w:r>
        <w:rPr>
          <w:i/>
          <w:iCs/>
        </w:rPr>
        <w:t xml:space="preserve">Escherichia coli </w:t>
      </w:r>
      <w:r>
        <w:t>strains marked with fluorescent proteins. In set 1, we competed DH5α-GFP vs. TG1-RFP; in set 2 we competed JM109-GFP with MG1655-</w:t>
      </w:r>
      <w:r w:rsidR="008404BC">
        <w:t>fnr</w:t>
      </w:r>
      <w:r w:rsidR="00212934">
        <w:rPr>
          <w:vertAlign w:val="superscript"/>
        </w:rPr>
        <w:t>—</w:t>
      </w:r>
      <w:r w:rsidRPr="008404BC">
        <w:t>RFP</w:t>
      </w:r>
      <w:r w:rsidR="00212934">
        <w:t xml:space="preserve"> </w:t>
      </w:r>
      <w:r w:rsidR="002168D9" w:rsidRPr="002168D9">
        <w:rPr>
          <w:highlight w:val="yellow"/>
        </w:rPr>
        <w:t>[?]</w:t>
      </w:r>
      <w:r>
        <w:t xml:space="preserve">. </w:t>
      </w:r>
    </w:p>
    <w:p w14:paraId="7076F3E1" w14:textId="1C5D3579" w:rsidR="00634C7E" w:rsidRDefault="00634C7E" w:rsidP="00755D4D">
      <w:r>
        <w:t>In each competition experiment, we grew 32 populations of the green strain alone, 30 populations of the red strain alone, and 32 populations of both of the strain</w:t>
      </w:r>
      <w:r w:rsidR="00212934">
        <w:t>s</w:t>
      </w:r>
      <w:r>
        <w:t xml:space="preserve"> together, all in the same experimental conditions. The optical </w:t>
      </w:r>
      <w:r w:rsidR="009172CF">
        <w:t>density of each population was</w:t>
      </w:r>
      <w:r>
        <w:t xml:space="preserve"> measured every 15 minutes using a plate reader. A sample was taken from the mixed populations every hour for the first 7-8 hours, and the frequencies of the two strains was measured using flow cytometry (see</w:t>
      </w:r>
      <w:r w:rsidR="00755D4D">
        <w:t xml:space="preserve"> </w:t>
      </w:r>
      <w:r w:rsidR="00755D4D">
        <w:fldChar w:fldCharType="begin"/>
      </w:r>
      <w:r w:rsidR="00755D4D">
        <w:instrText xml:space="preserve"> REF _Ref439853427 \h </w:instrText>
      </w:r>
      <w:r w:rsidR="00755D4D">
        <w:fldChar w:fldCharType="separate"/>
      </w:r>
      <w:r w:rsidR="00755D4D">
        <w:t>Materials and Methods</w:t>
      </w:r>
      <w:r w:rsidR="00755D4D">
        <w:fldChar w:fldCharType="end"/>
      </w:r>
      <w:r>
        <w:t>).</w:t>
      </w:r>
    </w:p>
    <w:p w14:paraId="5AABE948" w14:textId="7C50E1B8" w:rsidR="00634C7E" w:rsidRPr="00634C7E" w:rsidRDefault="002168D9" w:rsidP="002168D9">
      <w:r>
        <w:t xml:space="preserve">We compare our model prediction with the exponential model which is most commonly used in the literature to estimate relative fitness from growth curve </w:t>
      </w:r>
      <w:r>
        <w:fldChar w:fldCharType="begin" w:fldLock="1"/>
      </w:r>
      <w:r>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"(Hall et al. 2014)", "plainTextFormattedCitation" : "(Hall et al. 2014)", "previouslyFormattedCitation" : "(Hall et al. 2014)" }, "properties" : { "noteIndex" : 0 }, "schema" : "https://github.com/citation-style-language/schema/raw/master/csl-citation.json" }</w:instrText>
      </w:r>
      <w:r>
        <w:fldChar w:fldCharType="separate"/>
      </w:r>
      <w:r w:rsidRPr="002168D9">
        <w:rPr>
          <w:noProof/>
        </w:rPr>
        <w:t>(Hall et al. 2014)</w:t>
      </w:r>
      <w:r>
        <w:fldChar w:fldCharType="end"/>
      </w:r>
      <w:r>
        <w:t>. Briefly, the log of population density (</w:t>
      </w:r>
      <m:oMath>
        <m:r>
          <m:rPr>
            <m:sty m:val="p"/>
          </m:rPr>
          <w:rPr>
            <w:rFonts w:ascii="Cambria Math" w:hAnsi="Cambria Math"/>
          </w:rPr>
          <m:t>log⁡</m:t>
        </m:r>
        <m:r>
          <w:rPr>
            <w:rFonts w:ascii="Cambria Math" w:hAnsi="Cambria Math"/>
          </w:rPr>
          <m:t>N</m:t>
        </m:r>
      </m:oMath>
      <w:r>
        <w:t xml:space="preserve">) is drawn vs. time, the inflection point – point of maximum growth rate - is found, the growth rate is estimated from the slope of the tangent line to the inflection point, and fitness is inferred from the ratio of the growth rates </w:t>
      </w:r>
      <w:r>
        <w:fldChar w:fldCharType="begin" w:fldLock="1"/>
      </w:r>
      <w:r w:rsidR="000A6BEB">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"(Chevin 2011)", "plainTextFormattedCitation" : "(Chevin 2011)", "previouslyFormattedCitation" : "(Chevin 2011)" }, "properties" : { "noteIndex" : 0 }, "schema" : "https://github.com/citation-style-language/schema/raw/master/csl-citation.json" }</w:instrText>
      </w:r>
      <w:r>
        <w:fldChar w:fldCharType="separate"/>
      </w:r>
      <w:r w:rsidRPr="002168D9">
        <w:rPr>
          <w:noProof/>
        </w:rPr>
        <w:t>(Chevin 2011)</w:t>
      </w:r>
      <w:r>
        <w:fldChar w:fldCharType="end"/>
      </w:r>
      <w:r>
        <w:t>.</w:t>
      </w:r>
    </w:p>
    <w:p w14:paraId="2682370D" w14:textId="42D6EC21" w:rsidR="00AD6A92" w:rsidRDefault="00755D4D" w:rsidP="00AD6A92">
      <w:r>
        <w:fldChar w:fldCharType="begin"/>
      </w:r>
      <w:r>
        <w:instrText xml:space="preserve"> REF _Ref439853356 \h </w:instrText>
      </w:r>
      <w:r>
        <w:fldChar w:fldCharType="separate"/>
      </w:r>
      <w:r w:rsidRPr="00755D4D">
        <w:t xml:space="preserve">Figure </w:t>
      </w:r>
      <w:r w:rsidRPr="00755D4D">
        <w:rPr>
          <w:noProof/>
        </w:rPr>
        <w:t>3</w:t>
      </w:r>
      <w:r>
        <w:fldChar w:fldCharType="end"/>
      </w:r>
      <w:r w:rsidR="002168D9">
        <w:t>shows the comparison of our method prediction (in green and red solid lines) with data from the competition experiment (colored error bars) and the exponential model (dashed black lines) for different sets of bacterial strain and experiments. Our method is clearly better for predicting competition in mixed culture, as can be seen from the figure as well as from statistical analysis (XXXX).</w:t>
      </w:r>
    </w:p>
    <w:p w14:paraId="0670E5C8" w14:textId="77777777" w:rsidR="00AD6A92" w:rsidRDefault="00AD6A92">
      <w:pPr>
        <w:spacing w:line="240" w:lineRule="auto"/>
        <w:ind w:firstLine="0"/>
      </w:pPr>
      <w:r>
        <w:br w:type="page"/>
      </w:r>
    </w:p>
    <w:p w14:paraId="342BDF15" w14:textId="77777777" w:rsidR="00AD6A92" w:rsidRDefault="00AD6A92" w:rsidP="00AD6A92"/>
    <w:p w14:paraId="178F8F6D" w14:textId="77777777" w:rsidR="00755D4D" w:rsidRDefault="00AD6A92" w:rsidP="00755D4D">
      <w:pPr>
        <w:keepNext/>
      </w:pPr>
      <w:r>
        <w:rPr>
          <w:noProof/>
          <w:sz w:val="20"/>
          <w:szCs w:val="20"/>
        </w:rPr>
        <w:drawing>
          <wp:inline distT="0" distB="0" distL="0" distR="0" wp14:anchorId="4B6176B9" wp14:editId="03B068B3">
            <wp:extent cx="5262245" cy="3614420"/>
            <wp:effectExtent l="0" t="0" r="0" b="5080"/>
            <wp:docPr id="4" name="Picture 4" descr="D:\workspace\curveball_project\ms\Fig-Competition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curveball_project\ms\Fig-Competition_predic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2245" cy="3614420"/>
                    </a:xfrm>
                    <a:prstGeom prst="rect">
                      <a:avLst/>
                    </a:prstGeom>
                    <a:noFill/>
                    <a:ln>
                      <a:noFill/>
                    </a:ln>
                  </pic:spPr>
                </pic:pic>
              </a:graphicData>
            </a:graphic>
          </wp:inline>
        </w:drawing>
      </w:r>
    </w:p>
    <w:p w14:paraId="1D85F89C" w14:textId="227AACB7" w:rsidR="00212934" w:rsidRPr="00212934" w:rsidRDefault="00755D4D" w:rsidP="00755D4D">
      <w:pPr>
        <w:pStyle w:val="Caption"/>
        <w:rPr>
          <w:b w:val="0"/>
          <w:bCs w:val="0"/>
          <w:color w:val="auto"/>
          <w:sz w:val="20"/>
          <w:szCs w:val="20"/>
        </w:rPr>
      </w:pPr>
      <w:bookmarkStart w:id="2" w:name="_Ref439853356"/>
      <w:proofErr w:type="gramStart"/>
      <w:r w:rsidRPr="00755D4D">
        <w:rPr>
          <w:color w:val="auto"/>
        </w:rPr>
        <w:t xml:space="preserve">Figure </w:t>
      </w:r>
      <w:r w:rsidRPr="00755D4D">
        <w:rPr>
          <w:color w:val="auto"/>
        </w:rPr>
        <w:fldChar w:fldCharType="begin"/>
      </w:r>
      <w:r w:rsidRPr="00755D4D">
        <w:rPr>
          <w:color w:val="auto"/>
        </w:rPr>
        <w:instrText xml:space="preserve"> SEQ Figure \* ARABIC </w:instrText>
      </w:r>
      <w:r w:rsidRPr="00755D4D">
        <w:rPr>
          <w:color w:val="auto"/>
        </w:rPr>
        <w:fldChar w:fldCharType="separate"/>
      </w:r>
      <w:r w:rsidRPr="00755D4D">
        <w:rPr>
          <w:noProof/>
          <w:color w:val="auto"/>
        </w:rPr>
        <w:t>3</w:t>
      </w:r>
      <w:r w:rsidRPr="00755D4D">
        <w:rPr>
          <w:color w:val="auto"/>
        </w:rPr>
        <w:fldChar w:fldCharType="end"/>
      </w:r>
      <w:bookmarkEnd w:id="2"/>
      <w:r>
        <w:rPr>
          <w:color w:val="auto"/>
        </w:rPr>
        <w:t>.</w:t>
      </w:r>
      <w:proofErr w:type="gramEnd"/>
      <w:r w:rsidR="002D33FF" w:rsidRPr="00503DBB">
        <w:rPr>
          <w:color w:val="auto"/>
          <w:sz w:val="20"/>
          <w:szCs w:val="20"/>
        </w:rPr>
        <w:t xml:space="preserve"> </w:t>
      </w:r>
      <w:proofErr w:type="gramStart"/>
      <w:r w:rsidR="00212934" w:rsidRPr="00755D4D">
        <w:rPr>
          <w:color w:val="auto"/>
        </w:rPr>
        <w:t xml:space="preserve">Predicting results of </w:t>
      </w:r>
      <w:r w:rsidR="008C3E22" w:rsidRPr="00755D4D">
        <w:rPr>
          <w:color w:val="auto"/>
        </w:rPr>
        <w:t xml:space="preserve">competition </w:t>
      </w:r>
      <w:r w:rsidR="00212934" w:rsidRPr="00755D4D">
        <w:rPr>
          <w:color w:val="auto"/>
        </w:rPr>
        <w:t>experiments</w:t>
      </w:r>
      <w:r w:rsidR="008C3E22" w:rsidRPr="00755D4D">
        <w:rPr>
          <w:color w:val="auto"/>
        </w:rPr>
        <w:t>.</w:t>
      </w:r>
      <w:proofErr w:type="gramEnd"/>
      <w:r w:rsidR="00212934" w:rsidRPr="00755D4D">
        <w:rPr>
          <w:color w:val="auto"/>
        </w:rPr>
        <w:t xml:space="preserve"> </w:t>
      </w:r>
      <w:r w:rsidR="00212934">
        <w:rPr>
          <w:b w:val="0"/>
          <w:bCs w:val="0"/>
          <w:color w:val="auto"/>
        </w:rPr>
        <w:t xml:space="preserve">Growth of two </w:t>
      </w:r>
      <w:r w:rsidR="00212934">
        <w:rPr>
          <w:b w:val="0"/>
          <w:bCs w:val="0"/>
          <w:i/>
          <w:iCs/>
          <w:color w:val="auto"/>
        </w:rPr>
        <w:t>E. coli</w:t>
      </w:r>
      <w:r w:rsidR="00212934">
        <w:rPr>
          <w:b w:val="0"/>
          <w:bCs w:val="0"/>
          <w:color w:val="auto"/>
        </w:rPr>
        <w:t xml:space="preserve"> strains (DH5α in green vs. TG1 in red) in mixed culture, competing for resources. </w:t>
      </w:r>
      <w:r w:rsidR="00212934">
        <w:rPr>
          <w:color w:val="auto"/>
        </w:rPr>
        <w:t>(A, C</w:t>
      </w:r>
      <w:r w:rsidR="00212934" w:rsidRPr="00212934">
        <w:rPr>
          <w:color w:val="auto"/>
        </w:rPr>
        <w:t>)</w:t>
      </w:r>
      <w:r w:rsidR="00212934">
        <w:rPr>
          <w:color w:val="auto"/>
        </w:rPr>
        <w:t xml:space="preserve"> </w:t>
      </w:r>
      <w:r w:rsidR="00212934">
        <w:rPr>
          <w:b w:val="0"/>
          <w:bCs w:val="0"/>
          <w:color w:val="auto"/>
        </w:rPr>
        <w:t xml:space="preserve">Blue error bars are measured total optical density data, the solid blue line is the competition model (eq. X) fitted to the data. The black line represents the exponential model prediction; the green and red dashed lines represent the competition model prediction for each strain. </w:t>
      </w:r>
      <w:r w:rsidR="00212934">
        <w:rPr>
          <w:color w:val="auto"/>
        </w:rPr>
        <w:t xml:space="preserve">(B, D) </w:t>
      </w:r>
      <w:r w:rsidR="00212934">
        <w:rPr>
          <w:b w:val="0"/>
          <w:bCs w:val="0"/>
          <w:color w:val="auto"/>
        </w:rPr>
        <w:t xml:space="preserve">Green and red error bars are the measured frequencies of the two strains. The dashed green and red lines are the competition model prediction. The dashed black lines are the exponential model prediction. Error bars show mean values ± standard deviation. </w:t>
      </w:r>
      <w:r w:rsidR="00381281">
        <w:rPr>
          <w:b w:val="0"/>
          <w:bCs w:val="0"/>
          <w:color w:val="auto"/>
        </w:rPr>
        <w:t>Mean residual squared errors: A, 0.00012; C, 0.00011. Estimated competition coefficients: A, a</w:t>
      </w:r>
      <w:r w:rsidR="00381281">
        <w:rPr>
          <w:b w:val="0"/>
          <w:bCs w:val="0"/>
          <w:color w:val="auto"/>
          <w:vertAlign w:val="subscript"/>
        </w:rPr>
        <w:t>1</w:t>
      </w:r>
      <w:r w:rsidR="00381281">
        <w:rPr>
          <w:b w:val="0"/>
          <w:bCs w:val="0"/>
          <w:color w:val="auto"/>
        </w:rPr>
        <w:t>=10</w:t>
      </w:r>
      <w:proofErr w:type="gramStart"/>
      <w:r w:rsidR="00381281">
        <w:rPr>
          <w:b w:val="0"/>
          <w:bCs w:val="0"/>
          <w:color w:val="auto"/>
        </w:rPr>
        <w:t>,a</w:t>
      </w:r>
      <w:r w:rsidR="00381281">
        <w:rPr>
          <w:b w:val="0"/>
          <w:bCs w:val="0"/>
          <w:color w:val="auto"/>
          <w:vertAlign w:val="subscript"/>
        </w:rPr>
        <w:t>2</w:t>
      </w:r>
      <w:proofErr w:type="gramEnd"/>
      <w:r w:rsidR="00381281">
        <w:rPr>
          <w:b w:val="0"/>
          <w:bCs w:val="0"/>
          <w:color w:val="auto"/>
        </w:rPr>
        <w:t>=0.27;</w:t>
      </w:r>
      <w:r w:rsidR="00212934">
        <w:rPr>
          <w:b w:val="0"/>
          <w:bCs w:val="0"/>
          <w:color w:val="auto"/>
        </w:rPr>
        <w:t xml:space="preserve"> </w:t>
      </w:r>
      <w:r w:rsidR="00381281">
        <w:rPr>
          <w:b w:val="0"/>
          <w:bCs w:val="0"/>
          <w:color w:val="auto"/>
        </w:rPr>
        <w:t>C,</w:t>
      </w:r>
      <w:r w:rsidR="00212934">
        <w:rPr>
          <w:b w:val="0"/>
          <w:bCs w:val="0"/>
          <w:color w:val="auto"/>
        </w:rPr>
        <w:t xml:space="preserve"> </w:t>
      </w:r>
      <w:r w:rsidR="00381281">
        <w:rPr>
          <w:b w:val="0"/>
          <w:bCs w:val="0"/>
          <w:color w:val="auto"/>
        </w:rPr>
        <w:t>a</w:t>
      </w:r>
      <w:r w:rsidR="00381281">
        <w:rPr>
          <w:b w:val="0"/>
          <w:bCs w:val="0"/>
          <w:color w:val="auto"/>
          <w:vertAlign w:val="subscript"/>
        </w:rPr>
        <w:t>1</w:t>
      </w:r>
      <w:r w:rsidR="00381281">
        <w:rPr>
          <w:b w:val="0"/>
          <w:bCs w:val="0"/>
          <w:color w:val="auto"/>
        </w:rPr>
        <w:t>=3.7, a</w:t>
      </w:r>
      <w:r w:rsidR="00381281">
        <w:rPr>
          <w:b w:val="0"/>
          <w:bCs w:val="0"/>
          <w:color w:val="auto"/>
          <w:vertAlign w:val="subscript"/>
        </w:rPr>
        <w:t>2</w:t>
      </w:r>
      <w:r w:rsidR="00381281">
        <w:rPr>
          <w:b w:val="0"/>
          <w:bCs w:val="0"/>
          <w:color w:val="auto"/>
        </w:rPr>
        <w:t>=2.</w:t>
      </w:r>
    </w:p>
    <w:p w14:paraId="1BFDFE5C" w14:textId="19F1B9E6" w:rsidR="002D33FF" w:rsidRDefault="002D33FF" w:rsidP="00507681">
      <w:r>
        <w:br w:type="page"/>
      </w:r>
    </w:p>
    <w:p w14:paraId="2D753749" w14:textId="77AF674C" w:rsidR="003578D2" w:rsidRDefault="008F3527" w:rsidP="00507681">
      <w:pPr>
        <w:pStyle w:val="Heading2"/>
      </w:pPr>
      <w:r>
        <w:t>Fitness</w:t>
      </w:r>
      <w:r w:rsidR="00542096" w:rsidRPr="00A362F7">
        <w:t xml:space="preserve"> </w:t>
      </w:r>
      <w:r w:rsidR="006E28DC" w:rsidRPr="00A362F7">
        <w:t>inference</w:t>
      </w:r>
    </w:p>
    <w:p w14:paraId="7E901878" w14:textId="5DCEA278" w:rsidR="002D475F" w:rsidRDefault="002D475F" w:rsidP="002D475F">
      <w:r>
        <w:t xml:space="preserve">The best way to estimate relative fitness of two strains is by performing pairwise competition assays: growing them in mixed culture and measuring the change in their frequencies over time. Our method allows </w:t>
      </w:r>
      <w:proofErr w:type="gramStart"/>
      <w:r>
        <w:t>to do</w:t>
      </w:r>
      <w:proofErr w:type="gramEnd"/>
      <w:r>
        <w:t xml:space="preserve"> this by simply measuring their densities in mono- and mixed culture, without requiring direct measurement of strain frequencies, thus allowing the estimation of fitness in a simpler, more cost-effective, way. </w:t>
      </w:r>
    </w:p>
    <w:p w14:paraId="04D6C044" w14:textId="03642F26" w:rsidR="00895982" w:rsidRDefault="008F3527" w:rsidP="002D475F">
      <w:r>
        <w:t>A</w:t>
      </w:r>
      <w:r w:rsidR="00895982">
        <w:t xml:space="preserve"> common method for estimating relative fitness or selection coefficients from pairwise competition results is </w:t>
      </w:r>
      <w:r w:rsidR="00895982">
        <w:fldChar w:fldCharType="begin" w:fldLock="1"/>
      </w:r>
      <w:r w:rsidR="00BF7152">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"(Wiser and Lenski 2015)", "plainTextFormattedCitation" : "(Wiser and Lenski 2015)", "previouslyFormattedCitation" : "(Wiser and Lenski 2015)" }, "properties" : { "noteIndex" : 0 }, "schema" : "https://github.com/citation-style-language/schema/raw/master/csl-citation.json" }</w:instrText>
      </w:r>
      <w:r w:rsidR="00895982">
        <w:fldChar w:fldCharType="separate"/>
      </w:r>
      <w:r w:rsidR="00895982" w:rsidRPr="003D0164">
        <w:rPr>
          <w:noProof/>
        </w:rPr>
        <w:t>(Wiser and Lenski 2015)</w:t>
      </w:r>
      <w:r w:rsidR="00895982">
        <w:fldChar w:fldCharType="end"/>
      </w:r>
      <w:r w:rsidR="00895982">
        <w:t>:</w:t>
      </w:r>
    </w:p>
    <w:p w14:paraId="3D9AB4E3" w14:textId="753862DC" w:rsidR="00895982" w:rsidRDefault="00D042EE" w:rsidP="00507681">
      <w:pPr>
        <w:jc w:val="right"/>
      </w:pP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f>
          <m:fPr>
            <m:type m:val="lin"/>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0</m:t>
                            </m:r>
                          </m:e>
                        </m:d>
                      </m:den>
                    </m:f>
                  </m:e>
                </m:d>
              </m:e>
            </m:func>
          </m:num>
          <m:den>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(t)</m:t>
                        </m:r>
                      </m:num>
                      <m:den>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0</m:t>
                            </m:r>
                          </m:e>
                        </m:d>
                      </m:den>
                    </m:f>
                  </m:e>
                </m:d>
              </m:e>
            </m:func>
          </m:den>
        </m:f>
        <m:r>
          <w:rPr>
            <w:rFonts w:ascii="Cambria Math" w:hAnsi="Cambria Math"/>
          </w:rPr>
          <m:t>,</m:t>
        </m:r>
      </m:oMath>
      <w:r w:rsidR="00895982">
        <w:t xml:space="preserve">                                         (4)</w:t>
      </w:r>
    </w:p>
    <w:p w14:paraId="731A4D8A" w14:textId="08971092" w:rsidR="00406968" w:rsidRDefault="00895982" w:rsidP="002D475F">
      <w:pPr>
        <w:rPr>
          <w:rFonts w:asciiTheme="minorHAnsi" w:hAnsiTheme="minorHAnsi"/>
        </w:rPr>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are the densities of the strains and </w:t>
      </w:r>
      <m:oMath>
        <m:r>
          <w:rPr>
            <w:rFonts w:ascii="Cambria Math" w:hAnsi="Cambria Math"/>
          </w:rPr>
          <m:t>t</m:t>
        </m:r>
      </m:oMath>
      <w:r>
        <w:t xml:space="preserve"> is time, usually chosen to be 24 hours.</w:t>
      </w:r>
      <w:r w:rsidR="001D731C">
        <w:t xml:space="preserve"> Eq. 4 can be applied to the predicted competition results to infer the </w:t>
      </w:r>
      <w:r w:rsidR="002D475F">
        <w:t>relative fitness</w:t>
      </w:r>
      <w:r w:rsidR="001D731C">
        <w:t xml:space="preserve"> of the strain of interest (</w:t>
      </w:r>
      <w:r w:rsidR="001D731C" w:rsidRPr="008F3527">
        <w:rPr>
          <w:highlight w:val="yellow"/>
        </w:rPr>
        <w:t>Fig. 1D</w:t>
      </w:r>
      <w:r w:rsidR="001D731C">
        <w:t>).</w:t>
      </w:r>
    </w:p>
    <w:p w14:paraId="531DA89C" w14:textId="77777777" w:rsidR="00406968" w:rsidRDefault="00406968" w:rsidP="00507681">
      <w:pPr>
        <w:pStyle w:val="Heading1"/>
      </w:pPr>
      <w:r>
        <w:t>Discussion</w:t>
      </w:r>
    </w:p>
    <w:p w14:paraId="30C799EF" w14:textId="44A32FD4" w:rsidR="00634C7E" w:rsidRDefault="00E95165" w:rsidP="000F5388">
      <w:r>
        <w:t xml:space="preserve">We present a </w:t>
      </w:r>
      <w:r w:rsidR="005226B0">
        <w:t xml:space="preserve">new computational </w:t>
      </w:r>
      <w:r>
        <w:t>method to predict the results of competition</w:t>
      </w:r>
      <w:r w:rsidR="007A5D05">
        <w:t>s between two strains</w:t>
      </w:r>
      <w:r>
        <w:t xml:space="preserve"> </w:t>
      </w:r>
      <w:r w:rsidR="007A5D05">
        <w:t xml:space="preserve">from </w:t>
      </w:r>
      <w:r>
        <w:t xml:space="preserve">growth curves </w:t>
      </w:r>
      <w:r w:rsidR="008F3527">
        <w:t>of mono- and mixed cultures</w:t>
      </w:r>
      <w:r w:rsidR="000F5388">
        <w:t>, without measuring frequencies of strains in mixed culture</w:t>
      </w:r>
      <w:r>
        <w:t>.</w:t>
      </w:r>
      <w:r w:rsidR="005226B0">
        <w:t xml:space="preserve"> </w:t>
      </w:r>
      <w:r w:rsidR="00634C7E">
        <w:t>We tested and verified our method, which performed well and much better than the model commonly used in the literature.</w:t>
      </w:r>
    </w:p>
    <w:p w14:paraId="5A0F99F2" w14:textId="0D9C6F2B" w:rsidR="000A6BEB" w:rsidRDefault="000A6BEB" w:rsidP="000A6BEB">
      <w:r>
        <w:t xml:space="preserve">We have recently released an open-source software package called </w:t>
      </w:r>
      <w:r w:rsidRPr="000A6BEB">
        <w:rPr>
          <w:i/>
          <w:iCs/>
        </w:rPr>
        <w:t>Curveball</w:t>
      </w:r>
      <w:r w:rsidRPr="000A6BEB">
        <w:t xml:space="preserve"> </w:t>
      </w:r>
      <w:r>
        <w:t>which implements our method (</w:t>
      </w:r>
      <w:hyperlink r:id="rId13" w:history="1">
        <w:r w:rsidRPr="006456E2">
          <w:rPr>
            <w:rStyle w:val="Hyperlink"/>
          </w:rPr>
          <w:t>http://curveball.yoavram.com</w:t>
        </w:r>
      </w:hyperlink>
      <w:r>
        <w:t xml:space="preserve"> and </w:t>
      </w:r>
      <w:hyperlink r:id="rId14" w:history="1">
        <w:r w:rsidRPr="006456E2">
          <w:rPr>
            <w:rStyle w:val="Hyperlink"/>
          </w:rPr>
          <w:t>https://github.com/yoavram/curveball</w:t>
        </w:r>
      </w:hyperlink>
      <w:r>
        <w:t xml:space="preserve">). The software includes a command line interface (CLI) that can be used by non-programmers, as well as an application programming interface (API) that can be used by Python programmers. It can be freely </w:t>
      </w:r>
      <w:r w:rsidRPr="000A6BEB">
        <w:t>used</w:t>
      </w:r>
      <w:r>
        <w:t xml:space="preserve"> and extended by the community.</w:t>
      </w:r>
    </w:p>
    <w:p w14:paraId="567E758A" w14:textId="6DE96E5C" w:rsidR="005226B0" w:rsidRDefault="005226B0" w:rsidP="00507681">
      <w:r>
        <w:t xml:space="preserve">This method </w:t>
      </w:r>
      <w:r w:rsidR="00096923">
        <w:t xml:space="preserve">should </w:t>
      </w:r>
      <w:r>
        <w:t>be useful</w:t>
      </w:r>
      <w:r w:rsidR="00145FE7">
        <w:t>,</w:t>
      </w:r>
      <w:r>
        <w:t xml:space="preserve"> because growth curve </w:t>
      </w:r>
      <w:r w:rsidR="006147AD">
        <w:t>experiments</w:t>
      </w:r>
      <w:r w:rsidR="008F3527">
        <w:t>, in which only optical density is measured,</w:t>
      </w:r>
      <w:r>
        <w:t xml:space="preserve"> require much less </w:t>
      </w:r>
      <w:r w:rsidR="00A415D4">
        <w:t xml:space="preserve">effort </w:t>
      </w:r>
      <w:r>
        <w:t xml:space="preserve">and </w:t>
      </w:r>
      <w:r w:rsidR="005816A6">
        <w:t xml:space="preserve">resources </w:t>
      </w:r>
      <w:r>
        <w:t xml:space="preserve">than </w:t>
      </w:r>
      <w:r w:rsidR="00044070">
        <w:t>p</w:t>
      </w:r>
      <w:r w:rsidR="00145FE7">
        <w:t>air</w:t>
      </w:r>
      <w:r w:rsidR="00044070">
        <w:t xml:space="preserve">wise </w:t>
      </w:r>
      <w:r>
        <w:t xml:space="preserve">competition </w:t>
      </w:r>
      <w:r w:rsidR="00145FE7">
        <w:t>experiments</w:t>
      </w:r>
      <w:r w:rsidR="008F3527">
        <w:t>, in which the cell frequency or count of each strain in measured</w:t>
      </w:r>
      <w:r w:rsidR="00044070">
        <w:t xml:space="preserve"> </w:t>
      </w:r>
      <w:r w:rsidR="00044070">
        <w:fldChar w:fldCharType="begin" w:fldLock="1"/>
      </w:r>
      <w:r w:rsidR="00BF7152">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"ITEM-2", "issue" : "5", "issued" : { "date-parts" : [ [ "2015" ] ] }, "page" : "e0126210", "title" : "A Comparison of Methods to Measure Fitness in &lt;i&gt;Escherichia coli&lt;/i&gt;", "type" : "article-journal", "volume" : "10" }, "uris" : [ "http://www.mendeley.com/documents/?uuid=e02f4657-f10b-4980-a582-98ea370b5fce" ] }, { "id" : "ITEM-3",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"ITEM-3", "issue" : "5767", "issued" : { "date-parts" : [ [ "2006", "3" ] ] }, "note" : "INTERESTING\n- Justification of the use of a standard selection coefficient in modeling asexual populations. \n- Measurements of the selection coefficient for laboratory e. coli \n- clonal interference\n- simulation - i dont understand, but what i see is that they use different distributions of mutations and get the same unimodal distribution of beneficial mutations. see Fig. 1 \n- competition of mutant clones of e coli - Fig 2. COOL.\n- comparing laboratory results with simulation\n-", "page" : "1615-7", "title" : "An equivalence principle for the incorporation of favorable mutations in asexual populations.", "type" : "article-journal", "volume" : "311" }, "uris" : [ "http://www.mendeley.com/documents/?uuid=df098aed-e9a8-43d7-8750-773e2a8a73f5" ] }, { "id" : "ITEM-4",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"ITEM-4", "issue" : "1", "issued" : { "date-parts" : [ [ "2012", "1" ] ] }, "page" : "175-86", "title" : "Measuring selection coefficients below 10&lt;sup&gt;-3&lt;/sup&gt;: method, questions, and prospects.", "type" : "article-journal", "volume" : "190" }, "uris" : [ "http://www.mendeley.com/documents/?uuid=d48f9fea-e38a-44de-ac34-4311c53f344b" ] } ], "mendeley" : { "formattedCitation" : "(Concepci\u00f3n-Acevedo et al. 2015; Wiser and Lenski 2015; Hegreness et al. 2006; Gallet et al. 2012b)", "plainTextFormattedCitation" : "(Concepci\u00f3n-Acevedo et al. 2015; Wiser and Lenski 2015; Hegreness et al. 2006; Gallet et al. 2012b)", "previouslyFormattedCitation" : "(Concepci\u00f3n-Acevedo et al. 2015; Wiser and Lenski 2015; Hegreness et al. 2006; Gallet et al. 2012b)" }, "properties" : { "noteIndex" : 0 }, "schema" : "https://github.com/citation-style-language/schema/raw/master/csl-citation.json" }</w:instrText>
      </w:r>
      <w:r w:rsidR="00044070">
        <w:fldChar w:fldCharType="separate"/>
      </w:r>
      <w:r w:rsidR="00223CEC" w:rsidRPr="00223CEC">
        <w:rPr>
          <w:noProof/>
        </w:rPr>
        <w:t>(Concepción-Acevedo et al. 2015; Wiser and Lenski 2015; Hegreness et al. 2006; Gallet et al. 2012b)</w:t>
      </w:r>
      <w:r w:rsidR="00044070">
        <w:fldChar w:fldCharType="end"/>
      </w:r>
      <w:r>
        <w:t xml:space="preserve">. As automatic 96-well microplate readers become more and </w:t>
      </w:r>
      <w:r w:rsidR="00096923">
        <w:t xml:space="preserve">more </w:t>
      </w:r>
      <w:r w:rsidR="006147AD">
        <w:t>common</w:t>
      </w:r>
      <w:r w:rsidR="00096923">
        <w:t xml:space="preserve"> in microbiology</w:t>
      </w:r>
      <w:r>
        <w:t xml:space="preserve"> labs, </w:t>
      </w:r>
      <w:r w:rsidR="00044070">
        <w:t>growth curve</w:t>
      </w:r>
      <w:r>
        <w:t xml:space="preserve"> </w:t>
      </w:r>
      <w:r w:rsidR="006147AD">
        <w:t>experiments</w:t>
      </w:r>
      <w:r>
        <w:t xml:space="preserve"> can be </w:t>
      </w:r>
      <w:r w:rsidR="005816A6">
        <w:t xml:space="preserve">set up </w:t>
      </w:r>
      <w:r>
        <w:t xml:space="preserve">in less than 30 minutes, after which </w:t>
      </w:r>
      <w:r w:rsidR="00096923">
        <w:t xml:space="preserve">measurements </w:t>
      </w:r>
      <w:r>
        <w:t>are automatically collected by the plate reader</w:t>
      </w:r>
      <w:r w:rsidR="006147AD">
        <w:t xml:space="preserve"> </w:t>
      </w:r>
      <w:r w:rsidR="00E36AEA">
        <w:fldChar w:fldCharType="begin" w:fldLock="1"/>
      </w:r>
      <w:r w:rsidR="006161B0">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"id" : "ITEM-2",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"ITEM-2",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"(Hall et al. 2014; Concepci\u00f3n-Acevedo et al. 2015)", "plainTextFormattedCitation" : "(Hall et al. 2014; Concepci\u00f3n-Acevedo et al. 2015)", "previouslyFormattedCitation" : "(Hall et al. 2014; Concepci\u00f3n-Acevedo et al. 2015)" }, "properties" : { "noteIndex" : 0 }, "schema" : "https://github.com/citation-style-language/schema/raw/master/csl-citation.json" }</w:instrText>
      </w:r>
      <w:r w:rsidR="00E36AEA">
        <w:fldChar w:fldCharType="separate"/>
      </w:r>
      <w:r w:rsidR="00E36AEA" w:rsidRPr="00E36AEA">
        <w:rPr>
          <w:noProof/>
        </w:rPr>
        <w:t>(Hall et al. 2014; Concepción-Acevedo et al. 2015)</w:t>
      </w:r>
      <w:r w:rsidR="00E36AEA">
        <w:fldChar w:fldCharType="end"/>
      </w:r>
      <w:r>
        <w:t>.</w:t>
      </w:r>
      <w:r w:rsidR="000A6BEB">
        <w:t xml:space="preserve"> </w:t>
      </w:r>
      <w:r w:rsidR="000A6BEB" w:rsidRPr="00FD5DB1">
        <w:t xml:space="preserve">Importantly, this does not only result in </w:t>
      </w:r>
      <w:r w:rsidR="000A6BEB">
        <w:t>a</w:t>
      </w:r>
      <w:r w:rsidR="000A6BEB" w:rsidRPr="00FD5DB1">
        <w:t xml:space="preserve"> </w:t>
      </w:r>
      <w:r w:rsidR="000A6BEB">
        <w:t>simpler</w:t>
      </w:r>
      <w:r w:rsidR="000A6BEB" w:rsidRPr="00FD5DB1">
        <w:t xml:space="preserve"> and </w:t>
      </w:r>
      <w:r w:rsidR="000A6BEB">
        <w:t>more cost-effective</w:t>
      </w:r>
      <w:r w:rsidR="000A6BEB" w:rsidRPr="00FD5DB1">
        <w:t xml:space="preserve"> approach to high-throughput </w:t>
      </w:r>
      <w:r w:rsidR="000A6BEB">
        <w:t>fitness inference</w:t>
      </w:r>
      <w:r w:rsidR="000A6BEB" w:rsidRPr="00FD5DB1">
        <w:t xml:space="preserve">, but also </w:t>
      </w:r>
      <w:r w:rsidR="000A6BEB">
        <w:t>provides</w:t>
      </w:r>
      <w:r w:rsidR="000A6BEB" w:rsidRPr="00FD5DB1">
        <w:t xml:space="preserve"> information on the specific </w:t>
      </w:r>
      <w:r w:rsidR="000A6BEB">
        <w:t xml:space="preserve">growth </w:t>
      </w:r>
      <w:r w:rsidR="000A6BEB" w:rsidRPr="00FD5DB1">
        <w:t xml:space="preserve">traits that </w:t>
      </w:r>
      <w:r w:rsidR="000A6BEB">
        <w:t>contribute to differences in</w:t>
      </w:r>
      <w:r w:rsidR="000A6BEB" w:rsidRPr="00FD5DB1">
        <w:t xml:space="preserve"> </w:t>
      </w:r>
      <w:r w:rsidR="000A6BEB">
        <w:t>fitness</w:t>
      </w:r>
      <w:r w:rsidR="000A6BEB" w:rsidRPr="00FD5DB1">
        <w:t>.</w:t>
      </w:r>
      <w:r w:rsidR="000A6BEB">
        <w:t xml:space="preserve"> </w:t>
      </w:r>
      <w:r w:rsidR="000A6BEB" w:rsidRPr="000A6BEB">
        <w:t xml:space="preserve">By providing researchers with a simple yet powerful method to estimate and interpret fitness, </w:t>
      </w:r>
      <w:r w:rsidR="000A6BEB">
        <w:t>we hope our research</w:t>
      </w:r>
      <w:r w:rsidR="000A6BEB" w:rsidRPr="000A6BEB">
        <w:t xml:space="preserve"> will help to standardize the way fitness is measured and reported and improve communication between empirical and theoretical evolutionary biologists and ecologists.</w:t>
      </w:r>
    </w:p>
    <w:p w14:paraId="4C7003BA" w14:textId="71B6AD7B" w:rsidR="00920F1D" w:rsidRDefault="00920F1D" w:rsidP="00507681">
      <w:r>
        <w:t xml:space="preserve">Current methods for estimation of fitness from growth curves use the growth rate as a proxy of fitness. </w:t>
      </w:r>
      <w:r w:rsidR="006147AD">
        <w:t xml:space="preserve">The growth rate and </w:t>
      </w:r>
      <w:r>
        <w:t xml:space="preserve">other proxies of fitness </w:t>
      </w:r>
      <w:r w:rsidR="006147AD">
        <w:t xml:space="preserve">have </w:t>
      </w:r>
      <w:r>
        <w:t>several disadvantages: (</w:t>
      </w:r>
      <w:proofErr w:type="spellStart"/>
      <w:r>
        <w:t>i</w:t>
      </w:r>
      <w:proofErr w:type="spellEnd"/>
      <w:r>
        <w:t xml:space="preserve">) they can't capture the full scope of effects contributing to differences in fitness; (ii) </w:t>
      </w:r>
      <w:r w:rsidR="00E14ACF" w:rsidRPr="00E14ACF">
        <w:t xml:space="preserve">they </w:t>
      </w:r>
      <w:r w:rsidR="008F3527">
        <w:t xml:space="preserve">depend on </w:t>
      </w:r>
      <w:r w:rsidR="00E14ACF" w:rsidRPr="00E14ACF">
        <w:t>specific experimental conditions</w:t>
      </w:r>
      <w:r w:rsidR="00E14ACF">
        <w:t xml:space="preserve"> that differ </w:t>
      </w:r>
      <w:r w:rsidR="00E14ACF" w:rsidRPr="00E14ACF">
        <w:t>for different organisms</w:t>
      </w:r>
      <w:r w:rsidR="00E14ACF">
        <w:t xml:space="preserve"> and from lab to lab</w:t>
      </w:r>
      <w:r>
        <w:t xml:space="preserve">; and (iii) they can't be used as parameters </w:t>
      </w:r>
      <w:r w:rsidR="00145FE7">
        <w:t>in standard</w:t>
      </w:r>
      <w:r>
        <w:t xml:space="preserve"> population genetics models that test hypotheses and predict evolutionary dynamics. In contrast, our method integrates several growth phases into the fi</w:t>
      </w:r>
      <w:r w:rsidR="006147AD">
        <w:t>tness estimation</w:t>
      </w:r>
      <w:r>
        <w:t>,</w:t>
      </w:r>
      <w:r w:rsidR="006147AD">
        <w:t xml:space="preserve"> and our</w:t>
      </w:r>
      <w:r>
        <w:t xml:space="preserve"> growth </w:t>
      </w:r>
      <w:r w:rsidR="008F3527">
        <w:t xml:space="preserve">and competition </w:t>
      </w:r>
      <w:r>
        <w:t>model can be extended to include other phases and factors of growth, such as biphasic growth</w:t>
      </w:r>
      <w:r w:rsidR="007E465E">
        <w:t xml:space="preserve"> and cell death.</w:t>
      </w:r>
    </w:p>
    <w:p w14:paraId="004BD330" w14:textId="36C5031A" w:rsidR="00406968" w:rsidRDefault="005226B0" w:rsidP="000F5388">
      <w:r>
        <w:t>T</w:t>
      </w:r>
      <w:r w:rsidR="00406968">
        <w:t xml:space="preserve">he </w:t>
      </w:r>
      <w:r>
        <w:t>growth model</w:t>
      </w:r>
      <w:r w:rsidR="00406968">
        <w:t xml:space="preserve"> </w:t>
      </w:r>
      <w:r>
        <w:t xml:space="preserve">that we use - the </w:t>
      </w:r>
      <w:proofErr w:type="spellStart"/>
      <w:r>
        <w:t>Baranyi</w:t>
      </w:r>
      <w:proofErr w:type="spellEnd"/>
      <w:r>
        <w:t xml:space="preserve">-Roberts model - </w:t>
      </w:r>
      <w:r w:rsidR="00406968">
        <w:t xml:space="preserve">has a differential equation form </w:t>
      </w:r>
      <w:r w:rsidR="000F5388">
        <w:t xml:space="preserve">(eq. 1) and </w:t>
      </w:r>
      <w:r w:rsidR="00406968">
        <w:t xml:space="preserve">a closed form </w:t>
      </w:r>
      <w:r w:rsidR="00B947CD">
        <w:t xml:space="preserve">analytical </w:t>
      </w:r>
      <w:r w:rsidR="00406968">
        <w:t>solution</w:t>
      </w:r>
      <w:r w:rsidR="005B79A5">
        <w:t xml:space="preserve"> (eq. 2)</w:t>
      </w:r>
      <w:r w:rsidR="000F5388">
        <w:t>. We have also shown here that it can be derived from a resource consumption perspective (Appendix A) and that it can be extended to competition model with multiple strains under the assumption of resource competition (Appendix B)</w:t>
      </w:r>
      <w:r>
        <w:t xml:space="preserve">. </w:t>
      </w:r>
      <w:r w:rsidR="00096923">
        <w:t>Hence</w:t>
      </w:r>
      <w:r>
        <w:t>,</w:t>
      </w:r>
      <w:r w:rsidR="00406968">
        <w:t xml:space="preserve"> </w:t>
      </w:r>
      <w:r w:rsidR="000F5388">
        <w:t>this model</w:t>
      </w:r>
      <w:r w:rsidR="00406968">
        <w:t xml:space="preserve"> is </w:t>
      </w:r>
      <w:r w:rsidR="00145FE7">
        <w:t>very</w:t>
      </w:r>
      <w:r w:rsidR="00406968">
        <w:t xml:space="preserve"> </w:t>
      </w:r>
      <w:r w:rsidR="00096923">
        <w:t xml:space="preserve">useful </w:t>
      </w:r>
      <w:r w:rsidR="00406968">
        <w:t xml:space="preserve">for our </w:t>
      </w:r>
      <w:r>
        <w:t>method</w:t>
      </w:r>
      <w:r w:rsidR="00406968">
        <w:t xml:space="preserve">: the closed form </w:t>
      </w:r>
      <w:r w:rsidR="000F5388">
        <w:t xml:space="preserve">of the monoculture model </w:t>
      </w:r>
      <w:r w:rsidR="00406968">
        <w:t>is used to fit to</w:t>
      </w:r>
      <w:r w:rsidR="00D46522">
        <w:t xml:space="preserve"> the</w:t>
      </w:r>
      <w:r w:rsidR="00406968">
        <w:t xml:space="preserve"> growth curve data</w:t>
      </w:r>
      <w:r w:rsidR="00D46522">
        <w:t>,</w:t>
      </w:r>
      <w:r w:rsidR="000F5388">
        <w:t xml:space="preserve"> whereas </w:t>
      </w:r>
      <w:r w:rsidR="00406968">
        <w:t>the differential equation</w:t>
      </w:r>
      <w:r w:rsidR="000F5388">
        <w:t xml:space="preserve"> of the mixed culture model</w:t>
      </w:r>
      <w:r w:rsidR="00406968">
        <w:t xml:space="preserve"> is used to predict the competition</w:t>
      </w:r>
      <w:r w:rsidR="00096923">
        <w:t xml:space="preserve"> dynamic</w:t>
      </w:r>
      <w:r w:rsidR="000F5388">
        <w:t>s</w:t>
      </w:r>
    </w:p>
    <w:p w14:paraId="77F17907" w14:textId="7E4D73F3" w:rsidR="00E95165" w:rsidRPr="00555009" w:rsidRDefault="00E95165" w:rsidP="000A6BEB">
      <w:r w:rsidRPr="003272F9">
        <w:t>Our method assumes that the two strains interact</w:t>
      </w:r>
      <w:r w:rsidR="006147AD" w:rsidRPr="003272F9">
        <w:t xml:space="preserve"> solely</w:t>
      </w:r>
      <w:r w:rsidRPr="003272F9">
        <w:t xml:space="preserve"> via resource competition</w:t>
      </w:r>
      <w:r w:rsidR="00451F50" w:rsidRPr="003272F9">
        <w:t xml:space="preserve">. </w:t>
      </w:r>
      <w:r w:rsidR="00096923" w:rsidRPr="003272F9">
        <w:t xml:space="preserve">If the </w:t>
      </w:r>
      <w:r w:rsidR="00451F50" w:rsidRPr="003272F9">
        <w:t>investigators know or suspect that additional interactions exist (</w:t>
      </w:r>
      <w:r w:rsidR="00451F50" w:rsidRPr="003272F9">
        <w:rPr>
          <w:i/>
          <w:iCs/>
        </w:rPr>
        <w:t>i.e.</w:t>
      </w:r>
      <w:r w:rsidR="00451F50" w:rsidRPr="003272F9">
        <w:t xml:space="preserve">, </w:t>
      </w:r>
      <w:r w:rsidR="000F5388" w:rsidRPr="003272F9">
        <w:t>frequency</w:t>
      </w:r>
      <w:r w:rsidR="00451F50" w:rsidRPr="003272F9">
        <w:t xml:space="preserve">-dependent interactions such as social or sexual selection, mutualism, and interference), our model can serve as a null hypothesis: the results of competition </w:t>
      </w:r>
      <w:r w:rsidR="006147AD" w:rsidRPr="003272F9">
        <w:t>experiments</w:t>
      </w:r>
      <w:r w:rsidR="00451F50" w:rsidRPr="003272F9">
        <w:t xml:space="preserve"> can be compared to model predictions and a</w:t>
      </w:r>
      <w:r w:rsidR="00096923" w:rsidRPr="003272F9">
        <w:t xml:space="preserve"> goodness of fit test </w:t>
      </w:r>
      <w:r w:rsidR="00451F50" w:rsidRPr="003272F9">
        <w:t>can be used to decide if additional interactions are significant.</w:t>
      </w:r>
      <w:r w:rsidR="000A6BEB">
        <w:t xml:space="preserve"> This can be of tremendous values, as frequency-dependent interactions </w:t>
      </w:r>
      <w:r w:rsidR="000A6BEB" w:rsidRPr="000A6BEB">
        <w:t>are hard to detect in the lab despite having a significant effect on microbial evolution</w:t>
      </w:r>
      <w:r w:rsidR="000A6BEB">
        <w:t xml:space="preserve"> </w:t>
      </w:r>
      <w:r w:rsidR="000A6BEB">
        <w:fldChar w:fldCharType="begin" w:fldLock="1"/>
      </w:r>
      <w:r w:rsidR="00D17DC9">
        <w:instrText>ADDIN CSL_CITATION { "citationItems" : [ { "id" : "ITEM-1", "itemData" : { "DOI" : "10.1038/nrmicro2259", "ISBN" : "1740-1534 (Electronic)\\r1740-1526 (Linking)", "ISSN" : "1740-1526", "PMID" : "19946288", "abstract" : "Most natural environments harbour a stunningly diverse collection of microbial species. In these communities, bacteria compete with their neighbours for space and resources. Laboratory experiments with pure and mixed cultures have revealed many active mechanisms by which bacteria can impair or kill other microorganisms. In addition, a growing body of theoretical and experimental population studies indicates that the interactions within and between bacterial species can have a profound impact on the outcome of competition in nature. The next challenge is to integrate the findings of these laboratory and theoretical studies and to evaluate the predictions that they generate in more natural settings.", "author" : [ { "dropping-particle" : "", "family" : "Hibbing", "given" : "Michael E", "non-dropping-particle" : "", "parse-names" : false, "suffix" : "" }, { "dropping-particle" : "", "family" : "Fuqua", "given" : "Clay", "non-dropping-particle" : "", "parse-names" : false, "suffix" : "" }, { "dropping-particle" : "", "family" : "Parsek", "given" : "Matthew R", "non-dropping-particle" : "", "parse-names" : false, "suffix" : "" }, { "dropping-particle" : "", "family" : "Peterson", "given" : "S Brook", "non-dropping-particle" : "", "parse-names" : false, "suffix" : "" } ], "container-title" : "Nature reviews. Microbiology", "id" : "ITEM-1", "issue" : "1", "issued" : { "date-parts" : [ [ "2010" ] ] }, "page" : "15-25", "title" : "Bacterial competition: surviving and thriving in the microbial jungle.", "type" : "article-journal", "volume" : "8" }, "uris" : [ "http://www.mendeley.com/documents/?uuid=3da3b9fa-0658-4842-a599-e92e98deebef" ] } ], "mendeley" : { "formattedCitation" : "(Hibbing et al. 2010)", "plainTextFormattedCitation" : "(Hibbing et al. 2010)", "previouslyFormattedCitation" : "(Hibbing et al. 2010)" }, "properties" : { "noteIndex" : 0 }, "schema" : "https://github.com/citation-style-language/schema/raw/master/csl-citation.json" }</w:instrText>
      </w:r>
      <w:r w:rsidR="000A6BEB">
        <w:fldChar w:fldCharType="separate"/>
      </w:r>
      <w:r w:rsidR="000A6BEB" w:rsidRPr="000A6BEB">
        <w:rPr>
          <w:noProof/>
        </w:rPr>
        <w:t>(Hibbing et al. 2010)</w:t>
      </w:r>
      <w:r w:rsidR="000A6BEB">
        <w:fldChar w:fldCharType="end"/>
      </w:r>
      <w:r w:rsidR="000A6BEB">
        <w:t xml:space="preserve">. </w:t>
      </w:r>
      <w:r w:rsidR="00451F50" w:rsidRPr="003272F9">
        <w:t xml:space="preserve">Moreover, </w:t>
      </w:r>
      <w:r w:rsidR="000A6BEB">
        <w:t xml:space="preserve">frequency-dependent </w:t>
      </w:r>
      <w:r w:rsidR="00451F50" w:rsidRPr="003272F9">
        <w:t xml:space="preserve">interactions </w:t>
      </w:r>
      <w:r w:rsidR="000A6BEB">
        <w:t>could</w:t>
      </w:r>
      <w:r w:rsidR="00451F50" w:rsidRPr="003272F9">
        <w:t xml:space="preserve"> be measured, either in terms of the difference in selection coefficients (between the coefficient calculated from the empirical results and coefficient calculated from the model prediction) or by fitting the empirical results to an extended model that includes density-dependent interactions</w:t>
      </w:r>
      <w:r w:rsidR="000E1107" w:rsidRPr="003272F9">
        <w:t xml:space="preserve"> </w:t>
      </w:r>
      <w:r w:rsidR="00451F50" w:rsidRPr="003272F9">
        <w:fldChar w:fldCharType="begin" w:fldLock="1"/>
      </w:r>
      <w:r w:rsidR="0044050E" w:rsidRPr="003272F9">
        <w:instrText>ADDIN CSL_CITATION { "citationItems" : [ { "id" : "ITEM-1", "itemData" : { "abstract" : "Standard population genetics models assign relative fitness values to genotypes. Normalization ensures that the absolute population mean fitness stays equal to one, keeping the population size constant. These models fail to describe extinction and evolutionary rescue; this requires a model of absolute fitness in the presence of density-dependence. Meantime, ecological models describe absolute fitness traits such as resource uptake speed and resource use efficiency, while neglecting intrinsically relative fitness competitions such as territorial contests and mate choice. Here I present a model that unifies population genetic and ecological notions of relative and absolute fitness. I begin by correcting a subscript flaw in MacArthur's r/K selection theory, and then introduce a third dimension c to capture relative competitiveness. In this model, r gives reproductive speed at low density and has time units, K' gives the parsimoniousness of resource use and has units of population density, and c gives competitive dominance at high density, and is, like population genetic fitness w, always normalized and hence intrinsically unitless. MacArthur's original r/K selection theory is shown to confound c and K'. Applications to experimental evolution and other data are outlined, including a connection to Grime's triangle of reproductive strategies and Nicholson's contest vs. scramble distinction. Extensions to larger numbers of dimensions, including the explicit tracking of consumable resources, are described.", "author" : [ { "dropping-particle" : "", "family" : "Masel", "given" : "Joanna", "non-dropping-particle" : "", "parse-names" : false, "suffix" : "" } ], "container-title" : "arXiv:1407.1024v3", "genre" : "Populations and Evolution", "id" : "ITEM-1", "issued" : { "date-parts" : [ [ "2014", "7" ] ] }, "page" : "1-44", "title" : "Eco-evolutionary \"fitness\" in 3 dimensions: absolute growth, absolute efficiency, and relative competitiveness", "type" : "article-journal" }, "uris" : [ "http://www.mendeley.com/documents/?uuid=806d0d1a-84d7-4a42-9a99-0cceffc88bc5" ] } ], "mendeley" : { "formattedCitation" : "(Masel 2014)", "plainTextFormattedCitation" : "(Masel 2014)", "previouslyFormattedCitation" : "(Masel 2014)" }, "properties" : { "noteIndex" : 0 }, "schema" : "https://github.com/citation-style-language/schema/raw/master/csl-citation.json" }</w:instrText>
      </w:r>
      <w:r w:rsidR="00451F50" w:rsidRPr="003272F9">
        <w:fldChar w:fldCharType="separate"/>
      </w:r>
      <w:r w:rsidR="003D0164" w:rsidRPr="003272F9">
        <w:rPr>
          <w:noProof/>
        </w:rPr>
        <w:t>(Masel 2014)</w:t>
      </w:r>
      <w:r w:rsidR="00451F50" w:rsidRPr="003272F9">
        <w:fldChar w:fldCharType="end"/>
      </w:r>
      <w:r w:rsidR="00451F50" w:rsidRPr="003272F9">
        <w:t>.</w:t>
      </w:r>
      <w:r w:rsidR="000F5388">
        <w:t xml:space="preserve"> Developing a statistical framework for detecting and measuring frequency-dependent interactions will be the subject of future work.</w:t>
      </w:r>
    </w:p>
    <w:p w14:paraId="05BD0246" w14:textId="77777777" w:rsidR="00096923" w:rsidRDefault="00096923" w:rsidP="00507681">
      <w:pPr>
        <w:pStyle w:val="Heading2"/>
      </w:pPr>
      <w:r>
        <w:t>Conclusions</w:t>
      </w:r>
    </w:p>
    <w:p w14:paraId="3F0CFB8A" w14:textId="2F8EF8FD" w:rsidR="00096923" w:rsidRDefault="00E50794" w:rsidP="000F5388">
      <w:r>
        <w:t>We</w:t>
      </w:r>
      <w:r w:rsidR="00096923">
        <w:t xml:space="preserve"> </w:t>
      </w:r>
      <w:r w:rsidR="000F5388">
        <w:t>developed</w:t>
      </w:r>
      <w:r w:rsidR="008F3527">
        <w:t xml:space="preserve"> and test</w:t>
      </w:r>
      <w:r w:rsidR="000F5388">
        <w:t>ed</w:t>
      </w:r>
      <w:r w:rsidR="00096923">
        <w:t xml:space="preserve"> a new </w:t>
      </w:r>
      <w:r w:rsidR="008D29A3">
        <w:t xml:space="preserve">method to </w:t>
      </w:r>
      <w:r w:rsidR="00096923">
        <w:t>analyze growth curves</w:t>
      </w:r>
      <w:r>
        <w:t xml:space="preserve">, predict </w:t>
      </w:r>
      <w:r w:rsidR="000F5388">
        <w:t xml:space="preserve">growth and </w:t>
      </w:r>
      <w:r>
        <w:t xml:space="preserve">competition </w:t>
      </w:r>
      <w:r w:rsidR="000F5388">
        <w:t>in mixed culture</w:t>
      </w:r>
      <w:r>
        <w:t>,</w:t>
      </w:r>
      <w:r w:rsidR="00096923">
        <w:t xml:space="preserve"> and </w:t>
      </w:r>
      <w:r w:rsidR="000F5388">
        <w:t>infer</w:t>
      </w:r>
      <w:r w:rsidR="00096923">
        <w:t xml:space="preserve"> </w:t>
      </w:r>
      <w:r w:rsidR="00B830DD">
        <w:t xml:space="preserve">relative </w:t>
      </w:r>
      <w:r w:rsidR="00096923">
        <w:t xml:space="preserve">fitness. Our method </w:t>
      </w:r>
      <w:r w:rsidR="00350EA0">
        <w:t>improves fitness estimation from growth curves</w:t>
      </w:r>
      <w:r w:rsidR="00B830DD">
        <w:t xml:space="preserve">, </w:t>
      </w:r>
      <w:r w:rsidR="00096923">
        <w:t xml:space="preserve">has </w:t>
      </w:r>
      <w:r w:rsidR="00C95EA3">
        <w:t xml:space="preserve">a </w:t>
      </w:r>
      <w:r w:rsidR="00096923">
        <w:t xml:space="preserve">clear biological interpretation, </w:t>
      </w:r>
      <w:r w:rsidR="00350EA0">
        <w:t xml:space="preserve">and </w:t>
      </w:r>
      <w:r w:rsidR="00096923">
        <w:t>can</w:t>
      </w:r>
      <w:r w:rsidR="00872AE7">
        <w:t xml:space="preserve"> </w:t>
      </w:r>
      <w:r w:rsidR="00096923">
        <w:t xml:space="preserve">be used </w:t>
      </w:r>
      <w:r w:rsidR="000F5388">
        <w:t xml:space="preserve">to interpret growth in mixed culture and </w:t>
      </w:r>
      <w:r w:rsidR="00096923">
        <w:t xml:space="preserve">competition </w:t>
      </w:r>
      <w:r>
        <w:t>experiments</w:t>
      </w:r>
      <w:r w:rsidR="000F5388">
        <w:t>.</w:t>
      </w:r>
    </w:p>
    <w:p w14:paraId="38E2EFE2" w14:textId="14E1166D" w:rsidR="002D33FF" w:rsidRDefault="00F80CD3" w:rsidP="00051459">
      <w:pPr>
        <w:pStyle w:val="Heading1"/>
      </w:pPr>
      <w:bookmarkStart w:id="3" w:name="_Ref439853427"/>
      <w:r>
        <w:t xml:space="preserve">Materials and </w:t>
      </w:r>
      <w:r w:rsidR="00051459">
        <w:t>Methods</w:t>
      </w:r>
      <w:bookmarkEnd w:id="3"/>
    </w:p>
    <w:p w14:paraId="53E1A465" w14:textId="47C2F905" w:rsidR="00F80CD3" w:rsidRDefault="00F80CD3" w:rsidP="00272B10">
      <w:proofErr w:type="gramStart"/>
      <w:r w:rsidRPr="00863AA2">
        <w:rPr>
          <w:b/>
          <w:bCs/>
        </w:rPr>
        <w:t>Strains</w:t>
      </w:r>
      <w:r w:rsidR="00086EFC" w:rsidRPr="00863AA2">
        <w:rPr>
          <w:b/>
          <w:bCs/>
        </w:rPr>
        <w:t xml:space="preserve"> and plasmids</w:t>
      </w:r>
      <w:r w:rsidR="00863AA2" w:rsidRPr="00863AA2">
        <w:rPr>
          <w:b/>
          <w:bCs/>
        </w:rPr>
        <w:t>.</w:t>
      </w:r>
      <w:proofErr w:type="gramEnd"/>
      <w:r w:rsidR="00863AA2" w:rsidRPr="00863AA2">
        <w:rPr>
          <w:b/>
          <w:bCs/>
        </w:rPr>
        <w:t xml:space="preserve"> </w:t>
      </w:r>
      <w:r w:rsidR="00863AA2" w:rsidRPr="00272B10">
        <w:rPr>
          <w:i/>
          <w:iCs/>
        </w:rPr>
        <w:t>Escherichia coli</w:t>
      </w:r>
      <w:r w:rsidR="00863AA2">
        <w:t xml:space="preserve"> strains DH5α, TG1, JM109,</w:t>
      </w:r>
      <w:r w:rsidR="00863AA2" w:rsidRPr="00AF5049">
        <w:t xml:space="preserve"> </w:t>
      </w:r>
      <w:r w:rsidR="00863AA2">
        <w:t>and K12 MG1655 ΔFNR were used as a host in all the experiments. Plasmids</w:t>
      </w:r>
      <w:r w:rsidR="00863AA2" w:rsidRPr="00AF5049">
        <w:t xml:space="preserve"> </w:t>
      </w:r>
      <w:r w:rsidR="00863AA2">
        <w:t>containing a GFP or RFP gene, and genes conferring resistance to kanamycin (</w:t>
      </w:r>
      <w:proofErr w:type="spellStart"/>
      <w:r w:rsidR="00863AA2">
        <w:t>Kan</w:t>
      </w:r>
      <w:r w:rsidR="00863AA2" w:rsidRPr="00086EFC">
        <w:rPr>
          <w:vertAlign w:val="superscript"/>
        </w:rPr>
        <w:t>R</w:t>
      </w:r>
      <w:proofErr w:type="spellEnd"/>
      <w:r w:rsidR="00863AA2">
        <w:t>) and chloramphenicol (</w:t>
      </w:r>
      <w:proofErr w:type="spellStart"/>
      <w:r w:rsidR="00863AA2">
        <w:t>Cap</w:t>
      </w:r>
      <w:r w:rsidR="00863AA2" w:rsidRPr="00086EFC">
        <w:rPr>
          <w:vertAlign w:val="superscript"/>
        </w:rPr>
        <w:t>R</w:t>
      </w:r>
      <w:proofErr w:type="spellEnd"/>
      <w:r w:rsidR="00863AA2">
        <w:t>) were used as vectors. These plasmids have roughly the same effect on growth</w:t>
      </w:r>
      <w:r w:rsidR="00272B10">
        <w:t>, as shown previously</w:t>
      </w:r>
      <w:r w:rsidR="00863AA2">
        <w:t xml:space="preserve"> </w:t>
      </w:r>
      <w:r w:rsidR="00863AA2">
        <w:fldChar w:fldCharType="begin" w:fldLock="1"/>
      </w:r>
      <w:r w:rsidR="00863AA2">
        <w:instrText>ADDIN CSL_CITATION { "citationItems" : [ { "id" : "ITEM-1", "itemData" : { "DOI" : "10.1093/nar/gkt151", "ISSN" : "0305-1048", "author" : [ { "dropping-particle" : "", "family" : "Zelcbuch", "given" : "L.", "non-dropping-particle" : "", "parse-names" : false, "suffix" : "" }, { "dropping-particle" : "", "family" : "Antonovsky", "given" : "N.", "non-dropping-particle" : "", "parse-names" : false, "suffix" : "" }, { "dropping-particle" : "", "family" : "Bar-Even", "given" : "A.", "non-dropping-particle" : "", "parse-names" : false, "suffix" : "" }, { "dropping-particle" : "", "family" : "Levin-Karp", "given" : "A.", "non-dropping-particle" : "", "parse-names" : false, "suffix" : "" }, { "dropping-particle" : "", "family" : "Barenholz", "given" : "U.", "non-dropping-particle" : "", "parse-names" : false, "suffix" : "" }, { "dropping-particle" : "", "family" : "Dayagi", "given" : "M.", "non-dropping-particle" : "", "parse-names" : false, "suffix" : "" }, { "dropping-particle" : "", "family" : "Liebermeister", "given" : "W.", "non-dropping-particle" : "", "parse-names" : false, "suffix" : "" }, { "dropping-particle" : "", "family" : "Flamholz", "given" : "A.", "non-dropping-particle" : "", "parse-names" : false, "suffix" : "" }, { "dropping-particle" : "", "family" : "Noor", "given" : "E.", "non-dropping-particle" : "", "parse-names" : false, "suffix" : "" }, { "dropping-particle" : "", "family" : "Amram", "given" : "S.", "non-dropping-particle" : "", "parse-names" : false, "suffix" : "" }, { "dropping-particle" : "", "family" : "Brandis", "given" : "A.", "non-dropping-particle" : "", "parse-names" : false, "suffix" : "" }, { "dropping-particle" : "", "family" : "Bareia", "given" : "T.", "non-dropping-particle" : "", "parse-names" : false, "suffix" : "" }, { "dropping-particle" : "", "family" : "Yofe", "given" : "I.", "non-dropping-particle" : "", "parse-names" : false, "suffix" : "" }, { "dropping-particle" : "", "family" : "Jubran", "given" : "H.", "non-dropping-particle" : "", "parse-names" : false, "suffix" : "" }, { "dropping-particle" : "", "family" : "Milo", "given" : "R.", "non-dropping-particle" : "", "parse-names" : false, "suffix" : "" } ], "container-title" : "Nucleic Acids Research", "id" : "ITEM-1", "issue" : "9", "issued" : { "date-parts" : [ [ "2013" ] ] }, "page" : "e98-e98", "title" : "Spanning high-dimensional expression space using ribosome-binding site combinatorics", "type" : "article-journal", "volume" : "41" }, "uris" : [ "http://www.mendeley.com/documents/?uuid=185255d4-2c34-4db4-bbbd-593223fd89bd" ] } ], "mendeley" : { "formattedCitation" : "(Zelcbuch et al. 2013)", "plainTextFormattedCitation" : "(Zelcbuch et al. 2013)", "previouslyFormattedCitation" : "(Zelcbuch et al. 2013)" }, "properties" : { "noteIndex" : 0 }, "schema" : "https://github.com/citation-style-language/schema/raw/master/csl-citation.json" }</w:instrText>
      </w:r>
      <w:r w:rsidR="00863AA2">
        <w:fldChar w:fldCharType="separate"/>
      </w:r>
      <w:r w:rsidR="00863AA2" w:rsidRPr="00086EFC">
        <w:rPr>
          <w:noProof/>
        </w:rPr>
        <w:t>(Zelcbuch et al. 2013)</w:t>
      </w:r>
      <w:r w:rsidR="00863AA2">
        <w:fldChar w:fldCharType="end"/>
      </w:r>
      <w:r w:rsidR="00272B10">
        <w:t xml:space="preserve"> and in </w:t>
      </w:r>
      <w:r w:rsidR="00272B10" w:rsidRPr="00086EFC">
        <w:rPr>
          <w:highlight w:val="yellow"/>
        </w:rPr>
        <w:t xml:space="preserve">Fig. </w:t>
      </w:r>
      <w:proofErr w:type="gramStart"/>
      <w:r w:rsidR="00272B10" w:rsidRPr="00086EFC">
        <w:rPr>
          <w:highlight w:val="yellow"/>
        </w:rPr>
        <w:t>SX</w:t>
      </w:r>
      <w:r w:rsidR="00863AA2">
        <w:t>.</w:t>
      </w:r>
      <w:proofErr w:type="gramEnd"/>
      <w:r w:rsidR="00863AA2">
        <w:t xml:space="preserve"> All experiments were performed in LB media with </w:t>
      </w:r>
      <w:r w:rsidR="00863AA2" w:rsidRPr="00086EFC">
        <w:t>3</w:t>
      </w:r>
      <w:r w:rsidR="00863AA2">
        <w:t>0</w:t>
      </w:r>
      <w:r w:rsidR="00863AA2" w:rsidRPr="00086EFC">
        <w:t xml:space="preserve"> </w:t>
      </w:r>
      <w:proofErr w:type="spellStart"/>
      <w:r w:rsidR="00863AA2" w:rsidRPr="00086EFC">
        <w:t>μg</w:t>
      </w:r>
      <w:proofErr w:type="spellEnd"/>
      <w:r w:rsidR="00863AA2" w:rsidRPr="00086EFC">
        <w:t>/mL</w:t>
      </w:r>
      <w:r w:rsidR="00863AA2">
        <w:t xml:space="preserve"> kanamycin and </w:t>
      </w:r>
      <w:proofErr w:type="gramStart"/>
      <w:r w:rsidR="00863AA2" w:rsidRPr="00086EFC">
        <w:t xml:space="preserve">34 </w:t>
      </w:r>
      <w:proofErr w:type="spellStart"/>
      <w:r w:rsidR="00863AA2" w:rsidRPr="00086EFC">
        <w:t>μg</w:t>
      </w:r>
      <w:proofErr w:type="spellEnd"/>
      <w:r w:rsidR="00863AA2" w:rsidRPr="00086EFC">
        <w:t xml:space="preserve">/mL </w:t>
      </w:r>
      <w:r w:rsidR="00863AA2">
        <w:t>chloramphenicol</w:t>
      </w:r>
      <w:proofErr w:type="gramEnd"/>
      <w:r w:rsidR="00863AA2">
        <w:t>.</w:t>
      </w:r>
      <w:r w:rsidR="00272B10">
        <w:t xml:space="preserve"> Fluorescence was confirmed using </w:t>
      </w:r>
      <w:r w:rsidR="00272B10">
        <w:t>fluorescent microscopy (</w:t>
      </w:r>
      <w:r w:rsidR="00272B10" w:rsidRPr="00D042EE">
        <w:t xml:space="preserve">Nikon </w:t>
      </w:r>
      <w:proofErr w:type="spellStart"/>
      <w:r w:rsidR="00272B10" w:rsidRPr="00D042EE">
        <w:t>Eclipe</w:t>
      </w:r>
      <w:proofErr w:type="spellEnd"/>
      <w:r w:rsidR="00272B10" w:rsidRPr="00D042EE">
        <w:t xml:space="preserve"> </w:t>
      </w:r>
      <w:proofErr w:type="spellStart"/>
      <w:r w:rsidR="00272B10" w:rsidRPr="00D042EE">
        <w:t>Ti</w:t>
      </w:r>
      <w:bookmarkStart w:id="4" w:name="_GoBack"/>
      <w:bookmarkEnd w:id="4"/>
      <w:proofErr w:type="spellEnd"/>
      <w:r w:rsidR="00272B10" w:rsidRPr="00086EFC">
        <w:rPr>
          <w:highlight w:val="yellow"/>
        </w:rPr>
        <w:t xml:space="preserve">, Fig. </w:t>
      </w:r>
      <w:proofErr w:type="gramStart"/>
      <w:r w:rsidR="00272B10">
        <w:rPr>
          <w:highlight w:val="yellow"/>
        </w:rPr>
        <w:t>S</w:t>
      </w:r>
      <w:r w:rsidR="00272B10" w:rsidRPr="00086EFC">
        <w:rPr>
          <w:highlight w:val="yellow"/>
        </w:rPr>
        <w:t>X</w:t>
      </w:r>
      <w:r w:rsidR="00272B10">
        <w:t>).</w:t>
      </w:r>
      <w:proofErr w:type="gramEnd"/>
    </w:p>
    <w:p w14:paraId="61494544" w14:textId="20B19F57" w:rsidR="00863AA2" w:rsidRDefault="001F25C6" w:rsidP="00272B10">
      <w:r w:rsidRPr="00863AA2">
        <w:rPr>
          <w:b/>
          <w:bCs/>
        </w:rPr>
        <w:t>Growth and competition experiment</w:t>
      </w:r>
      <w:r w:rsidR="00863AA2" w:rsidRPr="00863AA2">
        <w:rPr>
          <w:b/>
          <w:bCs/>
        </w:rPr>
        <w:t xml:space="preserve">. </w:t>
      </w:r>
      <w:r w:rsidR="00863AA2">
        <w:t xml:space="preserve">Strains </w:t>
      </w:r>
      <w:r w:rsidR="00272B10">
        <w:t>were inoculated</w:t>
      </w:r>
      <w:r w:rsidR="00863AA2">
        <w:t xml:space="preserve"> into 3 ml LB and grown overnight at 30</w:t>
      </w:r>
      <w:r w:rsidR="00863AA2">
        <w:rPr>
          <w:rFonts w:ascii="Arial" w:hAnsi="Arial" w:cs="Arial"/>
        </w:rPr>
        <w:t>°</w:t>
      </w:r>
      <w:r w:rsidR="00863AA2">
        <w:t xml:space="preserve">C with shaking. Saturated overnight cultures were diluted into fresh media so that the OD will be above the OD of blank media (1:1-1:20 dilution </w:t>
      </w:r>
      <w:proofErr w:type="gramStart"/>
      <w:r w:rsidR="00272B10">
        <w:t>rate</w:t>
      </w:r>
      <w:proofErr w:type="gramEnd"/>
      <w:r w:rsidR="00863AA2">
        <w:t>). In experiments without lag phase, cultures were grown for 3-5 hours after dilution, in 30</w:t>
      </w:r>
      <w:r w:rsidR="00863AA2">
        <w:rPr>
          <w:rFonts w:ascii="Arial" w:hAnsi="Arial" w:cs="Arial"/>
        </w:rPr>
        <w:t>°</w:t>
      </w:r>
      <w:r w:rsidR="00863AA2">
        <w:t xml:space="preserve">C, their OD monitored until the exponential growth phase was reached. These cells were then inoculated into 100 </w:t>
      </w:r>
      <w:proofErr w:type="spellStart"/>
      <w:r w:rsidR="00863AA2" w:rsidRPr="00086EFC">
        <w:t>μ</w:t>
      </w:r>
      <w:r w:rsidR="00863AA2">
        <w:t>L</w:t>
      </w:r>
      <w:proofErr w:type="spellEnd"/>
      <w:r w:rsidR="00863AA2">
        <w:t xml:space="preserve"> LB in a 96-wells flat-bottom microplate (</w:t>
      </w:r>
      <w:r w:rsidR="00863AA2" w:rsidRPr="000E4439">
        <w:t>Costar</w:t>
      </w:r>
      <w:r w:rsidR="00863AA2">
        <w:t>) as following:</w:t>
      </w:r>
    </w:p>
    <w:p w14:paraId="52F319E5" w14:textId="77777777" w:rsidR="00863AA2" w:rsidRDefault="00863AA2" w:rsidP="00863AA2">
      <w:pPr>
        <w:pStyle w:val="ListParagraph"/>
        <w:numPr>
          <w:ilvl w:val="0"/>
          <w:numId w:val="1"/>
        </w:numPr>
      </w:pPr>
      <w:r>
        <w:t>36-48 wells containing a monoculture of a GFP-labeled strain</w:t>
      </w:r>
    </w:p>
    <w:p w14:paraId="53353803" w14:textId="77777777" w:rsidR="00863AA2" w:rsidRDefault="00863AA2" w:rsidP="00863AA2">
      <w:pPr>
        <w:pStyle w:val="ListParagraph"/>
        <w:numPr>
          <w:ilvl w:val="0"/>
          <w:numId w:val="1"/>
        </w:numPr>
      </w:pPr>
      <w:r>
        <w:t>34-46 wells containing a monoculture of a RFP-labeled strain</w:t>
      </w:r>
    </w:p>
    <w:p w14:paraId="3BB2B26B" w14:textId="77777777" w:rsidR="00863AA2" w:rsidRDefault="00863AA2" w:rsidP="00863AA2">
      <w:pPr>
        <w:pStyle w:val="ListParagraph"/>
        <w:numPr>
          <w:ilvl w:val="0"/>
          <w:numId w:val="1"/>
        </w:numPr>
      </w:pPr>
      <w:r>
        <w:t>48-72 wells containing a mixed culture of both GFP- and RFP-labeled strains</w:t>
      </w:r>
    </w:p>
    <w:p w14:paraId="517378DA" w14:textId="77777777" w:rsidR="00863AA2" w:rsidRDefault="00863AA2" w:rsidP="00863AA2">
      <w:pPr>
        <w:pStyle w:val="ListParagraph"/>
        <w:numPr>
          <w:ilvl w:val="0"/>
          <w:numId w:val="1"/>
        </w:numPr>
      </w:pPr>
      <w:r>
        <w:t>2 wells with blank media</w:t>
      </w:r>
    </w:p>
    <w:p w14:paraId="55F0360F" w14:textId="77777777" w:rsidR="00863AA2" w:rsidRDefault="00863AA2" w:rsidP="00863AA2">
      <w:pPr>
        <w:ind w:firstLine="0"/>
        <w:rPr>
          <w:vertAlign w:val="subscript"/>
        </w:rPr>
      </w:pPr>
      <w:r>
        <w:t xml:space="preserve"> The cultures were grown at 30</w:t>
      </w:r>
      <w:r>
        <w:rPr>
          <w:rFonts w:ascii="Arial" w:hAnsi="Arial" w:cs="Arial"/>
        </w:rPr>
        <w:t>°</w:t>
      </w:r>
      <w:r>
        <w:t>C in an automatic microplate reader (</w:t>
      </w:r>
      <w:proofErr w:type="spellStart"/>
      <w:r>
        <w:t>Tecan</w:t>
      </w:r>
      <w:proofErr w:type="spellEnd"/>
      <w:r>
        <w:t xml:space="preserve"> infinite F200 Pro). </w:t>
      </w:r>
      <w:r w:rsidRPr="000E4439">
        <w:t>OD</w:t>
      </w:r>
      <w:r w:rsidRPr="000E4439">
        <w:rPr>
          <w:vertAlign w:val="subscript"/>
        </w:rPr>
        <w:t>595</w:t>
      </w:r>
      <w:r>
        <w:t xml:space="preserve"> </w:t>
      </w:r>
      <w:r w:rsidRPr="00223CEC">
        <w:t>readi</w:t>
      </w:r>
      <w:r>
        <w:t xml:space="preserve">ngs were taken </w:t>
      </w:r>
      <w:r w:rsidRPr="00257515">
        <w:t>every 10 minutes</w:t>
      </w:r>
      <w:r>
        <w:t xml:space="preserve"> with continuous shaking between readings.</w:t>
      </w:r>
    </w:p>
    <w:p w14:paraId="7B56C8BE" w14:textId="6F6FEE5F" w:rsidR="00863AA2" w:rsidRDefault="00863AA2" w:rsidP="00272B10">
      <w:r>
        <w:t>Samples were taken from the incubated microplate at the beginning of the experiment and once an hour for 6-8 hours: 1-10 µL were removed from 4 wells (different wells for each sample), and diluted into cold PBS</w:t>
      </w:r>
      <w:r w:rsidR="00272B10" w:rsidRPr="00272B10">
        <w:rPr>
          <w:vertAlign w:val="superscript"/>
        </w:rPr>
        <w:t>+</w:t>
      </w:r>
      <w:r w:rsidR="00272B10">
        <w:t xml:space="preserve"> </w:t>
      </w:r>
      <w:r>
        <w:t>buffer. These samples were analyzed with a fluorescent cell sorter (</w:t>
      </w:r>
      <w:proofErr w:type="spellStart"/>
      <w:r>
        <w:t>Miltenyi</w:t>
      </w:r>
      <w:proofErr w:type="spellEnd"/>
      <w:r>
        <w:t xml:space="preserve"> </w:t>
      </w:r>
      <w:proofErr w:type="spellStart"/>
      <w:r>
        <w:t>Biotec</w:t>
      </w:r>
      <w:proofErr w:type="spellEnd"/>
      <w:r>
        <w:t xml:space="preserve"> </w:t>
      </w:r>
      <w:proofErr w:type="spellStart"/>
      <w:r>
        <w:t>MACSQuant</w:t>
      </w:r>
      <w:proofErr w:type="spellEnd"/>
      <w:r>
        <w:t xml:space="preserve"> VYB) to count the number of GFP- and RFP-labeled cells (GFP was detected with the 488nm/520(50</w:t>
      </w:r>
      <w:proofErr w:type="gramStart"/>
      <w:r>
        <w:t>)nm</w:t>
      </w:r>
      <w:proofErr w:type="gramEnd"/>
      <w:r>
        <w:t xml:space="preserve"> FITC laser; RFP was detected with the 561nm/615(20)nm </w:t>
      </w:r>
      <w:proofErr w:type="spellStart"/>
      <w:r>
        <w:t>dsRed</w:t>
      </w:r>
      <w:proofErr w:type="spellEnd"/>
      <w:r>
        <w:t xml:space="preserve"> laser). Samples were further diluted to allow precise detection in the cell sorter </w:t>
      </w:r>
      <w:r>
        <w:fldChar w:fldCharType="begin" w:fldLock="1"/>
      </w:r>
      <w:r>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10-3: method, questions, and prospects.", "type" : "article-journal", "volume" : "190" }, "uris" : [ "http://www.mendeley.com/documents/?uuid=b8baa827-c70c-419f-8430-616de02dd18e" ] } ], "mendeley" : { "formattedCitation" : "(Gallet et al. 2012a)", "plainTextFormattedCitation" : "(Gallet et al. 2012a)", "previouslyFormattedCitation" : "(Gallet et al. 2012a)" }, "properties" : { "noteIndex" : 0 }, "schema" : "https://github.com/citation-style-language/schema/raw/master/csl-citation.json" }</w:instrText>
      </w:r>
      <w:r>
        <w:fldChar w:fldCharType="separate"/>
      </w:r>
      <w:r w:rsidRPr="00223CEC">
        <w:rPr>
          <w:noProof/>
        </w:rPr>
        <w:t>(Gallet et al. 2012a)</w:t>
      </w:r>
      <w:r>
        <w:fldChar w:fldCharType="end"/>
      </w:r>
      <w:r>
        <w:t xml:space="preserve">, see </w:t>
      </w:r>
      <w:r w:rsidRPr="001F25C6">
        <w:rPr>
          <w:highlight w:val="yellow"/>
        </w:rPr>
        <w:t>Table SX</w:t>
      </w:r>
      <w:r>
        <w:t xml:space="preserve"> for details.</w:t>
      </w:r>
    </w:p>
    <w:p w14:paraId="4B60256C" w14:textId="1B6E11CB" w:rsidR="00863AA2" w:rsidRDefault="00272B10" w:rsidP="00863AA2">
      <w:r>
        <w:t>F</w:t>
      </w:r>
      <w:r>
        <w:t xml:space="preserve">luorescent </w:t>
      </w:r>
      <w:r>
        <w:t>c</w:t>
      </w:r>
      <w:r w:rsidR="00863AA2">
        <w:t xml:space="preserve">ell sorter </w:t>
      </w:r>
      <w:r>
        <w:t xml:space="preserve">output </w:t>
      </w:r>
      <w:r w:rsidR="00863AA2">
        <w:t xml:space="preserve">data was analyzed using R </w:t>
      </w:r>
      <w:r w:rsidR="00863AA2">
        <w:fldChar w:fldCharType="begin" w:fldLock="1"/>
      </w:r>
      <w:r w:rsidR="00863AA2">
        <w:instrText>ADDIN CSL_CITATION { "citationItems" : [ { "id" : "ITEM-1", "itemData" : { "author" : [ { "dropping-particle" : "", "family" : "R Development Core Team", "given" : "", "non-dropping-particle" : "", "parse-names" : false, "suffix" : "" } ], "id" : "ITEM-1", "issued" : { "date-parts" : [ [ "2012" ] ] }, "note" : "{ISBN} 3-900051-07-0", "number" : "2.14.2", "publisher-place" : "Vienna, Austria", "title" : "R: A Language and Environment for Statistical Computing", "type" : "article" }, "uris" : [ "http://www.mendeley.com/documents/?uuid=f8738ff1-39ca-496d-9354-d325c713aacd" ] } ], "mendeley" : { "formattedCitation" : "(R Development Core Team 2012)", "plainTextFormattedCitation" : "(R Development Core Team 2012)", "previouslyFormattedCitation" : "(R Development Core Team 2012)" }, "properties" : { "noteIndex" : 0 }, "schema" : "https://github.com/citation-style-language/schema/raw/master/csl-citation.json" }</w:instrText>
      </w:r>
      <w:r w:rsidR="00863AA2">
        <w:fldChar w:fldCharType="separate"/>
      </w:r>
      <w:r w:rsidR="00863AA2" w:rsidRPr="00223CEC">
        <w:rPr>
          <w:noProof/>
        </w:rPr>
        <w:t>(R Development Core Team 2012)</w:t>
      </w:r>
      <w:r w:rsidR="00863AA2">
        <w:fldChar w:fldCharType="end"/>
      </w:r>
      <w:r w:rsidR="00863AA2">
        <w:t xml:space="preserve"> with the </w:t>
      </w:r>
      <w:proofErr w:type="spellStart"/>
      <w:r w:rsidR="00863AA2" w:rsidRPr="00257515">
        <w:rPr>
          <w:i/>
          <w:iCs/>
        </w:rPr>
        <w:t>flowPeaks</w:t>
      </w:r>
      <w:proofErr w:type="spellEnd"/>
      <w:r>
        <w:t xml:space="preserve"> package that implements </w:t>
      </w:r>
      <w:r w:rsidR="00863AA2">
        <w:t xml:space="preserve">an unsupervised flow cytometry clustering algorithm </w:t>
      </w:r>
      <w:r w:rsidR="00863AA2">
        <w:fldChar w:fldCharType="begin" w:fldLock="1"/>
      </w:r>
      <w:r w:rsidR="00863AA2">
        <w:instrText>ADDIN CSL_CITATION { "citationItems" : [ { "id" : "ITEM-1", "itemData" : { "DOI" : "10.1093/bioinformatics/bts300", "ISSN" : "1367-4803", "PMID" : "22595209", "abstract" : "MOTIVATION: For flow cytometry data, there are two common approaches to the unsupervised clustering problem: one is based on the finite mixture model and the other on spatial exploration of the histograms. The former is computationally slow and has difficulty to identify clusters of irregular shapes. The latter approach cannot be applied directly to high-dimensional data as the computational time and memory become unmanageable and the estimated histogram is unreliable. An algorithm without these two problems would be very useful.\\n\\nRESULTS: In this article, we combine ideas from the finite mixture model and histogram spatial exploration. This new algorithm, which we call flowPeaks, can be applied directly to high-dimensional data and identify irregular shape clusters. The algorithm first uses K-means algorithm with a large K to partition the cell population into many small clusters. These partitioned data allow the generation of a smoothed density function using the finite mixture model. All local peaks are exhaustively searched by exploring the density function and the cells are clustered by the associated local peak. The algorithm flowPeaks is automatic, fast and reliable and robust to cluster shape and outliers. This algorithm has been applied to flow cytometry data and it has been compared with state of the art algorithms, including Misty Mountain, FLOCK, flowMeans, flowMerge and FLAME.\\n\\nAVAILABILITY: The R package flowPeaks is available at https://github.com/yongchao/flowPeaks.\\n\\nCONTACT: yongchao.ge@mssm.edu\\n\\nSUPPLEMENTARY INFORMATION: Supplementary data are available at Bioinformatics online.", "author" : [ { "dropping-particle" : "", "family" : "Ge", "given" : "Yongchao", "non-dropping-particle" : "", "parse-names" : false, "suffix" : "" }, { "dropping-particle" : "", "family" : "Sealfon", "given" : "Stuart C.", "non-dropping-particle" : "", "parse-names" : false, "suffix" : "" } ], "container-title" : "Bioinformatics", "id" : "ITEM-1", "issue" : "15", "issued" : { "date-parts" : [ [ "2012", "8", "1" ] ] }, "page" : "2052-2058", "title" : "flowPeaks: a fast unsupervised clustering for flow cytometry data via K-means and density peak finding", "type" : "article-journal", "volume" : "28" }, "uris" : [ "http://www.mendeley.com/documents/?uuid=80386fca-b3cd-4e57-8e3a-21461b2739a7" ] } ], "mendeley" : { "formattedCitation" : "(Ge and Sealfon 2012)", "plainTextFormattedCitation" : "(Ge and Sealfon 2012)", "previouslyFormattedCitation" : "(Ge and Sealfon 2012)" }, "properties" : { "noteIndex" : 0 }, "schema" : "https://github.com/citation-style-language/schema/raw/master/csl-citation.json" }</w:instrText>
      </w:r>
      <w:r w:rsidR="00863AA2">
        <w:fldChar w:fldCharType="separate"/>
      </w:r>
      <w:r w:rsidR="00863AA2" w:rsidRPr="00E90C5B">
        <w:rPr>
          <w:noProof/>
        </w:rPr>
        <w:t>(Ge and Sealfon 2012)</w:t>
      </w:r>
      <w:r w:rsidR="00863AA2">
        <w:fldChar w:fldCharType="end"/>
      </w:r>
      <w:r w:rsidR="00863AA2">
        <w:t xml:space="preserve">. The analysis scripts are included in supporting files </w:t>
      </w:r>
      <w:r w:rsidR="00863AA2" w:rsidRPr="00E90C5B">
        <w:rPr>
          <w:highlight w:val="yellow"/>
        </w:rPr>
        <w:t>XXX</w:t>
      </w:r>
      <w:r w:rsidR="00863AA2">
        <w:t xml:space="preserve">; data </w:t>
      </w:r>
      <w:r w:rsidR="00863AA2" w:rsidRPr="001F25C6">
        <w:rPr>
          <w:highlight w:val="yellow"/>
        </w:rPr>
        <w:t>will be deposited in Dryad</w:t>
      </w:r>
      <w:r w:rsidR="00863AA2">
        <w:t>.</w:t>
      </w:r>
    </w:p>
    <w:p w14:paraId="01E931EC" w14:textId="7A1C5C03" w:rsidR="00863AA2" w:rsidRPr="00814C7A" w:rsidRDefault="00E90C5B" w:rsidP="00272B10">
      <w:proofErr w:type="gramStart"/>
      <w:r w:rsidRPr="00863AA2">
        <w:rPr>
          <w:b/>
          <w:bCs/>
        </w:rPr>
        <w:t>Data analysis</w:t>
      </w:r>
      <w:r w:rsidR="00863AA2" w:rsidRPr="00863AA2">
        <w:rPr>
          <w:b/>
          <w:bCs/>
        </w:rPr>
        <w:t>.</w:t>
      </w:r>
      <w:proofErr w:type="gramEnd"/>
      <w:r w:rsidR="00863AA2" w:rsidRPr="00863AA2">
        <w:rPr>
          <w:b/>
          <w:bCs/>
        </w:rPr>
        <w:t xml:space="preserve"> </w:t>
      </w:r>
      <w:r w:rsidR="00863AA2">
        <w:t xml:space="preserve">Growth curve data was analyzed using </w:t>
      </w:r>
      <w:r w:rsidR="00863AA2">
        <w:rPr>
          <w:i/>
          <w:iCs/>
        </w:rPr>
        <w:t>Curveball</w:t>
      </w:r>
      <w:r w:rsidR="00863AA2">
        <w:t xml:space="preserve">, an </w:t>
      </w:r>
      <w:r w:rsidR="00272B10">
        <w:t xml:space="preserve">new </w:t>
      </w:r>
      <w:r w:rsidR="00863AA2">
        <w:t xml:space="preserve">open-source Python </w:t>
      </w:r>
      <w:r w:rsidR="00863AA2">
        <w:fldChar w:fldCharType="begin" w:fldLock="1"/>
      </w:r>
      <w:r w:rsidR="00863AA2">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"(Van Rossum and others 2007)", "plainTextFormattedCitation" : "(Van Rossum and others 2007)", "previouslyFormattedCitation" : "(Van Rossum and others 2007)" }, "properties" : { "noteIndex" : 0 }, "schema" : "https://github.com/citation-style-language/schema/raw/master/csl-citation.json" }</w:instrText>
      </w:r>
      <w:r w:rsidR="00863AA2">
        <w:fldChar w:fldCharType="separate"/>
      </w:r>
      <w:r w:rsidR="00863AA2" w:rsidRPr="00E90C5B">
        <w:rPr>
          <w:noProof/>
        </w:rPr>
        <w:t>(Van Rossum and others 2007)</w:t>
      </w:r>
      <w:r w:rsidR="00863AA2">
        <w:fldChar w:fldCharType="end"/>
      </w:r>
      <w:r w:rsidR="00863AA2">
        <w:t xml:space="preserve"> package that implements </w:t>
      </w:r>
      <w:r w:rsidR="00272B10">
        <w:t xml:space="preserve">the </w:t>
      </w:r>
      <w:r w:rsidR="00863AA2">
        <w:t>method</w:t>
      </w:r>
      <w:r w:rsidR="00272B10">
        <w:t xml:space="preserve"> presented in this manuscript</w:t>
      </w:r>
      <w:r w:rsidR="00863AA2">
        <w:t xml:space="preserve">. </w:t>
      </w:r>
      <w:r w:rsidR="00863AA2">
        <w:rPr>
          <w:i/>
          <w:iCs/>
        </w:rPr>
        <w:t>Curveball</w:t>
      </w:r>
      <w:r w:rsidR="00863AA2">
        <w:t xml:space="preserve"> includes</w:t>
      </w:r>
      <w:r w:rsidR="00272B10">
        <w:t xml:space="preserve"> both programmatic interface (API) and </w:t>
      </w:r>
      <w:r w:rsidR="00863AA2">
        <w:t>a command line interface</w:t>
      </w:r>
      <w:r w:rsidR="00272B10">
        <w:t>,</w:t>
      </w:r>
      <w:r w:rsidR="00863AA2">
        <w:t xml:space="preserve"> and therefore doesn't require programming skills. See </w:t>
      </w:r>
      <w:hyperlink r:id="rId15" w:history="1">
        <w:r w:rsidR="00863AA2" w:rsidRPr="006456E2">
          <w:rPr>
            <w:rStyle w:val="Hyperlink"/>
          </w:rPr>
          <w:t>http://curveball.yoavram.com</w:t>
        </w:r>
      </w:hyperlink>
      <w:r w:rsidR="00863AA2">
        <w:t xml:space="preserve"> or </w:t>
      </w:r>
      <w:hyperlink r:id="rId16" w:history="1">
        <w:r w:rsidR="00863AA2" w:rsidRPr="006456E2">
          <w:rPr>
            <w:rStyle w:val="Hyperlink"/>
          </w:rPr>
          <w:t>https://github.com/yoavram/curveball</w:t>
        </w:r>
      </w:hyperlink>
      <w:r w:rsidR="00863AA2">
        <w:t xml:space="preserve"> for an installation guide and a basic tutorial.</w:t>
      </w:r>
    </w:p>
    <w:p w14:paraId="6A2CC9D4" w14:textId="004765B3" w:rsidR="00863AA2" w:rsidRDefault="00863AA2" w:rsidP="00052DE4">
      <w:r>
        <w:rPr>
          <w:i/>
          <w:iCs/>
        </w:rPr>
        <w:t>Curveball</w:t>
      </w:r>
      <w:r>
        <w:t xml:space="preserve"> makes use of several python packages: </w:t>
      </w:r>
      <w:proofErr w:type="spellStart"/>
      <w:r>
        <w:t>NumPy</w:t>
      </w:r>
      <w:proofErr w:type="spellEnd"/>
      <w:r>
        <w:t xml:space="preserve"> </w:t>
      </w:r>
      <w:r>
        <w:fldChar w:fldCharType="begin" w:fldLock="1"/>
      </w:r>
      <w:r w:rsidR="00052DE4">
        <w:instrText>ADDIN CSL_CITATION { "citationItems" : [ { "id" : "ITEM-1", "itemData" : { "DOI" : "10.1109/MCSE.2011.37", "ISSN" : "1521-9615", "author" : [ { "dropping-particle" : "", "family" : "Walt", "given" : "Ste\u0301fan", "non-dropping-particle" : "van der", "parse-names" : false, "suffix" : "" }, { "dropping-particle" : "", "family" : "Colbert", "given" : "S Chris", "non-dropping-particle" : "", "parse-names" : false, "suffix" : "" }, { "dropping-particle" : "", "family" : "Varoquaux", "given" : "Gae\u0308l", "non-dropping-particle" : "", "parse-names" : false, "suffix" : "" } ], "container-title" : "Computing in Science &amp; Engineering", "id" : "ITEM-1", "issue" : "2", "issued" : { "date-parts" : [ [ "2011", "3" ] ] }, "page" : "22-30", "title" : "The NumPy Array: A Structure for Efficient Numerical Computation", "type" : "article-journal", "volume" : "13" }, "uris" : [ "http://www.mendeley.com/documents/?uuid=26c85fd4-15f3-4014-8bc9-658dc2aa7527" ] } ], "mendeley" : { "formattedCitation" : "(van der Walt, Colbert, and Varoquaux 2011)", "plainTextFormattedCitation" : "(van der Walt, Colbert, and Varoquaux 2011)", "previouslyFormattedCitation" : "(Ste\u0301fan van der Walt, Colbert, and Varoquaux 2011)" }, "properties" : { "noteIndex" : 0 }, "schema" : "https://github.com/citation-style-language/schema/raw/master/csl-citation.json" }</w:instrText>
      </w:r>
      <w:r>
        <w:fldChar w:fldCharType="separate"/>
      </w:r>
      <w:r w:rsidR="00052DE4" w:rsidRPr="00052DE4">
        <w:rPr>
          <w:noProof/>
        </w:rPr>
        <w:t>(van der Walt, Colbert, and Varoquaux 2011)</w:t>
      </w:r>
      <w:r>
        <w:fldChar w:fldCharType="end"/>
      </w:r>
      <w:r>
        <w:t xml:space="preserve">, </w:t>
      </w:r>
      <w:proofErr w:type="spellStart"/>
      <w:r>
        <w:t>SciPy</w:t>
      </w:r>
      <w:proofErr w:type="spellEnd"/>
      <w:r>
        <w:t xml:space="preserve"> </w:t>
      </w:r>
      <w:r>
        <w:fldChar w:fldCharType="begin" w:fldLock="1"/>
      </w:r>
      <w:r>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"mendeley" : { "formattedCitation" : "(Jones et al. 2001)", "plainTextFormattedCitation" : "(Jones et al. 2001)", "previouslyFormattedCitation" : "(Jones et al. 2001)" }, "properties" : { "noteIndex" : 0 }, "schema" : "https://github.com/citation-style-language/schema/raw/master/csl-citation.json" }</w:instrText>
      </w:r>
      <w:r>
        <w:fldChar w:fldCharType="separate"/>
      </w:r>
      <w:r w:rsidRPr="00E90C5B">
        <w:rPr>
          <w:noProof/>
        </w:rPr>
        <w:t>(Jones et al. 2001)</w:t>
      </w:r>
      <w:r>
        <w:fldChar w:fldCharType="end"/>
      </w:r>
      <w:r>
        <w:t xml:space="preserve">, </w:t>
      </w:r>
      <w:proofErr w:type="spellStart"/>
      <w:r>
        <w:t>Matplotlib</w:t>
      </w:r>
      <w:proofErr w:type="spellEnd"/>
      <w:r>
        <w:t xml:space="preserve"> </w:t>
      </w:r>
      <w:r>
        <w:fldChar w:fldCharType="begin" w:fldLock="1"/>
      </w:r>
      <w:r>
        <w:instrText>ADDIN CSL_CITATION { "citationItems" : [ { "id" : "ITEM-1", "itemData" : { "DOI" : "10.1109/MCSE.2007.55", "ISSN" : "1521-9615", "author" : [ { "dropping-particle" : "", "family" : "Hunter", "given" : "John D.", "non-dropping-particle" : "", "parse-names" : false, "suffix" : "" } ], "container-title" : "Computing in Science &amp; Engineering", "id" : "ITEM-1", "issue" : "3", "issued" : { "date-parts" : [ [ "2007" ] ] }, "page" : "90-95", "title" : "Matplotlib: A 2D Graphics Environment", "type" : "article-journal", "volume" : "9" }, "uris" : [ "http://www.mendeley.com/documents/?uuid=b3bda753-179e-4938-81cb-e7ad511261b7" ] } ], "mendeley" : { "formattedCitation" : "(Hunter 2007)", "plainTextFormattedCitation" : "(Hunter 2007)", "previouslyFormattedCitation" : "(Hunter 2007)" }, "properties" : { "noteIndex" : 0 }, "schema" : "https://github.com/citation-style-language/schema/raw/master/csl-citation.json" }</w:instrText>
      </w:r>
      <w:r>
        <w:fldChar w:fldCharType="separate"/>
      </w:r>
      <w:r w:rsidRPr="00E90C5B">
        <w:rPr>
          <w:noProof/>
        </w:rPr>
        <w:t>(Hunter 2007)</w:t>
      </w:r>
      <w:r>
        <w:fldChar w:fldCharType="end"/>
      </w:r>
      <w:r>
        <w:t xml:space="preserve">, Pandas </w:t>
      </w:r>
      <w:r>
        <w:fldChar w:fldCharType="begin" w:fldLock="1"/>
      </w:r>
      <w:r>
        <w:instrText>ADDIN CSL_CITATION { "citationItems" : [ { "id" : "ITEM-1", "itemData" : { "author" : [ { "dropping-particle" : "", "family" : "McKinney", "given" : "Wes", "non-dropping-particle" : "", "parse-names" : false, "suffix" : "" } ], "container-title" : "Proceedings of the 9th Python in Science Conference", "editor" : [ { "dropping-particle" : "", "family" : "Walt", "given" : "St\u00e9fan", "non-dropping-particle" : "van der", "parse-names" : false, "suffix" : "" }, { "dropping-particle" : "", "family" : "Millman", "given" : "Jarrod", "non-dropping-particle" : "", "parse-names" : false, "suffix" : "" } ], "id" : "ITEM-1", "issued" : { "date-parts" : [ [ "2010" ] ] }, "page" : "51-56", "title" : "Data Structures for Statistical Computing in Python", "type" : "paper-conference" }, "uris" : [ "http://www.mendeley.com/documents/?uuid=d90e56d0-e14a-4bb9-80b8-32e8c01e389f" ] } ], "mendeley" : { "formattedCitation" : "(McKinney 2010)", "plainTextFormattedCitation" : "(McKinney 2010)", "previouslyFormattedCitation" : "(McKinney 2010)" }, "properties" : { "noteIndex" : 0 }, "schema" : "https://github.com/citation-style-language/schema/raw/master/csl-citation.json" }</w:instrText>
      </w:r>
      <w:r>
        <w:fldChar w:fldCharType="separate"/>
      </w:r>
      <w:r w:rsidRPr="00814C7A">
        <w:rPr>
          <w:noProof/>
        </w:rPr>
        <w:t>(McKinney 2010)</w:t>
      </w:r>
      <w:r>
        <w:fldChar w:fldCharType="end"/>
      </w:r>
      <w:r>
        <w:t xml:space="preserve">, </w:t>
      </w:r>
      <w:proofErr w:type="spellStart"/>
      <w:r>
        <w:t>Seaborn</w:t>
      </w:r>
      <w:proofErr w:type="spellEnd"/>
      <w:r>
        <w:t xml:space="preserve"> </w:t>
      </w:r>
      <w:r>
        <w:fldChar w:fldCharType="begin" w:fldLock="1"/>
      </w:r>
      <w:r>
        <w:instrText>ADDIN CSL_CITATION { "citationItems" : [ { "id" : "ITEM-1", "itemData" : { "DOI" : "10.5281/zenodo.19108", "author" : [ { "dropping-particle" : "", "family" : "Waskom", "given" : "Michael", "non-dropping-particle" : "", "parse-names" : false, "suffix" : "" }, { "dropping-particle" : "", "family" : "Botvinnik", "given" : "Olga", "non-dropping-particle" : "", "parse-names" : false, "suffix" : "" }, { "dropping-particle" : "", "family" : "Hobson", "given" : "Paul", "non-dropping-particle" : "", "parse-names" : false, "suffix" : "" }, { "dropping-particle" : "", "family" : "Warmenhoven", "given" : "Jordi", "non-dropping-particle" : "", "parse-names" : false, "suffix" : "" }, { "dropping-particle" : "", "family" : "Cole", "given" : "John B", "non-dropping-particle" : "", "parse-names" : false, "suffix" : "" }, { "dropping-particle" : "", "family" : "Halchenko", "given" : "Yaroslav", "non-dropping-particle" : "", "parse-names" : false, "suffix" : "" }, { "dropping-particle" : "", "family" : "Vanderplas", "given" : "Jake", "non-dropping-particle" : "", "parse-names" : false, "suffix" : "" }, { "dropping-particle" : "", "family" : "Hoyer", "given" : "Stephan", "non-dropping-particle" : "", "parse-names" : false, "suffix" : "" }, { "dropping-particle" : "", "family" : "Villalba", "given" : "Santi", "non-dropping-particle" : "", "parse-names" : false, "suffix" : "" }, { "dropping-particle" : "", "family" : "Quintero", "given" : "Eric", "non-dropping-particle" : "", "parse-names" : false, "suffix" : "" }, { "dropping-particle" : "", "family" : "Miles", "given" : "Alistair", "non-dropping-particle" : "", "parse-names" : false, "suffix" : "" }, { "dropping-particle" : "", "family" : "Augspurger", "given" : "Tom", "non-dropping-particle" : "", "parse-names" : false, "suffix" : "" }, { "dropping-particle" : "", "family" : "Yarkoni", "given" : "Tal", "non-dropping-particle" : "", "parse-names" : false, "suffix" : "" }, { "dropping-particle" : "", "family" : "Evans", "given" : "Constantine", "non-dropping-particle" : "", "parse-names" : false, "suffix" : "" }, { "dropping-particle" : "", "family" : "Wehner", "given" : "Daniel", "non-dropping-particle" : "", "parse-names" : false, "suffix" : "" }, { "dropping-particle" : "", "family" : "Rocher", "given" : "Luc", "non-dropping-particle" : "", "parse-names" : false, "suffix" : "" }, { "dropping-particle" : "", "family" : "Megies", "given" : "Tobias", "non-dropping-particle" : "", "parse-names" : false, "suffix" : "" }, { "dropping-particle" : "", "family" : "Coelho", "given" : "Luis Pedro", "non-dropping-particle" : "", "parse-names" : false, "suffix" : "" }, { "dropping-particle" : "", "family" : "Ziegler", "given" : "Erik", "non-dropping-particle" : "", "parse-names" : false, "suffix" : "" }, { "dropping-particle" : "", "family" : "Hoppe", "given" : "Travis", "non-dropping-particle" : "", "parse-names" : false, "suffix" : "" }, { "dropping-particle" : "", "family" : "Seabold", "given" : "Skipper", "non-dropping-particle" : "", "parse-names" : false, "suffix" : "" }, { "dropping-particle" : "", "family" : "Pascual", "given" : "Sergio", "non-dropping-particle" : "", "parse-names" : false, "suffix" : "" }, { "dropping-particle" : "", "family" : "Cloud", "given" : "Phillip", "non-dropping-particle" : "", "parse-names" : false, "suffix" : "" }, { "dropping-particle" : "", "family" : "Koskinen", "given" : "Miikka", "non-dropping-particle" : "", "parse-names" : false, "suffix" : "" }, { "dropping-particle" : "", "family" : "Hausler", "given" : "Chris", "non-dropping-particle" : "", "parse-names" : false, "suffix" : "" }, { "dropping-particle" : "", "family" : "kjemmett", "given" : "", "non-dropping-particle" : "", "parse-names" : false, "suffix" : "" }, { "dropping-particle" : "", "family" : "Milajevs", "given" : "Dmitrijs", "non-dropping-particle" : "", "parse-names" : false, "suffix" : "" }, { "dropping-particle" : "", "family" : "Qalieh", "given" : "Adel", "non-dropping-particle" : "", "parse-names" : false, "suffix" : "" }, { "dropping-particle" : "", "family" : "Allan", "given" : "Dan", "non-dropping-particle" : "", "parse-names" : false, "suffix" : "" }, { "dropping-particle" : "", "family" : "Meyer", "given" : "Kyle", "non-dropping-particle" : "", "parse-names" : false, "suffix" : "" } ], "id" : "ITEM-1", "issued" : { "date-parts" : [ [ "2015" ] ] }, "title" : "seaborn: v0.6.0 (June 2015)", "type" : "article" }, "uris" : [ "http://www.mendeley.com/documents/?uuid=ba8fb41a-a7e1-448e-85ae-2333e9c68df3" ] } ], "mendeley" : { "formattedCitation" : "(Waskom et al. 2015)", "plainTextFormattedCitation" : "(Waskom et al. 2015)", "previouslyFormattedCitation" : "(Waskom et al. 2015)" }, "properties" : { "noteIndex" : 0 }, "schema" : "https://github.com/citation-style-language/schema/raw/master/csl-citation.json" }</w:instrText>
      </w:r>
      <w:r>
        <w:fldChar w:fldCharType="separate"/>
      </w:r>
      <w:r w:rsidRPr="00814C7A">
        <w:rPr>
          <w:noProof/>
        </w:rPr>
        <w:t>(Waskom et al. 2015)</w:t>
      </w:r>
      <w:r>
        <w:fldChar w:fldCharType="end"/>
      </w:r>
      <w:r>
        <w:t xml:space="preserve">, LMFIT </w:t>
      </w:r>
      <w:r>
        <w:fldChar w:fldCharType="begin" w:fldLock="1"/>
      </w:r>
      <w:r>
        <w:instrText>ADDIN CSL_CITATION { "citationItems" : [ { "id" : "ITEM-1",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"ITEM-1", "issued" : { "date-parts" : [ [ "2014", "9", "21" ] ] }, "title" : "LMFIT: Non-Linear Least-Square Minimization and Curve-Fitting for Python", "type" : "article-journal" }, "uris" : [ "http://www.mendeley.com/documents/?uuid=b27e9422-dbf1-4362-9b8b-7ca94863acd6" ] } ], "mendeley" : { "formattedCitation" : "(Newville et al. 2014)", "plainTextFormattedCitation" : "(Newville et al. 2014)", "previouslyFormattedCitation" : "(Newville et al. 2014)" }, "properties" : { "noteIndex" : 0 }, "schema" : "https://github.com/citation-style-language/schema/raw/master/csl-citation.json" }</w:instrText>
      </w:r>
      <w:r>
        <w:fldChar w:fldCharType="separate"/>
      </w:r>
      <w:r w:rsidRPr="00E90C5B">
        <w:rPr>
          <w:noProof/>
        </w:rPr>
        <w:t>(Newville et al. 2014)</w:t>
      </w:r>
      <w:r>
        <w:fldChar w:fldCharType="end"/>
      </w:r>
      <w:r>
        <w:t>,</w:t>
      </w:r>
      <w:r w:rsidR="00052DE4">
        <w:t xml:space="preserve"> </w:t>
      </w:r>
      <w:proofErr w:type="spellStart"/>
      <w:r w:rsidR="00052DE4">
        <w:t>Scikit</w:t>
      </w:r>
      <w:proofErr w:type="spellEnd"/>
      <w:r w:rsidR="00052DE4">
        <w:t xml:space="preserve">-learn </w:t>
      </w:r>
      <w:r w:rsidR="00052DE4">
        <w:fldChar w:fldCharType="begin" w:fldLock="1"/>
      </w:r>
      <w:r w:rsidR="00052DE4">
        <w:instrText>ADDIN CSL_CITATION { "citationItems" : [ { "id" : "ITEM-1", "itemData" : { "author" : [ { "dropping-particle" : "", "family" : "Pedregosa", "given" : "F", "non-dropping-particle" : "", "parse-names" : false, "suffix" : "" }, { "dropping-particle" : "", "family" : "Varoquaux", "given" : "G", "non-dropping-particle" : "", "parse-names" : false, "suffix" : "" }, { "dropping-particle" : "", "family" : "Gramfort", "given" : "A", "non-dropping-particle" : "", "parse-names" : false, "suffix" : "" }, { "dropping-particle" : "", "family" : "Michel", "given" : "V", "non-dropping-particle" : "", "parse-names" : false, "suffix" : "" }, { "dropping-particle" : "", "family" : "Thirion", "given" : "B", "non-dropping-particle" : "", "parse-names" : false, "suffix" : "" }, { "dropping-particle" : "", "family" : "Grisel", "given" : "O", "non-dropping-particle" : "", "parse-names" : false, "suffix" : "" }, { "dropping-particle" : "", "family" : "Blondel", "given" : "M", "non-dropping-particle" : "", "parse-names" : false, "suffix" : "" }, { "dropping-particle" : "", "family" : "Prettenhofer", "given" : "P", "non-dropping-particle" : "", "parse-names" : false, "suffix" : "" }, { "dropping-particle" : "", "family" : "Weiss", "given" : "R", "non-dropping-particle" : "", "parse-names" : false, "suffix" : "" }, { "dropping-particle" : "", "family" : "Dubourg", "given" : "V", "non-dropping-particle" : "", "parse-names" : false, "suffix" : "" }, { "dropping-particle" : "", "family" : "Vanderplas", "given" : "J", "non-dropping-particle" : "", "parse-names" : false, "suffix" : "" }, { "dropping-particle" : "", "family" : "Passos", "given" : "A", "non-dropping-particle" : "", "parse-names" : false, "suffix" : "" }, { "dropping-particle" : "", "family" : "Cournapeau", "given" : "D", "non-dropping-particle" : "", "parse-names" : false, "suffix" : "" }, { "dropping-particle" : "", "family" : "Brucher", "given" : "M", "non-dropping-particle" : "", "parse-names" : false, "suffix" : "" }, { "dropping-particle" : "", "family" : "Perrot", "given" : "M", "non-dropping-particle" : "", "parse-names" : false, "suffix" : "" }, { "dropping-particle" : "", "family" : "Duchesnay", "given" : "E", "non-dropping-particle" : "", "parse-names" : false, "suffix" : "" } ], "container-title" : "Journal of Machine Learning Research", "id" : "ITEM-1", "issued" : { "date-parts" : [ [ "2011" ] ] }, "page" : "2825-2830", "title" : "Scikit-learn: Machine Learning in {P}ython", "type" : "article-journal", "volume" : "12" }, "uris" : [ "http://www.mendeley.com/documents/?uuid=730d133a-5e08-44b4-b222-6114e054ba94" ] } ], "mendeley" : { "formattedCitation" : "(Pedregosa et al. 2011)", "plainTextFormattedCitation" : "(Pedregosa et al. 2011)" }, "properties" : { "noteIndex" : 0 }, "schema" : "https://github.com/citation-style-language/schema/raw/master/csl-citation.json" }</w:instrText>
      </w:r>
      <w:r w:rsidR="00052DE4">
        <w:fldChar w:fldCharType="separate"/>
      </w:r>
      <w:r w:rsidR="00052DE4" w:rsidRPr="00052DE4">
        <w:rPr>
          <w:noProof/>
        </w:rPr>
        <w:t>(Pedregosa et al. 2011)</w:t>
      </w:r>
      <w:r w:rsidR="00052DE4">
        <w:fldChar w:fldCharType="end"/>
      </w:r>
      <w:r w:rsidR="00052DE4">
        <w:t>,</w:t>
      </w:r>
      <w:r>
        <w:t xml:space="preserve"> and </w:t>
      </w:r>
      <w:proofErr w:type="spellStart"/>
      <w:r>
        <w:t>SymPy</w:t>
      </w:r>
      <w:proofErr w:type="spellEnd"/>
      <w:r>
        <w:t xml:space="preserve"> </w:t>
      </w:r>
      <w:r>
        <w:fldChar w:fldCharType="begin" w:fldLock="1"/>
      </w:r>
      <w:r>
        <w:instrText>ADDIN CSL_CITATION { "citationItems" : [ { "id" : "ITEM-1", "itemData" : { "author" : [ { "dropping-particle" : "", "family" : "SymPy Development Team", "given" : "", "non-dropping-particle" : "", "parse-names" : false, "suffix" : "" } ], "id" : "ITEM-1", "issued" : { "date-parts" : [ [ "2014" ] ] }, "title" : "SymPy: Python library for symbolic mathematics", "type" : "article" }, "uris" : [ "http://www.mendeley.com/documents/?uuid=af911149-1f65-4a6c-94a3-b1d8a3f37117" ] } ], "mendeley" : { "formattedCitation" : "(SymPy Development Team 2014)", "plainTextFormattedCitation" : "(SymPy Development Team 2014)", "previouslyFormattedCitation" : "(SymPy Development Team 2014)" }, "properties" : { "noteIndex" : 0 }, "schema" : "https://github.com/citation-style-language/schema/raw/master/csl-citation.json" }</w:instrText>
      </w:r>
      <w:r>
        <w:fldChar w:fldCharType="separate"/>
      </w:r>
      <w:r w:rsidRPr="00E90C5B">
        <w:rPr>
          <w:noProof/>
        </w:rPr>
        <w:t>(SymPy Development Team 2014)</w:t>
      </w:r>
      <w:r>
        <w:fldChar w:fldCharType="end"/>
      </w:r>
      <w:r>
        <w:t xml:space="preserve">. </w:t>
      </w:r>
    </w:p>
    <w:p w14:paraId="5347B278" w14:textId="599C5DF4" w:rsidR="00863AA2" w:rsidRDefault="00272B10" w:rsidP="00EC66C4">
      <w:r>
        <w:rPr>
          <w:b/>
          <w:bCs/>
        </w:rPr>
        <w:t>F</w:t>
      </w:r>
      <w:r w:rsidRPr="00863AA2">
        <w:rPr>
          <w:b/>
          <w:bCs/>
        </w:rPr>
        <w:t xml:space="preserve">igure </w:t>
      </w:r>
      <w:r>
        <w:rPr>
          <w:b/>
          <w:bCs/>
        </w:rPr>
        <w:t>re</w:t>
      </w:r>
      <w:r w:rsidRPr="00863AA2">
        <w:rPr>
          <w:b/>
          <w:bCs/>
        </w:rPr>
        <w:t>production</w:t>
      </w:r>
      <w:r>
        <w:t xml:space="preserve">. </w:t>
      </w:r>
      <w:r w:rsidR="00EC66C4">
        <w:t xml:space="preserve">Data was analysed </w:t>
      </w:r>
      <w:r w:rsidR="00863AA2">
        <w:t>and</w:t>
      </w:r>
      <w:r w:rsidR="00863AA2">
        <w:t xml:space="preserve"> figures</w:t>
      </w:r>
      <w:r w:rsidR="00863AA2">
        <w:t xml:space="preserve"> were produced using a </w:t>
      </w:r>
      <w:proofErr w:type="spellStart"/>
      <w:r w:rsidR="00863AA2">
        <w:t>Jupyter</w:t>
      </w:r>
      <w:proofErr w:type="spellEnd"/>
      <w:r w:rsidR="00863AA2">
        <w:t xml:space="preserve"> notebook </w:t>
      </w:r>
      <w:r w:rsidR="00863AA2">
        <w:fldChar w:fldCharType="begin" w:fldLock="1"/>
      </w:r>
      <w:r w:rsidR="00052DE4">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"formattedCitation" : "(Perez and Granger 2007)", "plainTextFormattedCitation" : "(Perez and Granger 2007)", "previouslyFormattedCitation" : "(Perez and Granger 2007)" }, "properties" : { "noteIndex" : 0 }, "schema" : "https://github.com/citation-style-language/schema/raw/master/csl-citation.json" }</w:instrText>
      </w:r>
      <w:r w:rsidR="00863AA2">
        <w:fldChar w:fldCharType="separate"/>
      </w:r>
      <w:r w:rsidR="00863AA2" w:rsidRPr="00814C7A">
        <w:rPr>
          <w:noProof/>
        </w:rPr>
        <w:t>(Perez and Granger 2007)</w:t>
      </w:r>
      <w:r w:rsidR="00863AA2">
        <w:fldChar w:fldCharType="end"/>
      </w:r>
      <w:r w:rsidR="00863AA2">
        <w:t xml:space="preserve"> available as a supporting file </w:t>
      </w:r>
      <w:r w:rsidR="00863AA2" w:rsidRPr="00814C7A">
        <w:rPr>
          <w:highlight w:val="yellow"/>
        </w:rPr>
        <w:t>XXX</w:t>
      </w:r>
      <w:r w:rsidR="00863AA2">
        <w:t xml:space="preserve"> or at </w:t>
      </w:r>
      <w:hyperlink r:id="rId17" w:history="1">
        <w:r w:rsidR="00863AA2" w:rsidRPr="00733015">
          <w:rPr>
            <w:rStyle w:val="Hyperlink"/>
          </w:rPr>
          <w:t>https://github.com/yoavram/curveball_ms/blob/master/supp.ipynb</w:t>
        </w:r>
      </w:hyperlink>
      <w:r w:rsidR="00863AA2">
        <w:t>.</w:t>
      </w:r>
    </w:p>
    <w:p w14:paraId="701ABB3D" w14:textId="77777777" w:rsidR="009C4366" w:rsidRDefault="009C4366" w:rsidP="00507681">
      <w:pPr>
        <w:pStyle w:val="Heading1"/>
      </w:pPr>
      <w:r>
        <w:t>Acknowledgments</w:t>
      </w:r>
    </w:p>
    <w:p w14:paraId="7423A734" w14:textId="145F7164" w:rsidR="00575946" w:rsidRPr="008436AC" w:rsidRDefault="009C4366" w:rsidP="00F80CD3">
      <w:pPr>
        <w:rPr>
          <w:rFonts w:ascii="Times New Roman" w:eastAsia="Times New Roman" w:hAnsi="Times New Roman" w:cs="Times New Roman"/>
        </w:rPr>
      </w:pPr>
      <w:r w:rsidRPr="009C4366">
        <w:t xml:space="preserve">We thank Y. </w:t>
      </w:r>
      <w:proofErr w:type="spellStart"/>
      <w:r w:rsidRPr="009C4366">
        <w:t>Pilpel</w:t>
      </w:r>
      <w:proofErr w:type="spellEnd"/>
      <w:r w:rsidRPr="009C4366">
        <w:t xml:space="preserve">, D. </w:t>
      </w:r>
      <w:proofErr w:type="spellStart"/>
      <w:r w:rsidRPr="009C4366">
        <w:t>Hizi</w:t>
      </w:r>
      <w:proofErr w:type="spellEnd"/>
      <w:r w:rsidRPr="009C4366">
        <w:t>,</w:t>
      </w:r>
      <w:r w:rsidR="00574E06">
        <w:t xml:space="preserve"> I. Françoise, </w:t>
      </w:r>
      <w:r w:rsidRPr="009C4366">
        <w:t xml:space="preserve">I. </w:t>
      </w:r>
      <w:proofErr w:type="spellStart"/>
      <w:r w:rsidRPr="009C4366">
        <w:t>Frumkin</w:t>
      </w:r>
      <w:proofErr w:type="spellEnd"/>
      <w:r w:rsidRPr="009C4366">
        <w:t xml:space="preserve">, O. </w:t>
      </w:r>
      <w:proofErr w:type="spellStart"/>
      <w:r w:rsidRPr="009C4366">
        <w:t>Dahan</w:t>
      </w:r>
      <w:proofErr w:type="spellEnd"/>
      <w:r w:rsidRPr="009C4366">
        <w:t xml:space="preserve">, </w:t>
      </w:r>
      <w:r>
        <w:t xml:space="preserve">A. </w:t>
      </w:r>
      <w:proofErr w:type="spellStart"/>
      <w:r>
        <w:t>Yona</w:t>
      </w:r>
      <w:proofErr w:type="spellEnd"/>
      <w:r>
        <w:t>,</w:t>
      </w:r>
      <w:r w:rsidR="00363107">
        <w:t xml:space="preserve"> </w:t>
      </w:r>
      <w:r w:rsidR="00574E06">
        <w:t xml:space="preserve">T. </w:t>
      </w:r>
      <w:proofErr w:type="spellStart"/>
      <w:r w:rsidR="00574E06">
        <w:t>Pupko</w:t>
      </w:r>
      <w:proofErr w:type="spellEnd"/>
      <w:r w:rsidR="00574E06">
        <w:t xml:space="preserve">, </w:t>
      </w:r>
      <w:r w:rsidR="005B79A5">
        <w:t xml:space="preserve">A. </w:t>
      </w:r>
      <w:proofErr w:type="spellStart"/>
      <w:r w:rsidR="005B79A5">
        <w:t>Eldar</w:t>
      </w:r>
      <w:proofErr w:type="spellEnd"/>
      <w:r w:rsidR="005B79A5">
        <w:t xml:space="preserve">, </w:t>
      </w:r>
      <w:r w:rsidR="00363107" w:rsidRPr="009C4366">
        <w:t>I. Ben-Zion</w:t>
      </w:r>
      <w:r w:rsidR="00363107">
        <w:t>,</w:t>
      </w:r>
      <w:r>
        <w:t xml:space="preserve"> </w:t>
      </w:r>
      <w:r w:rsidR="004F41E2">
        <w:t xml:space="preserve">E. Even-Tov, </w:t>
      </w:r>
      <w:r w:rsidR="00F80CD3" w:rsidRPr="009C4366">
        <w:t xml:space="preserve">E. Kroll, </w:t>
      </w:r>
      <w:r w:rsidR="009C1B7D">
        <w:t xml:space="preserve">H. </w:t>
      </w:r>
      <w:proofErr w:type="spellStart"/>
      <w:r w:rsidR="009C1B7D">
        <w:t>Acar</w:t>
      </w:r>
      <w:proofErr w:type="spellEnd"/>
      <w:r w:rsidR="009C1B7D">
        <w:t>,</w:t>
      </w:r>
      <w:r w:rsidR="00090EE9">
        <w:t xml:space="preserve"> J. Barrick</w:t>
      </w:r>
      <w:r w:rsidR="00574E06">
        <w:t>,</w:t>
      </w:r>
      <w:r w:rsidR="008F3527">
        <w:t xml:space="preserve"> </w:t>
      </w:r>
      <w:r w:rsidR="00D77AD4">
        <w:t xml:space="preserve">A.C. </w:t>
      </w:r>
      <w:r w:rsidR="00D77AD4" w:rsidRPr="00D77AD4">
        <w:t>Gerstein</w:t>
      </w:r>
      <w:r w:rsidR="00D77AD4">
        <w:t xml:space="preserve">, N. </w:t>
      </w:r>
      <w:proofErr w:type="spellStart"/>
      <w:r w:rsidR="00D77AD4" w:rsidRPr="00D77AD4">
        <w:t>Antonovsky</w:t>
      </w:r>
      <w:proofErr w:type="spellEnd"/>
      <w:r w:rsidR="00D77AD4">
        <w:t>,</w:t>
      </w:r>
      <w:r w:rsidR="009C1B7D">
        <w:t xml:space="preserve"> </w:t>
      </w:r>
      <w:r w:rsidR="00F80CD3">
        <w:t xml:space="preserve">E. Rosenberg, </w:t>
      </w:r>
      <w:r>
        <w:t xml:space="preserve">and J. </w:t>
      </w:r>
      <w:proofErr w:type="spellStart"/>
      <w:r>
        <w:t>Masel</w:t>
      </w:r>
      <w:proofErr w:type="spellEnd"/>
      <w:r>
        <w:t xml:space="preserve"> for helpful discussions</w:t>
      </w:r>
      <w:r w:rsidR="00574E06">
        <w:t xml:space="preserve"> </w:t>
      </w:r>
      <w:r w:rsidR="00D77AD4">
        <w:t xml:space="preserve">and comments, </w:t>
      </w:r>
      <w:r w:rsidR="00574E06">
        <w:t xml:space="preserve">and L. </w:t>
      </w:r>
      <w:proofErr w:type="spellStart"/>
      <w:r w:rsidR="00574E06">
        <w:t>Zelcbuch</w:t>
      </w:r>
      <w:proofErr w:type="spellEnd"/>
      <w:r w:rsidR="00574E06">
        <w:t xml:space="preserve">, </w:t>
      </w:r>
      <w:r w:rsidR="00574E06" w:rsidRPr="00574E06">
        <w:rPr>
          <w:lang w:val="en-GB"/>
        </w:rPr>
        <w:t xml:space="preserve">N. Wertheimer, A. Rosenberg, A. </w:t>
      </w:r>
      <w:proofErr w:type="spellStart"/>
      <w:r w:rsidR="00574E06" w:rsidRPr="00574E06">
        <w:rPr>
          <w:lang w:val="en-GB"/>
        </w:rPr>
        <w:t>Zisman</w:t>
      </w:r>
      <w:proofErr w:type="spellEnd"/>
      <w:r w:rsidR="00574E06" w:rsidRPr="00574E06">
        <w:rPr>
          <w:lang w:val="en-GB"/>
        </w:rPr>
        <w:t xml:space="preserve">, F. Yang, E. </w:t>
      </w:r>
      <w:proofErr w:type="spellStart"/>
      <w:r w:rsidR="00574E06" w:rsidRPr="00574E06">
        <w:rPr>
          <w:lang w:val="en-GB"/>
        </w:rPr>
        <w:t>Shtifman</w:t>
      </w:r>
      <w:proofErr w:type="spellEnd"/>
      <w:r w:rsidR="00574E06" w:rsidRPr="00574E06">
        <w:rPr>
          <w:lang w:val="en-GB"/>
        </w:rPr>
        <w:t xml:space="preserve"> Segal, and R. </w:t>
      </w:r>
      <w:proofErr w:type="spellStart"/>
      <w:r w:rsidR="00574E06" w:rsidRPr="00574E06">
        <w:rPr>
          <w:lang w:val="en-GB"/>
        </w:rPr>
        <w:t>Yaari</w:t>
      </w:r>
      <w:proofErr w:type="spellEnd"/>
      <w:r w:rsidR="00574E06">
        <w:rPr>
          <w:lang w:val="en-GB"/>
        </w:rPr>
        <w:t xml:space="preserve"> for sharing materials and experimental advice</w:t>
      </w:r>
      <w:r>
        <w:t xml:space="preserve">. This </w:t>
      </w:r>
      <w:r w:rsidR="00046A28">
        <w:t>research</w:t>
      </w:r>
      <w:r>
        <w:t xml:space="preserve"> </w:t>
      </w:r>
      <w:r w:rsidR="00046A28">
        <w:t xml:space="preserve">has been supported in part </w:t>
      </w:r>
      <w:r>
        <w:t xml:space="preserve">by the Israel Science Foundation </w:t>
      </w:r>
      <w:r w:rsidR="00046A28" w:rsidRPr="00046A28">
        <w:t xml:space="preserve">1568/13 </w:t>
      </w:r>
      <w:r>
        <w:t>(</w:t>
      </w:r>
      <w:r w:rsidR="009C1B7D">
        <w:t>LH</w:t>
      </w:r>
      <w:r>
        <w:t>)</w:t>
      </w:r>
      <w:r w:rsidR="006F0C9C">
        <w:t xml:space="preserve"> and 340/13 (JB)</w:t>
      </w:r>
      <w:r>
        <w:t>, the Minerva Center for Lab Evolution</w:t>
      </w:r>
      <w:r w:rsidR="009C1B7D">
        <w:t xml:space="preserve"> (LH)</w:t>
      </w:r>
      <w:r>
        <w:t>, Manna Center Program for Food Safety &amp; Security</w:t>
      </w:r>
      <w:r w:rsidR="009C1B7D">
        <w:t xml:space="preserve"> (YR)</w:t>
      </w:r>
      <w:r>
        <w:t>, the Israeli Ministry of Science &amp; Technology</w:t>
      </w:r>
      <w:r w:rsidR="009C1B7D">
        <w:t xml:space="preserve"> (YR)</w:t>
      </w:r>
      <w:r>
        <w:t xml:space="preserve">, </w:t>
      </w:r>
      <w:r w:rsidR="006F0C9C" w:rsidRPr="006F0C9C">
        <w:rPr>
          <w:bCs/>
        </w:rPr>
        <w:t xml:space="preserve">TAU Global Research and Training Fellowship in Medical and Life Science and </w:t>
      </w:r>
      <w:r w:rsidR="008436AC">
        <w:rPr>
          <w:bCs/>
        </w:rPr>
        <w:t>t</w:t>
      </w:r>
      <w:r w:rsidR="006F0C9C" w:rsidRPr="006F0C9C">
        <w:rPr>
          <w:bCs/>
        </w:rPr>
        <w:t>he Naomi Foundation</w:t>
      </w:r>
      <w:r w:rsidR="006F0C9C" w:rsidRPr="006F0C9C">
        <w:t xml:space="preserve"> </w:t>
      </w:r>
      <w:r w:rsidR="00EB198A">
        <w:t xml:space="preserve">(MB), </w:t>
      </w:r>
      <w:r w:rsidR="006F0C9C">
        <w:t xml:space="preserve">the </w:t>
      </w:r>
      <w:r w:rsidR="006F0C9C" w:rsidRPr="006F0C9C">
        <w:t>European Research Council</w:t>
      </w:r>
      <w:r w:rsidR="006F0C9C">
        <w:t xml:space="preserve"> </w:t>
      </w:r>
      <w:r w:rsidR="006F0C9C" w:rsidRPr="006F0C9C">
        <w:t>(FP7/2007-2013)/ERC grant 340087</w:t>
      </w:r>
      <w:r w:rsidR="006F0C9C">
        <w:t xml:space="preserve"> (JB)</w:t>
      </w:r>
      <w:r w:rsidR="006F0C9C" w:rsidRPr="006F0C9C">
        <w:t>.</w:t>
      </w:r>
      <w:r w:rsidR="00575946">
        <w:br w:type="page"/>
      </w:r>
    </w:p>
    <w:p w14:paraId="16D27233" w14:textId="77777777" w:rsidR="00575946" w:rsidRDefault="00575946" w:rsidP="00575946">
      <w:pPr>
        <w:pStyle w:val="Heading1"/>
      </w:pPr>
      <w:r>
        <w:t>Appendices</w:t>
      </w:r>
    </w:p>
    <w:p w14:paraId="392D3E96" w14:textId="4EB0FFA2" w:rsidR="00960D78" w:rsidRDefault="00960D78" w:rsidP="00960D78">
      <w:pPr>
        <w:pStyle w:val="Heading2"/>
      </w:pPr>
      <w:r>
        <w:t>Appendix A: Monoculture model</w:t>
      </w:r>
    </w:p>
    <w:p w14:paraId="17C6D8C3" w14:textId="17CAC8D9" w:rsidR="00960D78" w:rsidRDefault="00960D78" w:rsidP="00960D78">
      <w:r>
        <w:t xml:space="preserve">We derive our growth models from a resource consumption perspective </w:t>
      </w:r>
      <w:r>
        <w:fldChar w:fldCharType="begin" w:fldLock="1"/>
      </w:r>
      <w:r w:rsidR="00052DE4">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"locator" : "365", "uris" : [ "http://www.mendeley.com/documents/?uuid=91ac0d0d-0f84-4010-9875-cd3905074155" ] }, { "id" : "ITEM-2", "itemData" : { "DOI" : "10.1016/S0092-8240(86)90014-5", "ISSN" : "00928240", "author" : [ { "dropping-particle" : "", "family" : "Gopalsamy", "given" : "K", "non-dropping-particle" : "", "parse-names" : false, "suffix" : "" } ], "container-title" : "Bulletin of Mathematical Biology", "id" : "ITEM-2", "issue" : "5-6", "issued" : { "date-parts" : [ [ "1986" ] ] }, "page" : "681-699", "title" : "Convergence in a resource-based competition system", "type" : "article-journal", "volume" : "48" }, "uris" : [ "http://www.mendeley.com/documents/?uuid=7f983b80-9c38-49db-898a-8e01013157f8" ] } ], "mendeley" : { "formattedCitation" : "(Otto and Day 2007, 365; Gopalsamy 1986)", "plainTextFormattedCitation" : "(Otto and Day 2007, 365; Gopalsamy 1986)", "previouslyFormattedCitation" : "(Otto and Day 2007, 365; GOPALSAMY 1986)" }, "properties" : { "noteIndex" : 0 }, "schema" : "https://github.com/citation-style-language/schema/raw/master/csl-citation.json" }</w:instrText>
      </w:r>
      <w:r>
        <w:fldChar w:fldCharType="separate"/>
      </w:r>
      <w:r w:rsidR="00052DE4" w:rsidRPr="00052DE4">
        <w:rPr>
          <w:noProof/>
        </w:rPr>
        <w:t>(Otto and Day 2007, 365; Gopalsamy 1986)</w:t>
      </w:r>
      <w:r>
        <w:fldChar w:fldCharType="end"/>
      </w:r>
      <w:r>
        <w:t xml:space="preserve">.  Denote by </w:t>
      </w:r>
      <m:oMath>
        <m:r>
          <w:rPr>
            <w:rFonts w:ascii="Cambria Math" w:hAnsi="Cambria Math"/>
          </w:rPr>
          <m:t>R</m:t>
        </m:r>
      </m:oMath>
      <w:r>
        <w:t xml:space="preserve"> the density of a limiting resource and by </w:t>
      </w:r>
      <m:oMath>
        <m:r>
          <w:rPr>
            <w:rFonts w:ascii="Cambria Math" w:hAnsi="Cambria Math"/>
          </w:rPr>
          <m:t>N</m:t>
        </m:r>
      </m:oMath>
      <w:r>
        <w:t xml:space="preserve"> the dens</w:t>
      </w:r>
      <w:proofErr w:type="spellStart"/>
      <w:r>
        <w:t>ity</w:t>
      </w:r>
      <w:proofErr w:type="spellEnd"/>
      <w:r>
        <w:t xml:space="preserve"> of the population cells, both in total mass per unit of volume. Because cells intake resources via their surface, we denote </w:t>
      </w:r>
      <m:oMath>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ν</m:t>
            </m:r>
          </m:sup>
        </m:sSup>
      </m:oMath>
      <w:r>
        <w:t xml:space="preserve"> to be the total surface of the cells, in total area per unit of volume. The parameter </w:t>
      </w:r>
      <m:oMath>
        <m:r>
          <w:rPr>
            <w:rFonts w:ascii="Cambria Math" w:hAnsi="Cambria Math"/>
          </w:rPr>
          <m:t>ν</m:t>
        </m:r>
      </m:oMath>
      <w:r>
        <w:t xml:space="preserve"> can be considered the surface</w:t>
      </w:r>
      <w:proofErr w:type="gramStart"/>
      <w:r>
        <w:t>:mass</w:t>
      </w:r>
      <w:proofErr w:type="gramEnd"/>
      <w:r>
        <w:t xml:space="preserve"> ratio for all cells; for a single, spheroid cell, this would be 2/3 </w:t>
      </w:r>
      <w:r w:rsidRPr="00F1445E">
        <w:rPr>
          <w:highlight w:val="yellow"/>
        </w:rPr>
        <w:t>[?]</w:t>
      </w:r>
      <w:r>
        <w:t>.</w:t>
      </w:r>
    </w:p>
    <w:p w14:paraId="42766344" w14:textId="77777777" w:rsidR="00960D78" w:rsidRDefault="00960D78" w:rsidP="00960D78">
      <w:r>
        <w:t xml:space="preserve">We assume that the culture is well-mixed and homogeneous and that the resource is depleted by the growing population without being replenished. Therefore, the intake of resources occurs when cells meet resource via mass action law with resource intake </w:t>
      </w:r>
      <w:proofErr w:type="gramStart"/>
      <w:r>
        <w:t xml:space="preserve">rate </w:t>
      </w:r>
      <w:proofErr w:type="gramEnd"/>
      <m:oMath>
        <m:r>
          <w:rPr>
            <w:rFonts w:ascii="Cambria Math" w:hAnsi="Cambria Math"/>
          </w:rPr>
          <m:t>h</m:t>
        </m:r>
      </m:oMath>
      <w:r>
        <w:t xml:space="preserve">. Once inside the cell, resources are converted to cell material at a </w:t>
      </w:r>
      <w:proofErr w:type="gramStart"/>
      <w:r>
        <w:t xml:space="preserve">rate </w:t>
      </w:r>
      <w:proofErr w:type="gramEnd"/>
      <m:oMath>
        <m:r>
          <w:rPr>
            <w:rFonts w:ascii="Cambria Math" w:hAnsi="Cambria Math" w:cs="Arial"/>
          </w:rPr>
          <m:t>μ</m:t>
        </m:r>
      </m:oMath>
      <w:r>
        <w:t>. The differential equations describing this process are:</w:t>
      </w:r>
      <w:r w:rsidRPr="00D42D4C">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960D78" w14:paraId="2118A761" w14:textId="77777777" w:rsidTr="008436AC">
        <w:tc>
          <w:tcPr>
            <w:tcW w:w="1242" w:type="dxa"/>
            <w:vAlign w:val="center"/>
          </w:tcPr>
          <w:p w14:paraId="52CB0AE8" w14:textId="77777777" w:rsidR="00960D78" w:rsidRDefault="00960D78" w:rsidP="008436AC">
            <w:pPr>
              <w:jc w:val="right"/>
            </w:pPr>
          </w:p>
        </w:tc>
        <w:tc>
          <w:tcPr>
            <w:tcW w:w="5812" w:type="dxa"/>
            <w:vAlign w:val="center"/>
          </w:tcPr>
          <w:p w14:paraId="526E5300" w14:textId="77777777" w:rsidR="00960D78" w:rsidRDefault="00D042EE" w:rsidP="008436AC">
            <w:pPr>
              <w:jc w:val="cente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=-hRY</m:t>
                        </m:r>
                      </m:e>
                      <m:e>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=μhRY</m:t>
                        </m:r>
                      </m:e>
                    </m:eqArr>
                  </m:e>
                </m:d>
              </m:oMath>
            </m:oMathPara>
          </w:p>
        </w:tc>
        <w:tc>
          <w:tcPr>
            <w:tcW w:w="1468" w:type="dxa"/>
            <w:vAlign w:val="center"/>
          </w:tcPr>
          <w:p w14:paraId="6D731657" w14:textId="77777777" w:rsidR="00960D78" w:rsidRDefault="00960D78" w:rsidP="008436AC">
            <w:pPr>
              <w:jc w:val="right"/>
            </w:pPr>
            <w:r>
              <w:t>[A1a]</w:t>
            </w:r>
          </w:p>
          <w:p w14:paraId="732D04A8" w14:textId="77777777" w:rsidR="00960D78" w:rsidRDefault="00960D78" w:rsidP="008436AC">
            <w:pPr>
              <w:jc w:val="right"/>
            </w:pPr>
            <w:r>
              <w:t>[A1b]</w:t>
            </w:r>
          </w:p>
        </w:tc>
      </w:tr>
    </w:tbl>
    <w:p w14:paraId="49DA01F0" w14:textId="77777777" w:rsidR="00960D78" w:rsidRDefault="00960D78" w:rsidP="00960D78">
      <w:pPr>
        <w:ind w:firstLine="0"/>
      </w:pPr>
      <w:r>
        <w:t>However, we are interested in cell mass, rather than cell surface:</w:t>
      </w:r>
    </w:p>
    <w:p w14:paraId="4B893BE3" w14:textId="77777777" w:rsidR="00960D78" w:rsidRPr="00F1445E" w:rsidRDefault="00960D78" w:rsidP="00960D78">
      <m:oMathPara>
        <m:oMathParaPr>
          <m:jc m:val="center"/>
        </m:oMathParaPr>
        <m:oMath>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m:t>
          </m:r>
        </m:oMath>
      </m:oMathPara>
    </w:p>
    <w:p w14:paraId="6ACB5C4A" w14:textId="77777777" w:rsidR="00960D78" w:rsidRPr="00F1445E" w:rsidRDefault="00D042EE" w:rsidP="00960D78">
      <w:pPr>
        <w:rPr>
          <w:rFonts w:asciiTheme="minorHAnsi" w:hAnsiTheme="minorHAnsi" w:cstheme="minorBidi"/>
        </w:rPr>
      </w:pPr>
      <m:oMathPara>
        <m:oMathParaPr>
          <m:jc m:val="center"/>
        </m:oMathParaPr>
        <m:oMath>
          <m:f>
            <m:fPr>
              <m:ctrlPr>
                <w:rPr>
                  <w:rFonts w:ascii="Cambria Math" w:hAnsi="Cambria Math"/>
                  <w:i/>
                </w:rPr>
              </m:ctrlPr>
            </m:fPr>
            <m:num>
              <m:r>
                <w:rPr>
                  <w:rFonts w:ascii="Cambria Math" w:hAnsi="Cambria Math"/>
                </w:rPr>
                <m:t>dY</m:t>
              </m:r>
            </m:num>
            <m:den>
              <m:r>
                <w:rPr>
                  <w:rFonts w:ascii="Cambria Math" w:hAnsi="Cambria Math"/>
                </w:rPr>
                <m:t>dy</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oMath>
      </m:oMathPara>
    </w:p>
    <w:p w14:paraId="16A06125" w14:textId="77777777" w:rsidR="00960D78" w:rsidRPr="00F1445E" w:rsidRDefault="00D042EE" w:rsidP="00960D78">
      <w:pPr>
        <w:rPr>
          <w:rFonts w:asciiTheme="minorHAnsi" w:hAnsiTheme="minorHAnsi" w:cstheme="minorBidi"/>
        </w:rPr>
      </w:pPr>
      <m:oMathPara>
        <m:oMathParaPr>
          <m:jc m:val="center"/>
        </m:oMathPara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μhR</m:t>
              </m:r>
              <m:sSup>
                <m:sSupPr>
                  <m:ctrlPr>
                    <w:rPr>
                      <w:rFonts w:ascii="Cambria Math" w:hAnsi="Cambria Math"/>
                      <w:i/>
                    </w:rPr>
                  </m:ctrlPr>
                </m:sSupPr>
                <m:e>
                  <m:r>
                    <w:rPr>
                      <w:rFonts w:ascii="Cambria Math" w:hAnsi="Cambria Math"/>
                    </w:rPr>
                    <m:t>N</m:t>
                  </m:r>
                </m:e>
                <m:sup>
                  <m:r>
                    <w:rPr>
                      <w:rFonts w:ascii="Cambria Math" w:hAnsi="Cambria Math"/>
                    </w:rPr>
                    <m:t>ν</m:t>
                  </m:r>
                </m:sup>
              </m:sSup>
            </m:num>
            <m:den>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den>
          </m:f>
          <m:r>
            <w:rPr>
              <w:rFonts w:ascii="Cambria Math" w:hAnsi="Cambria Math"/>
            </w:rPr>
            <m:t>⇒</m:t>
          </m:r>
        </m:oMath>
      </m:oMathPara>
    </w:p>
    <w:p w14:paraId="21BB8F40" w14:textId="77777777" w:rsidR="00960D78" w:rsidRPr="00F1445E" w:rsidRDefault="00D042EE" w:rsidP="00960D78">
      <w:pPr>
        <w:jc w:val="center"/>
        <w:rPr>
          <w:rFonts w:asciiTheme="minorHAnsi" w:hAnsiTheme="minorHAnsi" w:cstheme="minorBidi"/>
        </w:rP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ν</m:t>
            </m:r>
          </m:den>
        </m:f>
        <m:r>
          <w:rPr>
            <w:rFonts w:ascii="Cambria Math" w:hAnsi="Cambria Math"/>
          </w:rPr>
          <m:t>hRN</m:t>
        </m:r>
      </m:oMath>
      <w:r w:rsidR="00960D78">
        <w:rPr>
          <w:rFonts w:asciiTheme="minorHAnsi" w:hAnsiTheme="minorHAnsi" w:cstheme="minorBidi"/>
        </w:rPr>
        <w:t>,</w:t>
      </w:r>
    </w:p>
    <w:p w14:paraId="337356AE" w14:textId="77777777" w:rsidR="00960D78" w:rsidRDefault="00960D78" w:rsidP="00960D78">
      <w:proofErr w:type="gramStart"/>
      <w:r>
        <w:t>which</w:t>
      </w:r>
      <w:proofErr w:type="gramEnd"/>
      <w:r>
        <w:t xml:space="preserve"> gives us the equivalent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960D78" w14:paraId="7BD499E9" w14:textId="77777777" w:rsidTr="008436AC">
        <w:tc>
          <w:tcPr>
            <w:tcW w:w="1242" w:type="dxa"/>
            <w:vAlign w:val="center"/>
          </w:tcPr>
          <w:p w14:paraId="6AD10F2D" w14:textId="77777777" w:rsidR="00960D78" w:rsidRDefault="00960D78" w:rsidP="008436AC">
            <w:pPr>
              <w:jc w:val="right"/>
            </w:pPr>
          </w:p>
        </w:tc>
        <w:tc>
          <w:tcPr>
            <w:tcW w:w="5812" w:type="dxa"/>
            <w:vAlign w:val="center"/>
          </w:tcPr>
          <w:p w14:paraId="71401380" w14:textId="77777777" w:rsidR="00960D78" w:rsidRDefault="00D042EE" w:rsidP="008436AC">
            <w:pPr>
              <w:jc w:val="center"/>
            </w:pP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m:t>
                      </m:r>
                      <m:sSup>
                        <m:sSupPr>
                          <m:ctrlPr>
                            <w:rPr>
                              <w:rFonts w:ascii="Cambria Math" w:hAnsi="Cambria Math"/>
                              <w:i/>
                            </w:rPr>
                          </m:ctrlPr>
                        </m:sSupPr>
                        <m:e>
                          <m:r>
                            <w:rPr>
                              <w:rFonts w:ascii="Cambria Math" w:hAnsi="Cambria Math"/>
                            </w:rPr>
                            <m:t>N</m:t>
                          </m:r>
                        </m:e>
                        <m:sup>
                          <m:r>
                            <w:rPr>
                              <w:rFonts w:ascii="Cambria Math" w:hAnsi="Cambria Math"/>
                            </w:rPr>
                            <m:t>ν</m:t>
                          </m:r>
                        </m:sup>
                      </m:sSup>
                    </m:e>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=ϵhRN</m:t>
                      </m:r>
                    </m:e>
                  </m:eqArr>
                </m:e>
              </m:d>
            </m:oMath>
            <w:r w:rsidR="00960D78">
              <w:t>,</w:t>
            </w:r>
          </w:p>
        </w:tc>
        <w:tc>
          <w:tcPr>
            <w:tcW w:w="1468" w:type="dxa"/>
            <w:vAlign w:val="center"/>
          </w:tcPr>
          <w:p w14:paraId="423913C1" w14:textId="77777777" w:rsidR="00960D78" w:rsidRDefault="00960D78" w:rsidP="008436AC">
            <w:pPr>
              <w:jc w:val="right"/>
            </w:pPr>
            <w:r>
              <w:t>[A2a]</w:t>
            </w:r>
          </w:p>
          <w:p w14:paraId="22B7AF81" w14:textId="77777777" w:rsidR="00960D78" w:rsidRDefault="00960D78" w:rsidP="008436AC">
            <w:pPr>
              <w:jc w:val="right"/>
            </w:pPr>
            <w:r>
              <w:t>[A2b]</w:t>
            </w:r>
          </w:p>
        </w:tc>
      </w:tr>
    </w:tbl>
    <w:p w14:paraId="26218CBD" w14:textId="77777777" w:rsidR="00960D78" w:rsidRDefault="00960D78" w:rsidP="00960D78">
      <w:proofErr w:type="gramStart"/>
      <w:r>
        <w:t xml:space="preserve">with </w:t>
      </w:r>
      <w:proofErr w:type="gramEnd"/>
      <m:oMath>
        <m:r>
          <w:rPr>
            <w:rFonts w:ascii="Cambria Math" w:hAnsi="Cambria Math"/>
          </w:rPr>
          <m:t>ϵ=</m:t>
        </m:r>
        <m:f>
          <m:fPr>
            <m:ctrlPr>
              <w:rPr>
                <w:rFonts w:ascii="Cambria Math" w:hAnsi="Cambria Math"/>
                <w:i/>
              </w:rPr>
            </m:ctrlPr>
          </m:fPr>
          <m:num>
            <m:r>
              <w:rPr>
                <w:rFonts w:ascii="Cambria Math" w:hAnsi="Cambria Math"/>
              </w:rPr>
              <m:t>μ</m:t>
            </m:r>
          </m:num>
          <m:den>
            <m:r>
              <w:rPr>
                <w:rFonts w:ascii="Cambria Math" w:hAnsi="Cambria Math"/>
              </w:rPr>
              <m:t>ν</m:t>
            </m:r>
          </m:den>
        </m:f>
      </m:oMath>
      <w:r>
        <w:t xml:space="preserve">. To solve this system, we use a conservation law approach by setting </w:t>
      </w:r>
      <m:oMath>
        <m:r>
          <w:rPr>
            <w:rFonts w:ascii="Cambria Math" w:hAnsi="Cambria Math"/>
          </w:rPr>
          <m:t>M=μR+Y</m:t>
        </m:r>
      </m:oMath>
      <w:r>
        <w:t xml:space="preserve"> </w:t>
      </w:r>
      <w:r>
        <w:fldChar w:fldCharType="begin" w:fldLock="1"/>
      </w:r>
      <w:r>
        <w:instrText>ADDIN CSL_CITATION { "citationItems" : [ { "id" : "ITEM-1", "itemData" : { "DOI" : "10.1016/S0304-3800(00)00272-6", "ISBN" : "0304-3800", "ISSN" : "03043800", "abstract" : "Based on the law of mass action (and its microscopic foundation) and mass conservation, we present here a method to derive consistent dynamic models for the time evolution of systems with an arbitrary number of species. Equations are derived through a mechanistic description, ensuring that all parameters have ecological meaning. After discussing the biological mechanisms associated to the logistic and Lotka-Volterra equations, we show how to derive general models for trophic chains, including the effects of internal states at fast time scales. We show that conformity with the mass action law leads to different functional forms for the Lotka-Volterra and trophic chain models. We use mass conservation to recover the concept of carrying capacity for an arbitrary food chain.", "author" : [ { "dropping-particle" : "", "family" : "Dilao", "given" : "Rui", "non-dropping-particle" : "", "parse-names" : false, "suffix" : "" }, { "dropping-particle" : "", "family" : "Domingos", "given" : "Tiago", "non-dropping-particle" : "", "parse-names" : false, "suffix" : "" } ], "container-title" : "Ecological Modelling", "id" : "ITEM-1", "issue" : "3", "issued" : { "date-parts" : [ [ "1999" ] ] }, "page" : "20", "title" : "A General Approach to the Modelling of Trophic Chains", "type" : "article-journal", "volume" : "132" }, "uris" : [ "http://www.mendeley.com/documents/?uuid=f0ed3bc5-5679-4da3-b7ff-ace6180b730e" ] } ], "mendeley" : { "formattedCitation" : "(Dilao and Domingos 1999)", "plainTextFormattedCitation" : "(Dilao and Domingos 1999)", "previouslyFormattedCitation" : "(Dilao and Domingos 1999)" }, "properties" : { "noteIndex" : 0 }, "schema" : "https://github.com/citation-style-language/schema/raw/master/csl-citation.json" }</w:instrText>
      </w:r>
      <w:r>
        <w:fldChar w:fldCharType="separate"/>
      </w:r>
      <w:r w:rsidRPr="001779D8">
        <w:rPr>
          <w:noProof/>
        </w:rPr>
        <w:t>(Dilao and Domingos 1999)</w:t>
      </w:r>
      <w:r>
        <w:fldChar w:fldCharType="end"/>
      </w:r>
      <w:r>
        <w:t xml:space="preserve">. We find that </w:t>
      </w:r>
      <w:r>
        <w:rPr>
          <w:i/>
          <w:iCs/>
        </w:rPr>
        <w:t>M</w:t>
      </w:r>
      <w:r>
        <w:t xml:space="preserve"> is constant:</w:t>
      </w:r>
    </w:p>
    <w:p w14:paraId="7020E355" w14:textId="77777777" w:rsidR="00960D78" w:rsidRPr="0001424B" w:rsidRDefault="00D042EE" w:rsidP="00960D78">
      <w:pPr>
        <w:tabs>
          <w:tab w:val="left" w:pos="1803"/>
          <w:tab w:val="center" w:pos="4153"/>
        </w:tabs>
        <w:jc w:val="center"/>
      </w:pPr>
      <m:oMath>
        <m:f>
          <m:fPr>
            <m:ctrlPr>
              <w:rPr>
                <w:rFonts w:ascii="Cambria Math" w:hAnsi="Cambria Math"/>
                <w:i/>
              </w:rPr>
            </m:ctrlPr>
          </m:fPr>
          <m:num>
            <m:r>
              <w:rPr>
                <w:rFonts w:ascii="Cambria Math" w:hAnsi="Cambria Math"/>
              </w:rPr>
              <m:t>dM</m:t>
            </m:r>
          </m:num>
          <m:den>
            <m:r>
              <w:rPr>
                <w:rFonts w:ascii="Cambria Math" w:hAnsi="Cambria Math"/>
              </w:rPr>
              <m:t>dt</m:t>
            </m:r>
          </m:den>
        </m:f>
        <m:r>
          <w:rPr>
            <w:rFonts w:ascii="Cambria Math" w:hAnsi="Cambria Math"/>
          </w:rPr>
          <m:t>=μ</m:t>
        </m:r>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≡0</m:t>
        </m:r>
      </m:oMath>
      <w:r w:rsidR="00960D78">
        <w:t>,</w:t>
      </w:r>
    </w:p>
    <w:p w14:paraId="38BE2851" w14:textId="77777777" w:rsidR="00960D78" w:rsidRDefault="00960D78" w:rsidP="00960D78">
      <w:pPr>
        <w:ind w:firstLine="0"/>
      </w:pPr>
      <w:proofErr w:type="gramStart"/>
      <w:r>
        <w:t>and</w:t>
      </w:r>
      <w:proofErr w:type="gramEnd"/>
      <w:r>
        <w:t xml:space="preserve"> so we can substitute </w:t>
      </w:r>
      <m:oMath>
        <m:r>
          <w:rPr>
            <w:rFonts w:ascii="Cambria Math" w:hAnsi="Cambria Math"/>
          </w:rPr>
          <m:t>μR=M-Y</m:t>
        </m:r>
      </m:oMath>
      <w:r>
        <w:t xml:space="preserve"> in eq. A1b: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14:paraId="6F0D31FB" w14:textId="77777777" w:rsidTr="008436AC">
        <w:tc>
          <w:tcPr>
            <w:tcW w:w="1951" w:type="dxa"/>
            <w:vAlign w:val="center"/>
          </w:tcPr>
          <w:p w14:paraId="721D8F9A" w14:textId="77777777" w:rsidR="00960D78" w:rsidRDefault="00960D78" w:rsidP="008436AC">
            <w:pPr>
              <w:jc w:val="right"/>
            </w:pPr>
          </w:p>
        </w:tc>
        <w:tc>
          <w:tcPr>
            <w:tcW w:w="5103" w:type="dxa"/>
            <w:vAlign w:val="center"/>
          </w:tcPr>
          <w:p w14:paraId="731B0186" w14:textId="77777777" w:rsidR="00960D78" w:rsidRDefault="00D042EE" w:rsidP="008436AC">
            <w:pPr>
              <w:jc w:val="center"/>
            </w:pPr>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=hY</m:t>
              </m:r>
              <m:d>
                <m:dPr>
                  <m:ctrlPr>
                    <w:rPr>
                      <w:rFonts w:ascii="Cambria Math" w:hAnsi="Cambria Math"/>
                      <w:i/>
                    </w:rPr>
                  </m:ctrlPr>
                </m:dPr>
                <m:e>
                  <m:r>
                    <w:rPr>
                      <w:rFonts w:ascii="Cambria Math" w:hAnsi="Cambria Math"/>
                    </w:rPr>
                    <m:t>M-Y</m:t>
                  </m:r>
                </m:e>
              </m:d>
              <m:r>
                <w:rPr>
                  <w:rFonts w:ascii="Cambria Math" w:hAnsi="Cambria Math"/>
                </w:rPr>
                <m:t>=hMY</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M</m:t>
                      </m:r>
                    </m:den>
                  </m:f>
                </m:e>
              </m:d>
            </m:oMath>
            <w:r w:rsidR="00960D78">
              <w:t>.</w:t>
            </w:r>
          </w:p>
        </w:tc>
        <w:tc>
          <w:tcPr>
            <w:tcW w:w="1468" w:type="dxa"/>
            <w:vAlign w:val="center"/>
          </w:tcPr>
          <w:p w14:paraId="6E16782C" w14:textId="77777777" w:rsidR="00960D78" w:rsidRDefault="00960D78" w:rsidP="008436AC">
            <w:pPr>
              <w:jc w:val="right"/>
            </w:pPr>
            <w:r>
              <w:t>[A3]</w:t>
            </w:r>
          </w:p>
        </w:tc>
      </w:tr>
    </w:tbl>
    <w:p w14:paraId="68437014" w14:textId="77777777" w:rsidR="00960D78" w:rsidRDefault="00960D78" w:rsidP="00960D78">
      <w:r>
        <w:t xml:space="preserve">Substituting </w:t>
      </w:r>
      <w:proofErr w:type="gramStart"/>
      <w:r>
        <w:t xml:space="preserve">again </w:t>
      </w:r>
      <w:proofErr w:type="gramEnd"/>
      <m:oMath>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=Y,</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oMath>
      <w:r>
        <w:t xml:space="preserve">, and defining </w:t>
      </w:r>
      <m:oMath>
        <m:r>
          <w:rPr>
            <w:rFonts w:ascii="Cambria Math" w:hAnsi="Cambria Math"/>
          </w:rPr>
          <m:t>K=</m:t>
        </m:r>
        <m:rad>
          <m:radPr>
            <m:ctrlPr>
              <w:rPr>
                <w:rFonts w:ascii="Cambria Math" w:hAnsi="Cambria Math"/>
                <w:i/>
              </w:rPr>
            </m:ctrlPr>
          </m:radPr>
          <m:deg>
            <m:r>
              <w:rPr>
                <w:rFonts w:ascii="Cambria Math" w:hAnsi="Cambria Math"/>
              </w:rPr>
              <m:t>ν</m:t>
            </m:r>
          </m:deg>
          <m:e>
            <m:r>
              <w:rPr>
                <w:rFonts w:ascii="Cambria Math" w:hAnsi="Cambria Math"/>
              </w:rPr>
              <m:t>M</m:t>
            </m:r>
          </m:e>
        </m:rad>
        <m:r>
          <w:rPr>
            <w:rFonts w:ascii="Cambria Math" w:hAnsi="Cambria Math"/>
          </w:rPr>
          <m:t>, r=</m:t>
        </m:r>
        <m:f>
          <m:fPr>
            <m:ctrlPr>
              <w:rPr>
                <w:rFonts w:ascii="Cambria Math" w:hAnsi="Cambria Math"/>
                <w:i/>
              </w:rPr>
            </m:ctrlPr>
          </m:fPr>
          <m:num>
            <m:r>
              <w:rPr>
                <w:rFonts w:ascii="Cambria Math" w:hAnsi="Cambria Math"/>
              </w:rPr>
              <m:t>h</m:t>
            </m:r>
          </m:num>
          <m:den>
            <m:r>
              <w:rPr>
                <w:rFonts w:ascii="Cambria Math" w:hAnsi="Cambria Math"/>
              </w:rPr>
              <m:t>ν</m:t>
            </m:r>
          </m:den>
        </m:f>
        <m:sSup>
          <m:sSupPr>
            <m:ctrlPr>
              <w:rPr>
                <w:rFonts w:ascii="Cambria Math" w:hAnsi="Cambria Math"/>
                <w:i/>
              </w:rPr>
            </m:ctrlPr>
          </m:sSupPr>
          <m:e>
            <m:r>
              <w:rPr>
                <w:rFonts w:ascii="Cambria Math" w:hAnsi="Cambria Math"/>
              </w:rPr>
              <m:t>K</m:t>
            </m:r>
          </m:e>
          <m:sup>
            <m:r>
              <w:rPr>
                <w:rFonts w:ascii="Cambria Math" w:hAnsi="Cambria Math"/>
              </w:rPr>
              <m:t>ν</m:t>
            </m:r>
          </m:sup>
        </m:sSup>
      </m:oMath>
      <w:r>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14:paraId="20183EC5" w14:textId="77777777" w:rsidTr="008436AC">
        <w:tc>
          <w:tcPr>
            <w:tcW w:w="1951" w:type="dxa"/>
            <w:vAlign w:val="center"/>
          </w:tcPr>
          <w:p w14:paraId="7E2F9FE1" w14:textId="77777777" w:rsidR="00960D78" w:rsidRDefault="00960D78" w:rsidP="008436AC">
            <w:pPr>
              <w:jc w:val="right"/>
            </w:pPr>
          </w:p>
        </w:tc>
        <w:tc>
          <w:tcPr>
            <w:tcW w:w="5103" w:type="dxa"/>
            <w:vAlign w:val="center"/>
          </w:tcPr>
          <w:p w14:paraId="04157B2B" w14:textId="77777777" w:rsidR="00960D78" w:rsidRDefault="00D042EE" w:rsidP="008436AC">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960D78">
              <w:t>,</w:t>
            </w:r>
          </w:p>
        </w:tc>
        <w:tc>
          <w:tcPr>
            <w:tcW w:w="1468" w:type="dxa"/>
            <w:vAlign w:val="center"/>
          </w:tcPr>
          <w:p w14:paraId="4722E0D6" w14:textId="77777777" w:rsidR="00960D78" w:rsidRDefault="00960D78" w:rsidP="008436AC">
            <w:pPr>
              <w:jc w:val="right"/>
            </w:pPr>
            <w:r>
              <w:t>[A4]</w:t>
            </w:r>
          </w:p>
        </w:tc>
      </w:tr>
    </w:tbl>
    <w:p w14:paraId="5D2CDAEA" w14:textId="77777777" w:rsidR="00960D78" w:rsidRDefault="00960D78" w:rsidP="00960D78">
      <w:r>
        <w:t xml:space="preserve">which is the Richards differential equation </w:t>
      </w:r>
      <w:r>
        <w:fldChar w:fldCharType="begin" w:fldLock="1"/>
      </w:r>
      <w: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"(Richards 1959)", "plainTextFormattedCitation" : "(Richards 1959)", "previouslyFormattedCitation" : "(Richards 1959)" }, "properties" : { "noteIndex" : 0 }, "schema" : "https://github.com/citation-style-language/schema/raw/master/csl-citation.json" }</w:instrText>
      </w:r>
      <w:r>
        <w:fldChar w:fldCharType="separate"/>
      </w:r>
      <w:r w:rsidRPr="00A37B5D">
        <w:rPr>
          <w:noProof/>
        </w:rPr>
        <w:t>(Richards 1959)</w:t>
      </w:r>
      <w:r>
        <w:fldChar w:fldCharType="end"/>
      </w:r>
      <w:r>
        <w:t xml:space="preserve">, with the maximum population density </w:t>
      </w:r>
      <w:r>
        <w:rPr>
          <w:i/>
          <w:iCs/>
        </w:rPr>
        <w:t>K</w:t>
      </w:r>
      <w:r>
        <w:t xml:space="preserve"> and the specific growth rate in low density</w:t>
      </w:r>
      <m:oMath>
        <m:r>
          <w:rPr>
            <w:rFonts w:ascii="Cambria Math" w:hAnsi="Cambria Math"/>
          </w:rPr>
          <m:t xml:space="preserve"> r</m:t>
        </m:r>
      </m:oMath>
      <w:r>
        <w:t xml:space="preserve">. </w:t>
      </w:r>
    </w:p>
    <w:p w14:paraId="1CD72A90" w14:textId="77777777" w:rsidR="00960D78" w:rsidRDefault="00960D78" w:rsidP="00960D78">
      <w:proofErr w:type="gramStart"/>
      <w:r>
        <w:t>Eq. A4 via eq. A3, which is a logistic equation and therefore has a known solution.</w:t>
      </w:r>
      <w:proofErr w:type="gramEnd"/>
      <w:r>
        <w:t xml:space="preserve"> Setting the initial cell </w:t>
      </w:r>
      <w:proofErr w:type="gramStart"/>
      <w:r>
        <w:t xml:space="preserve">density </w:t>
      </w:r>
      <w:proofErr w:type="gramEnd"/>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t>:</w:t>
      </w:r>
    </w:p>
    <w:p w14:paraId="05888AD7" w14:textId="77777777" w:rsidR="00960D78" w:rsidRDefault="00960D78" w:rsidP="00960D78">
      <w:pPr>
        <w:jc w:val="center"/>
      </w:pP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ν</m:t>
                            </m:r>
                          </m:sup>
                        </m:sSup>
                      </m:e>
                    </m:d>
                    <m:sSup>
                      <m:sSupPr>
                        <m:ctrlPr>
                          <w:rPr>
                            <w:rFonts w:ascii="Cambria Math" w:hAnsi="Cambria Math"/>
                            <w:i/>
                          </w:rPr>
                        </m:ctrlPr>
                      </m:sSupPr>
                      <m:e>
                        <m:r>
                          <w:rPr>
                            <w:rFonts w:ascii="Cambria Math" w:hAnsi="Cambria Math"/>
                          </w:rPr>
                          <m:t>e</m:t>
                        </m:r>
                      </m:e>
                      <m:sup>
                        <m:r>
                          <w:rPr>
                            <w:rFonts w:ascii="Cambria Math" w:hAnsi="Cambria Math"/>
                          </w:rPr>
                          <m:t>-rνt</m:t>
                        </m:r>
                      </m:sup>
                    </m:sSup>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r>
          <w:rPr>
            <w:rFonts w:ascii="Cambria Math" w:hAnsi="Cambria Math"/>
          </w:rPr>
          <m:t xml:space="preserve"> </m:t>
        </m:r>
      </m:oMath>
      <w:r>
        <w:t>.</w:t>
      </w:r>
    </w:p>
    <w:p w14:paraId="62431A3E" w14:textId="77777777" w:rsidR="00960D78" w:rsidRDefault="00960D78" w:rsidP="00960D78">
      <w:r>
        <w:t>Eq. A4 is an autonomous differential equation (</w:t>
      </w:r>
      <m:oMath>
        <m:f>
          <m:fPr>
            <m:type m:val="lin"/>
            <m:ctrlPr>
              <w:rPr>
                <w:rFonts w:ascii="Cambria Math" w:hAnsi="Cambria Math"/>
                <w:i/>
                <w:iCs/>
              </w:rPr>
            </m:ctrlPr>
          </m:fPr>
          <m:num>
            <m:r>
              <w:rPr>
                <w:rFonts w:ascii="Cambria Math" w:hAnsi="Cambria Math"/>
              </w:rPr>
              <m:t>dN</m:t>
            </m:r>
          </m:num>
          <m:den>
            <m:r>
              <w:rPr>
                <w:rFonts w:ascii="Cambria Math" w:hAnsi="Cambria Math"/>
              </w:rPr>
              <m:t>dt</m:t>
            </m:r>
          </m:den>
        </m:f>
      </m:oMath>
      <w:r>
        <w:t xml:space="preserve"> doesn't depend </w:t>
      </w:r>
      <w:proofErr w:type="gramStart"/>
      <w:r>
        <w:t xml:space="preserve">on </w:t>
      </w:r>
      <w:proofErr w:type="gramEnd"/>
      <m:oMath>
        <m:r>
          <w:rPr>
            <w:rFonts w:ascii="Cambria Math" w:hAnsi="Cambria Math"/>
          </w:rPr>
          <m:t>t</m:t>
        </m:r>
      </m:oMath>
      <w:r>
        <w:t xml:space="preserve">). To include a lag phase, </w:t>
      </w:r>
      <w:proofErr w:type="spellStart"/>
      <w:r>
        <w:t>Baranyi</w:t>
      </w:r>
      <w:proofErr w:type="spellEnd"/>
      <w:r>
        <w:t xml:space="preserve"> and Roberts </w:t>
      </w:r>
      <w:r>
        <w:fldChar w:fldCharType="begin" w:fldLock="1"/>
      </w:r>
      <w: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"(1994)", "plainTextFormattedCitation" : "(1994)", "previouslyFormattedCitation" : "(1994)" }, "properties" : { "noteIndex" : 0 }, "schema" : "https://github.com/citation-style-language/schema/raw/master/csl-citation.json" }</w:instrText>
      </w:r>
      <w:r>
        <w:fldChar w:fldCharType="separate"/>
      </w:r>
      <w:r w:rsidRPr="0053290E">
        <w:rPr>
          <w:noProof/>
        </w:rPr>
        <w:t>(1994)</w:t>
      </w:r>
      <w:r>
        <w:fldChar w:fldCharType="end"/>
      </w:r>
      <w:r>
        <w:t xml:space="preserve"> suggested to add an adjustment function </w:t>
      </w:r>
      <m:oMath>
        <m:r>
          <w:rPr>
            <w:rFonts w:ascii="Cambria Math" w:hAnsi="Cambria Math"/>
          </w:rPr>
          <m:t>α</m:t>
        </m:r>
        <m:d>
          <m:dPr>
            <m:ctrlPr>
              <w:rPr>
                <w:rFonts w:ascii="Cambria Math" w:hAnsi="Cambria Math"/>
                <w:i/>
              </w:rPr>
            </m:ctrlPr>
          </m:dPr>
          <m:e>
            <m:r>
              <w:rPr>
                <w:rFonts w:ascii="Cambria Math" w:hAnsi="Cambria Math"/>
              </w:rPr>
              <m:t>t</m:t>
            </m:r>
          </m:e>
        </m:d>
      </m:oMath>
      <w:r>
        <w:t xml:space="preserve">, which makes the equation non-autonomous (dependent on </w:t>
      </w:r>
      <m:oMath>
        <m:r>
          <w:rPr>
            <w:rFonts w:ascii="Cambria Math" w:hAnsi="Cambria Math"/>
          </w:rPr>
          <m:t>t</m:t>
        </m:r>
      </m:oMath>
      <w:r>
        <w:rPr>
          <w:iCs/>
        </w:rPr>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14:paraId="28D785B4" w14:textId="77777777" w:rsidTr="008436AC">
        <w:tc>
          <w:tcPr>
            <w:tcW w:w="1951" w:type="dxa"/>
            <w:vAlign w:val="center"/>
          </w:tcPr>
          <w:p w14:paraId="4352A8F2" w14:textId="77777777" w:rsidR="00960D78" w:rsidRDefault="00960D78" w:rsidP="008436AC">
            <w:pPr>
              <w:jc w:val="right"/>
            </w:pPr>
          </w:p>
        </w:tc>
        <w:tc>
          <w:tcPr>
            <w:tcW w:w="5103" w:type="dxa"/>
            <w:vAlign w:val="center"/>
          </w:tcPr>
          <w:p w14:paraId="55281F62" w14:textId="77777777" w:rsidR="00960D78" w:rsidRDefault="00D042EE" w:rsidP="008436AC">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960D78">
              <w:t>.</w:t>
            </w:r>
          </w:p>
        </w:tc>
        <w:tc>
          <w:tcPr>
            <w:tcW w:w="1468" w:type="dxa"/>
            <w:vAlign w:val="center"/>
          </w:tcPr>
          <w:p w14:paraId="7F48D9C6" w14:textId="77777777" w:rsidR="00960D78" w:rsidRDefault="00960D78" w:rsidP="008436AC">
            <w:pPr>
              <w:jc w:val="right"/>
            </w:pPr>
            <w:r>
              <w:t>[A5]</w:t>
            </w:r>
          </w:p>
        </w:tc>
      </w:tr>
    </w:tbl>
    <w:p w14:paraId="6F311F22" w14:textId="77777777" w:rsidR="00960D78" w:rsidRDefault="00960D78" w:rsidP="00960D78">
      <w:proofErr w:type="spellStart"/>
      <w:r>
        <w:t>Baranyi</w:t>
      </w:r>
      <w:proofErr w:type="spellEnd"/>
      <w:r>
        <w:t xml:space="preserve"> and Roberts suggested a </w:t>
      </w:r>
      <w:proofErr w:type="spellStart"/>
      <w:r>
        <w:t>Michaelis-Menten</w:t>
      </w:r>
      <w:proofErr w:type="spellEnd"/>
      <w:r>
        <w:t xml:space="preserve"> type of function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t xml:space="preserve"> </w:t>
      </w:r>
      <w:r>
        <w:fldChar w:fldCharType="begin" w:fldLock="1"/>
      </w:r>
      <w: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"(Baranyi 1997)", "plainTextFormattedCitation" : "(Baranyi 1997)", "previouslyFormattedCitation" : "(Baranyi 1997)" }, "properties" : { "noteIndex" : 0 }, "schema" : "https://github.com/citation-style-language/schema/raw/master/csl-citation.json" }</w:instrText>
      </w:r>
      <w:r>
        <w:fldChar w:fldCharType="separate"/>
      </w:r>
      <w:r w:rsidRPr="0053290E">
        <w:rPr>
          <w:noProof/>
        </w:rPr>
        <w:t>(Baranyi 1997)</w:t>
      </w:r>
      <w:r>
        <w:fldChar w:fldCharType="end"/>
      </w:r>
      <w:r>
        <w:t xml:space="preserve">, which has two parameters: </w:t>
      </w:r>
      <w:r>
        <w:rPr>
          <w:i/>
          <w:iCs/>
        </w:rPr>
        <w:t>q</w:t>
      </w:r>
      <w:r>
        <w:rPr>
          <w:i/>
          <w:iCs/>
          <w:vertAlign w:val="subscript"/>
        </w:rPr>
        <w:t>0</w:t>
      </w:r>
      <w:r>
        <w:rPr>
          <w:i/>
          <w:iCs/>
        </w:rPr>
        <w:t xml:space="preserve"> </w:t>
      </w:r>
      <w:r>
        <w:t xml:space="preserve">is the initial fraction of the population adjusted to growth, and </w:t>
      </w:r>
      <w:r>
        <w:rPr>
          <w:i/>
          <w:iCs/>
        </w:rPr>
        <w:t>m</w:t>
      </w:r>
      <w:r>
        <w:t xml:space="preserve"> is the adjustment rate, or the rate at which additional cells adjust to growth. Integrating eq. A5 produces eq. 2. </w:t>
      </w:r>
      <w:proofErr w:type="spellStart"/>
      <w:r>
        <w:t>Baranyi</w:t>
      </w:r>
      <w:proofErr w:type="spellEnd"/>
      <w:r>
        <w:t xml:space="preserve"> and Roberts suggested to fix </w:t>
      </w:r>
      <m:oMath>
        <m:r>
          <w:rPr>
            <w:rFonts w:ascii="Cambria Math" w:hAnsi="Cambria Math"/>
          </w:rPr>
          <m:t>v=r</m:t>
        </m:r>
      </m:oMath>
      <w:r>
        <w:t xml:space="preserve"> to avoid instability of the fitting procedure </w:t>
      </w:r>
      <w:r>
        <w:fldChar w:fldCharType="begin" w:fldLock="1"/>
      </w:r>
      <w: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"id" : "ITEM-2", "itemData" : { "DOI" : "10.1111/j.2041-210X.2010.00029.x", "ISBN" : "2041-210X", "ISSN" : "2041-210X", "abstract" : "1. The theta-logistic is a simple and flexible model for describing how the growth rate of a population slows as abundance increases. Starting at rm (taken as the maximum population growth rate), the growth response decreases in a convex or concave way (according to the shape parameter \u03b8) to zero when the population reaches carrying capacity. 2. We demonstrate that fitting this model to census data is not robust and explain why. The parameters \u03b8 and rm are able to play-off against each other (providing a constant product), thus allowing both to adopt extreme and ecologically implausible values. 3. We use simulated data to examine: (i) a population fluctuating around a constant carrying capacity (K); (ii) recovery of a population from 10% of carrying capacity; and (iii) a population subject to variation in K. We show that estimates of extinction risk depending on this or similar models are therefore prone to imprecision. We refute the claim that concave growth responses are shown to dominate in nature. 4. As the model can also be sensitive to temporal variation in carrying capacity, we argue that the assumption of a constant carrying capacity is both problematic and presents a fruitful direction for the development of phenomenological density-feedback models.", "author" : [ { "dropping-particle" : "", "family" : "Clark", "given" : "Francis", "non-dropping-particle" : "", "parse-names" : false, "suffix" : "" }, { "dropping-particle" : "", "family" : "Brook", "given" : "Barry W", "non-dropping-particle" : "", "parse-names" : false, "suffix" : "" }, { "dropping-particle" : "", "family" : "Delean", "given" : "Steven", "non-dropping-particle" : "", "parse-names" : false, "suffix" : "" }, { "dropping-particle" : "", "family" : "Re\u015fit Ak\u00e7akaya", "given" : "H", "non-dropping-particle" : "", "parse-names" : false, "suffix" : "" }, { "dropping-particle" : "", "family" : "Bradshaw", "given" : "Corey J. A.", "non-dropping-particle" : "", "parse-names" : false, "suffix" : "" } ], "container-title" : "Methods in Ecology and Evolution", "id" : "ITEM-2", "issue" : "3", "issued" : { "date-parts" : [ [ "2010" ] ] }, "note" : "&amp;gt; We henceforth use this range (0.1 &amp;lt; nu &amp;lt; 10) as sufficiently inclusive for most real populations.", "page" : "253-262", "title" : "The theta-logistic is unreliable for modelling most census data", "type" : "article-journal", "volume" : "1" }, "uris" : [ "http://www.mendeley.com/documents/?uuid=0167c58e-d4b5-4fe6-84ad-1929baacf2e0" ] } ], "mendeley" : { "formattedCitation" : "(Baranyi 1997; Clark et al. 2010)", "plainTextFormattedCitation" : "(Baranyi 1997; Clark et al. 2010)", "previouslyFormattedCitation" : "(Baranyi 1997; Clark et al. 2010)" }, "properties" : { "noteIndex" : 0 }, "schema" : "https://github.com/citation-style-language/schema/raw/master/csl-citation.json" }</w:instrText>
      </w:r>
      <w:r>
        <w:fldChar w:fldCharType="separate"/>
      </w:r>
      <w:r w:rsidRPr="00D44992">
        <w:rPr>
          <w:noProof/>
        </w:rPr>
        <w:t>(Baranyi 1997; Clark et al. 2010)</w:t>
      </w:r>
      <w:r>
        <w:fldChar w:fldCharType="end"/>
      </w:r>
      <w:r>
        <w:t>.</w:t>
      </w:r>
    </w:p>
    <w:p w14:paraId="4A8445E6" w14:textId="774BCFE7" w:rsidR="00960D78" w:rsidRDefault="00960D78" w:rsidP="00960D78">
      <w:pPr>
        <w:pStyle w:val="Heading2"/>
      </w:pPr>
      <w:bookmarkStart w:id="5" w:name="_Ref439853477"/>
      <w:r>
        <w:t>Appendix B: Mixed culture model</w:t>
      </w:r>
      <w:bookmarkEnd w:id="5"/>
    </w:p>
    <w:p w14:paraId="4F7A6DA2" w14:textId="77777777" w:rsidR="00960D78" w:rsidRDefault="00960D78" w:rsidP="00960D78">
      <w:r>
        <w:t>We now consider the case in which two species or strains grow in the same culture, competing for a single limiting resource, similarly to eq. A2: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rsidRPr="00F9516D" w14:paraId="175A4B48" w14:textId="77777777" w:rsidTr="008436AC">
        <w:tc>
          <w:tcPr>
            <w:tcW w:w="1951" w:type="dxa"/>
            <w:vAlign w:val="center"/>
          </w:tcPr>
          <w:p w14:paraId="26CCBAF7" w14:textId="77777777" w:rsidR="00960D78" w:rsidRPr="00F9516D" w:rsidRDefault="00960D78" w:rsidP="008436AC">
            <w:pPr>
              <w:jc w:val="right"/>
              <w:rPr>
                <w:i/>
                <w:iCs/>
              </w:rPr>
            </w:pPr>
          </w:p>
        </w:tc>
        <w:tc>
          <w:tcPr>
            <w:tcW w:w="5103" w:type="dxa"/>
            <w:vAlign w:val="center"/>
          </w:tcPr>
          <w:p w14:paraId="172D6AC7" w14:textId="77777777" w:rsidR="00960D78" w:rsidRPr="00507681" w:rsidRDefault="00D042EE" w:rsidP="008436AC">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dR</m:t>
                            </m:r>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44660DFD" w14:textId="0C0746FB" w:rsidR="00960D78" w:rsidRPr="00F9516D" w:rsidRDefault="00960D78" w:rsidP="00960D78">
            <w:pPr>
              <w:jc w:val="right"/>
              <w:rPr>
                <w:i/>
                <w:iCs/>
              </w:rPr>
            </w:pPr>
            <w:r w:rsidRPr="00F9516D">
              <w:rPr>
                <w:i/>
                <w:iCs/>
              </w:rPr>
              <w:t>[</w:t>
            </w:r>
            <w:r>
              <w:rPr>
                <w:i/>
                <w:iCs/>
              </w:rPr>
              <w:t>B1</w:t>
            </w:r>
            <w:r w:rsidRPr="00F9516D">
              <w:rPr>
                <w:i/>
                <w:iCs/>
              </w:rPr>
              <w:t>a]</w:t>
            </w:r>
          </w:p>
          <w:p w14:paraId="1A337782" w14:textId="7D052513" w:rsidR="00960D78" w:rsidRPr="00F9516D" w:rsidRDefault="00960D78" w:rsidP="008436AC">
            <w:pPr>
              <w:jc w:val="right"/>
              <w:rPr>
                <w:i/>
                <w:iCs/>
              </w:rPr>
            </w:pPr>
            <w:r w:rsidRPr="00F9516D">
              <w:rPr>
                <w:i/>
                <w:iCs/>
              </w:rPr>
              <w:t>[</w:t>
            </w:r>
            <w:r>
              <w:rPr>
                <w:i/>
                <w:iCs/>
              </w:rPr>
              <w:t>B1</w:t>
            </w:r>
            <w:r w:rsidRPr="00F9516D">
              <w:rPr>
                <w:i/>
                <w:iCs/>
              </w:rPr>
              <w:t>b]</w:t>
            </w:r>
          </w:p>
          <w:p w14:paraId="437C6C7A" w14:textId="579256DE" w:rsidR="00960D78" w:rsidRPr="00F9516D" w:rsidRDefault="00960D78" w:rsidP="008436AC">
            <w:pPr>
              <w:jc w:val="right"/>
              <w:rPr>
                <w:i/>
                <w:iCs/>
              </w:rPr>
            </w:pPr>
            <w:r>
              <w:rPr>
                <w:i/>
                <w:iCs/>
              </w:rPr>
              <w:t>[B1c]</w:t>
            </w:r>
          </w:p>
        </w:tc>
      </w:tr>
    </w:tbl>
    <w:p w14:paraId="7E06BD27" w14:textId="77777777" w:rsidR="00960D78" w:rsidRDefault="00960D78" w:rsidP="00960D78">
      <w:r>
        <w:t xml:space="preserve">We </w:t>
      </w:r>
      <w:proofErr w:type="gramStart"/>
      <w:r>
        <w:t xml:space="preserve">define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t xml:space="preserve"> (where </w:t>
      </w:r>
      <w:r w:rsidRPr="00181262">
        <w:rPr>
          <w:i/>
          <w:iCs/>
        </w:rPr>
        <w:t>j</w:t>
      </w:r>
      <w:r>
        <w:t xml:space="preserve"> is 1 when </w:t>
      </w:r>
      <w:proofErr w:type="spellStart"/>
      <w:r w:rsidRPr="00181262">
        <w:rPr>
          <w:i/>
          <w:iCs/>
        </w:rPr>
        <w:t>i</w:t>
      </w:r>
      <w:proofErr w:type="spellEnd"/>
      <w:r>
        <w:t xml:space="preserve"> is 2 and vice versa) </w:t>
      </w:r>
      <w:r w:rsidRPr="00181262">
        <w:t>to</w:t>
      </w:r>
      <w:r>
        <w:t xml:space="preserve"> find that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dt</m:t>
            </m:r>
          </m:den>
        </m:f>
        <m:r>
          <w:rPr>
            <w:rFonts w:ascii="Cambria Math" w:hAnsi="Cambria Math"/>
          </w:rPr>
          <m:t>≡0</m:t>
        </m:r>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is constant. We then substitute </w:t>
      </w:r>
      <m:oMath>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t xml:space="preserve"> into the differential equations </w:t>
      </w:r>
      <w:proofErr w:type="gramStart"/>
      <w:r>
        <w:t xml:space="preserve">for </w:t>
      </w:r>
      <w:proofErr w:type="gramEnd"/>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dt</m:t>
            </m:r>
          </m:den>
        </m:f>
      </m:oMath>
      <w:r>
        <w:t xml:space="preserve">. Denoting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rad>
          <m:radPr>
            <m:ctrlPr>
              <w:rPr>
                <w:rFonts w:ascii="Cambria Math" w:hAnsi="Cambria Math"/>
                <w:i/>
              </w:rPr>
            </m:ctrlPr>
          </m:radPr>
          <m:deg>
            <m:sSub>
              <m:sSubPr>
                <m:ctrlPr>
                  <w:rPr>
                    <w:rFonts w:ascii="Cambria Math" w:hAnsi="Cambria Math"/>
                    <w:i/>
                  </w:rPr>
                </m:ctrlPr>
              </m:sSubPr>
              <m:e>
                <m:r>
                  <w:rPr>
                    <w:rFonts w:ascii="Cambria Math" w:hAnsi="Cambria Math"/>
                  </w:rPr>
                  <m:t>ν</m:t>
                </m:r>
              </m:e>
              <m:sub>
                <m:r>
                  <w:rPr>
                    <w:rFonts w:ascii="Cambria Math" w:hAnsi="Cambria Math"/>
                  </w:rPr>
                  <m:t>i</m:t>
                </m:r>
              </m:sub>
            </m:sSub>
          </m:deg>
          <m:e>
            <m:sSub>
              <m:sSubPr>
                <m:ctrlPr>
                  <w:rPr>
                    <w:rFonts w:ascii="Cambria Math" w:hAnsi="Cambria Math"/>
                    <w:i/>
                  </w:rPr>
                </m:ctrlPr>
              </m:sSubPr>
              <m:e>
                <m:r>
                  <w:rPr>
                    <w:rFonts w:ascii="Cambria Math" w:hAnsi="Cambria Math"/>
                  </w:rPr>
                  <m:t>M</m:t>
                </m:r>
              </m:e>
              <m:sub>
                <m:r>
                  <w:rPr>
                    <w:rFonts w:ascii="Cambria Math" w:hAnsi="Cambria Math"/>
                  </w:rPr>
                  <m:t>i</m:t>
                </m:r>
              </m:sub>
            </m:sSub>
          </m:e>
        </m:rad>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i</m:t>
                </m:r>
              </m:sub>
            </m:sSub>
          </m:num>
          <m:den>
            <m:sSub>
              <m:sSubPr>
                <m:ctrlPr>
                  <w:rPr>
                    <w:rFonts w:ascii="Cambria Math" w:hAnsi="Cambria Math"/>
                    <w:i/>
                  </w:rPr>
                </m:ctrlPr>
              </m:sSubPr>
              <m:e>
                <m:r>
                  <w:rPr>
                    <w:rFonts w:ascii="Cambria Math" w:hAnsi="Cambria Math"/>
                  </w:rPr>
                  <m:t>ν</m:t>
                </m:r>
              </m:e>
              <m:sub>
                <m:r>
                  <w:rPr>
                    <w:rFonts w:ascii="Cambria Math" w:hAnsi="Cambria Math"/>
                  </w:rPr>
                  <m:t>i</m:t>
                </m:r>
              </m:sub>
            </m:sSub>
          </m:den>
        </m:f>
        <m:sSubSup>
          <m:sSubSupPr>
            <m:ctrlPr>
              <w:rPr>
                <w:rFonts w:ascii="Cambria Math" w:hAnsi="Cambria Math"/>
                <w:i/>
              </w:rPr>
            </m:ctrlPr>
          </m:sSubSupPr>
          <m:e>
            <m:r>
              <w:rPr>
                <w:rFonts w:ascii="Cambria Math" w:hAnsi="Cambria Math"/>
              </w:rPr>
              <m:t>K</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rsidRPr="00F9516D" w14:paraId="5253B387" w14:textId="77777777" w:rsidTr="008436AC">
        <w:tc>
          <w:tcPr>
            <w:tcW w:w="1951" w:type="dxa"/>
            <w:vAlign w:val="center"/>
          </w:tcPr>
          <w:p w14:paraId="6393839E" w14:textId="77777777" w:rsidR="00960D78" w:rsidRPr="00F9516D" w:rsidRDefault="00960D78" w:rsidP="008436AC">
            <w:pPr>
              <w:jc w:val="right"/>
              <w:rPr>
                <w:i/>
                <w:iCs/>
              </w:rPr>
            </w:pPr>
          </w:p>
        </w:tc>
        <w:tc>
          <w:tcPr>
            <w:tcW w:w="5103" w:type="dxa"/>
            <w:vAlign w:val="center"/>
          </w:tcPr>
          <w:p w14:paraId="2D2D2761" w14:textId="61048C05" w:rsidR="00960D78" w:rsidRPr="00507681" w:rsidRDefault="00D042EE" w:rsidP="00F70C02">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r>
                          <w:rPr>
                            <w:rFonts w:ascii="Cambria Math" w:hAnsi="Cambria Math"/>
                          </w:rPr>
                          <m:t>,</m:t>
                        </m:r>
                      </m:e>
                    </m:eqArr>
                  </m:e>
                </m:d>
              </m:oMath>
            </m:oMathPara>
          </w:p>
        </w:tc>
        <w:tc>
          <w:tcPr>
            <w:tcW w:w="1468" w:type="dxa"/>
            <w:vAlign w:val="center"/>
          </w:tcPr>
          <w:p w14:paraId="384C8C0E" w14:textId="06603967" w:rsidR="00960D78" w:rsidRPr="00F9516D" w:rsidRDefault="00960D78" w:rsidP="008436AC">
            <w:pPr>
              <w:jc w:val="right"/>
              <w:rPr>
                <w:i/>
                <w:iCs/>
              </w:rPr>
            </w:pPr>
            <w:r w:rsidRPr="00F9516D">
              <w:rPr>
                <w:i/>
                <w:iCs/>
              </w:rPr>
              <w:t>[</w:t>
            </w:r>
            <w:r>
              <w:rPr>
                <w:i/>
                <w:iCs/>
              </w:rPr>
              <w:t>B2</w:t>
            </w:r>
            <w:r w:rsidRPr="00F9516D">
              <w:rPr>
                <w:i/>
                <w:iCs/>
              </w:rPr>
              <w:t>a]</w:t>
            </w:r>
          </w:p>
          <w:p w14:paraId="6BA5CA6D" w14:textId="143D0EDF" w:rsidR="00960D78" w:rsidRPr="00F9516D" w:rsidRDefault="00960D78" w:rsidP="008436AC">
            <w:pPr>
              <w:jc w:val="right"/>
              <w:rPr>
                <w:i/>
                <w:iCs/>
              </w:rPr>
            </w:pPr>
            <w:r w:rsidRPr="00F9516D">
              <w:rPr>
                <w:i/>
                <w:iCs/>
              </w:rPr>
              <w:t>[</w:t>
            </w:r>
            <w:r>
              <w:rPr>
                <w:i/>
                <w:iCs/>
              </w:rPr>
              <w:t>B2</w:t>
            </w:r>
            <w:r w:rsidRPr="00F9516D">
              <w:rPr>
                <w:i/>
                <w:iCs/>
              </w:rPr>
              <w:t>b</w:t>
            </w:r>
            <w:r>
              <w:rPr>
                <w:i/>
                <w:iCs/>
              </w:rPr>
              <w:t>]</w:t>
            </w:r>
          </w:p>
        </w:tc>
      </w:tr>
    </w:tbl>
    <w:p w14:paraId="701B2C83" w14:textId="6F58C419" w:rsidR="00960D78" w:rsidRDefault="00960D78" w:rsidP="00F70C02">
      <w:pPr>
        <w:tabs>
          <w:tab w:val="left" w:pos="1803"/>
          <w:tab w:val="center" w:pos="4153"/>
        </w:tabs>
        <w:ind w:firstLine="0"/>
      </w:pPr>
      <w:proofErr w:type="gramStart"/>
      <w:r>
        <w:t xml:space="preserve">where </w:t>
      </w:r>
      <w:proofErr w:type="gramEnd"/>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oMath>
      <w:r>
        <w:t xml:space="preserve">. </w:t>
      </w:r>
    </w:p>
    <w:p w14:paraId="5D87A210" w14:textId="77777777" w:rsidR="00960D78" w:rsidRDefault="00960D78" w:rsidP="00960D78">
      <w:pPr>
        <w:tabs>
          <w:tab w:val="left" w:pos="1803"/>
          <w:tab w:val="center" w:pos="4153"/>
        </w:tabs>
      </w:pPr>
      <w:r>
        <w:t>We get a similar result if each strain is limited by a different resource that both strains consume, and the intake rates depend only on the strain:</w:t>
      </w:r>
    </w:p>
    <w:p w14:paraId="37611F0C" w14:textId="77777777" w:rsidR="00960D78" w:rsidRPr="00520F09" w:rsidRDefault="00960D78" w:rsidP="00960D78">
      <w:pPr>
        <w:tabs>
          <w:tab w:val="left" w:pos="1803"/>
          <w:tab w:val="center" w:pos="4153"/>
        </w:tabs>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rsidRPr="00F9516D" w14:paraId="0ABA7392" w14:textId="77777777" w:rsidTr="008436AC">
        <w:tc>
          <w:tcPr>
            <w:tcW w:w="1951" w:type="dxa"/>
            <w:vAlign w:val="center"/>
          </w:tcPr>
          <w:p w14:paraId="23F0E408" w14:textId="77777777" w:rsidR="00960D78" w:rsidRPr="00F9516D" w:rsidRDefault="00960D78" w:rsidP="008436AC">
            <w:pPr>
              <w:jc w:val="right"/>
              <w:rPr>
                <w:i/>
                <w:iCs/>
              </w:rPr>
            </w:pPr>
          </w:p>
        </w:tc>
        <w:tc>
          <w:tcPr>
            <w:tcW w:w="5103" w:type="dxa"/>
            <w:vAlign w:val="center"/>
          </w:tcPr>
          <w:p w14:paraId="6B68C41F" w14:textId="77777777" w:rsidR="00960D78" w:rsidRPr="00F9516D" w:rsidRDefault="00D042EE" w:rsidP="008436AC">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2D38C276" w14:textId="79C64CF4" w:rsidR="00960D78" w:rsidRPr="00F9516D" w:rsidRDefault="00960D78" w:rsidP="008436AC">
            <w:pPr>
              <w:jc w:val="right"/>
              <w:rPr>
                <w:i/>
                <w:iCs/>
              </w:rPr>
            </w:pPr>
            <w:r w:rsidRPr="00F9516D">
              <w:rPr>
                <w:i/>
                <w:iCs/>
              </w:rPr>
              <w:t>[</w:t>
            </w:r>
            <w:r>
              <w:rPr>
                <w:i/>
                <w:iCs/>
              </w:rPr>
              <w:t>B3</w:t>
            </w:r>
            <w:r w:rsidRPr="00F9516D">
              <w:rPr>
                <w:i/>
                <w:iCs/>
              </w:rPr>
              <w:t>a]</w:t>
            </w:r>
          </w:p>
          <w:p w14:paraId="7589039A" w14:textId="6052612C" w:rsidR="00960D78" w:rsidRPr="00F9516D" w:rsidRDefault="00960D78" w:rsidP="008436AC">
            <w:pPr>
              <w:jc w:val="right"/>
              <w:rPr>
                <w:i/>
                <w:iCs/>
              </w:rPr>
            </w:pPr>
            <w:r w:rsidRPr="00F9516D">
              <w:rPr>
                <w:i/>
                <w:iCs/>
              </w:rPr>
              <w:t>[</w:t>
            </w:r>
            <w:r>
              <w:rPr>
                <w:i/>
                <w:iCs/>
              </w:rPr>
              <w:t>B3</w:t>
            </w:r>
            <w:r w:rsidRPr="00F9516D">
              <w:rPr>
                <w:i/>
                <w:iCs/>
              </w:rPr>
              <w:t>b]</w:t>
            </w:r>
          </w:p>
          <w:p w14:paraId="245C29E0" w14:textId="292799F8" w:rsidR="00960D78" w:rsidRDefault="00960D78" w:rsidP="008436AC">
            <w:pPr>
              <w:jc w:val="right"/>
              <w:rPr>
                <w:i/>
                <w:iCs/>
              </w:rPr>
            </w:pPr>
            <w:r>
              <w:rPr>
                <w:i/>
                <w:iCs/>
              </w:rPr>
              <w:t>[B3</w:t>
            </w:r>
            <w:r w:rsidRPr="00F9516D">
              <w:rPr>
                <w:i/>
                <w:iCs/>
              </w:rPr>
              <w:t>c]</w:t>
            </w:r>
          </w:p>
          <w:p w14:paraId="7EBF44AC" w14:textId="16EBF346" w:rsidR="00960D78" w:rsidRPr="00F9516D" w:rsidRDefault="00960D78" w:rsidP="008436AC">
            <w:pPr>
              <w:jc w:val="right"/>
              <w:rPr>
                <w:i/>
                <w:iCs/>
              </w:rPr>
            </w:pPr>
            <w:r w:rsidRPr="00F9516D">
              <w:rPr>
                <w:i/>
                <w:iCs/>
              </w:rPr>
              <w:t>[</w:t>
            </w:r>
            <w:r>
              <w:rPr>
                <w:i/>
                <w:iCs/>
              </w:rPr>
              <w:t>B3d</w:t>
            </w:r>
            <w:r w:rsidRPr="00F9516D">
              <w:rPr>
                <w:i/>
                <w:iCs/>
              </w:rPr>
              <w:t>]</w:t>
            </w:r>
          </w:p>
        </w:tc>
      </w:tr>
    </w:tbl>
    <w:p w14:paraId="2DF06FE6" w14:textId="1BDC2111" w:rsidR="00960D78" w:rsidRDefault="00960D78" w:rsidP="00960D78">
      <w:pPr>
        <w:tabs>
          <w:tab w:val="left" w:pos="1803"/>
          <w:tab w:val="center" w:pos="4153"/>
        </w:tabs>
      </w:pPr>
      <w:r>
        <w:t xml:space="preserve">Here, we notice first that </w:t>
      </w:r>
      <m:oMath>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e>
        </m:func>
      </m:oMath>
      <w:r>
        <w:t xml:space="preserve"> and therefore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w:r>
        <w:t xml:space="preserve"> is a constant. We then substitute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=R,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=ρR</m:t>
        </m:r>
      </m:oMath>
      <w:r>
        <w:t xml:space="preserve"> in eqs. B3a-d and continue as above. This only changes the definition </w:t>
      </w:r>
      <w:proofErr w:type="gramStart"/>
      <w:r>
        <w:t xml:space="preserve">of </w:t>
      </w:r>
      <w:proofErr w:type="gramEnd"/>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r>
          <w:rPr>
            <w:rFonts w:ascii="Cambria Math" w:hAnsi="Cambria Math"/>
          </w:rPr>
          <m:t>ρ</m:t>
        </m:r>
      </m:oMath>
      <w:r>
        <w:t>.</w:t>
      </w:r>
    </w:p>
    <w:p w14:paraId="7C018572" w14:textId="77777777" w:rsidR="00960D78" w:rsidRDefault="00960D78" w:rsidP="00960D78">
      <w:pPr>
        <w:tabs>
          <w:tab w:val="left" w:pos="1803"/>
          <w:tab w:val="center" w:pos="4153"/>
        </w:tabs>
      </w:pPr>
      <w:r>
        <w:t>If the intake rates depend only on the resource: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960D78" w:rsidRPr="00F9516D" w14:paraId="7793B26C" w14:textId="77777777" w:rsidTr="008436AC">
        <w:tc>
          <w:tcPr>
            <w:tcW w:w="1951" w:type="dxa"/>
            <w:vAlign w:val="center"/>
          </w:tcPr>
          <w:p w14:paraId="61695DC6" w14:textId="77777777" w:rsidR="00960D78" w:rsidRPr="00F9516D" w:rsidRDefault="00960D78" w:rsidP="008436AC">
            <w:pPr>
              <w:jc w:val="right"/>
              <w:rPr>
                <w:i/>
                <w:iCs/>
              </w:rPr>
            </w:pPr>
          </w:p>
        </w:tc>
        <w:tc>
          <w:tcPr>
            <w:tcW w:w="5103" w:type="dxa"/>
            <w:vAlign w:val="center"/>
          </w:tcPr>
          <w:p w14:paraId="223F5C68" w14:textId="77777777" w:rsidR="00960D78" w:rsidRPr="00F9516D" w:rsidRDefault="00D042EE" w:rsidP="008436AC">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qArr>
                  </m:e>
                </m:d>
              </m:oMath>
            </m:oMathPara>
          </w:p>
        </w:tc>
        <w:tc>
          <w:tcPr>
            <w:tcW w:w="1468" w:type="dxa"/>
            <w:vAlign w:val="center"/>
          </w:tcPr>
          <w:p w14:paraId="73C8D5B3" w14:textId="2B1CA28B" w:rsidR="00960D78" w:rsidRPr="00F9516D" w:rsidRDefault="00960D78" w:rsidP="008436AC">
            <w:pPr>
              <w:jc w:val="right"/>
              <w:rPr>
                <w:i/>
                <w:iCs/>
              </w:rPr>
            </w:pPr>
            <w:r w:rsidRPr="00F9516D">
              <w:rPr>
                <w:i/>
                <w:iCs/>
              </w:rPr>
              <w:t>[</w:t>
            </w:r>
            <w:r>
              <w:rPr>
                <w:i/>
                <w:iCs/>
              </w:rPr>
              <w:t>B4</w:t>
            </w:r>
            <w:r w:rsidRPr="00F9516D">
              <w:rPr>
                <w:i/>
                <w:iCs/>
              </w:rPr>
              <w:t>a]</w:t>
            </w:r>
          </w:p>
          <w:p w14:paraId="7ABB1EA6" w14:textId="1A01F198" w:rsidR="00960D78" w:rsidRPr="00F9516D" w:rsidRDefault="00960D78" w:rsidP="008436AC">
            <w:pPr>
              <w:jc w:val="right"/>
              <w:rPr>
                <w:i/>
                <w:iCs/>
              </w:rPr>
            </w:pPr>
            <w:r w:rsidRPr="00F9516D">
              <w:rPr>
                <w:i/>
                <w:iCs/>
              </w:rPr>
              <w:t>[</w:t>
            </w:r>
            <w:r>
              <w:rPr>
                <w:i/>
                <w:iCs/>
              </w:rPr>
              <w:t>B4</w:t>
            </w:r>
            <w:r w:rsidRPr="00F9516D">
              <w:rPr>
                <w:i/>
                <w:iCs/>
              </w:rPr>
              <w:t>b</w:t>
            </w:r>
            <w:r>
              <w:rPr>
                <w:i/>
                <w:iCs/>
              </w:rPr>
              <w:t>]</w:t>
            </w:r>
          </w:p>
        </w:tc>
      </w:tr>
    </w:tbl>
    <w:p w14:paraId="039EAB1A" w14:textId="05B36832" w:rsidR="00C432BE" w:rsidRPr="00960D78" w:rsidRDefault="00960D78" w:rsidP="00960D78">
      <w:r>
        <w:t xml:space="preserve">Then we define </w:t>
      </w: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t xml:space="preserve"> and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H</m:t>
                </m:r>
              </m:sup>
            </m:sSubSup>
          </m:den>
        </m:f>
      </m:oMath>
      <w:r>
        <w:t xml:space="preserve"> and again continue as above.</w:t>
      </w:r>
      <w:r w:rsidR="00C432BE">
        <w:br w:type="page"/>
      </w:r>
    </w:p>
    <w:p w14:paraId="02589F39" w14:textId="447CD25A" w:rsidR="00BC14C2" w:rsidRDefault="00BC14C2" w:rsidP="00507681">
      <w:pPr>
        <w:pStyle w:val="Heading1"/>
      </w:pPr>
      <w:r>
        <w:t>References</w:t>
      </w:r>
    </w:p>
    <w:p w14:paraId="476AB1D7" w14:textId="06AA8F97" w:rsidR="00052DE4" w:rsidRPr="00052DE4" w:rsidRDefault="00BC14C2" w:rsidP="00052DE4">
      <w:pPr>
        <w:widowControl w:val="0"/>
        <w:autoSpaceDE w:val="0"/>
        <w:autoSpaceDN w:val="0"/>
        <w:adjustRightInd w:val="0"/>
        <w:spacing w:before="100" w:after="100"/>
        <w:ind w:left="480" w:hanging="480"/>
        <w:rPr>
          <w:rFonts w:ascii="Times New Roman" w:hAnsi="Times New Roman" w:cs="Times New Roman"/>
          <w:noProof/>
        </w:rPr>
      </w:pPr>
      <w:r>
        <w:fldChar w:fldCharType="begin" w:fldLock="1"/>
      </w:r>
      <w:r>
        <w:instrText xml:space="preserve">ADDIN Mendeley Bibliography CSL_BIBLIOGRAPHY </w:instrText>
      </w:r>
      <w:r>
        <w:fldChar w:fldCharType="separate"/>
      </w:r>
      <w:r w:rsidR="00052DE4" w:rsidRPr="00052DE4">
        <w:rPr>
          <w:rFonts w:ascii="Times New Roman" w:hAnsi="Times New Roman" w:cs="Times New Roman"/>
          <w:noProof/>
        </w:rPr>
        <w:t xml:space="preserve">Bank, Claudia, Ryan T. Hietpas, Alex Wong, Daniel N. A. Bolon, and Jeffrey D. Jensen. 2014. “A Bayesian MCMC Approach To Assess the Complete Distribution of Fitness Effects of New Mutations: Uncovering the Potential for Adaptive Walks in Challenging Environments.” </w:t>
      </w:r>
      <w:r w:rsidR="00052DE4" w:rsidRPr="00052DE4">
        <w:rPr>
          <w:rFonts w:ascii="Times New Roman" w:hAnsi="Times New Roman" w:cs="Times New Roman"/>
          <w:i/>
          <w:iCs/>
          <w:noProof/>
        </w:rPr>
        <w:t>Genetics</w:t>
      </w:r>
      <w:r w:rsidR="00052DE4" w:rsidRPr="00052DE4">
        <w:rPr>
          <w:rFonts w:ascii="Times New Roman" w:hAnsi="Times New Roman" w:cs="Times New Roman"/>
          <w:noProof/>
        </w:rPr>
        <w:t xml:space="preserve"> 196 (3) (January 7): 1–35. doi:10.1534/genetics.113.156190.</w:t>
      </w:r>
    </w:p>
    <w:p w14:paraId="63356264"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Baranyi, József. 1997. “Simple Is Good as Long as It Is Enough.” </w:t>
      </w:r>
      <w:r w:rsidRPr="00052DE4">
        <w:rPr>
          <w:rFonts w:ascii="Times New Roman" w:hAnsi="Times New Roman" w:cs="Times New Roman"/>
          <w:i/>
          <w:iCs/>
          <w:noProof/>
        </w:rPr>
        <w:t>Commentary</w:t>
      </w:r>
      <w:r w:rsidRPr="00052DE4">
        <w:rPr>
          <w:rFonts w:ascii="Times New Roman" w:hAnsi="Times New Roman" w:cs="Times New Roman"/>
          <w:noProof/>
        </w:rPr>
        <w:t xml:space="preserve"> (1996): 391–394. doi:10.1006/fmic.1996.0080.</w:t>
      </w:r>
    </w:p>
    <w:p w14:paraId="120C75A4"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Baranyi, József, and Terry a. Roberts. 1994. “A Dynamic Approach to Predicting Bacterial Growth in Food.” </w:t>
      </w:r>
      <w:r w:rsidRPr="00052DE4">
        <w:rPr>
          <w:rFonts w:ascii="Times New Roman" w:hAnsi="Times New Roman" w:cs="Times New Roman"/>
          <w:i/>
          <w:iCs/>
          <w:noProof/>
        </w:rPr>
        <w:t>International Journal of Food Microbiology</w:t>
      </w:r>
      <w:r w:rsidRPr="00052DE4">
        <w:rPr>
          <w:rFonts w:ascii="Times New Roman" w:hAnsi="Times New Roman" w:cs="Times New Roman"/>
          <w:noProof/>
        </w:rPr>
        <w:t xml:space="preserve"> 23: 277–294. doi:10.1016/0168-1605(94)90157-0.</w:t>
      </w:r>
    </w:p>
    <w:p w14:paraId="0309C9DB"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Bell, Graham. 2010. “Experimental Genomics of Fitness in Yeast.” </w:t>
      </w:r>
      <w:r w:rsidRPr="00052DE4">
        <w:rPr>
          <w:rFonts w:ascii="Times New Roman" w:hAnsi="Times New Roman" w:cs="Times New Roman"/>
          <w:i/>
          <w:iCs/>
          <w:noProof/>
        </w:rPr>
        <w:t>Proceedings of the Royal Society B: Biological Sciences</w:t>
      </w:r>
      <w:r w:rsidRPr="00052DE4">
        <w:rPr>
          <w:rFonts w:ascii="Times New Roman" w:hAnsi="Times New Roman" w:cs="Times New Roman"/>
          <w:noProof/>
        </w:rPr>
        <w:t xml:space="preserve"> 277 (1687) (May 22): 1459–1467. doi:10.1098/rspb.2009.2099.</w:t>
      </w:r>
    </w:p>
    <w:p w14:paraId="29918FA8"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Chevin, Luis-Miguel. 2011. “On Measuring Selection in Experimental Evolution.” </w:t>
      </w:r>
      <w:r w:rsidRPr="00052DE4">
        <w:rPr>
          <w:rFonts w:ascii="Times New Roman" w:hAnsi="Times New Roman" w:cs="Times New Roman"/>
          <w:i/>
          <w:iCs/>
          <w:noProof/>
        </w:rPr>
        <w:t>Biology Letters</w:t>
      </w:r>
      <w:r w:rsidRPr="00052DE4">
        <w:rPr>
          <w:rFonts w:ascii="Times New Roman" w:hAnsi="Times New Roman" w:cs="Times New Roman"/>
          <w:noProof/>
        </w:rPr>
        <w:t xml:space="preserve"> 7 (2) (April 23): 210–3. doi:10.1098/rsbl.2010.0580.</w:t>
      </w:r>
    </w:p>
    <w:p w14:paraId="5040E33E"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Clark, Francis, Barry W Brook, Steven Delean, H Reşit Akçakaya, and Corey J. A. Bradshaw. 2010. “The Theta-Logistic Is Unreliable for Modelling Most Census Data.” </w:t>
      </w:r>
      <w:r w:rsidRPr="00052DE4">
        <w:rPr>
          <w:rFonts w:ascii="Times New Roman" w:hAnsi="Times New Roman" w:cs="Times New Roman"/>
          <w:i/>
          <w:iCs/>
          <w:noProof/>
        </w:rPr>
        <w:t>Methods in Ecology and Evolution</w:t>
      </w:r>
      <w:r w:rsidRPr="00052DE4">
        <w:rPr>
          <w:rFonts w:ascii="Times New Roman" w:hAnsi="Times New Roman" w:cs="Times New Roman"/>
          <w:noProof/>
        </w:rPr>
        <w:t xml:space="preserve"> 1 (3): 253–262. doi:10.1111/j.2041-210X.2010.00029.x.</w:t>
      </w:r>
    </w:p>
    <w:p w14:paraId="645AAFBE"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Concepción-Acevedo, Jeniffer, Howard N. Weiss, Waqas Nasir Chaudhry, and Bruce R. Levin. 2015. “Malthusian Parameters as Estimators of the Fitness of Microbes: A Cautionary Tale about the Low Side of High Throughput.” </w:t>
      </w:r>
      <w:r w:rsidRPr="00052DE4">
        <w:rPr>
          <w:rFonts w:ascii="Times New Roman" w:hAnsi="Times New Roman" w:cs="Times New Roman"/>
          <w:i/>
          <w:iCs/>
          <w:noProof/>
        </w:rPr>
        <w:t>Plos One</w:t>
      </w:r>
      <w:r w:rsidRPr="00052DE4">
        <w:rPr>
          <w:rFonts w:ascii="Times New Roman" w:hAnsi="Times New Roman" w:cs="Times New Roman"/>
          <w:noProof/>
        </w:rPr>
        <w:t xml:space="preserve"> 10 (6): e0126915. doi:10.1371/journal.pone.0126915.</w:t>
      </w:r>
    </w:p>
    <w:p w14:paraId="0614ED49"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Crow, James F., and Motoo Kimura. 1970. </w:t>
      </w:r>
      <w:r w:rsidRPr="00052DE4">
        <w:rPr>
          <w:rFonts w:ascii="Times New Roman" w:hAnsi="Times New Roman" w:cs="Times New Roman"/>
          <w:i/>
          <w:iCs/>
          <w:noProof/>
        </w:rPr>
        <w:t>An Introduction to Population Genetics Theory</w:t>
      </w:r>
      <w:r w:rsidRPr="00052DE4">
        <w:rPr>
          <w:rFonts w:ascii="Times New Roman" w:hAnsi="Times New Roman" w:cs="Times New Roman"/>
          <w:noProof/>
        </w:rPr>
        <w:t>. Minneapolis: Burgess Pub. Co.</w:t>
      </w:r>
    </w:p>
    <w:p w14:paraId="6BDFB427"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Dilao, Rui, and Tiago Domingos. 1999. “A General Approach to the Modelling of Trophic Chains.” </w:t>
      </w:r>
      <w:r w:rsidRPr="00052DE4">
        <w:rPr>
          <w:rFonts w:ascii="Times New Roman" w:hAnsi="Times New Roman" w:cs="Times New Roman"/>
          <w:i/>
          <w:iCs/>
          <w:noProof/>
        </w:rPr>
        <w:t>Ecological Modelling</w:t>
      </w:r>
      <w:r w:rsidRPr="00052DE4">
        <w:rPr>
          <w:rFonts w:ascii="Times New Roman" w:hAnsi="Times New Roman" w:cs="Times New Roman"/>
          <w:noProof/>
        </w:rPr>
        <w:t xml:space="preserve"> 132 (3): 20. doi:10.1016/S0304-3800(00)00272-6.</w:t>
      </w:r>
    </w:p>
    <w:p w14:paraId="000F2393"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Gallet, Romain, Tim F Cooper, Santiago F Elena, and Thomas Lenormand. 2012a. “Measuring Selection Coefficients below 10-3: Method, Questions, and Prospects.” </w:t>
      </w:r>
      <w:r w:rsidRPr="00052DE4">
        <w:rPr>
          <w:rFonts w:ascii="Times New Roman" w:hAnsi="Times New Roman" w:cs="Times New Roman"/>
          <w:i/>
          <w:iCs/>
          <w:noProof/>
        </w:rPr>
        <w:t>Genetics</w:t>
      </w:r>
      <w:r w:rsidRPr="00052DE4">
        <w:rPr>
          <w:rFonts w:ascii="Times New Roman" w:hAnsi="Times New Roman" w:cs="Times New Roman"/>
          <w:noProof/>
        </w:rPr>
        <w:t xml:space="preserve"> 190 (1) (January): 175–86. doi:10.1534/genetics.111.133454.</w:t>
      </w:r>
    </w:p>
    <w:p w14:paraId="5FD464FD"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Gallet, Romain, Tim F. Cooper, Santiago F. Elena, and Thomas Lenormand. 2012b. “Measuring Selection Coefficients below 10</w:t>
      </w:r>
      <w:r w:rsidRPr="00052DE4">
        <w:rPr>
          <w:rFonts w:ascii="Times New Roman" w:hAnsi="Times New Roman" w:cs="Times New Roman"/>
          <w:noProof/>
          <w:vertAlign w:val="superscript"/>
        </w:rPr>
        <w:t>-3</w:t>
      </w:r>
      <w:r w:rsidRPr="00052DE4">
        <w:rPr>
          <w:rFonts w:ascii="Times New Roman" w:hAnsi="Times New Roman" w:cs="Times New Roman"/>
          <w:noProof/>
        </w:rPr>
        <w:t xml:space="preserve">: Method, Questions, and Prospects.” </w:t>
      </w:r>
      <w:r w:rsidRPr="00052DE4">
        <w:rPr>
          <w:rFonts w:ascii="Times New Roman" w:hAnsi="Times New Roman" w:cs="Times New Roman"/>
          <w:i/>
          <w:iCs/>
          <w:noProof/>
        </w:rPr>
        <w:t>Genetics</w:t>
      </w:r>
      <w:r w:rsidRPr="00052DE4">
        <w:rPr>
          <w:rFonts w:ascii="Times New Roman" w:hAnsi="Times New Roman" w:cs="Times New Roman"/>
          <w:noProof/>
        </w:rPr>
        <w:t xml:space="preserve"> 190 (1) (January): 175–86. doi:10.1534/genetics.111.133454.</w:t>
      </w:r>
    </w:p>
    <w:p w14:paraId="72332CA7"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Ge, Yongchao, and Stuart C. Sealfon. 2012. “flowPeaks: A Fast Unsupervised Clustering for Flow Cytometry Data via K-Means and Density Peak Finding.” </w:t>
      </w:r>
      <w:r w:rsidRPr="00052DE4">
        <w:rPr>
          <w:rFonts w:ascii="Times New Roman" w:hAnsi="Times New Roman" w:cs="Times New Roman"/>
          <w:i/>
          <w:iCs/>
          <w:noProof/>
        </w:rPr>
        <w:t>Bioinformatics</w:t>
      </w:r>
      <w:r w:rsidRPr="00052DE4">
        <w:rPr>
          <w:rFonts w:ascii="Times New Roman" w:hAnsi="Times New Roman" w:cs="Times New Roman"/>
          <w:noProof/>
        </w:rPr>
        <w:t xml:space="preserve"> 28 (15) (August 1): 2052–2058. doi:10.1093/bioinformatics/bts300.</w:t>
      </w:r>
    </w:p>
    <w:p w14:paraId="3044FBFA"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Gilpin, Michael E., and Francisco J. Ayala. 1973. “Global Models of Growth and Competition.” </w:t>
      </w:r>
      <w:r w:rsidRPr="00052DE4">
        <w:rPr>
          <w:rFonts w:ascii="Times New Roman" w:hAnsi="Times New Roman" w:cs="Times New Roman"/>
          <w:i/>
          <w:iCs/>
          <w:noProof/>
        </w:rPr>
        <w:t>Proceedings of the National Academy of Sciences of the United States of America</w:t>
      </w:r>
      <w:r w:rsidRPr="00052DE4">
        <w:rPr>
          <w:rFonts w:ascii="Times New Roman" w:hAnsi="Times New Roman" w:cs="Times New Roman"/>
          <w:noProof/>
        </w:rPr>
        <w:t xml:space="preserve"> 70 (12 Pt 1-2): 3590–3593. doi:10.1073/pnas.70.12.3590.</w:t>
      </w:r>
    </w:p>
    <w:p w14:paraId="618382A8"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Gopalsamy, K. 1986. “Convergence in a Resource-Based Competition System.” </w:t>
      </w:r>
      <w:r w:rsidRPr="00052DE4">
        <w:rPr>
          <w:rFonts w:ascii="Times New Roman" w:hAnsi="Times New Roman" w:cs="Times New Roman"/>
          <w:i/>
          <w:iCs/>
          <w:noProof/>
        </w:rPr>
        <w:t>Bulletin of Mathematical Biology</w:t>
      </w:r>
      <w:r w:rsidRPr="00052DE4">
        <w:rPr>
          <w:rFonts w:ascii="Times New Roman" w:hAnsi="Times New Roman" w:cs="Times New Roman"/>
          <w:noProof/>
        </w:rPr>
        <w:t xml:space="preserve"> 48 (5-6): 681–699. doi:10.1016/S0092-8240(86)90014-5.</w:t>
      </w:r>
    </w:p>
    <w:p w14:paraId="0D3842E6"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Hall, Barry G., Hande Acar, Anna Nandipati, and Miriam Barlow. 2014. “Growth Rates Made Easy.” </w:t>
      </w:r>
      <w:r w:rsidRPr="00052DE4">
        <w:rPr>
          <w:rFonts w:ascii="Times New Roman" w:hAnsi="Times New Roman" w:cs="Times New Roman"/>
          <w:i/>
          <w:iCs/>
          <w:noProof/>
        </w:rPr>
        <w:t>Molecular Biology and Evolution</w:t>
      </w:r>
      <w:r w:rsidRPr="00052DE4">
        <w:rPr>
          <w:rFonts w:ascii="Times New Roman" w:hAnsi="Times New Roman" w:cs="Times New Roman"/>
          <w:noProof/>
        </w:rPr>
        <w:t xml:space="preserve"> 31 (1): 232–238. doi:10.1093/molbev/mst187.</w:t>
      </w:r>
    </w:p>
    <w:p w14:paraId="426B1931"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Hegreness, Matthew, Noam Shoresh, Daniel L. Hartl, and Roy Kishony. 2006. “An Equivalence Principle for the Incorporation of Favorable Mutations in Asexual Populations.” </w:t>
      </w:r>
      <w:r w:rsidRPr="00052DE4">
        <w:rPr>
          <w:rFonts w:ascii="Times New Roman" w:hAnsi="Times New Roman" w:cs="Times New Roman"/>
          <w:i/>
          <w:iCs/>
          <w:noProof/>
        </w:rPr>
        <w:t>Science</w:t>
      </w:r>
      <w:r w:rsidRPr="00052DE4">
        <w:rPr>
          <w:rFonts w:ascii="Times New Roman" w:hAnsi="Times New Roman" w:cs="Times New Roman"/>
          <w:noProof/>
        </w:rPr>
        <w:t xml:space="preserve"> 311 (5767) (March): 1615–7. doi:10.1126/science.1122469.</w:t>
      </w:r>
    </w:p>
    <w:p w14:paraId="21B24A04"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Hibbing, Michael E, Clay Fuqua, Matthew R Parsek, and S Brook Peterson. 2010. “Bacterial Competition: Surviving and Thriving in the Microbial Jungle.” </w:t>
      </w:r>
      <w:r w:rsidRPr="00052DE4">
        <w:rPr>
          <w:rFonts w:ascii="Times New Roman" w:hAnsi="Times New Roman" w:cs="Times New Roman"/>
          <w:i/>
          <w:iCs/>
          <w:noProof/>
        </w:rPr>
        <w:t>Nature Reviews. Microbiology</w:t>
      </w:r>
      <w:r w:rsidRPr="00052DE4">
        <w:rPr>
          <w:rFonts w:ascii="Times New Roman" w:hAnsi="Times New Roman" w:cs="Times New Roman"/>
          <w:noProof/>
        </w:rPr>
        <w:t xml:space="preserve"> 8 (1): 15–25. doi:10.1038/nrmicro2259.</w:t>
      </w:r>
    </w:p>
    <w:p w14:paraId="4FCE2D6E"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Hunter, John D. 2007. “Matplotlib: A 2D Graphics Environment.” </w:t>
      </w:r>
      <w:r w:rsidRPr="00052DE4">
        <w:rPr>
          <w:rFonts w:ascii="Times New Roman" w:hAnsi="Times New Roman" w:cs="Times New Roman"/>
          <w:i/>
          <w:iCs/>
          <w:noProof/>
        </w:rPr>
        <w:t>Computing in Science &amp; Engineering</w:t>
      </w:r>
      <w:r w:rsidRPr="00052DE4">
        <w:rPr>
          <w:rFonts w:ascii="Times New Roman" w:hAnsi="Times New Roman" w:cs="Times New Roman"/>
          <w:noProof/>
        </w:rPr>
        <w:t xml:space="preserve"> 9 (3): 90–95. doi:10.1109/MCSE.2007.55.</w:t>
      </w:r>
    </w:p>
    <w:p w14:paraId="33B1B4B8"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Jones, Eric, Travis Oliphant, Pearu Peterson, and others. 2001. “SciPy: Open Source Scientific Tools for Python.” http://www.scipy.org/.</w:t>
      </w:r>
    </w:p>
    <w:p w14:paraId="436ED5EE"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Kass, Robert, and Adrian Raftery. 1995. “Bayes Factors.” </w:t>
      </w:r>
      <w:r w:rsidRPr="00052DE4">
        <w:rPr>
          <w:rFonts w:ascii="Times New Roman" w:hAnsi="Times New Roman" w:cs="Times New Roman"/>
          <w:i/>
          <w:iCs/>
          <w:noProof/>
        </w:rPr>
        <w:t>Journal of the American Statistical Association</w:t>
      </w:r>
      <w:r w:rsidRPr="00052DE4">
        <w:rPr>
          <w:rFonts w:ascii="Times New Roman" w:hAnsi="Times New Roman" w:cs="Times New Roman"/>
          <w:noProof/>
        </w:rPr>
        <w:t>: 773–795. doi:doi: 10.2307/2291091.</w:t>
      </w:r>
    </w:p>
    <w:p w14:paraId="0E11D232"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Levy, Sasha F., Jamie R. Blundell, Sandeep Venkataram, Dmitri A Petrov, Daniel S. Fisher, and Gavin Sherlock. 2015. “Quantitative Evolutionary Dynamics Using High-Resolution Lineage Tracking.” </w:t>
      </w:r>
      <w:r w:rsidRPr="00052DE4">
        <w:rPr>
          <w:rFonts w:ascii="Times New Roman" w:hAnsi="Times New Roman" w:cs="Times New Roman"/>
          <w:i/>
          <w:iCs/>
          <w:noProof/>
        </w:rPr>
        <w:t>Nature</w:t>
      </w:r>
      <w:r w:rsidRPr="00052DE4">
        <w:rPr>
          <w:rFonts w:ascii="Times New Roman" w:hAnsi="Times New Roman" w:cs="Times New Roman"/>
          <w:noProof/>
        </w:rPr>
        <w:t xml:space="preserve"> 519 (7542) (February 25): 181–186. doi:10.1038/nature14279.</w:t>
      </w:r>
    </w:p>
    <w:p w14:paraId="5CB98D9F"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Masel, Joanna. 2014. “Eco-Evolutionary ‘Fitness’ in 3 Dimensions: Absolute Growth, Absolute Efficiency, and Relative Competitiveness.” Populations and Evolution. </w:t>
      </w:r>
      <w:r w:rsidRPr="00052DE4">
        <w:rPr>
          <w:rFonts w:ascii="Times New Roman" w:hAnsi="Times New Roman" w:cs="Times New Roman"/>
          <w:i/>
          <w:iCs/>
          <w:noProof/>
        </w:rPr>
        <w:t>arXiv:1407.1024v3</w:t>
      </w:r>
      <w:r w:rsidRPr="00052DE4">
        <w:rPr>
          <w:rFonts w:ascii="Times New Roman" w:hAnsi="Times New Roman" w:cs="Times New Roman"/>
          <w:noProof/>
        </w:rPr>
        <w:t xml:space="preserve"> (July): 1–44.</w:t>
      </w:r>
    </w:p>
    <w:p w14:paraId="557AF536"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McKinney, Wes. 2010. “Data Structures for Statistical Computing in Python.” In </w:t>
      </w:r>
      <w:r w:rsidRPr="00052DE4">
        <w:rPr>
          <w:rFonts w:ascii="Times New Roman" w:hAnsi="Times New Roman" w:cs="Times New Roman"/>
          <w:i/>
          <w:iCs/>
          <w:noProof/>
        </w:rPr>
        <w:t>Proceedings of the 9th Python in Science Conference</w:t>
      </w:r>
      <w:r w:rsidRPr="00052DE4">
        <w:rPr>
          <w:rFonts w:ascii="Times New Roman" w:hAnsi="Times New Roman" w:cs="Times New Roman"/>
          <w:noProof/>
        </w:rPr>
        <w:t>, edited by Stéfan van der Walt and Jarrod Millman, 51–56.</w:t>
      </w:r>
    </w:p>
    <w:p w14:paraId="691DFA65"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Monod, Jacques. 1949. “The Growth of Bacterial Cultures.” </w:t>
      </w:r>
      <w:r w:rsidRPr="00052DE4">
        <w:rPr>
          <w:rFonts w:ascii="Times New Roman" w:hAnsi="Times New Roman" w:cs="Times New Roman"/>
          <w:i/>
          <w:iCs/>
          <w:noProof/>
        </w:rPr>
        <w:t>Annual Review of Microbiology</w:t>
      </w:r>
      <w:r w:rsidRPr="00052DE4">
        <w:rPr>
          <w:rFonts w:ascii="Times New Roman" w:hAnsi="Times New Roman" w:cs="Times New Roman"/>
          <w:noProof/>
        </w:rPr>
        <w:t xml:space="preserve"> 3 (1): 371–394. doi:10.1146/annurev.mi.03.100149.002103.</w:t>
      </w:r>
    </w:p>
    <w:p w14:paraId="3E1BF678"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Newville, Matthew, Antonino Ingargiola, Till Stensitzki, and Daniel B. Allen. 2014. “LMFIT: Non-Linear Least-Square Minimization and Curve-Fitting for Python” (September 21). doi:10.5281/zenodo.11813.</w:t>
      </w:r>
    </w:p>
    <w:p w14:paraId="51CB2426"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Otto, Sarah P., and Troy Day. 2007. </w:t>
      </w:r>
      <w:r w:rsidRPr="00052DE4">
        <w:rPr>
          <w:rFonts w:ascii="Times New Roman" w:hAnsi="Times New Roman" w:cs="Times New Roman"/>
          <w:i/>
          <w:iCs/>
          <w:noProof/>
        </w:rPr>
        <w:t>A Biologist’s Guide to Mathematical Modeling in Ecology and Evolution</w:t>
      </w:r>
      <w:r w:rsidRPr="00052DE4">
        <w:rPr>
          <w:rFonts w:ascii="Times New Roman" w:hAnsi="Times New Roman" w:cs="Times New Roman"/>
          <w:noProof/>
        </w:rPr>
        <w:t>. Princeton University Press.</w:t>
      </w:r>
    </w:p>
    <w:p w14:paraId="79369560"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Pearl, Raymond. 1927. “The Growth of Populations.” </w:t>
      </w:r>
      <w:r w:rsidRPr="00052DE4">
        <w:rPr>
          <w:rFonts w:ascii="Times New Roman" w:hAnsi="Times New Roman" w:cs="Times New Roman"/>
          <w:i/>
          <w:iCs/>
          <w:noProof/>
        </w:rPr>
        <w:t>The Quarterly Review of Biology</w:t>
      </w:r>
      <w:r w:rsidRPr="00052DE4">
        <w:rPr>
          <w:rFonts w:ascii="Times New Roman" w:hAnsi="Times New Roman" w:cs="Times New Roman"/>
          <w:noProof/>
        </w:rPr>
        <w:t xml:space="preserve"> 2 (4): 532–548.</w:t>
      </w:r>
    </w:p>
    <w:p w14:paraId="3E0D8055"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Pedregosa, F, G Varoquaux, A Gramfort, V Michel, B Thirion, O Grisel, M Blondel, et al. 2011. “Scikit-Learn: Machine Learning in {P}ython.” </w:t>
      </w:r>
      <w:r w:rsidRPr="00052DE4">
        <w:rPr>
          <w:rFonts w:ascii="Times New Roman" w:hAnsi="Times New Roman" w:cs="Times New Roman"/>
          <w:i/>
          <w:iCs/>
          <w:noProof/>
        </w:rPr>
        <w:t>Journal of Machine Learning Research</w:t>
      </w:r>
      <w:r w:rsidRPr="00052DE4">
        <w:rPr>
          <w:rFonts w:ascii="Times New Roman" w:hAnsi="Times New Roman" w:cs="Times New Roman"/>
          <w:noProof/>
        </w:rPr>
        <w:t xml:space="preserve"> 12: 2825–2830.</w:t>
      </w:r>
    </w:p>
    <w:p w14:paraId="27010B7B"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Perez, Fernando, and Brian E. Granger. 2007. “IPython: A System for Interactive Scientific Computing.” </w:t>
      </w:r>
      <w:r w:rsidRPr="00052DE4">
        <w:rPr>
          <w:rFonts w:ascii="Times New Roman" w:hAnsi="Times New Roman" w:cs="Times New Roman"/>
          <w:i/>
          <w:iCs/>
          <w:noProof/>
        </w:rPr>
        <w:t>Computing in Science &amp; Engineering</w:t>
      </w:r>
      <w:r w:rsidRPr="00052DE4">
        <w:rPr>
          <w:rFonts w:ascii="Times New Roman" w:hAnsi="Times New Roman" w:cs="Times New Roman"/>
          <w:noProof/>
        </w:rPr>
        <w:t xml:space="preserve"> 9 (3): 21–29. doi:10.1109/MCSE.2007.53.</w:t>
      </w:r>
    </w:p>
    <w:p w14:paraId="6E2235E9"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R Development Core Team. 2012. “R: A Language and Environment for Statistical Computing.” Vienna, Austria.</w:t>
      </w:r>
    </w:p>
    <w:p w14:paraId="317B2FBF"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Richards, F. J. 1959. “A Flexible Growth Function for Empirical Use.” </w:t>
      </w:r>
      <w:r w:rsidRPr="00052DE4">
        <w:rPr>
          <w:rFonts w:ascii="Times New Roman" w:hAnsi="Times New Roman" w:cs="Times New Roman"/>
          <w:i/>
          <w:iCs/>
          <w:noProof/>
        </w:rPr>
        <w:t>Journal of Experimental Botany</w:t>
      </w:r>
      <w:r w:rsidRPr="00052DE4">
        <w:rPr>
          <w:rFonts w:ascii="Times New Roman" w:hAnsi="Times New Roman" w:cs="Times New Roman"/>
          <w:noProof/>
        </w:rPr>
        <w:t xml:space="preserve"> 10 (2): 290–301. doi:10.1093/jxb/10.2.290.</w:t>
      </w:r>
    </w:p>
    <w:p w14:paraId="5DE36EDA"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SymPy Development Team. 2014. “SymPy: Python Library for Symbolic Mathematics.”</w:t>
      </w:r>
    </w:p>
    <w:p w14:paraId="7920916F"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van der Walt, Stéfan, S Chris Colbert, and Gaël Varoquaux. 2011. “The NumPy Array: A Structure for Efficient Numerical Computation.” </w:t>
      </w:r>
      <w:r w:rsidRPr="00052DE4">
        <w:rPr>
          <w:rFonts w:ascii="Times New Roman" w:hAnsi="Times New Roman" w:cs="Times New Roman"/>
          <w:i/>
          <w:iCs/>
          <w:noProof/>
        </w:rPr>
        <w:t>Computing in Science &amp; Engineering</w:t>
      </w:r>
      <w:r w:rsidRPr="00052DE4">
        <w:rPr>
          <w:rFonts w:ascii="Times New Roman" w:hAnsi="Times New Roman" w:cs="Times New Roman"/>
          <w:noProof/>
        </w:rPr>
        <w:t xml:space="preserve"> 13 (2) (March): 22–30. doi:10.1109/MCSE.2011.37.</w:t>
      </w:r>
    </w:p>
    <w:p w14:paraId="71785345"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Van Rossum, Guido, and others. 2007. “Python Programming Language.” In </w:t>
      </w:r>
      <w:r w:rsidRPr="00052DE4">
        <w:rPr>
          <w:rFonts w:ascii="Times New Roman" w:hAnsi="Times New Roman" w:cs="Times New Roman"/>
          <w:i/>
          <w:iCs/>
          <w:noProof/>
        </w:rPr>
        <w:t>USENIX Annual Technical Conference</w:t>
      </w:r>
      <w:r w:rsidRPr="00052DE4">
        <w:rPr>
          <w:rFonts w:ascii="Times New Roman" w:hAnsi="Times New Roman" w:cs="Times New Roman"/>
          <w:noProof/>
        </w:rPr>
        <w:t>.</w:t>
      </w:r>
    </w:p>
    <w:p w14:paraId="301F7953"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Verhulst, Pierre-François. 1838. “Notice Sur La Loi Que La Population Suit Dans Son Accroissement. Correspondance Mathématique et Physique Publiée Par A.” </w:t>
      </w:r>
      <w:r w:rsidRPr="00052DE4">
        <w:rPr>
          <w:rFonts w:ascii="Times New Roman" w:hAnsi="Times New Roman" w:cs="Times New Roman"/>
          <w:i/>
          <w:iCs/>
          <w:noProof/>
        </w:rPr>
        <w:t>Quetelet</w:t>
      </w:r>
      <w:r w:rsidRPr="00052DE4">
        <w:rPr>
          <w:rFonts w:ascii="Times New Roman" w:hAnsi="Times New Roman" w:cs="Times New Roman"/>
          <w:noProof/>
        </w:rPr>
        <w:t xml:space="preserve"> 10: 113–121.</w:t>
      </w:r>
    </w:p>
    <w:p w14:paraId="427E3759"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Ward, Eric J. 2008. “A Review and Comparison of Four Commonly Used Bayesian and Maximum Likelihood Model Selection Tools.” </w:t>
      </w:r>
      <w:r w:rsidRPr="00052DE4">
        <w:rPr>
          <w:rFonts w:ascii="Times New Roman" w:hAnsi="Times New Roman" w:cs="Times New Roman"/>
          <w:i/>
          <w:iCs/>
          <w:noProof/>
        </w:rPr>
        <w:t>Ecological Modelling</w:t>
      </w:r>
      <w:r w:rsidRPr="00052DE4">
        <w:rPr>
          <w:rFonts w:ascii="Times New Roman" w:hAnsi="Times New Roman" w:cs="Times New Roman"/>
          <w:noProof/>
        </w:rPr>
        <w:t xml:space="preserve"> 211 (1-2): 1–10. doi:10.1016/j.ecolmodel.2007.10.030.</w:t>
      </w:r>
    </w:p>
    <w:p w14:paraId="7F1E3522"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Waskom, Michael, Olga Botvinnik, Paul Hobson, Jordi Warmenhoven, John B Cole, Yaroslav Halchenko, Jake Vanderplas, et al. 2015. “Seaborn: v0.6.0 (June 2015).” doi:10.5281/zenodo.19108.</w:t>
      </w:r>
    </w:p>
    <w:p w14:paraId="44E95775"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Wiser, Michael J, and Richard E. Lenski. 2015. “A Comparison of Methods to Measure Fitness in </w:t>
      </w:r>
      <w:r w:rsidRPr="00052DE4">
        <w:rPr>
          <w:rFonts w:ascii="Times New Roman" w:hAnsi="Times New Roman" w:cs="Times New Roman"/>
          <w:i/>
          <w:iCs/>
          <w:noProof/>
        </w:rPr>
        <w:t>Escherichia Coli</w:t>
      </w:r>
      <w:r w:rsidRPr="00052DE4">
        <w:rPr>
          <w:rFonts w:ascii="Times New Roman" w:hAnsi="Times New Roman" w:cs="Times New Roman"/>
          <w:noProof/>
        </w:rPr>
        <w:t xml:space="preserve">.” </w:t>
      </w:r>
      <w:r w:rsidRPr="00052DE4">
        <w:rPr>
          <w:rFonts w:ascii="Times New Roman" w:hAnsi="Times New Roman" w:cs="Times New Roman"/>
          <w:i/>
          <w:iCs/>
          <w:noProof/>
        </w:rPr>
        <w:t>PLOS ONE</w:t>
      </w:r>
      <w:r w:rsidRPr="00052DE4">
        <w:rPr>
          <w:rFonts w:ascii="Times New Roman" w:hAnsi="Times New Roman" w:cs="Times New Roman"/>
          <w:noProof/>
        </w:rPr>
        <w:t xml:space="preserve"> 10 (5): e0126210. doi:10.1371/journal.pone.0126210.</w:t>
      </w:r>
    </w:p>
    <w:p w14:paraId="46CCF1F4"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Yurtsev, Eugene A., Hui Xiao Chao, Manoshi S. Datta, Tatiana Artemova, and Jeff Gore. 2013. “Bacterial Cheating Drives the Population Dynamics of Cooperative Antibiotic Resistance Plasmids.” </w:t>
      </w:r>
      <w:r w:rsidRPr="00052DE4">
        <w:rPr>
          <w:rFonts w:ascii="Times New Roman" w:hAnsi="Times New Roman" w:cs="Times New Roman"/>
          <w:i/>
          <w:iCs/>
          <w:noProof/>
        </w:rPr>
        <w:t>Molecular Systems Biology</w:t>
      </w:r>
      <w:r w:rsidRPr="00052DE4">
        <w:rPr>
          <w:rFonts w:ascii="Times New Roman" w:hAnsi="Times New Roman" w:cs="Times New Roman"/>
          <w:noProof/>
        </w:rPr>
        <w:t xml:space="preserve"> 9 (683): 683. doi:10.1038/msb.2013.39.</w:t>
      </w:r>
    </w:p>
    <w:p w14:paraId="3F6AFE4C" w14:textId="77777777" w:rsidR="00052DE4" w:rsidRPr="00052DE4" w:rsidRDefault="00052DE4" w:rsidP="00052DE4">
      <w:pPr>
        <w:widowControl w:val="0"/>
        <w:autoSpaceDE w:val="0"/>
        <w:autoSpaceDN w:val="0"/>
        <w:adjustRightInd w:val="0"/>
        <w:spacing w:before="100" w:after="100"/>
        <w:ind w:left="480" w:hanging="480"/>
        <w:rPr>
          <w:rFonts w:ascii="Times New Roman" w:hAnsi="Times New Roman" w:cs="Times New Roman"/>
          <w:noProof/>
        </w:rPr>
      </w:pPr>
      <w:r w:rsidRPr="00052DE4">
        <w:rPr>
          <w:rFonts w:ascii="Times New Roman" w:hAnsi="Times New Roman" w:cs="Times New Roman"/>
          <w:noProof/>
        </w:rPr>
        <w:t xml:space="preserve">Zelcbuch, L., N. Antonovsky, A. Bar-Even, A. Levin-Karp, U. Barenholz, M. Dayagi, W. Liebermeister, et al. 2013. “Spanning High-Dimensional Expression Space Using Ribosome-Binding Site Combinatorics.” </w:t>
      </w:r>
      <w:r w:rsidRPr="00052DE4">
        <w:rPr>
          <w:rFonts w:ascii="Times New Roman" w:hAnsi="Times New Roman" w:cs="Times New Roman"/>
          <w:i/>
          <w:iCs/>
          <w:noProof/>
        </w:rPr>
        <w:t>Nucleic Acids Research</w:t>
      </w:r>
      <w:r w:rsidRPr="00052DE4">
        <w:rPr>
          <w:rFonts w:ascii="Times New Roman" w:hAnsi="Times New Roman" w:cs="Times New Roman"/>
          <w:noProof/>
        </w:rPr>
        <w:t xml:space="preserve"> 41 (9): e98–e98. doi:10.1093/nar/gkt151.</w:t>
      </w:r>
    </w:p>
    <w:p w14:paraId="1D182A15" w14:textId="5987DB5C" w:rsidR="00BC14C2" w:rsidRPr="00BC14C2" w:rsidRDefault="00BC14C2" w:rsidP="00052DE4">
      <w:pPr>
        <w:widowControl w:val="0"/>
        <w:autoSpaceDE w:val="0"/>
        <w:autoSpaceDN w:val="0"/>
        <w:adjustRightInd w:val="0"/>
        <w:spacing w:before="100" w:after="100"/>
        <w:ind w:left="480" w:hanging="480"/>
      </w:pPr>
      <w:r>
        <w:fldChar w:fldCharType="end"/>
      </w:r>
    </w:p>
    <w:p w14:paraId="4313237F" w14:textId="77777777" w:rsidR="006E28DC" w:rsidRDefault="006E28DC" w:rsidP="00507681"/>
    <w:sectPr w:rsidR="006E28DC" w:rsidSect="00E95165">
      <w:headerReference w:type="even" r:id="rId18"/>
      <w:headerReference w:type="default" r:id="rId19"/>
      <w:footerReference w:type="even" r:id="rId20"/>
      <w:footerReference w:type="default" r:id="rId21"/>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4022D2" w14:textId="77777777" w:rsidR="00BF7152" w:rsidRDefault="00BF7152" w:rsidP="00A362F7">
      <w:r>
        <w:separator/>
      </w:r>
    </w:p>
  </w:endnote>
  <w:endnote w:type="continuationSeparator" w:id="0">
    <w:p w14:paraId="6CFC188D" w14:textId="77777777" w:rsidR="00BF7152" w:rsidRDefault="00BF7152" w:rsidP="00A36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551839"/>
      <w:docPartObj>
        <w:docPartGallery w:val="Page Numbers (Bottom of Page)"/>
        <w:docPartUnique/>
      </w:docPartObj>
    </w:sdtPr>
    <w:sdtEndPr>
      <w:rPr>
        <w:noProof/>
      </w:rPr>
    </w:sdtEndPr>
    <w:sdtContent>
      <w:p w14:paraId="5D5E4654" w14:textId="77777777" w:rsidR="00BF7152" w:rsidRDefault="00BF7152">
        <w:pPr>
          <w:pStyle w:val="Footer"/>
          <w:jc w:val="center"/>
        </w:pPr>
        <w:r>
          <w:fldChar w:fldCharType="begin"/>
        </w:r>
        <w:r>
          <w:instrText xml:space="preserve"> PAGE   \* MERGEFORMAT </w:instrText>
        </w:r>
        <w:r>
          <w:fldChar w:fldCharType="separate"/>
        </w:r>
        <w:r w:rsidR="00D042EE">
          <w:rPr>
            <w:noProof/>
          </w:rPr>
          <w:t>18</w:t>
        </w:r>
        <w:r>
          <w:rPr>
            <w:noProof/>
          </w:rPr>
          <w:fldChar w:fldCharType="end"/>
        </w:r>
      </w:p>
    </w:sdtContent>
  </w:sdt>
  <w:p w14:paraId="04BCEBB2" w14:textId="77777777" w:rsidR="00BF7152" w:rsidRDefault="00BF71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408124"/>
      <w:docPartObj>
        <w:docPartGallery w:val="Page Numbers (Bottom of Page)"/>
        <w:docPartUnique/>
      </w:docPartObj>
    </w:sdtPr>
    <w:sdtEndPr/>
    <w:sdtContent>
      <w:p w14:paraId="5822F1DC" w14:textId="77777777" w:rsidR="00BF7152" w:rsidRDefault="00BF7152" w:rsidP="00E95165">
        <w:pPr>
          <w:pStyle w:val="Footer"/>
          <w:jc w:val="center"/>
        </w:pPr>
        <w:r>
          <w:fldChar w:fldCharType="begin"/>
        </w:r>
        <w:r w:rsidRPr="00E95165">
          <w:instrText xml:space="preserve"> PAGE   \* MERGEFORMAT </w:instrText>
        </w:r>
        <w:r>
          <w:fldChar w:fldCharType="separate"/>
        </w:r>
        <w:r w:rsidR="00D042EE">
          <w:rPr>
            <w:noProof/>
          </w:rPr>
          <w:t>17</w:t>
        </w:r>
        <w:r>
          <w:rPr>
            <w:noProof/>
          </w:rPr>
          <w:fldChar w:fldCharType="end"/>
        </w:r>
      </w:p>
    </w:sdtContent>
  </w:sdt>
  <w:p w14:paraId="4FA56F78" w14:textId="77777777" w:rsidR="00BF7152" w:rsidRDefault="00BF7152" w:rsidP="00A362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5DF1D7" w14:textId="77777777" w:rsidR="00BF7152" w:rsidRDefault="00BF7152" w:rsidP="00A362F7">
      <w:r>
        <w:separator/>
      </w:r>
    </w:p>
  </w:footnote>
  <w:footnote w:type="continuationSeparator" w:id="0">
    <w:p w14:paraId="720B2685" w14:textId="77777777" w:rsidR="00BF7152" w:rsidRDefault="00BF7152" w:rsidP="00A362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41B3B3" w14:textId="77777777" w:rsidR="00BF7152" w:rsidRDefault="00BF7152" w:rsidP="00E95165">
    <w:pPr>
      <w:pStyle w:val="Header"/>
      <w:jc w:val="right"/>
    </w:pPr>
    <w:r w:rsidRPr="00E95165">
      <w:t>Predicting competitions from growth curves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3F5D7" w14:textId="77777777" w:rsidR="00BF7152" w:rsidRDefault="00BF7152" w:rsidP="00E95165">
    <w:pPr>
      <w:pStyle w:val="Header"/>
      <w:jc w:val="right"/>
    </w:pPr>
    <w:r>
      <w:t>Ram et al.,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07DDB"/>
    <w:multiLevelType w:val="hybridMultilevel"/>
    <w:tmpl w:val="267A6E0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mailMerge>
    <w:mainDocumentType w:val="email"/>
    <w:dataType w:val="textFile"/>
    <w:activeRecord w:val="-1"/>
    <w:odso/>
  </w:mailMerge>
  <w:defaultTabStop w:val="720"/>
  <w:evenAndOddHeaders/>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0D3"/>
    <w:rsid w:val="000030DF"/>
    <w:rsid w:val="0001424B"/>
    <w:rsid w:val="00016742"/>
    <w:rsid w:val="00022994"/>
    <w:rsid w:val="00030BD1"/>
    <w:rsid w:val="000363EF"/>
    <w:rsid w:val="00044070"/>
    <w:rsid w:val="00046A28"/>
    <w:rsid w:val="00051459"/>
    <w:rsid w:val="00052DE4"/>
    <w:rsid w:val="00060445"/>
    <w:rsid w:val="00063C37"/>
    <w:rsid w:val="00077B31"/>
    <w:rsid w:val="00086EFC"/>
    <w:rsid w:val="00090EE9"/>
    <w:rsid w:val="000945FA"/>
    <w:rsid w:val="00096923"/>
    <w:rsid w:val="000A12FF"/>
    <w:rsid w:val="000A2377"/>
    <w:rsid w:val="000A33E4"/>
    <w:rsid w:val="000A6BEB"/>
    <w:rsid w:val="000D1077"/>
    <w:rsid w:val="000D74D8"/>
    <w:rsid w:val="000E1107"/>
    <w:rsid w:val="000E4439"/>
    <w:rsid w:val="000F5388"/>
    <w:rsid w:val="001375D1"/>
    <w:rsid w:val="00145FE7"/>
    <w:rsid w:val="001539BA"/>
    <w:rsid w:val="00154E23"/>
    <w:rsid w:val="00155F9E"/>
    <w:rsid w:val="00176E5B"/>
    <w:rsid w:val="001779D8"/>
    <w:rsid w:val="00181262"/>
    <w:rsid w:val="00184154"/>
    <w:rsid w:val="001935CF"/>
    <w:rsid w:val="001A77CF"/>
    <w:rsid w:val="001D0A3F"/>
    <w:rsid w:val="001D6287"/>
    <w:rsid w:val="001D731C"/>
    <w:rsid w:val="001E3E51"/>
    <w:rsid w:val="001E63B9"/>
    <w:rsid w:val="001F25C6"/>
    <w:rsid w:val="00200E78"/>
    <w:rsid w:val="002065DF"/>
    <w:rsid w:val="00212934"/>
    <w:rsid w:val="002136EB"/>
    <w:rsid w:val="002168D9"/>
    <w:rsid w:val="00223CEC"/>
    <w:rsid w:val="00231A0D"/>
    <w:rsid w:val="00232E7C"/>
    <w:rsid w:val="00241CDA"/>
    <w:rsid w:val="0025255E"/>
    <w:rsid w:val="002545FB"/>
    <w:rsid w:val="00257515"/>
    <w:rsid w:val="00266364"/>
    <w:rsid w:val="00272B10"/>
    <w:rsid w:val="00292016"/>
    <w:rsid w:val="002B2CF9"/>
    <w:rsid w:val="002B4BAE"/>
    <w:rsid w:val="002D1BDB"/>
    <w:rsid w:val="002D32B9"/>
    <w:rsid w:val="002D33FF"/>
    <w:rsid w:val="002D3423"/>
    <w:rsid w:val="002D475F"/>
    <w:rsid w:val="003202F1"/>
    <w:rsid w:val="00321D10"/>
    <w:rsid w:val="00322C2A"/>
    <w:rsid w:val="003272F9"/>
    <w:rsid w:val="003363E0"/>
    <w:rsid w:val="00350EA0"/>
    <w:rsid w:val="003512A0"/>
    <w:rsid w:val="00353E9F"/>
    <w:rsid w:val="003578D2"/>
    <w:rsid w:val="00363107"/>
    <w:rsid w:val="00363F78"/>
    <w:rsid w:val="00381281"/>
    <w:rsid w:val="00387A5F"/>
    <w:rsid w:val="003D0164"/>
    <w:rsid w:val="003E7D70"/>
    <w:rsid w:val="00406968"/>
    <w:rsid w:val="00412582"/>
    <w:rsid w:val="00425869"/>
    <w:rsid w:val="0044050E"/>
    <w:rsid w:val="00443E6C"/>
    <w:rsid w:val="00451F50"/>
    <w:rsid w:val="00452F39"/>
    <w:rsid w:val="00464BA0"/>
    <w:rsid w:val="004762FF"/>
    <w:rsid w:val="004A72EC"/>
    <w:rsid w:val="004C26D4"/>
    <w:rsid w:val="004D4A11"/>
    <w:rsid w:val="004E67C2"/>
    <w:rsid w:val="004F41E2"/>
    <w:rsid w:val="004F69EA"/>
    <w:rsid w:val="00503DBB"/>
    <w:rsid w:val="00507681"/>
    <w:rsid w:val="00520F09"/>
    <w:rsid w:val="005226B0"/>
    <w:rsid w:val="005302A1"/>
    <w:rsid w:val="0053290E"/>
    <w:rsid w:val="00541F23"/>
    <w:rsid w:val="00542096"/>
    <w:rsid w:val="00547A93"/>
    <w:rsid w:val="00547C93"/>
    <w:rsid w:val="00551D58"/>
    <w:rsid w:val="00555009"/>
    <w:rsid w:val="00563F73"/>
    <w:rsid w:val="00565349"/>
    <w:rsid w:val="00567223"/>
    <w:rsid w:val="00574E06"/>
    <w:rsid w:val="00575946"/>
    <w:rsid w:val="005816A6"/>
    <w:rsid w:val="005B6BAF"/>
    <w:rsid w:val="005B79A5"/>
    <w:rsid w:val="005C2E39"/>
    <w:rsid w:val="005D3157"/>
    <w:rsid w:val="005D40CB"/>
    <w:rsid w:val="005D602E"/>
    <w:rsid w:val="005D6B55"/>
    <w:rsid w:val="005F02B4"/>
    <w:rsid w:val="005F1042"/>
    <w:rsid w:val="00604C25"/>
    <w:rsid w:val="006147AD"/>
    <w:rsid w:val="006161B0"/>
    <w:rsid w:val="00634747"/>
    <w:rsid w:val="00634C7E"/>
    <w:rsid w:val="00655054"/>
    <w:rsid w:val="00670FC1"/>
    <w:rsid w:val="006714D6"/>
    <w:rsid w:val="006748D6"/>
    <w:rsid w:val="00675E28"/>
    <w:rsid w:val="006775F0"/>
    <w:rsid w:val="00677B67"/>
    <w:rsid w:val="006A4640"/>
    <w:rsid w:val="006C212D"/>
    <w:rsid w:val="006C370B"/>
    <w:rsid w:val="006E28DC"/>
    <w:rsid w:val="006F0C9C"/>
    <w:rsid w:val="00700A20"/>
    <w:rsid w:val="00700FD5"/>
    <w:rsid w:val="00715DA6"/>
    <w:rsid w:val="00720CF6"/>
    <w:rsid w:val="00736DBC"/>
    <w:rsid w:val="00737483"/>
    <w:rsid w:val="00747E78"/>
    <w:rsid w:val="00754346"/>
    <w:rsid w:val="00755D4D"/>
    <w:rsid w:val="00756197"/>
    <w:rsid w:val="007626A1"/>
    <w:rsid w:val="00765CD6"/>
    <w:rsid w:val="00766DFC"/>
    <w:rsid w:val="00771D41"/>
    <w:rsid w:val="00783B79"/>
    <w:rsid w:val="00787034"/>
    <w:rsid w:val="007917E5"/>
    <w:rsid w:val="00797787"/>
    <w:rsid w:val="007A5D05"/>
    <w:rsid w:val="007B695D"/>
    <w:rsid w:val="007C0F87"/>
    <w:rsid w:val="007E461D"/>
    <w:rsid w:val="007E465E"/>
    <w:rsid w:val="007F2D48"/>
    <w:rsid w:val="00811C45"/>
    <w:rsid w:val="00814C7A"/>
    <w:rsid w:val="008200D3"/>
    <w:rsid w:val="00837DFB"/>
    <w:rsid w:val="00840031"/>
    <w:rsid w:val="008404BC"/>
    <w:rsid w:val="008436AC"/>
    <w:rsid w:val="008445BE"/>
    <w:rsid w:val="00863AA2"/>
    <w:rsid w:val="00865920"/>
    <w:rsid w:val="00872AE7"/>
    <w:rsid w:val="00895982"/>
    <w:rsid w:val="008C3E22"/>
    <w:rsid w:val="008D29A3"/>
    <w:rsid w:val="008E0BEA"/>
    <w:rsid w:val="008F295D"/>
    <w:rsid w:val="008F3527"/>
    <w:rsid w:val="009050CE"/>
    <w:rsid w:val="009172CF"/>
    <w:rsid w:val="00920F1D"/>
    <w:rsid w:val="0093181D"/>
    <w:rsid w:val="00954602"/>
    <w:rsid w:val="00960D78"/>
    <w:rsid w:val="00966DD5"/>
    <w:rsid w:val="00970E9E"/>
    <w:rsid w:val="0097184D"/>
    <w:rsid w:val="009776CA"/>
    <w:rsid w:val="00984152"/>
    <w:rsid w:val="00995D06"/>
    <w:rsid w:val="00997352"/>
    <w:rsid w:val="009B2A6B"/>
    <w:rsid w:val="009C1B7D"/>
    <w:rsid w:val="009C4366"/>
    <w:rsid w:val="009D1000"/>
    <w:rsid w:val="00A00EBA"/>
    <w:rsid w:val="00A01BA9"/>
    <w:rsid w:val="00A13AB5"/>
    <w:rsid w:val="00A26E97"/>
    <w:rsid w:val="00A362F7"/>
    <w:rsid w:val="00A37B5D"/>
    <w:rsid w:val="00A40DE2"/>
    <w:rsid w:val="00A4145D"/>
    <w:rsid w:val="00A415D4"/>
    <w:rsid w:val="00A4385B"/>
    <w:rsid w:val="00A558C7"/>
    <w:rsid w:val="00A64172"/>
    <w:rsid w:val="00A72762"/>
    <w:rsid w:val="00A87CA6"/>
    <w:rsid w:val="00A91311"/>
    <w:rsid w:val="00A94C84"/>
    <w:rsid w:val="00AB3A96"/>
    <w:rsid w:val="00AB4A66"/>
    <w:rsid w:val="00AB6F03"/>
    <w:rsid w:val="00AC7A5E"/>
    <w:rsid w:val="00AD6A92"/>
    <w:rsid w:val="00AF7F41"/>
    <w:rsid w:val="00B12AFC"/>
    <w:rsid w:val="00B1304F"/>
    <w:rsid w:val="00B14E47"/>
    <w:rsid w:val="00B37B5A"/>
    <w:rsid w:val="00B551CC"/>
    <w:rsid w:val="00B66E46"/>
    <w:rsid w:val="00B745FB"/>
    <w:rsid w:val="00B830DD"/>
    <w:rsid w:val="00B947CD"/>
    <w:rsid w:val="00B95F3E"/>
    <w:rsid w:val="00BB16DB"/>
    <w:rsid w:val="00BB3C26"/>
    <w:rsid w:val="00BB7C4F"/>
    <w:rsid w:val="00BC14C2"/>
    <w:rsid w:val="00BD50D7"/>
    <w:rsid w:val="00BF4347"/>
    <w:rsid w:val="00BF7152"/>
    <w:rsid w:val="00C01BD5"/>
    <w:rsid w:val="00C027C6"/>
    <w:rsid w:val="00C05ED5"/>
    <w:rsid w:val="00C4070E"/>
    <w:rsid w:val="00C432BE"/>
    <w:rsid w:val="00C640AA"/>
    <w:rsid w:val="00C77C23"/>
    <w:rsid w:val="00C95EA3"/>
    <w:rsid w:val="00C97988"/>
    <w:rsid w:val="00CB2929"/>
    <w:rsid w:val="00CB34CC"/>
    <w:rsid w:val="00CC51DD"/>
    <w:rsid w:val="00CD3999"/>
    <w:rsid w:val="00CE2595"/>
    <w:rsid w:val="00D042EE"/>
    <w:rsid w:val="00D14C66"/>
    <w:rsid w:val="00D17DC9"/>
    <w:rsid w:val="00D220AB"/>
    <w:rsid w:val="00D271A1"/>
    <w:rsid w:val="00D31092"/>
    <w:rsid w:val="00D35A20"/>
    <w:rsid w:val="00D36EDC"/>
    <w:rsid w:val="00D372D0"/>
    <w:rsid w:val="00D373CC"/>
    <w:rsid w:val="00D42D4C"/>
    <w:rsid w:val="00D44992"/>
    <w:rsid w:val="00D46522"/>
    <w:rsid w:val="00D77AD4"/>
    <w:rsid w:val="00DA15C0"/>
    <w:rsid w:val="00DA4024"/>
    <w:rsid w:val="00DD72E5"/>
    <w:rsid w:val="00E14ACF"/>
    <w:rsid w:val="00E22922"/>
    <w:rsid w:val="00E33F77"/>
    <w:rsid w:val="00E36AEA"/>
    <w:rsid w:val="00E429B2"/>
    <w:rsid w:val="00E50794"/>
    <w:rsid w:val="00E61648"/>
    <w:rsid w:val="00E61B9A"/>
    <w:rsid w:val="00E74D07"/>
    <w:rsid w:val="00E77F4F"/>
    <w:rsid w:val="00E842FC"/>
    <w:rsid w:val="00E90C5B"/>
    <w:rsid w:val="00E95165"/>
    <w:rsid w:val="00EB198A"/>
    <w:rsid w:val="00EB59A8"/>
    <w:rsid w:val="00EB6B87"/>
    <w:rsid w:val="00EB7652"/>
    <w:rsid w:val="00EC66C4"/>
    <w:rsid w:val="00ED1853"/>
    <w:rsid w:val="00F045DF"/>
    <w:rsid w:val="00F06513"/>
    <w:rsid w:val="00F06897"/>
    <w:rsid w:val="00F121DF"/>
    <w:rsid w:val="00F1445E"/>
    <w:rsid w:val="00F23E09"/>
    <w:rsid w:val="00F378C2"/>
    <w:rsid w:val="00F51148"/>
    <w:rsid w:val="00F54779"/>
    <w:rsid w:val="00F5531A"/>
    <w:rsid w:val="00F6227A"/>
    <w:rsid w:val="00F649AD"/>
    <w:rsid w:val="00F70C02"/>
    <w:rsid w:val="00F80CD3"/>
    <w:rsid w:val="00F91B2F"/>
    <w:rsid w:val="00F9516D"/>
    <w:rsid w:val="00FB4568"/>
    <w:rsid w:val="00FC0D75"/>
    <w:rsid w:val="00FC26A3"/>
    <w:rsid w:val="00FE04E0"/>
    <w:rsid w:val="00FE6FF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7772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 w:type="paragraph" w:styleId="Caption">
    <w:name w:val="caption"/>
    <w:basedOn w:val="Normal"/>
    <w:next w:val="Normal"/>
    <w:uiPriority w:val="35"/>
    <w:unhideWhenUsed/>
    <w:rsid w:val="00503DBB"/>
    <w:pPr>
      <w:spacing w:after="200" w:line="240" w:lineRule="auto"/>
    </w:pPr>
    <w:rPr>
      <w:b/>
      <w:bCs/>
      <w:color w:val="4F81BD" w:themeColor="accent1"/>
      <w:sz w:val="18"/>
      <w:szCs w:val="18"/>
    </w:rPr>
  </w:style>
  <w:style w:type="paragraph" w:styleId="Revision">
    <w:name w:val="Revision"/>
    <w:hidden/>
    <w:uiPriority w:val="99"/>
    <w:semiHidden/>
    <w:rsid w:val="00AC7A5E"/>
    <w:rPr>
      <w:rFonts w:asciiTheme="majorBidi" w:hAnsiTheme="majorBidi" w:cstheme="majorBidi"/>
      <w:sz w:val="24"/>
      <w:szCs w:val="24"/>
    </w:rPr>
  </w:style>
  <w:style w:type="table" w:styleId="TableGrid">
    <w:name w:val="Table Grid"/>
    <w:basedOn w:val="TableNormal"/>
    <w:uiPriority w:val="59"/>
    <w:rsid w:val="0057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
    <w:name w:val="Medium List 1"/>
    <w:basedOn w:val="TableNormal"/>
    <w:uiPriority w:val="65"/>
    <w:rsid w:val="00200E7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99735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 w:type="paragraph" w:styleId="Caption">
    <w:name w:val="caption"/>
    <w:basedOn w:val="Normal"/>
    <w:next w:val="Normal"/>
    <w:uiPriority w:val="35"/>
    <w:unhideWhenUsed/>
    <w:rsid w:val="00503DBB"/>
    <w:pPr>
      <w:spacing w:after="200" w:line="240" w:lineRule="auto"/>
    </w:pPr>
    <w:rPr>
      <w:b/>
      <w:bCs/>
      <w:color w:val="4F81BD" w:themeColor="accent1"/>
      <w:sz w:val="18"/>
      <w:szCs w:val="18"/>
    </w:rPr>
  </w:style>
  <w:style w:type="paragraph" w:styleId="Revision">
    <w:name w:val="Revision"/>
    <w:hidden/>
    <w:uiPriority w:val="99"/>
    <w:semiHidden/>
    <w:rsid w:val="00AC7A5E"/>
    <w:rPr>
      <w:rFonts w:asciiTheme="majorBidi" w:hAnsiTheme="majorBidi" w:cstheme="majorBidi"/>
      <w:sz w:val="24"/>
      <w:szCs w:val="24"/>
    </w:rPr>
  </w:style>
  <w:style w:type="table" w:styleId="TableGrid">
    <w:name w:val="Table Grid"/>
    <w:basedOn w:val="TableNormal"/>
    <w:uiPriority w:val="59"/>
    <w:rsid w:val="0057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
    <w:name w:val="Medium List 1"/>
    <w:basedOn w:val="TableNormal"/>
    <w:uiPriority w:val="65"/>
    <w:rsid w:val="00200E7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99735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71794">
      <w:bodyDiv w:val="1"/>
      <w:marLeft w:val="0"/>
      <w:marRight w:val="0"/>
      <w:marTop w:val="0"/>
      <w:marBottom w:val="0"/>
      <w:divBdr>
        <w:top w:val="none" w:sz="0" w:space="0" w:color="auto"/>
        <w:left w:val="none" w:sz="0" w:space="0" w:color="auto"/>
        <w:bottom w:val="none" w:sz="0" w:space="0" w:color="auto"/>
        <w:right w:val="none" w:sz="0" w:space="0" w:color="auto"/>
      </w:divBdr>
    </w:div>
    <w:div w:id="1024984180">
      <w:bodyDiv w:val="1"/>
      <w:marLeft w:val="0"/>
      <w:marRight w:val="0"/>
      <w:marTop w:val="0"/>
      <w:marBottom w:val="0"/>
      <w:divBdr>
        <w:top w:val="none" w:sz="0" w:space="0" w:color="auto"/>
        <w:left w:val="none" w:sz="0" w:space="0" w:color="auto"/>
        <w:bottom w:val="none" w:sz="0" w:space="0" w:color="auto"/>
        <w:right w:val="none" w:sz="0" w:space="0" w:color="auto"/>
      </w:divBdr>
    </w:div>
    <w:div w:id="1529558823">
      <w:bodyDiv w:val="1"/>
      <w:marLeft w:val="0"/>
      <w:marRight w:val="0"/>
      <w:marTop w:val="0"/>
      <w:marBottom w:val="0"/>
      <w:divBdr>
        <w:top w:val="none" w:sz="0" w:space="0" w:color="auto"/>
        <w:left w:val="none" w:sz="0" w:space="0" w:color="auto"/>
        <w:bottom w:val="none" w:sz="0" w:space="0" w:color="auto"/>
        <w:right w:val="none" w:sz="0" w:space="0" w:color="auto"/>
      </w:divBdr>
    </w:div>
    <w:div w:id="1694183566">
      <w:bodyDiv w:val="1"/>
      <w:marLeft w:val="0"/>
      <w:marRight w:val="0"/>
      <w:marTop w:val="0"/>
      <w:marBottom w:val="0"/>
      <w:divBdr>
        <w:top w:val="none" w:sz="0" w:space="0" w:color="auto"/>
        <w:left w:val="none" w:sz="0" w:space="0" w:color="auto"/>
        <w:bottom w:val="none" w:sz="0" w:space="0" w:color="auto"/>
        <w:right w:val="none" w:sz="0" w:space="0" w:color="auto"/>
      </w:divBdr>
      <w:divsChild>
        <w:div w:id="338584728">
          <w:marLeft w:val="0"/>
          <w:marRight w:val="0"/>
          <w:marTop w:val="0"/>
          <w:marBottom w:val="0"/>
          <w:divBdr>
            <w:top w:val="none" w:sz="0" w:space="0" w:color="auto"/>
            <w:left w:val="none" w:sz="0" w:space="0" w:color="auto"/>
            <w:bottom w:val="none" w:sz="0" w:space="0" w:color="auto"/>
            <w:right w:val="none" w:sz="0" w:space="0" w:color="auto"/>
          </w:divBdr>
          <w:divsChild>
            <w:div w:id="90127364">
              <w:marLeft w:val="0"/>
              <w:marRight w:val="0"/>
              <w:marTop w:val="0"/>
              <w:marBottom w:val="0"/>
              <w:divBdr>
                <w:top w:val="none" w:sz="0" w:space="0" w:color="auto"/>
                <w:left w:val="none" w:sz="0" w:space="0" w:color="auto"/>
                <w:bottom w:val="none" w:sz="0" w:space="0" w:color="auto"/>
                <w:right w:val="none" w:sz="0" w:space="0" w:color="auto"/>
              </w:divBdr>
              <w:divsChild>
                <w:div w:id="1671249323">
                  <w:marLeft w:val="0"/>
                  <w:marRight w:val="0"/>
                  <w:marTop w:val="0"/>
                  <w:marBottom w:val="0"/>
                  <w:divBdr>
                    <w:top w:val="none" w:sz="0" w:space="0" w:color="auto"/>
                    <w:left w:val="none" w:sz="0" w:space="0" w:color="auto"/>
                    <w:bottom w:val="none" w:sz="0" w:space="0" w:color="auto"/>
                    <w:right w:val="none" w:sz="0" w:space="0" w:color="auto"/>
                  </w:divBdr>
                  <w:divsChild>
                    <w:div w:id="1482771160">
                      <w:marLeft w:val="0"/>
                      <w:marRight w:val="0"/>
                      <w:marTop w:val="0"/>
                      <w:marBottom w:val="0"/>
                      <w:divBdr>
                        <w:top w:val="none" w:sz="0" w:space="0" w:color="auto"/>
                        <w:left w:val="none" w:sz="0" w:space="0" w:color="auto"/>
                        <w:bottom w:val="none" w:sz="0" w:space="0" w:color="auto"/>
                        <w:right w:val="none" w:sz="0" w:space="0" w:color="auto"/>
                      </w:divBdr>
                      <w:divsChild>
                        <w:div w:id="1063606527">
                          <w:marLeft w:val="0"/>
                          <w:marRight w:val="0"/>
                          <w:marTop w:val="0"/>
                          <w:marBottom w:val="0"/>
                          <w:divBdr>
                            <w:top w:val="none" w:sz="0" w:space="0" w:color="auto"/>
                            <w:left w:val="none" w:sz="0" w:space="0" w:color="auto"/>
                            <w:bottom w:val="none" w:sz="0" w:space="0" w:color="auto"/>
                            <w:right w:val="none" w:sz="0" w:space="0" w:color="auto"/>
                          </w:divBdr>
                          <w:divsChild>
                            <w:div w:id="747966977">
                              <w:marLeft w:val="0"/>
                              <w:marRight w:val="0"/>
                              <w:marTop w:val="0"/>
                              <w:marBottom w:val="0"/>
                              <w:divBdr>
                                <w:top w:val="none" w:sz="0" w:space="0" w:color="auto"/>
                                <w:left w:val="none" w:sz="0" w:space="0" w:color="auto"/>
                                <w:bottom w:val="none" w:sz="0" w:space="0" w:color="auto"/>
                                <w:right w:val="none" w:sz="0" w:space="0" w:color="auto"/>
                              </w:divBdr>
                              <w:divsChild>
                                <w:div w:id="588391316">
                                  <w:marLeft w:val="0"/>
                                  <w:marRight w:val="0"/>
                                  <w:marTop w:val="0"/>
                                  <w:marBottom w:val="0"/>
                                  <w:divBdr>
                                    <w:top w:val="none" w:sz="0" w:space="0" w:color="auto"/>
                                    <w:left w:val="none" w:sz="0" w:space="0" w:color="auto"/>
                                    <w:bottom w:val="none" w:sz="0" w:space="0" w:color="auto"/>
                                    <w:right w:val="none" w:sz="0" w:space="0" w:color="auto"/>
                                  </w:divBdr>
                                  <w:divsChild>
                                    <w:div w:id="904535295">
                                      <w:marLeft w:val="0"/>
                                      <w:marRight w:val="0"/>
                                      <w:marTop w:val="0"/>
                                      <w:marBottom w:val="0"/>
                                      <w:divBdr>
                                        <w:top w:val="none" w:sz="0" w:space="0" w:color="auto"/>
                                        <w:left w:val="none" w:sz="0" w:space="0" w:color="auto"/>
                                        <w:bottom w:val="none" w:sz="0" w:space="0" w:color="auto"/>
                                        <w:right w:val="none" w:sz="0" w:space="0" w:color="auto"/>
                                      </w:divBdr>
                                      <w:divsChild>
                                        <w:div w:id="325283558">
                                          <w:marLeft w:val="0"/>
                                          <w:marRight w:val="0"/>
                                          <w:marTop w:val="0"/>
                                          <w:marBottom w:val="0"/>
                                          <w:divBdr>
                                            <w:top w:val="none" w:sz="0" w:space="0" w:color="auto"/>
                                            <w:left w:val="none" w:sz="0" w:space="0" w:color="auto"/>
                                            <w:bottom w:val="none" w:sz="0" w:space="0" w:color="auto"/>
                                            <w:right w:val="none" w:sz="0" w:space="0" w:color="auto"/>
                                          </w:divBdr>
                                          <w:divsChild>
                                            <w:div w:id="368996544">
                                              <w:marLeft w:val="0"/>
                                              <w:marRight w:val="0"/>
                                              <w:marTop w:val="0"/>
                                              <w:marBottom w:val="0"/>
                                              <w:divBdr>
                                                <w:top w:val="none" w:sz="0" w:space="0" w:color="auto"/>
                                                <w:left w:val="none" w:sz="0" w:space="0" w:color="auto"/>
                                                <w:bottom w:val="none" w:sz="0" w:space="0" w:color="auto"/>
                                                <w:right w:val="none" w:sz="0" w:space="0" w:color="auto"/>
                                              </w:divBdr>
                                              <w:divsChild>
                                                <w:div w:id="2011178102">
                                                  <w:marLeft w:val="0"/>
                                                  <w:marRight w:val="0"/>
                                                  <w:marTop w:val="0"/>
                                                  <w:marBottom w:val="0"/>
                                                  <w:divBdr>
                                                    <w:top w:val="none" w:sz="0" w:space="0" w:color="auto"/>
                                                    <w:left w:val="none" w:sz="0" w:space="0" w:color="auto"/>
                                                    <w:bottom w:val="none" w:sz="0" w:space="0" w:color="auto"/>
                                                    <w:right w:val="none" w:sz="0" w:space="0" w:color="auto"/>
                                                  </w:divBdr>
                                                  <w:divsChild>
                                                    <w:div w:id="200410473">
                                                      <w:marLeft w:val="0"/>
                                                      <w:marRight w:val="0"/>
                                                      <w:marTop w:val="0"/>
                                                      <w:marBottom w:val="0"/>
                                                      <w:divBdr>
                                                        <w:top w:val="none" w:sz="0" w:space="0" w:color="auto"/>
                                                        <w:left w:val="none" w:sz="0" w:space="0" w:color="auto"/>
                                                        <w:bottom w:val="none" w:sz="0" w:space="0" w:color="auto"/>
                                                        <w:right w:val="none" w:sz="0" w:space="0" w:color="auto"/>
                                                      </w:divBdr>
                                                      <w:divsChild>
                                                        <w:div w:id="323701490">
                                                          <w:marLeft w:val="0"/>
                                                          <w:marRight w:val="0"/>
                                                          <w:marTop w:val="0"/>
                                                          <w:marBottom w:val="0"/>
                                                          <w:divBdr>
                                                            <w:top w:val="none" w:sz="0" w:space="0" w:color="auto"/>
                                                            <w:left w:val="none" w:sz="0" w:space="0" w:color="auto"/>
                                                            <w:bottom w:val="none" w:sz="0" w:space="0" w:color="auto"/>
                                                            <w:right w:val="none" w:sz="0" w:space="0" w:color="auto"/>
                                                          </w:divBdr>
                                                          <w:divsChild>
                                                            <w:div w:id="583799497">
                                                              <w:marLeft w:val="0"/>
                                                              <w:marRight w:val="0"/>
                                                              <w:marTop w:val="0"/>
                                                              <w:marBottom w:val="0"/>
                                                              <w:divBdr>
                                                                <w:top w:val="none" w:sz="0" w:space="0" w:color="auto"/>
                                                                <w:left w:val="none" w:sz="0" w:space="0" w:color="auto"/>
                                                                <w:bottom w:val="none" w:sz="0" w:space="0" w:color="auto"/>
                                                                <w:right w:val="none" w:sz="0" w:space="0" w:color="auto"/>
                                                              </w:divBdr>
                                                              <w:divsChild>
                                                                <w:div w:id="367336728">
                                                                  <w:marLeft w:val="0"/>
                                                                  <w:marRight w:val="0"/>
                                                                  <w:marTop w:val="0"/>
                                                                  <w:marBottom w:val="0"/>
                                                                  <w:divBdr>
                                                                    <w:top w:val="none" w:sz="0" w:space="0" w:color="auto"/>
                                                                    <w:left w:val="none" w:sz="0" w:space="0" w:color="auto"/>
                                                                    <w:bottom w:val="none" w:sz="0" w:space="0" w:color="auto"/>
                                                                    <w:right w:val="none" w:sz="0" w:space="0" w:color="auto"/>
                                                                  </w:divBdr>
                                                                  <w:divsChild>
                                                                    <w:div w:id="468281501">
                                                                      <w:marLeft w:val="0"/>
                                                                      <w:marRight w:val="0"/>
                                                                      <w:marTop w:val="0"/>
                                                                      <w:marBottom w:val="0"/>
                                                                      <w:divBdr>
                                                                        <w:top w:val="none" w:sz="0" w:space="0" w:color="auto"/>
                                                                        <w:left w:val="none" w:sz="0" w:space="0" w:color="auto"/>
                                                                        <w:bottom w:val="none" w:sz="0" w:space="0" w:color="auto"/>
                                                                        <w:right w:val="none" w:sz="0" w:space="0" w:color="auto"/>
                                                                      </w:divBdr>
                                                                      <w:divsChild>
                                                                        <w:div w:id="1141263727">
                                                                          <w:marLeft w:val="0"/>
                                                                          <w:marRight w:val="0"/>
                                                                          <w:marTop w:val="0"/>
                                                                          <w:marBottom w:val="0"/>
                                                                          <w:divBdr>
                                                                            <w:top w:val="none" w:sz="0" w:space="0" w:color="auto"/>
                                                                            <w:left w:val="none" w:sz="0" w:space="0" w:color="auto"/>
                                                                            <w:bottom w:val="none" w:sz="0" w:space="0" w:color="auto"/>
                                                                            <w:right w:val="none" w:sz="0" w:space="0" w:color="auto"/>
                                                                          </w:divBdr>
                                                                          <w:divsChild>
                                                                            <w:div w:id="820928762">
                                                                              <w:marLeft w:val="0"/>
                                                                              <w:marRight w:val="0"/>
                                                                              <w:marTop w:val="0"/>
                                                                              <w:marBottom w:val="0"/>
                                                                              <w:divBdr>
                                                                                <w:top w:val="none" w:sz="0" w:space="0" w:color="auto"/>
                                                                                <w:left w:val="none" w:sz="0" w:space="0" w:color="auto"/>
                                                                                <w:bottom w:val="none" w:sz="0" w:space="0" w:color="auto"/>
                                                                                <w:right w:val="none" w:sz="0" w:space="0" w:color="auto"/>
                                                                              </w:divBdr>
                                                                              <w:divsChild>
                                                                                <w:div w:id="1089547630">
                                                                                  <w:marLeft w:val="0"/>
                                                                                  <w:marRight w:val="0"/>
                                                                                  <w:marTop w:val="0"/>
                                                                                  <w:marBottom w:val="0"/>
                                                                                  <w:divBdr>
                                                                                    <w:top w:val="none" w:sz="0" w:space="0" w:color="auto"/>
                                                                                    <w:left w:val="none" w:sz="0" w:space="0" w:color="auto"/>
                                                                                    <w:bottom w:val="none" w:sz="0" w:space="0" w:color="auto"/>
                                                                                    <w:right w:val="none" w:sz="0" w:space="0" w:color="auto"/>
                                                                                  </w:divBdr>
                                                                                  <w:divsChild>
                                                                                    <w:div w:id="1346831715">
                                                                                      <w:marLeft w:val="0"/>
                                                                                      <w:marRight w:val="0"/>
                                                                                      <w:marTop w:val="0"/>
                                                                                      <w:marBottom w:val="0"/>
                                                                                      <w:divBdr>
                                                                                        <w:top w:val="none" w:sz="0" w:space="0" w:color="auto"/>
                                                                                        <w:left w:val="none" w:sz="0" w:space="0" w:color="auto"/>
                                                                                        <w:bottom w:val="none" w:sz="0" w:space="0" w:color="auto"/>
                                                                                        <w:right w:val="none" w:sz="0" w:space="0" w:color="auto"/>
                                                                                      </w:divBdr>
                                                                                      <w:divsChild>
                                                                                        <w:div w:id="1705597456">
                                                                                          <w:marLeft w:val="0"/>
                                                                                          <w:marRight w:val="0"/>
                                                                                          <w:marTop w:val="0"/>
                                                                                          <w:marBottom w:val="0"/>
                                                                                          <w:divBdr>
                                                                                            <w:top w:val="none" w:sz="0" w:space="0" w:color="auto"/>
                                                                                            <w:left w:val="none" w:sz="0" w:space="0" w:color="auto"/>
                                                                                            <w:bottom w:val="none" w:sz="0" w:space="0" w:color="auto"/>
                                                                                            <w:right w:val="none" w:sz="0" w:space="0" w:color="auto"/>
                                                                                          </w:divBdr>
                                                                                          <w:divsChild>
                                                                                            <w:div w:id="512258278">
                                                                                              <w:marLeft w:val="0"/>
                                                                                              <w:marRight w:val="0"/>
                                                                                              <w:marTop w:val="0"/>
                                                                                              <w:marBottom w:val="0"/>
                                                                                              <w:divBdr>
                                                                                                <w:top w:val="none" w:sz="0" w:space="0" w:color="auto"/>
                                                                                                <w:left w:val="none" w:sz="0" w:space="0" w:color="auto"/>
                                                                                                <w:bottom w:val="none" w:sz="0" w:space="0" w:color="auto"/>
                                                                                                <w:right w:val="none" w:sz="0" w:space="0" w:color="auto"/>
                                                                                              </w:divBdr>
                                                                                              <w:divsChild>
                                                                                                <w:div w:id="963386271">
                                                                                                  <w:marLeft w:val="0"/>
                                                                                                  <w:marRight w:val="0"/>
                                                                                                  <w:marTop w:val="0"/>
                                                                                                  <w:marBottom w:val="0"/>
                                                                                                  <w:divBdr>
                                                                                                    <w:top w:val="none" w:sz="0" w:space="0" w:color="auto"/>
                                                                                                    <w:left w:val="none" w:sz="0" w:space="0" w:color="auto"/>
                                                                                                    <w:bottom w:val="none" w:sz="0" w:space="0" w:color="auto"/>
                                                                                                    <w:right w:val="none" w:sz="0" w:space="0" w:color="auto"/>
                                                                                                  </w:divBdr>
                                                                                                  <w:divsChild>
                                                                                                    <w:div w:id="2093702590">
                                                                                                      <w:marLeft w:val="0"/>
                                                                                                      <w:marRight w:val="0"/>
                                                                                                      <w:marTop w:val="0"/>
                                                                                                      <w:marBottom w:val="0"/>
                                                                                                      <w:divBdr>
                                                                                                        <w:top w:val="none" w:sz="0" w:space="0" w:color="auto"/>
                                                                                                        <w:left w:val="none" w:sz="0" w:space="0" w:color="auto"/>
                                                                                                        <w:bottom w:val="none" w:sz="0" w:space="0" w:color="auto"/>
                                                                                                        <w:right w:val="none" w:sz="0" w:space="0" w:color="auto"/>
                                                                                                      </w:divBdr>
                                                                                                      <w:divsChild>
                                                                                                        <w:div w:id="2023316078">
                                                                                                          <w:marLeft w:val="0"/>
                                                                                                          <w:marRight w:val="0"/>
                                                                                                          <w:marTop w:val="0"/>
                                                                                                          <w:marBottom w:val="0"/>
                                                                                                          <w:divBdr>
                                                                                                            <w:top w:val="none" w:sz="0" w:space="0" w:color="auto"/>
                                                                                                            <w:left w:val="none" w:sz="0" w:space="0" w:color="auto"/>
                                                                                                            <w:bottom w:val="none" w:sz="0" w:space="0" w:color="auto"/>
                                                                                                            <w:right w:val="none" w:sz="0" w:space="0" w:color="auto"/>
                                                                                                          </w:divBdr>
                                                                                                          <w:divsChild>
                                                                                                            <w:div w:id="721516193">
                                                                                                              <w:marLeft w:val="0"/>
                                                                                                              <w:marRight w:val="0"/>
                                                                                                              <w:marTop w:val="0"/>
                                                                                                              <w:marBottom w:val="0"/>
                                                                                                              <w:divBdr>
                                                                                                                <w:top w:val="none" w:sz="0" w:space="0" w:color="auto"/>
                                                                                                                <w:left w:val="none" w:sz="0" w:space="0" w:color="auto"/>
                                                                                                                <w:bottom w:val="none" w:sz="0" w:space="0" w:color="auto"/>
                                                                                                                <w:right w:val="none" w:sz="0" w:space="0" w:color="auto"/>
                                                                                                              </w:divBdr>
                                                                                                              <w:divsChild>
                                                                                                                <w:div w:id="604580503">
                                                                                                                  <w:marLeft w:val="0"/>
                                                                                                                  <w:marRight w:val="0"/>
                                                                                                                  <w:marTop w:val="0"/>
                                                                                                                  <w:marBottom w:val="0"/>
                                                                                                                  <w:divBdr>
                                                                                                                    <w:top w:val="none" w:sz="0" w:space="0" w:color="auto"/>
                                                                                                                    <w:left w:val="none" w:sz="0" w:space="0" w:color="auto"/>
                                                                                                                    <w:bottom w:val="none" w:sz="0" w:space="0" w:color="auto"/>
                                                                                                                    <w:right w:val="none" w:sz="0" w:space="0" w:color="auto"/>
                                                                                                                  </w:divBdr>
                                                                                                                  <w:divsChild>
                                                                                                                    <w:div w:id="1854999218">
                                                                                                                      <w:marLeft w:val="0"/>
                                                                                                                      <w:marRight w:val="0"/>
                                                                                                                      <w:marTop w:val="0"/>
                                                                                                                      <w:marBottom w:val="0"/>
                                                                                                                      <w:divBdr>
                                                                                                                        <w:top w:val="none" w:sz="0" w:space="0" w:color="auto"/>
                                                                                                                        <w:left w:val="none" w:sz="0" w:space="0" w:color="auto"/>
                                                                                                                        <w:bottom w:val="none" w:sz="0" w:space="0" w:color="auto"/>
                                                                                                                        <w:right w:val="none" w:sz="0" w:space="0" w:color="auto"/>
                                                                                                                      </w:divBdr>
                                                                                                                      <w:divsChild>
                                                                                                                        <w:div w:id="1129200909">
                                                                                                                          <w:marLeft w:val="0"/>
                                                                                                                          <w:marRight w:val="0"/>
                                                                                                                          <w:marTop w:val="0"/>
                                                                                                                          <w:marBottom w:val="0"/>
                                                                                                                          <w:divBdr>
                                                                                                                            <w:top w:val="none" w:sz="0" w:space="0" w:color="auto"/>
                                                                                                                            <w:left w:val="none" w:sz="0" w:space="0" w:color="auto"/>
                                                                                                                            <w:bottom w:val="none" w:sz="0" w:space="0" w:color="auto"/>
                                                                                                                            <w:right w:val="none" w:sz="0" w:space="0" w:color="auto"/>
                                                                                                                          </w:divBdr>
                                                                                                                          <w:divsChild>
                                                                                                                            <w:div w:id="1613197641">
                                                                                                                              <w:marLeft w:val="0"/>
                                                                                                                              <w:marRight w:val="0"/>
                                                                                                                              <w:marTop w:val="0"/>
                                                                                                                              <w:marBottom w:val="0"/>
                                                                                                                              <w:divBdr>
                                                                                                                                <w:top w:val="none" w:sz="0" w:space="0" w:color="auto"/>
                                                                                                                                <w:left w:val="none" w:sz="0" w:space="0" w:color="auto"/>
                                                                                                                                <w:bottom w:val="none" w:sz="0" w:space="0" w:color="auto"/>
                                                                                                                                <w:right w:val="none" w:sz="0" w:space="0" w:color="auto"/>
                                                                                                                              </w:divBdr>
                                                                                                                              <w:divsChild>
                                                                                                                                <w:div w:id="1756247928">
                                                                                                                                  <w:marLeft w:val="0"/>
                                                                                                                                  <w:marRight w:val="0"/>
                                                                                                                                  <w:marTop w:val="0"/>
                                                                                                                                  <w:marBottom w:val="0"/>
                                                                                                                                  <w:divBdr>
                                                                                                                                    <w:top w:val="none" w:sz="0" w:space="0" w:color="auto"/>
                                                                                                                                    <w:left w:val="none" w:sz="0" w:space="0" w:color="auto"/>
                                                                                                                                    <w:bottom w:val="none" w:sz="0" w:space="0" w:color="auto"/>
                                                                                                                                    <w:right w:val="none" w:sz="0" w:space="0" w:color="auto"/>
                                                                                                                                  </w:divBdr>
                                                                                                                                  <w:divsChild>
                                                                                                                                    <w:div w:id="1960068294">
                                                                                                                                      <w:marLeft w:val="0"/>
                                                                                                                                      <w:marRight w:val="0"/>
                                                                                                                                      <w:marTop w:val="0"/>
                                                                                                                                      <w:marBottom w:val="0"/>
                                                                                                                                      <w:divBdr>
                                                                                                                                        <w:top w:val="none" w:sz="0" w:space="0" w:color="auto"/>
                                                                                                                                        <w:left w:val="none" w:sz="0" w:space="0" w:color="auto"/>
                                                                                                                                        <w:bottom w:val="none" w:sz="0" w:space="0" w:color="auto"/>
                                                                                                                                        <w:right w:val="none" w:sz="0" w:space="0" w:color="auto"/>
                                                                                                                                      </w:divBdr>
                                                                                                                                      <w:divsChild>
                                                                                                                                        <w:div w:id="1675106962">
                                                                                                                                          <w:marLeft w:val="0"/>
                                                                                                                                          <w:marRight w:val="0"/>
                                                                                                                                          <w:marTop w:val="0"/>
                                                                                                                                          <w:marBottom w:val="0"/>
                                                                                                                                          <w:divBdr>
                                                                                                                                            <w:top w:val="none" w:sz="0" w:space="0" w:color="auto"/>
                                                                                                                                            <w:left w:val="none" w:sz="0" w:space="0" w:color="auto"/>
                                                                                                                                            <w:bottom w:val="none" w:sz="0" w:space="0" w:color="auto"/>
                                                                                                                                            <w:right w:val="none" w:sz="0" w:space="0" w:color="auto"/>
                                                                                                                                          </w:divBdr>
                                                                                                                                          <w:divsChild>
                                                                                                                                            <w:div w:id="922497679">
                                                                                                                                              <w:marLeft w:val="0"/>
                                                                                                                                              <w:marRight w:val="0"/>
                                                                                                                                              <w:marTop w:val="0"/>
                                                                                                                                              <w:marBottom w:val="0"/>
                                                                                                                                              <w:divBdr>
                                                                                                                                                <w:top w:val="none" w:sz="0" w:space="0" w:color="auto"/>
                                                                                                                                                <w:left w:val="none" w:sz="0" w:space="0" w:color="auto"/>
                                                                                                                                                <w:bottom w:val="none" w:sz="0" w:space="0" w:color="auto"/>
                                                                                                                                                <w:right w:val="none" w:sz="0" w:space="0" w:color="auto"/>
                                                                                                                                              </w:divBdr>
                                                                                                                                              <w:divsChild>
                                                                                                                                                <w:div w:id="19126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1902208">
      <w:bodyDiv w:val="1"/>
      <w:marLeft w:val="0"/>
      <w:marRight w:val="0"/>
      <w:marTop w:val="0"/>
      <w:marBottom w:val="0"/>
      <w:divBdr>
        <w:top w:val="none" w:sz="0" w:space="0" w:color="auto"/>
        <w:left w:val="none" w:sz="0" w:space="0" w:color="auto"/>
        <w:bottom w:val="none" w:sz="0" w:space="0" w:color="auto"/>
        <w:right w:val="none" w:sz="0" w:space="0" w:color="auto"/>
      </w:divBdr>
    </w:div>
    <w:div w:id="1787919859">
      <w:bodyDiv w:val="1"/>
      <w:marLeft w:val="0"/>
      <w:marRight w:val="0"/>
      <w:marTop w:val="0"/>
      <w:marBottom w:val="0"/>
      <w:divBdr>
        <w:top w:val="none" w:sz="0" w:space="0" w:color="auto"/>
        <w:left w:val="none" w:sz="0" w:space="0" w:color="auto"/>
        <w:bottom w:val="none" w:sz="0" w:space="0" w:color="auto"/>
        <w:right w:val="none" w:sz="0" w:space="0" w:color="auto"/>
      </w:divBdr>
      <w:divsChild>
        <w:div w:id="1191649852">
          <w:marLeft w:val="0"/>
          <w:marRight w:val="0"/>
          <w:marTop w:val="0"/>
          <w:marBottom w:val="0"/>
          <w:divBdr>
            <w:top w:val="none" w:sz="0" w:space="0" w:color="auto"/>
            <w:left w:val="none" w:sz="0" w:space="0" w:color="auto"/>
            <w:bottom w:val="none" w:sz="0" w:space="0" w:color="auto"/>
            <w:right w:val="none" w:sz="0" w:space="0" w:color="auto"/>
          </w:divBdr>
        </w:div>
      </w:divsChild>
    </w:div>
    <w:div w:id="178928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urveball.yoavram.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github.com/yoavram/curveball_ms/blob/master/supp.ipynb" TargetMode="External"/><Relationship Id="rId2" Type="http://schemas.openxmlformats.org/officeDocument/2006/relationships/numbering" Target="numbering.xml"/><Relationship Id="rId16" Type="http://schemas.openxmlformats.org/officeDocument/2006/relationships/hyperlink" Target="https://github.com/yoavram/curvebal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curveball.yoavram.com"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curveball.yoavram.com" TargetMode="External"/><Relationship Id="rId14" Type="http://schemas.openxmlformats.org/officeDocument/2006/relationships/hyperlink" Target="https://github.com/yoavram/curvebal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A1022425-C760-4105-89AA-017AA7F25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3927</TotalTime>
  <Pages>25</Pages>
  <Words>26822</Words>
  <Characters>134112</Characters>
  <Application>Microsoft Office Word</Application>
  <DocSecurity>0</DocSecurity>
  <Lines>1117</Lines>
  <Paragraphs>321</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160613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Yoav Ram</dc:creator>
  <cp:lastModifiedBy>Yoav Ram</cp:lastModifiedBy>
  <cp:revision>43</cp:revision>
  <cp:lastPrinted>2015-07-23T12:55:00Z</cp:lastPrinted>
  <dcterms:created xsi:type="dcterms:W3CDTF">2016-01-04T10:32:00Z</dcterms:created>
  <dcterms:modified xsi:type="dcterms:W3CDTF">2016-03-28T11:31:00Z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yoav@yoavram.com@www.mendeley.com</vt:lpwstr>
  </property>
  <property fmtid="{D5CDD505-2E9C-101B-9397-08002B2CF9AE}" pid="4" name="Mendeley Recent Style Id 0_1">
    <vt:lpwstr>http://www.zotero.org/styles/annual-reviews-without-titles</vt:lpwstr>
  </property>
  <property fmtid="{D5CDD505-2E9C-101B-9397-08002B2CF9AE}" pid="5" name="Mendeley Recent Style Name 0_1">
    <vt:lpwstr>Annual Reviews (sorted by order of appearance, without titles)</vt:lpwstr>
  </property>
  <property fmtid="{D5CDD505-2E9C-101B-9397-08002B2CF9AE}" pid="6" name="Mendeley Recent Style Id 1_1">
    <vt:lpwstr>http://www.zotero.org/styles/bmc-evolutionary-biology</vt:lpwstr>
  </property>
  <property fmtid="{D5CDD505-2E9C-101B-9397-08002B2CF9AE}" pid="7" name="Mendeley Recent Style Name 1_1">
    <vt:lpwstr>BMC Evolutionary Biology</vt:lpwstr>
  </property>
  <property fmtid="{D5CDD505-2E9C-101B-9397-08002B2CF9AE}" pid="8" name="Mendeley Recent Style Id 2_1">
    <vt:lpwstr>http://www.zotero.org/styles/elsevier-without-titles</vt:lpwstr>
  </property>
  <property fmtid="{D5CDD505-2E9C-101B-9397-08002B2CF9AE}" pid="9" name="Mendeley Recent Style Name 2_1">
    <vt:lpwstr>Elsevier (numeric, without titles)</vt:lpwstr>
  </property>
  <property fmtid="{D5CDD505-2E9C-101B-9397-08002B2CF9AE}" pid="10" name="Mendeley Recent Style Id 3_1">
    <vt:lpwstr>http://www.zotero.org/styles/frontiers-in-evolutionary-and-population-genetics</vt:lpwstr>
  </property>
  <property fmtid="{D5CDD505-2E9C-101B-9397-08002B2CF9AE}" pid="11" name="Mendeley Recent Style Name 3_1">
    <vt:lpwstr>Frontiers in Evolutionary and Population Genetics</vt:lpwstr>
  </property>
  <property fmtid="{D5CDD505-2E9C-101B-9397-08002B2CF9AE}" pid="12" name="Mendeley Recent Style Id 4_1">
    <vt:lpwstr>http://www.zotero.org/styles/nature</vt:lpwstr>
  </property>
  <property fmtid="{D5CDD505-2E9C-101B-9397-08002B2CF9AE}" pid="13" name="Mendeley Recent Style Name 4_1">
    <vt:lpwstr>Nature</vt:lpwstr>
  </property>
  <property fmtid="{D5CDD505-2E9C-101B-9397-08002B2CF9AE}" pid="14" name="Mendeley Recent Style Id 5_1">
    <vt:lpwstr>http://www.zotero.org/styles/proceedings-of-the-royal-society-b</vt:lpwstr>
  </property>
  <property fmtid="{D5CDD505-2E9C-101B-9397-08002B2CF9AE}" pid="15" name="Mendeley Recent Style Name 5_1">
    <vt:lpwstr>Proceedings of the Royal Society B</vt:lpwstr>
  </property>
  <property fmtid="{D5CDD505-2E9C-101B-9397-08002B2CF9AE}" pid="16" name="Mendeley Recent Style Id 6_1">
    <vt:lpwstr>http://www.zotero.org/styles/plos</vt:lpwstr>
  </property>
  <property fmtid="{D5CDD505-2E9C-101B-9397-08002B2CF9AE}" pid="17" name="Mendeley Recent Style Name 6_1">
    <vt:lpwstr>Public Library of Science</vt:lpwstr>
  </property>
  <property fmtid="{D5CDD505-2E9C-101B-9397-08002B2CF9AE}" pid="18" name="Mendeley Recent Style Id 7_1">
    <vt:lpwstr>http://www.zotero.org/styles/science</vt:lpwstr>
  </property>
  <property fmtid="{D5CDD505-2E9C-101B-9397-08002B2CF9AE}" pid="19" name="Mendeley Recent Style Name 7_1">
    <vt:lpwstr>Science</vt:lpwstr>
  </property>
  <property fmtid="{D5CDD505-2E9C-101B-9397-08002B2CF9AE}" pid="20" name="Mendeley Recent Style Id 8_1">
    <vt:lpwstr>http://www.zotero.org/styles/science-without-titles</vt:lpwstr>
  </property>
  <property fmtid="{D5CDD505-2E9C-101B-9397-08002B2CF9AE}" pid="21" name="Mendeley Recent Style Name 8_1">
    <vt:lpwstr>Science (without titles)</vt:lpwstr>
  </property>
  <property fmtid="{D5CDD505-2E9C-101B-9397-08002B2CF9AE}" pid="22" name="Mendeley Recent Style Id 9_1">
    <vt:lpwstr>http://www.zotero.org/styles/theoretical-population-biology</vt:lpwstr>
  </property>
  <property fmtid="{D5CDD505-2E9C-101B-9397-08002B2CF9AE}" pid="23" name="Mendeley Recent Style Name 9_1">
    <vt:lpwstr>Theoretical Population Biology</vt:lpwstr>
  </property>
  <property fmtid="{D5CDD505-2E9C-101B-9397-08002B2CF9AE}" pid="24" name="Mendeley Citation Style_1">
    <vt:lpwstr>http://www.zotero.org/styles/chicago-author-date</vt:lpwstr>
  </property>
</Properties>
</file>