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1D" w:rsidRPr="00E95165" w:rsidRDefault="00670FC1" w:rsidP="00E95165">
      <w:pPr>
        <w:pStyle w:val="Title"/>
        <w:rPr>
          <w:sz w:val="36"/>
          <w:szCs w:val="36"/>
        </w:rPr>
      </w:pPr>
      <w:r>
        <w:rPr>
          <w:sz w:val="36"/>
          <w:szCs w:val="36"/>
        </w:rPr>
        <w:softHyphen/>
      </w:r>
      <w:r w:rsidR="00541F23" w:rsidRPr="00E95165">
        <w:rPr>
          <w:sz w:val="36"/>
          <w:szCs w:val="36"/>
        </w:rPr>
        <w:t>Predicting competition</w:t>
      </w:r>
      <w:r w:rsidR="000A33E4" w:rsidRPr="00E95165">
        <w:rPr>
          <w:sz w:val="36"/>
          <w:szCs w:val="36"/>
        </w:rPr>
        <w:t xml:space="preserve">s </w:t>
      </w:r>
      <w:r w:rsidR="00541F23" w:rsidRPr="00E95165">
        <w:rPr>
          <w:sz w:val="36"/>
          <w:szCs w:val="36"/>
        </w:rPr>
        <w:t>from growth curves</w:t>
      </w:r>
    </w:p>
    <w:p w:rsidR="00563F73" w:rsidRPr="00E95165" w:rsidRDefault="00563F73" w:rsidP="00A362F7">
      <w:pPr>
        <w:pStyle w:val="Subtitle"/>
        <w:rPr>
          <w:rFonts w:ascii="Palatino Linotype" w:hAnsi="Palatino Linotype"/>
        </w:rPr>
      </w:pPr>
    </w:p>
    <w:p w:rsidR="00E95165" w:rsidRDefault="00563F73" w:rsidP="00A362F7">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p>
    <w:p w:rsidR="004762FF" w:rsidRPr="004762FF" w:rsidRDefault="004762FF" w:rsidP="004762FF">
      <w:pPr>
        <w:jc w:val="center"/>
      </w:pPr>
      <w:r>
        <w:fldChar w:fldCharType="begin"/>
      </w:r>
      <w:r>
        <w:instrText xml:space="preserve"> DATE \@ "MMMM d, yyyy" </w:instrText>
      </w:r>
      <w:r>
        <w:fldChar w:fldCharType="separate"/>
      </w:r>
      <w:r w:rsidR="003D0164">
        <w:rPr>
          <w:noProof/>
        </w:rPr>
        <w:t>July 15, 2015</w:t>
      </w:r>
      <w:r>
        <w:fldChar w:fldCharType="end"/>
      </w:r>
    </w:p>
    <w:p w:rsidR="00A01BA9" w:rsidRDefault="00A01BA9" w:rsidP="00A01BA9"/>
    <w:p w:rsidR="00E95165" w:rsidRDefault="00E95165" w:rsidP="00A01BA9"/>
    <w:p w:rsidR="00A01BA9" w:rsidRPr="00E95165" w:rsidRDefault="00A01BA9" w:rsidP="004762FF">
      <w:r w:rsidRPr="00E95165">
        <w:rPr>
          <w:vertAlign w:val="superscript"/>
        </w:rPr>
        <w:t>1</w:t>
      </w:r>
      <w:r w:rsidRPr="00E95165">
        <w:t xml:space="preserve"> Dept. Molecular Biology </w:t>
      </w:r>
      <w:r w:rsidR="00E95165">
        <w:t>and</w:t>
      </w:r>
      <w:r w:rsidRPr="00E95165">
        <w:t xml:space="preserve"> Ecology of Plants, Tel-Aviv University, Tel-Aviv</w:t>
      </w:r>
      <w:r w:rsidR="004762FF">
        <w:t xml:space="preserve"> </w:t>
      </w:r>
      <w:r w:rsidR="004762FF" w:rsidRPr="004762FF">
        <w:t>69978,</w:t>
      </w:r>
      <w:r w:rsidRPr="00E95165">
        <w:t xml:space="preserve"> Israel</w:t>
      </w:r>
    </w:p>
    <w:p w:rsidR="00A01BA9" w:rsidRPr="00E95165" w:rsidRDefault="00E95165" w:rsidP="00E95165">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Tel-Aviv University, Tel-Aviv</w:t>
      </w:r>
      <w:r w:rsidR="004762FF">
        <w:t xml:space="preserve"> </w:t>
      </w:r>
      <w:r w:rsidR="004762FF" w:rsidRPr="004762FF">
        <w:t>69978</w:t>
      </w:r>
      <w:r w:rsidR="00A01BA9" w:rsidRPr="00E95165">
        <w:t>, Israel</w:t>
      </w:r>
    </w:p>
    <w:p w:rsidR="00E95165" w:rsidRPr="00E95165" w:rsidRDefault="00E95165" w:rsidP="00E95165">
      <w:pPr>
        <w:rPr>
          <w:vertAlign w:val="subscript"/>
        </w:rPr>
      </w:pPr>
      <w:r w:rsidRPr="00E95165">
        <w:rPr>
          <w:vertAlign w:val="superscript"/>
        </w:rPr>
        <w:t>*</w:t>
      </w:r>
      <w:r w:rsidRPr="00E95165">
        <w:rPr>
          <w:vertAlign w:val="subscript"/>
        </w:rPr>
        <w:t xml:space="preserve"> </w:t>
      </w:r>
      <w:r w:rsidRPr="00E95165">
        <w:t>Corresponding author: yoavram@post.tau.ac.il</w:t>
      </w:r>
    </w:p>
    <w:p w:rsidR="004762FF" w:rsidRDefault="004762FF" w:rsidP="00A362F7"/>
    <w:p w:rsidR="00563F73" w:rsidRDefault="004762FF" w:rsidP="00A362F7">
      <w:r w:rsidRPr="004762FF">
        <w:rPr>
          <w:b/>
          <w:bCs/>
        </w:rPr>
        <w:t>Keywords:</w:t>
      </w:r>
      <w:r>
        <w:t xml:space="preserve"> mathematical model, microbiology, evolution, ecology</w:t>
      </w:r>
      <w:r w:rsidR="00563F73">
        <w:br w:type="page"/>
      </w:r>
    </w:p>
    <w:p w:rsidR="00563F73" w:rsidRPr="00A362F7" w:rsidRDefault="00563F73" w:rsidP="00A362F7">
      <w:pPr>
        <w:pStyle w:val="Heading1"/>
      </w:pPr>
      <w:r w:rsidRPr="00A362F7">
        <w:lastRenderedPageBreak/>
        <w:t>Introduction</w:t>
      </w:r>
    </w:p>
    <w:p w:rsidR="00677B67" w:rsidRDefault="00563F73" w:rsidP="00B12AFC">
      <w:r w:rsidRPr="00A362F7">
        <w:t>Many experimental investigat</w:t>
      </w:r>
      <w:r>
        <w:t>ors in microbiology, genetics</w:t>
      </w:r>
      <w:r w:rsidR="00B12AFC">
        <w:t>,</w:t>
      </w:r>
      <w:r>
        <w:t xml:space="preserve"> and evolutionary biology use growth curves to estimate fitness. They measure the Optical Density (OD) of one or more populations of cells over several hours or even days to acquire the growth curves. The simplest way to estimate fitness from these curves is to infer the growth rate: taking the log of the curves during the exponential growth phase</w:t>
      </w:r>
      <w:r w:rsidR="00677B67">
        <w:t>,</w:t>
      </w:r>
      <w:r>
        <w:t xml:space="preserve"> using linear regression to </w:t>
      </w:r>
      <w:r w:rsidR="00677B67">
        <w:t xml:space="preserve">fit a linear line to the data, and taking the </w:t>
      </w:r>
      <w:r>
        <w:t xml:space="preserve">slope </w:t>
      </w:r>
      <w:r w:rsidR="00677B67">
        <w:t xml:space="preserve">of the line </w:t>
      </w:r>
      <w:r>
        <w:t>as a measure of the growth rate</w:t>
      </w:r>
      <w:r w:rsidR="003D0164">
        <w:t xml:space="preserve"> </w:t>
      </w:r>
      <w:r>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003D0164" w:rsidRPr="003D0164">
        <w:rPr>
          <w:noProof/>
        </w:rPr>
        <w:t>(Hall et al. 2014)</w:t>
      </w:r>
      <w:r>
        <w:fldChar w:fldCharType="end"/>
      </w:r>
      <w:r>
        <w:t xml:space="preserve">. Growth rates can indeed be proxies of </w:t>
      </w:r>
      <w:r w:rsidR="00677B67">
        <w:t xml:space="preserve">the </w:t>
      </w:r>
      <w:r w:rsidR="00677B67" w:rsidRPr="00677B67">
        <w:rPr>
          <w:i/>
          <w:iCs/>
        </w:rPr>
        <w:t>selection coefficient s</w:t>
      </w:r>
      <w:r w:rsidR="003D0164">
        <w:rPr>
          <w:i/>
          <w:iCs/>
        </w:rPr>
        <w:t xml:space="preserve"> </w:t>
      </w:r>
      <w:r w:rsidR="00677B67">
        <w:fldChar w:fldCharType="begin" w:fldLock="1"/>
      </w:r>
      <w:r w:rsidR="003D0164">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677B67">
        <w:fldChar w:fldCharType="separate"/>
      </w:r>
      <w:r w:rsidR="003D0164" w:rsidRPr="003D0164">
        <w:rPr>
          <w:noProof/>
        </w:rPr>
        <w:t>(Chevin 2011)</w:t>
      </w:r>
      <w:r w:rsidR="00677B67">
        <w:fldChar w:fldCharType="end"/>
      </w:r>
      <w:r w:rsidR="00677B67">
        <w:t>, which is the standard way of measuring relative fitness in population genetics</w:t>
      </w:r>
      <w:r w:rsidR="003D0164">
        <w:t xml:space="preserve"> </w:t>
      </w:r>
      <w:r w:rsidR="00677B67">
        <w:fldChar w:fldCharType="begin" w:fldLock="1"/>
      </w:r>
      <w:r w:rsidR="003D0164">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"(Crow and Kimura 1970)", "plainTextFormattedCitation" : "(Crow and Kimura 1970)", "previouslyFormattedCitation" : "(Crow and Kimura 1970)" }, "properties" : { "noteIndex" : 0 }, "schema" : "https://github.com/citation-style-language/schema/raw/master/csl-citation.json" }</w:instrText>
      </w:r>
      <w:r w:rsidR="00677B67">
        <w:fldChar w:fldCharType="separate"/>
      </w:r>
      <w:r w:rsidR="003D0164" w:rsidRPr="003D0164">
        <w:rPr>
          <w:noProof/>
        </w:rPr>
        <w:t>(Crow and Kimura 1970)</w:t>
      </w:r>
      <w:r w:rsidR="00677B67">
        <w:fldChar w:fldCharType="end"/>
      </w:r>
      <w:r w:rsidR="00677B67">
        <w:t>.</w:t>
      </w:r>
      <w:r>
        <w:t xml:space="preserve"> </w:t>
      </w:r>
      <w:r w:rsidR="00677B67">
        <w:t>B</w:t>
      </w:r>
      <w:r>
        <w:t xml:space="preserve">ut in </w:t>
      </w:r>
      <w:r w:rsidR="00677B67">
        <w:t xml:space="preserve">many </w:t>
      </w:r>
      <w:r>
        <w:t xml:space="preserve">cases growth curves include </w:t>
      </w:r>
      <w:r w:rsidR="00B12AFC">
        <w:t>other</w:t>
      </w:r>
      <w:r w:rsidR="00677B67">
        <w:t xml:space="preserve"> </w:t>
      </w:r>
      <w:r w:rsidR="00B12AFC">
        <w:t xml:space="preserve">growth </w:t>
      </w:r>
      <w:r>
        <w:t>phases</w:t>
      </w:r>
      <w:r w:rsidR="00677B67">
        <w:t xml:space="preserve"> </w:t>
      </w:r>
      <w:r w:rsidR="00B12AFC">
        <w:t xml:space="preserve">in addition to </w:t>
      </w:r>
      <w:r>
        <w:t>the exponential growth phase</w:t>
      </w:r>
      <w:r w:rsidR="00677B67">
        <w:t xml:space="preserve">: a </w:t>
      </w:r>
      <w:r>
        <w:t xml:space="preserve">lag phase, </w:t>
      </w:r>
      <w:r w:rsidR="00677B67">
        <w:t xml:space="preserve">a </w:t>
      </w:r>
      <w:r>
        <w:t>deceleration phase</w:t>
      </w:r>
      <w:r w:rsidR="00677B67">
        <w:t>,</w:t>
      </w:r>
      <w:r>
        <w:t xml:space="preserve"> and </w:t>
      </w:r>
      <w:r w:rsidR="00677B67">
        <w:t xml:space="preserve">a </w:t>
      </w:r>
      <w:r>
        <w:t>stationary phase.</w:t>
      </w:r>
    </w:p>
    <w:p w:rsidR="00FC0D75" w:rsidRDefault="00B12AFC" w:rsidP="003D0164">
      <w:r>
        <w:t xml:space="preserve">Competition assays are a common fitness inference </w:t>
      </w:r>
      <w:r w:rsidR="00677B67">
        <w:t xml:space="preserve">method </w:t>
      </w:r>
      <w:r>
        <w:t xml:space="preserve">that takes these additional growth phases into account. Competition assays include the growth of two strains in the same container – the </w:t>
      </w:r>
      <w:r w:rsidR="00677B67">
        <w:t>strain of interest and a reference strain (for example, a mutant strain and a wildtype strain).</w:t>
      </w:r>
      <w:r>
        <w:t xml:space="preserve"> </w:t>
      </w:r>
      <w:r w:rsidR="00677B67">
        <w:t>From the change in frequency over the competition</w:t>
      </w:r>
      <w:r w:rsidRPr="00B12AFC">
        <w:t xml:space="preserve"> </w:t>
      </w:r>
      <w:r>
        <w:t>duration</w:t>
      </w:r>
      <w:r w:rsidR="00677B67">
        <w:t xml:space="preserve">, investigators can estimate the </w:t>
      </w:r>
      <w:r w:rsidR="00677B67" w:rsidRPr="00677B67">
        <w:rPr>
          <w:i/>
          <w:iCs/>
        </w:rPr>
        <w:t>selection coefficient s</w:t>
      </w:r>
      <w:r w:rsidR="00677B67">
        <w:t xml:space="preserve"> of the strain of interest</w:t>
      </w:r>
      <w:r w:rsidR="003D0164">
        <w:t xml:space="preserve"> </w:t>
      </w:r>
      <w:r w:rsidR="00677B67">
        <w:fldChar w:fldCharType="begin" w:fldLock="1"/>
      </w:r>
      <w:r w:rsidR="003D0164">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677B67">
        <w:fldChar w:fldCharType="separate"/>
      </w:r>
      <w:r w:rsidR="003D0164" w:rsidRPr="003D0164">
        <w:rPr>
          <w:noProof/>
        </w:rPr>
        <w:t>(Wiser and Lenski 2015)</w:t>
      </w:r>
      <w:r w:rsidR="00677B67">
        <w:fldChar w:fldCharType="end"/>
      </w:r>
      <w:r w:rsidR="00677B67">
        <w:t>. Theoretically, this is a much better method to infer fitness, as it directly estimate</w:t>
      </w:r>
      <w:r w:rsidR="00C77C23">
        <w:t xml:space="preserve">s the </w:t>
      </w:r>
      <w:r w:rsidR="00677B67">
        <w:t>relative fitness rather than indirectly estimating it from proxy measures such as growth rate</w:t>
      </w:r>
      <w:r>
        <w:t>s</w:t>
      </w:r>
      <w:r w:rsidR="00677B67">
        <w:t>. However, competition assays are</w:t>
      </w:r>
      <w:r>
        <w:t xml:space="preserve"> more</w:t>
      </w:r>
      <w:r w:rsidR="00677B67">
        <w:t xml:space="preserve"> laborious </w:t>
      </w:r>
      <w:r>
        <w:t xml:space="preserve">than growth curve assays </w:t>
      </w:r>
      <w:r w:rsidR="00677B67">
        <w:t xml:space="preserve">and </w:t>
      </w:r>
      <w:r>
        <w:t xml:space="preserve">are typically more </w:t>
      </w:r>
      <w:r w:rsidR="00677B67">
        <w:t>expansive, requiring the construction and assaying of genetic or phenotypic markers</w:t>
      </w:r>
      <w:r w:rsidR="003D0164">
        <w:t xml:space="preserve"> </w:t>
      </w:r>
      <w:r w:rsidR="00677B67">
        <w:fldChar w:fldCharType="begin" w:fldLock="1"/>
      </w:r>
      <w:r w:rsidR="003D0164">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p>
    <w:p w:rsidR="00677B67" w:rsidRDefault="00FC0D75" w:rsidP="00B12AFC">
      <w:r>
        <w:t xml:space="preserve">Because competition assays require </w:t>
      </w:r>
      <w:r w:rsidR="00B12AFC">
        <w:t xml:space="preserve">more </w:t>
      </w:r>
      <w:r>
        <w:t xml:space="preserve">work and/or incur high costs, many </w:t>
      </w:r>
      <w:proofErr w:type="gramStart"/>
      <w:r>
        <w:t>investigators</w:t>
      </w:r>
      <w:proofErr w:type="gramEnd"/>
      <w:r>
        <w:t xml:space="preserve"> do without them and use proxies of fitness such as growth rates. However, these proxies of fitness suffer from several disadvantages: </w:t>
      </w:r>
      <w:r w:rsidR="00B12AFC">
        <w:t>(</w:t>
      </w:r>
      <w:proofErr w:type="spellStart"/>
      <w:r w:rsidR="00B12AFC">
        <w:t>i</w:t>
      </w:r>
      <w:proofErr w:type="spellEnd"/>
      <w:r w:rsidR="00B12AFC">
        <w:t xml:space="preserve">) </w:t>
      </w:r>
      <w:r>
        <w:t xml:space="preserve">they fail to capture the full scope of effects contributing to differences in fitness; </w:t>
      </w:r>
      <w:r w:rsidR="00B12AFC">
        <w:t xml:space="preserve">(ii) </w:t>
      </w:r>
      <w:r>
        <w:t xml:space="preserve">they are hard to compare between different studies and organisms; and </w:t>
      </w:r>
      <w:r w:rsidR="00B12AFC">
        <w:t xml:space="preserve">(iii) </w:t>
      </w:r>
      <w:r>
        <w:t xml:space="preserve">they are hard to use as </w:t>
      </w:r>
      <w:r w:rsidR="00B12AFC">
        <w:t xml:space="preserve">parameters </w:t>
      </w:r>
      <w:r>
        <w:t xml:space="preserve">for population genetics models that </w:t>
      </w:r>
      <w:r w:rsidR="00B12AFC">
        <w:t xml:space="preserve">can </w:t>
      </w:r>
      <w:r>
        <w:t xml:space="preserve">be used to </w:t>
      </w:r>
      <w:r w:rsidR="00B12AFC">
        <w:t xml:space="preserve">test hypotheses and </w:t>
      </w:r>
      <w:r>
        <w:t xml:space="preserve">predict </w:t>
      </w:r>
      <w:r w:rsidR="00B12AFC">
        <w:t xml:space="preserve">evolutionary </w:t>
      </w:r>
      <w:r>
        <w:t>dynamics.</w:t>
      </w:r>
    </w:p>
    <w:p w:rsidR="00FC0D75" w:rsidRDefault="00B12AFC" w:rsidP="000363EF">
      <w:r>
        <w:t xml:space="preserve">Here we propose a new method of </w:t>
      </w:r>
      <w:r w:rsidR="00FC0D75">
        <w:t>fitness</w:t>
      </w:r>
      <w:r>
        <w:t xml:space="preserve"> inference</w:t>
      </w:r>
      <w:r w:rsidR="00FC0D75">
        <w:t xml:space="preserve">. Our method fits growth models to growth curves data and uses the fitted growth models to predict the results </w:t>
      </w:r>
      <w:r w:rsidR="00FC0D75">
        <w:lastRenderedPageBreak/>
        <w:t xml:space="preserve">of competitions assays. The predicted competitions </w:t>
      </w:r>
      <w:r>
        <w:t>can</w:t>
      </w:r>
      <w:r w:rsidR="00FC0D75">
        <w:t xml:space="preserve"> then </w:t>
      </w:r>
      <w:r>
        <w:t xml:space="preserve">be </w:t>
      </w:r>
      <w:r w:rsidR="00FC0D75">
        <w:t>used instead of empirical ones to infer selection coefficients.</w:t>
      </w:r>
    </w:p>
    <w:p w:rsidR="00FC0D75" w:rsidRDefault="00FC0D75" w:rsidP="003D0164">
      <w:r>
        <w:t>We implemented our method using an open source Python package that can be freely used and extended</w:t>
      </w:r>
      <w:r w:rsidR="003D0164">
        <w:t>; in the future we hope to develop a user friendly web site to allow other investigators easy access to analysis of their growth curves using our method</w:t>
      </w:r>
      <w:r w:rsidR="00B12AFC">
        <w:t xml:space="preserve"> (http://curveball.yoavram.com)</w:t>
      </w:r>
      <w:r w:rsidR="003D0164">
        <w:t>.</w:t>
      </w:r>
    </w:p>
    <w:p w:rsidR="00FC0D75" w:rsidRDefault="00FC0D75" w:rsidP="00A362F7">
      <w:pPr>
        <w:pStyle w:val="Heading1"/>
      </w:pPr>
      <w:r>
        <w:t xml:space="preserve">Methods </w:t>
      </w:r>
    </w:p>
    <w:p w:rsidR="00060445" w:rsidRDefault="00B12AFC" w:rsidP="00B12AFC">
      <w:r>
        <w:t>O</w:t>
      </w:r>
      <w:r w:rsidR="00765CD6">
        <w:t xml:space="preserve">ur method </w:t>
      </w:r>
      <w:r>
        <w:t>includes three stages: (</w:t>
      </w:r>
      <w:proofErr w:type="spellStart"/>
      <w:r>
        <w:t>i</w:t>
      </w:r>
      <w:proofErr w:type="spellEnd"/>
      <w:r>
        <w:t xml:space="preserve">) </w:t>
      </w:r>
      <w:r w:rsidR="00765CD6">
        <w:t>fitting growth models to the growth curves data,</w:t>
      </w:r>
      <w:r w:rsidR="000363EF">
        <w:t xml:space="preserve"> </w:t>
      </w:r>
      <w:r w:rsidR="007C0F87">
        <w:t>(ii)</w:t>
      </w:r>
      <w:r w:rsidR="00765CD6">
        <w:t xml:space="preserve"> using the fitted models to predict the results of competition assays, and </w:t>
      </w:r>
      <w:r w:rsidR="007C0F87">
        <w:t xml:space="preserve">(iii) </w:t>
      </w:r>
      <w:r w:rsidR="00765CD6">
        <w:t>inferring selection from the</w:t>
      </w:r>
      <w:r w:rsidR="00865920">
        <w:t xml:space="preserve"> predicted competition results.</w:t>
      </w:r>
    </w:p>
    <w:p w:rsidR="00060445" w:rsidRPr="00A362F7" w:rsidRDefault="00060445" w:rsidP="00A362F7">
      <w:pPr>
        <w:pStyle w:val="Heading2"/>
      </w:pPr>
      <w:r w:rsidRPr="00A362F7">
        <w:t>Growth model</w:t>
      </w:r>
      <w:r w:rsidR="005F02B4" w:rsidRPr="00A362F7">
        <w:t>s</w:t>
      </w:r>
    </w:p>
    <w:p w:rsidR="00765CD6" w:rsidRDefault="00765CD6" w:rsidP="00895982">
      <w:r>
        <w:t xml:space="preserve">Because we are interested in </w:t>
      </w:r>
      <w:r w:rsidR="00984152">
        <w:t xml:space="preserve">all </w:t>
      </w:r>
      <w:r>
        <w:t xml:space="preserve">growth </w:t>
      </w:r>
      <w:r w:rsidR="00984152">
        <w:t xml:space="preserve">phases </w:t>
      </w:r>
      <w:r>
        <w:t>– the lag phase, the exponential phase, the deceleration phase</w:t>
      </w:r>
      <w:r w:rsidR="00984152">
        <w:t>, and the stationary phase</w:t>
      </w:r>
      <w:r w:rsidR="00895982">
        <w:t xml:space="preserve"> </w:t>
      </w:r>
      <w:r>
        <w:t>– we use an extension of the classic logistic mo</w:t>
      </w:r>
      <w:r w:rsidR="00984152">
        <w:t xml:space="preserve">del: </w:t>
      </w:r>
      <w:r>
        <w:t xml:space="preserve">the </w:t>
      </w:r>
      <w:proofErr w:type="spellStart"/>
      <w:r>
        <w:rPr>
          <w:i/>
          <w:iCs/>
        </w:rPr>
        <w:t>Baranyi</w:t>
      </w:r>
      <w:proofErr w:type="spellEnd"/>
      <w:r>
        <w:rPr>
          <w:i/>
          <w:iCs/>
        </w:rPr>
        <w:t>-Roberts model</w:t>
      </w:r>
      <w:r>
        <w:t xml:space="preserve">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rsidR="00765CD6" w:rsidRDefault="00765CD6" w:rsidP="00984152">
      <w:r>
        <w:t xml:space="preserve">The </w:t>
      </w:r>
      <w:proofErr w:type="spellStart"/>
      <w:r>
        <w:t>Baranyi</w:t>
      </w:r>
      <w:proofErr w:type="spellEnd"/>
      <w:r>
        <w:t>-</w:t>
      </w:r>
      <w:r w:rsidR="00984152">
        <w:t>Roberts g</w:t>
      </w:r>
      <w:r>
        <w:t>rowth model is defined by the following one-species ordinary differential equation</w:t>
      </w:r>
      <w:r w:rsidR="00EB7652">
        <w:t xml:space="preserve"> (see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EB7652">
        <w:t>)</w:t>
      </w:r>
      <w:r>
        <w:t>:</w:t>
      </w:r>
    </w:p>
    <w:p w:rsidR="00765CD6" w:rsidRDefault="003D0164" w:rsidP="00A362F7">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(1a)</w:t>
      </w:r>
    </w:p>
    <w:p w:rsidR="00EB7652" w:rsidRDefault="00EB7652" w:rsidP="00A362F7">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rsidR="00EB7652" w:rsidRDefault="00EB7652" w:rsidP="00A362F7">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(1c)</w:t>
      </w:r>
    </w:p>
    <w:p w:rsidR="00EB7652" w:rsidRDefault="00EB7652" w:rsidP="00A362F7">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p>
    <w:p w:rsidR="00EB7652" w:rsidRDefault="00EB7652" w:rsidP="003D0164">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 xml:space="preserve">the growth of the population as it nears the maximum density. When the deceleration </w:t>
      </w:r>
      <w:proofErr w:type="gramStart"/>
      <w:r>
        <w:t xml:space="preserve">parameter </w:t>
      </w:r>
      <w:proofErr w:type="gramEnd"/>
      <m:oMath>
        <m:r>
          <w:rPr>
            <w:rFonts w:ascii="Cambria Math" w:hAnsi="Cambria Math"/>
          </w:rPr>
          <m:t>ν=1</m:t>
        </m:r>
      </m:oMath>
      <w:r>
        <w:t>, the deceleratio</w:t>
      </w:r>
      <w:r w:rsidR="00984152">
        <w:t>n is the same as in the classic</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When </w:t>
      </w:r>
      <m:oMath>
        <m:r>
          <w:rPr>
            <w:rFonts w:ascii="Cambria Math" w:hAnsi="Cambria Math"/>
          </w:rPr>
          <m:t>ν&gt;1</m:t>
        </m:r>
      </m:oMath>
      <w:r>
        <w:t xml:space="preserve"> or </w:t>
      </w:r>
      <m:oMath>
        <m:r>
          <w:rPr>
            <w:rFonts w:ascii="Cambria Math" w:hAnsi="Cambria Math"/>
          </w:rPr>
          <m:t>0&lt;ν&lt;1</m:t>
        </m:r>
      </m:oMath>
      <w:r>
        <w:t xml:space="preserve"> th</w:t>
      </w:r>
      <w:r w:rsidR="003D0164">
        <w:t>e</w:t>
      </w:r>
      <w:r>
        <w:t xml:space="preserve"> density</w:t>
      </w:r>
      <w:r w:rsidR="00A26E97" w:rsidRPr="00A26E97">
        <w:t xml:space="preserve"> </w:t>
      </w:r>
      <w:r w:rsidR="00A26E97">
        <w:t>at the time of the maximum growth rate</w:t>
      </w:r>
      <w:r>
        <w:t xml:space="preserve"> is higher or lower</w:t>
      </w:r>
      <w:r w:rsidR="00A26E97">
        <w:t>, respectively</w:t>
      </w:r>
      <w:r w:rsidR="003D0164">
        <w:t>.</w:t>
      </w:r>
    </w:p>
    <w:p w:rsidR="00EB7652" w:rsidRDefault="00EB7652" w:rsidP="00984152">
      <w:r>
        <w:lastRenderedPageBreak/>
        <w:t xml:space="preserve">The adjustment function </w:t>
      </w:r>
      <m:oMath>
        <m:r>
          <w:rPr>
            <w:rFonts w:ascii="Cambria Math" w:hAnsi="Cambria Math"/>
          </w:rPr>
          <m:t>α(t)</m:t>
        </m:r>
      </m:oMath>
      <w:r>
        <w:t xml:space="preserve"> is used to describe the adjustment of the population to a new environment. Typically, </w:t>
      </w:r>
      <w:r w:rsidR="00984152">
        <w:t>micro</w:t>
      </w:r>
      <w:r>
        <w:t xml:space="preserve">organisms are grown in overnight culture </w:t>
      </w:r>
      <w:r w:rsidR="00984152">
        <w:t xml:space="preserve">and </w:t>
      </w:r>
      <w:r>
        <w:t xml:space="preserve">diluted into fresh media </w:t>
      </w:r>
      <w:r w:rsidR="00406968">
        <w:t xml:space="preserve">for the growth curve experiment. Therefore, </w:t>
      </w:r>
      <w:r w:rsidR="00984152">
        <w:t xml:space="preserve">populations that are </w:t>
      </w:r>
      <w:r w:rsidR="00406968">
        <w:t xml:space="preserve">adjusted to stationary phase must now adjust to growth, and this </w:t>
      </w:r>
      <w:r w:rsidR="00984152">
        <w:t>takes some time. T</w:t>
      </w:r>
      <w:r w:rsidR="00406968">
        <w:t xml:space="preserve">his </w:t>
      </w:r>
      <w:r w:rsidR="00984152">
        <w:t xml:space="preserve">adjustment phase </w:t>
      </w:r>
      <w:r w:rsidR="00406968">
        <w:t xml:space="preserve">is usually called the </w:t>
      </w:r>
      <w:r w:rsidR="00406968">
        <w:rPr>
          <w:i/>
          <w:iCs/>
        </w:rPr>
        <w:t>lag phase</w:t>
      </w:r>
      <w:r w:rsidR="00406968">
        <w:t xml:space="preserve">. The specific adjustment function we use here was suggested by </w:t>
      </w:r>
      <w:proofErr w:type="spellStart"/>
      <w:r w:rsidR="00406968">
        <w:t>Baranyi</w:t>
      </w:r>
      <w:proofErr w:type="spellEnd"/>
      <w:r w:rsidR="00406968">
        <w:t xml:space="preserve"> and Roberts</w:t>
      </w:r>
      <w:r w:rsidR="00895982">
        <w:t xml:space="preserve"> </w:t>
      </w:r>
      <w:r w:rsidR="00984152">
        <w:fldChar w:fldCharType="begin" w:fldLock="1"/>
      </w:r>
      <w:r w:rsidR="00895982">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"(Baranyi and Roberts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p>
    <w:p w:rsidR="00406968" w:rsidRDefault="00406968" w:rsidP="00A362F7">
      <w:r>
        <w:t xml:space="preserve">The </w:t>
      </w:r>
      <w:proofErr w:type="spellStart"/>
      <w:r>
        <w:t>Baranyi</w:t>
      </w:r>
      <w:proofErr w:type="spellEnd"/>
      <w:r>
        <w:t>-Roberts differential equation has a closed form solution:</w:t>
      </w:r>
    </w:p>
    <w:p w:rsidR="00406968" w:rsidRDefault="00406968" w:rsidP="00A362F7">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rsidR="00406968" w:rsidRDefault="00406968" w:rsidP="00A362F7">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(2b)</w:t>
      </w:r>
    </w:p>
    <w:p w:rsidR="00060445" w:rsidRDefault="005F02B4" w:rsidP="00984152">
      <w:r>
        <w:t>W</w:t>
      </w:r>
      <w:r w:rsidR="00060445">
        <w:t xml:space="preserve">e </w:t>
      </w:r>
      <w:r>
        <w:t xml:space="preserve">use </w:t>
      </w:r>
      <w:r w:rsidR="00060445">
        <w:t xml:space="preserve">four versions of the </w:t>
      </w:r>
      <w:proofErr w:type="spellStart"/>
      <w:r w:rsidR="00060445">
        <w:t>Baranyi</w:t>
      </w:r>
      <w:proofErr w:type="spellEnd"/>
      <w:r w:rsidR="00060445">
        <w:t xml:space="preserve">-Roberts model. The full </w:t>
      </w:r>
      <w:r>
        <w:t>model</w:t>
      </w:r>
      <w:r w:rsidR="00060445">
        <w:t xml:space="preserve">, BR6, is described by eq. 2 and has six parameters. BR5 is the </w:t>
      </w:r>
      <w:r>
        <w:t>model</w:t>
      </w:r>
      <w:r w:rsidR="00060445">
        <w:t xml:space="preserve"> in which the deceleration parameter</w:t>
      </w:r>
      <w:r w:rsidR="00984152">
        <w:t xml:space="preserve"> </w:t>
      </w:r>
      <m:oMath>
        <m:r>
          <w:rPr>
            <w:rFonts w:ascii="Cambria Math" w:hAnsi="Cambria Math"/>
          </w:rPr>
          <m:t>ν</m:t>
        </m:r>
      </m:oMath>
      <w:r w:rsidR="00060445">
        <w:t xml:space="preserve"> is set to</w:t>
      </w:r>
      <w:r w:rsidR="00984152">
        <w:t xml:space="preserve"> one</w:t>
      </w:r>
      <w:r w:rsidR="00060445">
        <w:t xml:space="preserve">, as in the classic logistic model. This model is useful because the reduced growth during the lag phase might sometimes be inferred </w:t>
      </w:r>
      <w:proofErr w:type="gramStart"/>
      <w:r w:rsidR="00060445">
        <w:t xml:space="preserve">as </w:t>
      </w:r>
      <w:proofErr w:type="gramEnd"/>
      <m:oMath>
        <m:r>
          <w:rPr>
            <w:rFonts w:ascii="Cambria Math" w:hAnsi="Cambria Math"/>
          </w:rPr>
          <m:t>ν&gt;1</m:t>
        </m:r>
      </m:oMath>
      <w:r w:rsidR="00060445">
        <w:t xml:space="preserve">. BR4 is the </w:t>
      </w:r>
      <w:r>
        <w:t>mode</w:t>
      </w:r>
      <w:r w:rsidR="00BB3C26">
        <w:t>l</w:t>
      </w:r>
      <w:r w:rsidR="00060445">
        <w:t xml:space="preserve"> without a lag phase,</w:t>
      </w:r>
      <w:r w:rsidR="00BB3C26">
        <w:t xml:space="preserve"> </w:t>
      </w:r>
      <w:proofErr w:type="gramStart"/>
      <w:r w:rsidR="00BB3C26">
        <w:t xml:space="preserve">where </w:t>
      </w:r>
      <w:r w:rsidR="00060445">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xml:space="preserve">. This is also known as the Richards model or the generalized logistic model. This </w:t>
      </w:r>
      <w:r>
        <w:t xml:space="preserve">model </w:t>
      </w:r>
      <w:r w:rsidR="00060445">
        <w:t>is useful in cases where t</w:t>
      </w:r>
      <w:r w:rsidR="00984152">
        <w:t xml:space="preserve">here is no observed lag phase: </w:t>
      </w:r>
      <w:r w:rsidR="00060445">
        <w:t xml:space="preserve">either because the organism in question adjusts very rapidly or because the population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last </w:t>
      </w:r>
      <w:r>
        <w:t>model</w:t>
      </w:r>
      <w:r w:rsidR="00060445">
        <w:t xml:space="preserve"> is BR3, in which </w:t>
      </w:r>
      <m:oMath>
        <m:r>
          <w:rPr>
            <w:rFonts w:ascii="Cambria Math" w:hAnsi="Cambria Math"/>
          </w:rPr>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060445">
        <w:t>. This is simply the classic logistic model</w:t>
      </w:r>
      <w:proofErr w:type="gramStart"/>
      <w:r w:rsidR="00060445">
        <w:t xml:space="preserve">, </w:t>
      </w:r>
      <w:proofErr w:type="gramEnd"/>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oMath>
      <w:r w:rsidR="00060445">
        <w:t>.</w:t>
      </w:r>
      <w:r>
        <w:t xml:space="preserve"> </w:t>
      </w:r>
    </w:p>
    <w:p w:rsidR="005F02B4" w:rsidRDefault="005F02B4" w:rsidP="00A362F7">
      <w:pPr>
        <w:pStyle w:val="Heading2"/>
      </w:pPr>
      <w:r>
        <w:t>Model fitting and selection</w:t>
      </w:r>
    </w:p>
    <w:p w:rsidR="005F02B4" w:rsidRDefault="005F02B4" w:rsidP="00984152">
      <w:r>
        <w:t>We fit all four models to the mean growth curve of each strain using a least-squares procedure</w:t>
      </w:r>
      <w:r w:rsidR="00895982">
        <w:t xml:space="preserve"> </w:t>
      </w:r>
      <w:r w:rsidR="00E95165">
        <w:fldChar w:fldCharType="begin" w:fldLock="1"/>
      </w:r>
      <w:r w:rsidR="003D0164">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"(Newville 2014)", "plainTextFormattedCitation" : "(Newville 2014)", "previouslyFormattedCitation" : "(Newville 2014)" }, "properties" : { "noteIndex" : 0 }, "schema" : "https://github.com/citation-style-language/schema/raw/master/csl-citation.json" }</w:instrText>
      </w:r>
      <w:r w:rsidR="00E95165">
        <w:fldChar w:fldCharType="separate"/>
      </w:r>
      <w:r w:rsidR="003D0164" w:rsidRPr="003D0164">
        <w:rPr>
          <w:noProof/>
        </w:rPr>
        <w:t>(Newville 2014)</w:t>
      </w:r>
      <w:r w:rsidR="00E95165">
        <w:fldChar w:fldCharType="end"/>
      </w:r>
      <w:r>
        <w:t xml:space="preserve">. The standard deviation at each time point is used as weights for the least-squares procedure so that time points with lower variance are more heavily weighted and therefore </w:t>
      </w:r>
      <w:r w:rsidR="00984152">
        <w:t>better</w:t>
      </w:r>
      <w:r>
        <w:t xml:space="preserve"> fitted. </w:t>
      </w:r>
    </w:p>
    <w:p w:rsidR="005F02B4" w:rsidRDefault="005F02B4" w:rsidP="00A362F7">
      <w:r>
        <w:t>We then calculate the Bayesian Information C</w:t>
      </w:r>
      <w:r w:rsidR="00984152">
        <w:t>riteria (BIC) of each model fit,</w:t>
      </w:r>
    </w:p>
    <w:p w:rsidR="005F02B4" w:rsidRDefault="00984152" w:rsidP="00A362F7">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rsidR="005F02B4" w:rsidRDefault="005F02B4" w:rsidP="003D0164">
      <w:pPr>
        <w:ind w:firstLine="0"/>
      </w:pPr>
      <w:r>
        <w:lastRenderedPageBreak/>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with the lowest BIC.</w:t>
      </w:r>
    </w:p>
    <w:p w:rsidR="00154E23" w:rsidRDefault="00154E23" w:rsidP="00984152">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is larger 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t>.</w:t>
      </w:r>
    </w:p>
    <w:p w:rsidR="00C05ED5" w:rsidRDefault="00C05ED5" w:rsidP="00A362F7">
      <w:pPr>
        <w:pStyle w:val="Heading2"/>
      </w:pPr>
      <w:r>
        <w:t>Competition prediction</w:t>
      </w:r>
    </w:p>
    <w:p w:rsidR="005F02B4" w:rsidRDefault="00241CDA" w:rsidP="00096923">
      <w:r>
        <w:t>W</w:t>
      </w:r>
      <w:r w:rsidR="00C05ED5">
        <w:t>e introduce the two</w:t>
      </w:r>
      <w:r w:rsidR="00096923">
        <w:t xml:space="preserve">-strain </w:t>
      </w:r>
      <w:proofErr w:type="spellStart"/>
      <w:r w:rsidR="00984152">
        <w:t>Baranyi</w:t>
      </w:r>
      <w:proofErr w:type="spellEnd"/>
      <w:r w:rsidR="00984152">
        <w:t>-R</w:t>
      </w:r>
      <w:r w:rsidR="00547A93">
        <w:t>oberts model, which, t</w:t>
      </w:r>
      <w:r w:rsidR="00C05ED5">
        <w:t xml:space="preserve">o the best of our knowledge, </w:t>
      </w:r>
      <w:r w:rsidR="00547A93">
        <w:t xml:space="preserve">has </w:t>
      </w:r>
      <w:r w:rsidR="00C05ED5">
        <w:t>not been used before:</w:t>
      </w:r>
    </w:p>
    <w:p w:rsidR="00C05ED5" w:rsidRDefault="003D0164"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rsidR="00C05ED5" w:rsidRDefault="003D0164"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rsidR="00C05ED5" w:rsidRDefault="003D0164"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(3c)</w:t>
      </w:r>
    </w:p>
    <w:p w:rsidR="00C05ED5" w:rsidRDefault="003D0164"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rsidR="003578D2" w:rsidRDefault="003578D2" w:rsidP="00984152">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w:t>
      </w:r>
      <w:r w:rsidR="00984152">
        <w:t xml:space="preserve"> the value of</w:t>
      </w:r>
      <w:r>
        <w:t xml:space="preserve"> parameter </w:t>
      </w:r>
      <m:oMath>
        <m:r>
          <w:rPr>
            <w:rFonts w:ascii="Cambria Math" w:hAnsi="Cambria Math"/>
          </w:rPr>
          <m:t>x</m:t>
        </m:r>
      </m:oMath>
      <w:r>
        <w:t xml:space="preserve"> of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p>
    <w:p w:rsidR="006E28DC" w:rsidRPr="006E28DC" w:rsidRDefault="006E28DC" w:rsidP="00895982">
      <w:r>
        <w:t>This two-</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r w:rsidR="00895982" w:rsidRPr="00895982">
        <w:t>.</w:t>
      </w:r>
      <w:r w:rsidRPr="00895982">
        <w:t xml:space="preserve"> </w:t>
      </w:r>
      <w:r w:rsidR="00895982" w:rsidRPr="00895982">
        <w:t>T</w:t>
      </w:r>
      <w:r w:rsidRPr="00895982">
        <w:t>herefore</w:t>
      </w:r>
      <w:r w:rsidR="00895982" w:rsidRPr="00895982">
        <w:t xml:space="preserve">, all 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rsidR="003578D2" w:rsidRDefault="00542096" w:rsidP="00A362F7">
      <w:pPr>
        <w:pStyle w:val="Heading2"/>
      </w:pPr>
      <w:r w:rsidRPr="00A362F7">
        <w:t xml:space="preserve">Selection coefficient </w:t>
      </w:r>
      <w:r w:rsidR="006E28DC" w:rsidRPr="00A362F7">
        <w:t>inference</w:t>
      </w:r>
    </w:p>
    <w:p w:rsidR="00895982" w:rsidRDefault="00895982" w:rsidP="00895982">
      <w:r>
        <w:t xml:space="preserve">Perhaps the most common method for estimating relative fitness or selection coefficients from pair-wise competition results is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3D0164">
        <w:rPr>
          <w:noProof/>
        </w:rPr>
        <w:t>(Wiser and Lenski 2015)</w:t>
      </w:r>
      <w:r>
        <w:fldChar w:fldCharType="end"/>
      </w:r>
      <w:r>
        <w:t>:</w:t>
      </w:r>
    </w:p>
    <w:p w:rsidR="00895982" w:rsidRDefault="00895982" w:rsidP="00895982">
      <w:pPr>
        <w:jc w:val="right"/>
      </w:pPr>
      <m:oMath>
        <m:r>
          <w:rPr>
            <w:rFonts w:ascii="Cambria Math" w:hAnsi="Cambria Math"/>
          </w:rPr>
          <m:t>s</m:t>
        </m:r>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r>
          <w:rPr>
            <w:rFonts w:ascii="Cambria Math" w:hAnsi="Cambria Math"/>
          </w:rPr>
          <m:t>,</m:t>
        </m:r>
      </m:oMath>
      <w:r>
        <w:t xml:space="preserve">                                       </w:t>
      </w:r>
      <w:r>
        <w:t xml:space="preserve">  (4</w:t>
      </w:r>
      <w:r>
        <w:t>)</w:t>
      </w:r>
    </w:p>
    <w:p w:rsidR="00406968" w:rsidRPr="00865920" w:rsidRDefault="00895982" w:rsidP="00895982">
      <w:pPr>
        <w:ind w:firstLine="0"/>
        <w:rPr>
          <w:rFonts w:asciiTheme="minorHAnsi" w:hAnsiTheme="minorHAnsi"/>
        </w:rPr>
      </w:pPr>
      <w:proofErr w:type="gramStart"/>
      <w:r>
        <w:lastRenderedPageBreak/>
        <w:t>w</w:t>
      </w:r>
      <w:r>
        <w:t>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w:t>
      </w:r>
      <w:r>
        <w:t xml:space="preserve"> </w:t>
      </w:r>
      <m:oMath>
        <m:r>
          <w:rPr>
            <w:rFonts w:ascii="Cambria Math" w:hAnsi="Cambria Math"/>
          </w:rPr>
          <m:t>t</m:t>
        </m:r>
      </m:oMath>
      <w:r>
        <w:t xml:space="preserve"> is</w:t>
      </w:r>
      <w:r>
        <w:t xml:space="preserve"> time,</w:t>
      </w:r>
      <w:r>
        <w:t xml:space="preserve"> usually chosen to be 24 hours.</w:t>
      </w:r>
      <w:r>
        <w:t xml:space="preserve"> </w:t>
      </w:r>
    </w:p>
    <w:p w:rsidR="00406968" w:rsidRDefault="00406968" w:rsidP="00A362F7">
      <w:pPr>
        <w:pStyle w:val="Heading1"/>
      </w:pPr>
      <w:r>
        <w:t>Di</w:t>
      </w:r>
      <w:bookmarkStart w:id="0" w:name="_GoBack"/>
      <w:bookmarkEnd w:id="0"/>
      <w:r>
        <w:t>scussion</w:t>
      </w:r>
    </w:p>
    <w:p w:rsidR="00E95165" w:rsidRDefault="00E95165" w:rsidP="00096923">
      <w:r>
        <w:t xml:space="preserve">We present a </w:t>
      </w:r>
      <w:r w:rsidR="005226B0">
        <w:t xml:space="preserve">new computational </w:t>
      </w:r>
      <w:r>
        <w:t>method to predict the results of competition assays based on the growth curves of each separate strain.</w:t>
      </w:r>
      <w:r w:rsidR="005226B0">
        <w:t xml:space="preserve"> </w:t>
      </w:r>
    </w:p>
    <w:p w:rsidR="005226B0" w:rsidRDefault="005226B0" w:rsidP="00A415D4">
      <w:r>
        <w:t xml:space="preserve">This method </w:t>
      </w:r>
      <w:r w:rsidR="00096923">
        <w:t xml:space="preserve">should </w:t>
      </w:r>
      <w:r>
        <w:t xml:space="preserve">be very useful because growth curve assays require much less </w:t>
      </w:r>
      <w:del w:id="1" w:author="lilach" w:date="2015-07-15T15:12:00Z">
        <w:r w:rsidDel="00A415D4">
          <w:delText xml:space="preserve">work </w:delText>
        </w:r>
      </w:del>
      <w:ins w:id="2" w:author="lilach" w:date="2015-07-15T15:12:00Z">
        <w:r w:rsidR="00A415D4">
          <w:t xml:space="preserve">effort </w:t>
        </w:r>
      </w:ins>
      <w:r>
        <w:t xml:space="preserve">and preparation than competition assays. </w:t>
      </w:r>
      <w:commentRangeStart w:id="3"/>
      <w:r>
        <w:t>For example, one common protocol for competition assays</w:t>
      </w:r>
      <w:r>
        <w:fldChar w:fldCharType="begin" w:fldLock="1"/>
      </w:r>
      <w:r w:rsidR="003D0164">
        <w:instrText>ADDIN CSL_CITATION { "citationItems" : [ { "id" : "ITEM-1",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"ITEM-1", "issue" : "5767", "issued" : { "date-parts" : [ [ "2006", "3" ] ] }, "page" : "1615-7", "title" : "An equivalence principle for the incorporation of favorable mutations in asexual populations.", "type" : "article-journal", "volume" : "311" }, "uris" : [ "http://www.mendeley.com/documents/?uuid=df098aed-e9a8-43d7-8750-773e2a8a73f5" ] } ], "mendeley" : { "formattedCitation" : "(Hegreness et al. 2006)", "plainTextFormattedCitation" : "(Hegreness et al. 2006)", "previouslyFormattedCitation" : "(Hegreness et al. 2006)" }, "properties" : { "noteIndex" : 0 }, "schema" : "https://github.com/citation-style-language/schema/raw/master/csl-citation.json" }</w:instrText>
      </w:r>
      <w:r>
        <w:fldChar w:fldCharType="separate"/>
      </w:r>
      <w:r w:rsidR="003D0164" w:rsidRPr="003D0164">
        <w:rPr>
          <w:noProof/>
        </w:rPr>
        <w:t>(</w:t>
      </w:r>
      <w:proofErr w:type="spellStart"/>
      <w:r w:rsidR="003D0164" w:rsidRPr="003D0164">
        <w:rPr>
          <w:noProof/>
        </w:rPr>
        <w:t>Hegreness</w:t>
      </w:r>
      <w:proofErr w:type="spellEnd"/>
      <w:r w:rsidR="003D0164" w:rsidRPr="003D0164">
        <w:rPr>
          <w:noProof/>
        </w:rPr>
        <w:t xml:space="preserve"> et al. 2006)</w:t>
      </w:r>
      <w:r>
        <w:fldChar w:fldCharType="end"/>
      </w:r>
      <w:r>
        <w:t xml:space="preserve"> requires the insertion of genes coding for fluorescent proteins to the strains in question and the measurement of the two fluorescence markers using a flow cytometry reader. Another approach</w:t>
      </w:r>
      <w:r>
        <w:fldChar w:fldCharType="begin" w:fldLock="1"/>
      </w:r>
      <w:r w:rsidR="003D0164">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003D0164" w:rsidRPr="003D0164">
        <w:rPr>
          <w:noProof/>
        </w:rPr>
        <w:t>(Wiser and Lenski 2015)</w:t>
      </w:r>
      <w:r>
        <w:fldChar w:fldCharType="end"/>
      </w:r>
      <w:r>
        <w:t xml:space="preserve"> requires the deletion of the arabinose utilization gene from one of the strains. The respective assay requires plating the bacteria on agar plates specific for identification of </w:t>
      </w:r>
      <w:proofErr w:type="spellStart"/>
      <w:r w:rsidRPr="009C4366">
        <w:rPr>
          <w:i/>
          <w:iCs/>
        </w:rPr>
        <w:t>ara</w:t>
      </w:r>
      <w:proofErr w:type="spellEnd"/>
      <w:r w:rsidRPr="009C4366">
        <w:rPr>
          <w:i/>
          <w:iCs/>
          <w:vertAlign w:val="superscript"/>
        </w:rPr>
        <w:t>-</w:t>
      </w:r>
      <w:r>
        <w:t xml:space="preserve"> mutants and counting colonies after overnight growth. In contrast, growth curve assays only require</w:t>
      </w:r>
      <w:r w:rsidR="00096923">
        <w:t xml:space="preserve"> the growth of the two strains and the measurement of their </w:t>
      </w:r>
      <w:r>
        <w:t xml:space="preserve">optical density once every 10-60 minutes. </w:t>
      </w:r>
      <w:commentRangeEnd w:id="3"/>
      <w:r w:rsidR="008D29A3">
        <w:rPr>
          <w:rStyle w:val="CommentReference"/>
        </w:rPr>
        <w:commentReference w:id="3"/>
      </w:r>
      <w:r>
        <w:t xml:space="preserve">As automatic 96-well microplate readers become more and </w:t>
      </w:r>
      <w:r w:rsidR="00096923">
        <w:t>more frequent in microbiology</w:t>
      </w:r>
      <w:r>
        <w:t xml:space="preserve"> labs, this assay can be prepared in less than 30 minutes, after which the </w:t>
      </w:r>
      <w:r w:rsidR="00096923">
        <w:t xml:space="preserve">measurements </w:t>
      </w:r>
      <w:r>
        <w:t>are automatically collected by the plate reader.</w:t>
      </w:r>
    </w:p>
    <w:p w:rsidR="00406968" w:rsidRDefault="005226B0" w:rsidP="00096923">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has a differential equation form and a closed form solution</w:t>
      </w:r>
      <w:r>
        <w:t xml:space="preserve">. </w:t>
      </w:r>
      <w:r w:rsidR="00096923">
        <w:t>Hence</w:t>
      </w:r>
      <w:r>
        <w:t>,</w:t>
      </w:r>
      <w:r w:rsidR="00406968">
        <w:t xml:space="preserve"> it is highly </w:t>
      </w:r>
      <w:r w:rsidR="00096923">
        <w:t xml:space="preserve">useful </w:t>
      </w:r>
      <w:r w:rsidR="00406968">
        <w:t xml:space="preserve">for our </w:t>
      </w:r>
      <w:r>
        <w:t>method</w:t>
      </w:r>
      <w:r w:rsidR="00406968">
        <w:t>: the closed form is used to fit to growth curve data</w:t>
      </w:r>
      <w:r>
        <w:t xml:space="preserve"> while</w:t>
      </w:r>
      <w:r w:rsidR="00406968">
        <w:t xml:space="preserve"> the differential equation is used to predict the competition</w:t>
      </w:r>
      <w:r w:rsidR="00096923">
        <w:t xml:space="preserve"> dynamic</w:t>
      </w:r>
      <w:r w:rsidR="00406968">
        <w:t>s.</w:t>
      </w:r>
      <w:r w:rsidR="00451F50">
        <w:t xml:space="preserve"> In addition, the </w:t>
      </w:r>
      <w:proofErr w:type="spellStart"/>
      <w:r w:rsidR="00451F50">
        <w:t>Baranyi</w:t>
      </w:r>
      <w:proofErr w:type="spellEnd"/>
      <w:r w:rsidR="00451F50">
        <w:t xml:space="preserve">-Roberts model is an extension of the logistic model which is </w:t>
      </w:r>
      <w:commentRangeStart w:id="4"/>
      <w:r w:rsidR="00451F50">
        <w:t>widely</w:t>
      </w:r>
      <w:r w:rsidR="00096923">
        <w:t xml:space="preserve"> used in textbooks and it has a clear biological interpretation.</w:t>
      </w:r>
      <w:commentRangeEnd w:id="4"/>
      <w:r w:rsidR="008D29A3">
        <w:rPr>
          <w:rStyle w:val="CommentReference"/>
        </w:rPr>
        <w:commentReference w:id="4"/>
      </w:r>
    </w:p>
    <w:p w:rsidR="00E95165" w:rsidRDefault="00E95165" w:rsidP="00096923">
      <w:r>
        <w:t>Our method assumes that the two strains interact via resource competition</w:t>
      </w:r>
      <w:r w:rsidR="00451F50">
        <w:t xml:space="preserve"> alone; that is, only through</w:t>
      </w:r>
      <w:ins w:id="5" w:author="lilach" w:date="2015-07-15T15:21:00Z">
        <w:r w:rsidR="008D29A3">
          <w:t xml:space="preserve"> the </w:t>
        </w:r>
        <w:proofErr w:type="gramStart"/>
        <w:r w:rsidR="008D29A3">
          <w:t>factor</w:t>
        </w:r>
      </w:ins>
      <w:r w:rsidR="00451F50">
        <w:t xml:space="preserve"> </w:t>
      </w:r>
      <w:proofErr w:type="gramEnd"/>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density-dependent interactions such as social or sexual selection, mutualism, and interference), our model can serve as a null hypothesis: the results of competition assays can be compared to model predictions and a</w:t>
      </w:r>
      <w:r w:rsidR="00096923">
        <w:t xml:space="preserve"> goodness of fit test </w:t>
      </w:r>
      <w:r w:rsidR="00451F50">
        <w:t>(such as the Kolm</w:t>
      </w:r>
      <w:r w:rsidR="00096923">
        <w:t>o</w:t>
      </w:r>
      <w:r w:rsidR="00451F50">
        <w:t xml:space="preserve">gorov-Smirnov </w:t>
      </w:r>
      <w:commentRangeStart w:id="6"/>
      <w:r w:rsidR="00451F50">
        <w:t>test</w:t>
      </w:r>
      <w:commentRangeEnd w:id="6"/>
      <w:r w:rsidR="008D29A3">
        <w:rPr>
          <w:rStyle w:val="CommentReference"/>
        </w:rPr>
        <w:commentReference w:id="6"/>
      </w:r>
      <w:r w:rsidR="00451F50">
        <w:t xml:space="preserve">) can be used to decide if additional interactions are significant. Moreover, these additional interactions can be measured, either in terms of the difference in selection coefficients </w:t>
      </w:r>
      <w:r w:rsidR="00451F50">
        <w:lastRenderedPageBreak/>
        <w:t>(between the coefficient calculated from the empirical results and coefficient calculated from the model prediction) or by fitting the empirical results to an extended model that includes density-dependent interactions</w:t>
      </w:r>
      <w:r w:rsidR="00451F50">
        <w:fldChar w:fldCharType="begin" w:fldLock="1"/>
      </w:r>
      <w:r w:rsidR="003D0164">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fldChar w:fldCharType="separate"/>
      </w:r>
      <w:r w:rsidR="003D0164" w:rsidRPr="003D0164">
        <w:rPr>
          <w:noProof/>
        </w:rPr>
        <w:t>(</w:t>
      </w:r>
      <w:proofErr w:type="spellStart"/>
      <w:r w:rsidR="003D0164" w:rsidRPr="003D0164">
        <w:rPr>
          <w:noProof/>
        </w:rPr>
        <w:t>Masel</w:t>
      </w:r>
      <w:proofErr w:type="spellEnd"/>
      <w:r w:rsidR="003D0164" w:rsidRPr="003D0164">
        <w:rPr>
          <w:noProof/>
        </w:rPr>
        <w:t xml:space="preserve"> 2014)</w:t>
      </w:r>
      <w:r w:rsidR="00451F50">
        <w:fldChar w:fldCharType="end"/>
      </w:r>
      <w:r w:rsidR="00451F50">
        <w:t>.</w:t>
      </w:r>
    </w:p>
    <w:p w:rsidR="00096923" w:rsidRDefault="00096923" w:rsidP="00096923">
      <w:pPr>
        <w:pStyle w:val="Heading2"/>
      </w:pPr>
      <w:r>
        <w:t>Conclusions</w:t>
      </w:r>
    </w:p>
    <w:p w:rsidR="00096923" w:rsidRDefault="00096923" w:rsidP="008D29A3">
      <w:r>
        <w:t xml:space="preserve">To conclude, we propose a new </w:t>
      </w:r>
      <w:ins w:id="7" w:author="lilach" w:date="2015-07-15T15:22:00Z">
        <w:r w:rsidR="008D29A3">
          <w:t xml:space="preserve">method to </w:t>
        </w:r>
      </w:ins>
      <w:r>
        <w:t xml:space="preserve">analyze growth curves and infer fitness. Our method is easy to use, has </w:t>
      </w:r>
      <w:ins w:id="8" w:author="lilach" w:date="2015-07-15T15:22:00Z">
        <w:r w:rsidR="00C95EA3">
          <w:t xml:space="preserve">a </w:t>
        </w:r>
      </w:ins>
      <w:r>
        <w:t>clear biological interpretation, and can also be used as a null model for the interpretation of competition assays.</w:t>
      </w:r>
    </w:p>
    <w:p w:rsidR="009C4366" w:rsidRDefault="009C4366" w:rsidP="00BC14C2">
      <w:pPr>
        <w:pStyle w:val="Heading1"/>
      </w:pPr>
      <w:r>
        <w:t>Acknowledgments</w:t>
      </w:r>
    </w:p>
    <w:p w:rsidR="009C4366" w:rsidRDefault="009C4366" w:rsidP="00363107">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363107" w:rsidRPr="009C4366">
        <w:t>I. Ben-Zion</w:t>
      </w:r>
      <w:r w:rsidR="00363107">
        <w:t>,</w:t>
      </w:r>
      <w:r>
        <w:t xml:space="preserve"> and J. </w:t>
      </w:r>
      <w:proofErr w:type="spellStart"/>
      <w:r>
        <w:t>Masel</w:t>
      </w:r>
      <w:proofErr w:type="spellEnd"/>
      <w:r>
        <w:t xml:space="preserve"> for helpful discussions. This work was funded by the Israeli Science Foundation (XXX), the Minerva Center for Lab Evolution, Manna Center Program for Food Safety &amp; Security, the Israeli Ministry of Science &amp; Technology, and the </w:t>
      </w:r>
      <w:proofErr w:type="spellStart"/>
      <w:r>
        <w:t>Anat</w:t>
      </w:r>
      <w:proofErr w:type="spellEnd"/>
      <w:r>
        <w:t xml:space="preserve"> </w:t>
      </w:r>
      <w:proofErr w:type="spellStart"/>
      <w:r>
        <w:t>Krauskopf</w:t>
      </w:r>
      <w:proofErr w:type="spellEnd"/>
      <w:r>
        <w:t xml:space="preserve"> Foundation.</w:t>
      </w:r>
    </w:p>
    <w:p w:rsidR="00BC14C2" w:rsidRDefault="00BC14C2" w:rsidP="00BC14C2">
      <w:pPr>
        <w:pStyle w:val="Heading1"/>
      </w:pPr>
      <w:r>
        <w:t>References</w:t>
      </w:r>
    </w:p>
    <w:p w:rsidR="00895982" w:rsidRPr="00895982" w:rsidRDefault="00BC14C2">
      <w:pPr>
        <w:pStyle w:val="NormalWeb"/>
        <w:ind w:left="480" w:hanging="480"/>
        <w:divId w:val="2011178102"/>
        <w:rPr>
          <w:noProof/>
        </w:rPr>
      </w:pPr>
      <w:r>
        <w:fldChar w:fldCharType="begin" w:fldLock="1"/>
      </w:r>
      <w:r>
        <w:instrText xml:space="preserve">ADDIN Mendeley Bibliography CSL_BIBLIOGRAPHY </w:instrText>
      </w:r>
      <w:r>
        <w:fldChar w:fldCharType="separate"/>
      </w:r>
      <w:r w:rsidR="00895982" w:rsidRPr="00895982">
        <w:rPr>
          <w:noProof/>
        </w:rPr>
        <w:t xml:space="preserve">Baranyi, József. 1997. “Simple Is Good as Long as It Is Enough.” </w:t>
      </w:r>
      <w:r w:rsidR="00895982" w:rsidRPr="00895982">
        <w:rPr>
          <w:i/>
          <w:iCs/>
          <w:noProof/>
        </w:rPr>
        <w:t>Commentary</w:t>
      </w:r>
      <w:r w:rsidR="00895982" w:rsidRPr="00895982">
        <w:rPr>
          <w:noProof/>
        </w:rPr>
        <w:t xml:space="preserve"> (1996): 391–394. doi:10.1006/fmic.1996.0080.</w:t>
      </w:r>
    </w:p>
    <w:p w:rsidR="00895982" w:rsidRPr="00895982" w:rsidRDefault="00895982">
      <w:pPr>
        <w:pStyle w:val="NormalWeb"/>
        <w:ind w:left="480" w:hanging="480"/>
        <w:divId w:val="2011178102"/>
        <w:rPr>
          <w:noProof/>
        </w:rPr>
      </w:pPr>
      <w:r w:rsidRPr="00895982">
        <w:rPr>
          <w:noProof/>
        </w:rPr>
        <w:t xml:space="preserve">Baranyi, József, and Terry a. Roberts. 1994. “A Dynamic Approach to Predicting Bacterial Growth in Food.” </w:t>
      </w:r>
      <w:r w:rsidRPr="00895982">
        <w:rPr>
          <w:i/>
          <w:iCs/>
          <w:noProof/>
        </w:rPr>
        <w:t>International Journal of Food Microbiology</w:t>
      </w:r>
      <w:r w:rsidRPr="00895982">
        <w:rPr>
          <w:noProof/>
        </w:rPr>
        <w:t xml:space="preserve"> 23: 277–294. doi:10.1016/0168-1605(94)90157-0.</w:t>
      </w:r>
    </w:p>
    <w:p w:rsidR="00895982" w:rsidRPr="00895982" w:rsidRDefault="00895982">
      <w:pPr>
        <w:pStyle w:val="NormalWeb"/>
        <w:ind w:left="480" w:hanging="480"/>
        <w:divId w:val="2011178102"/>
        <w:rPr>
          <w:noProof/>
        </w:rPr>
      </w:pPr>
      <w:r w:rsidRPr="00895982">
        <w:rPr>
          <w:noProof/>
        </w:rPr>
        <w:t xml:space="preserve">Chevin, Luis-Miguel. 2011. “On Measuring Selection in Experimental Evolution.” </w:t>
      </w:r>
      <w:r w:rsidRPr="00895982">
        <w:rPr>
          <w:i/>
          <w:iCs/>
          <w:noProof/>
        </w:rPr>
        <w:t>Biology Letters</w:t>
      </w:r>
      <w:r w:rsidRPr="00895982">
        <w:rPr>
          <w:noProof/>
        </w:rPr>
        <w:t xml:space="preserve"> 7 (2) (April 23): 210–3. doi:10.1098/rsbl.2010.0580. http://www.pubmedcentral.nih.gov/articlerender.fcgi?artid=3061150&amp;tool=pmcentrez&amp;rendertype=abstract.</w:t>
      </w:r>
    </w:p>
    <w:p w:rsidR="00895982" w:rsidRPr="00895982" w:rsidRDefault="00895982">
      <w:pPr>
        <w:pStyle w:val="NormalWeb"/>
        <w:ind w:left="480" w:hanging="480"/>
        <w:divId w:val="2011178102"/>
        <w:rPr>
          <w:noProof/>
        </w:rPr>
      </w:pPr>
      <w:r w:rsidRPr="00895982">
        <w:rPr>
          <w:noProof/>
        </w:rPr>
        <w:t xml:space="preserve">Concepción-Acevedo, Jeniffer, Howard N. Weiss, Waqas Nasir Chaudhry, and Bruce R. Levin. 2015. “Malthusian Parameters as Estimators of the Fitness of Microbes: A Cautionary Tale about the Low Side of High Throughput.” </w:t>
      </w:r>
      <w:r w:rsidRPr="00895982">
        <w:rPr>
          <w:i/>
          <w:iCs/>
          <w:noProof/>
        </w:rPr>
        <w:t>Plos One</w:t>
      </w:r>
      <w:r w:rsidRPr="00895982">
        <w:rPr>
          <w:noProof/>
        </w:rPr>
        <w:t xml:space="preserve"> 10 (6): e0126915. doi:10.1371/journal.pone.0126915. http://dx.plos.org/10.1371/journal.pone.0126915.</w:t>
      </w:r>
    </w:p>
    <w:p w:rsidR="00895982" w:rsidRPr="00895982" w:rsidRDefault="00895982">
      <w:pPr>
        <w:pStyle w:val="NormalWeb"/>
        <w:ind w:left="480" w:hanging="480"/>
        <w:divId w:val="2011178102"/>
        <w:rPr>
          <w:noProof/>
        </w:rPr>
      </w:pPr>
      <w:r w:rsidRPr="00895982">
        <w:rPr>
          <w:noProof/>
        </w:rPr>
        <w:t xml:space="preserve">Crow, James F., and Motoo Kimura. 1970. </w:t>
      </w:r>
      <w:r w:rsidRPr="00895982">
        <w:rPr>
          <w:i/>
          <w:iCs/>
          <w:noProof/>
        </w:rPr>
        <w:t>An Introduction to Population Genetics Theory</w:t>
      </w:r>
      <w:r w:rsidRPr="00895982">
        <w:rPr>
          <w:noProof/>
        </w:rPr>
        <w:t>. Minneapolis: Burgess Pub. Co. https://books.google.co.il/books?id=MLETAQAAIAAJ.</w:t>
      </w:r>
    </w:p>
    <w:p w:rsidR="00895982" w:rsidRPr="00895982" w:rsidRDefault="00895982">
      <w:pPr>
        <w:pStyle w:val="NormalWeb"/>
        <w:ind w:left="480" w:hanging="480"/>
        <w:divId w:val="2011178102"/>
        <w:rPr>
          <w:noProof/>
        </w:rPr>
      </w:pPr>
      <w:r w:rsidRPr="00895982">
        <w:rPr>
          <w:noProof/>
        </w:rPr>
        <w:lastRenderedPageBreak/>
        <w:t xml:space="preserve">Hall, Barry G., Hande Acar, Anna Nandipati, and Miriam Barlow. 2014. “Growth Rates Made Easy.” </w:t>
      </w:r>
      <w:r w:rsidRPr="00895982">
        <w:rPr>
          <w:i/>
          <w:iCs/>
          <w:noProof/>
        </w:rPr>
        <w:t>Molecular Biology and Evolution</w:t>
      </w:r>
      <w:r w:rsidRPr="00895982">
        <w:rPr>
          <w:noProof/>
        </w:rPr>
        <w:t xml:space="preserve"> 31 (1): 232–238. doi:10.1093/molbev/mst187.</w:t>
      </w:r>
    </w:p>
    <w:p w:rsidR="00895982" w:rsidRPr="00895982" w:rsidRDefault="00895982">
      <w:pPr>
        <w:pStyle w:val="NormalWeb"/>
        <w:ind w:left="480" w:hanging="480"/>
        <w:divId w:val="2011178102"/>
        <w:rPr>
          <w:noProof/>
        </w:rPr>
      </w:pPr>
      <w:r w:rsidRPr="00895982">
        <w:rPr>
          <w:noProof/>
        </w:rPr>
        <w:t xml:space="preserve">Hegreness, Matthew, Noam Shoresh, Daniel L. Hartl, and Roy Kishony. 2006. “An Equivalence Principle for the Incorporation of Favorable Mutations in Asexual Populations.” </w:t>
      </w:r>
      <w:r w:rsidRPr="00895982">
        <w:rPr>
          <w:i/>
          <w:iCs/>
          <w:noProof/>
        </w:rPr>
        <w:t>Science</w:t>
      </w:r>
      <w:r w:rsidRPr="00895982">
        <w:rPr>
          <w:noProof/>
        </w:rPr>
        <w:t xml:space="preserve"> 311 (5767) (March): 1615–7. doi:10.1126/science.1122469. http://www.ncbi.nlm.nih.gov/pubmed/16543462.</w:t>
      </w:r>
    </w:p>
    <w:p w:rsidR="00895982" w:rsidRPr="00895982" w:rsidRDefault="00895982">
      <w:pPr>
        <w:pStyle w:val="NormalWeb"/>
        <w:ind w:left="480" w:hanging="480"/>
        <w:divId w:val="2011178102"/>
        <w:rPr>
          <w:noProof/>
        </w:rPr>
      </w:pPr>
      <w:r w:rsidRPr="00895982">
        <w:rPr>
          <w:noProof/>
        </w:rPr>
        <w:t xml:space="preserve">Kass, Robert, and Adrian Raftery. 1995. “Bayes Factors.” </w:t>
      </w:r>
      <w:r w:rsidRPr="00895982">
        <w:rPr>
          <w:i/>
          <w:iCs/>
          <w:noProof/>
        </w:rPr>
        <w:t>Journal of the American Statistical Association</w:t>
      </w:r>
      <w:r w:rsidRPr="00895982">
        <w:rPr>
          <w:noProof/>
        </w:rPr>
        <w:t>: 773–795. doi:doi: 10.2307/2291091. http://www.tandfonline.com/doi/abs/10.1080/01621459.1995.10476572.</w:t>
      </w:r>
    </w:p>
    <w:p w:rsidR="00895982" w:rsidRPr="00895982" w:rsidRDefault="00895982">
      <w:pPr>
        <w:pStyle w:val="NormalWeb"/>
        <w:ind w:left="480" w:hanging="480"/>
        <w:divId w:val="2011178102"/>
        <w:rPr>
          <w:noProof/>
        </w:rPr>
      </w:pPr>
      <w:r w:rsidRPr="00895982">
        <w:rPr>
          <w:noProof/>
        </w:rPr>
        <w:t>Masel, Joanna. 2014. “Eco-Evolutionary ‘Fitness’ in 3 Dimensions: Absolute Growth, Absolute Efficiency, and Relative Competitiveness.” Populations and Evolution (July): 1–44. http://arxiv.org/abs/1407.1024.</w:t>
      </w:r>
    </w:p>
    <w:p w:rsidR="00895982" w:rsidRPr="00895982" w:rsidRDefault="00895982">
      <w:pPr>
        <w:pStyle w:val="NormalWeb"/>
        <w:ind w:left="480" w:hanging="480"/>
        <w:divId w:val="2011178102"/>
        <w:rPr>
          <w:noProof/>
        </w:rPr>
      </w:pPr>
      <w:r w:rsidRPr="00895982">
        <w:rPr>
          <w:noProof/>
        </w:rPr>
        <w:t>Newville, Matthew. 2014. “LMFIT: Non-Linear Least-Square Minimization and Curve-Fitting for Python.” http://lmfit.github.io/lmfit-py/.</w:t>
      </w:r>
    </w:p>
    <w:p w:rsidR="00895982" w:rsidRPr="00895982" w:rsidRDefault="00895982">
      <w:pPr>
        <w:pStyle w:val="NormalWeb"/>
        <w:ind w:left="480" w:hanging="480"/>
        <w:divId w:val="2011178102"/>
        <w:rPr>
          <w:noProof/>
        </w:rPr>
      </w:pPr>
      <w:r w:rsidRPr="00895982">
        <w:rPr>
          <w:noProof/>
        </w:rPr>
        <w:t xml:space="preserve">Wiser, Michael J, and Richard E. Lenski. 2015. “A Comparison of Methods to Measure Fitness in </w:t>
      </w:r>
      <w:r w:rsidRPr="00895982">
        <w:rPr>
          <w:i/>
          <w:iCs/>
          <w:noProof/>
        </w:rPr>
        <w:t>Escherichia Coli</w:t>
      </w:r>
      <w:r w:rsidRPr="00895982">
        <w:rPr>
          <w:noProof/>
        </w:rPr>
        <w:t xml:space="preserve">.” </w:t>
      </w:r>
      <w:r w:rsidRPr="00895982">
        <w:rPr>
          <w:i/>
          <w:iCs/>
          <w:noProof/>
        </w:rPr>
        <w:t>PLOS ONE</w:t>
      </w:r>
      <w:r w:rsidRPr="00895982">
        <w:rPr>
          <w:noProof/>
        </w:rPr>
        <w:t xml:space="preserve"> 10 (5): e0126210. doi:10.1371/journal.pone.0126210. http://biorxiv.org/content/early/2015/03/06/016121.</w:t>
      </w:r>
    </w:p>
    <w:p w:rsidR="00BC14C2" w:rsidRPr="00BC14C2" w:rsidRDefault="00BC14C2" w:rsidP="00895982">
      <w:pPr>
        <w:pStyle w:val="NormalWeb"/>
        <w:ind w:left="480" w:hanging="480"/>
        <w:divId w:val="368996544"/>
      </w:pPr>
      <w:r>
        <w:fldChar w:fldCharType="end"/>
      </w:r>
    </w:p>
    <w:p w:rsidR="006E28DC" w:rsidRDefault="006E28DC" w:rsidP="00A362F7"/>
    <w:sectPr w:rsidR="006E28DC" w:rsidSect="00E95165">
      <w:headerReference w:type="even" r:id="rId9"/>
      <w:headerReference w:type="default" r:id="rId10"/>
      <w:footerReference w:type="even" r:id="rId11"/>
      <w:footerReference w:type="default" r:id="rId12"/>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lilach" w:date="2015-07-15T15:17:00Z" w:initials="l">
    <w:p w:rsidR="003D0164" w:rsidRDefault="003D0164">
      <w:pPr>
        <w:pStyle w:val="CommentText"/>
      </w:pPr>
      <w:r>
        <w:rPr>
          <w:rStyle w:val="CommentReference"/>
        </w:rPr>
        <w:annotationRef/>
      </w:r>
      <w:r>
        <w:t>A bit too detailed</w:t>
      </w:r>
    </w:p>
  </w:comment>
  <w:comment w:id="4" w:author="lilach" w:date="2015-07-15T15:20:00Z" w:initials="l">
    <w:p w:rsidR="003D0164" w:rsidRDefault="003D0164">
      <w:pPr>
        <w:pStyle w:val="CommentText"/>
      </w:pPr>
      <w:r>
        <w:rPr>
          <w:rStyle w:val="CommentReference"/>
        </w:rPr>
        <w:annotationRef/>
      </w:r>
      <w:r>
        <w:t>Is it the most commonly used to describe bacterial growth?</w:t>
      </w:r>
    </w:p>
  </w:comment>
  <w:comment w:id="6" w:author="lilach" w:date="2015-07-15T15:21:00Z" w:initials="l">
    <w:p w:rsidR="003D0164" w:rsidRDefault="003D0164">
      <w:pPr>
        <w:pStyle w:val="CommentText"/>
      </w:pPr>
      <w:r>
        <w:rPr>
          <w:rStyle w:val="CommentReference"/>
        </w:rPr>
        <w:annotationRef/>
      </w:r>
      <w:proofErr w:type="gramStart"/>
      <w:r>
        <w:t>ref</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C26" w:rsidRDefault="00B15C26" w:rsidP="00A362F7">
      <w:r>
        <w:separator/>
      </w:r>
    </w:p>
  </w:endnote>
  <w:endnote w:type="continuationSeparator" w:id="0">
    <w:p w:rsidR="00B15C26" w:rsidRDefault="00B15C26"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rsidR="003D0164" w:rsidRDefault="003D0164">
        <w:pPr>
          <w:pStyle w:val="Footer"/>
          <w:jc w:val="center"/>
        </w:pPr>
        <w:r>
          <w:fldChar w:fldCharType="begin"/>
        </w:r>
        <w:r>
          <w:instrText xml:space="preserve"> PAGE   \* MERGEFORMAT </w:instrText>
        </w:r>
        <w:r>
          <w:fldChar w:fldCharType="separate"/>
        </w:r>
        <w:r w:rsidR="00895982">
          <w:rPr>
            <w:noProof/>
          </w:rPr>
          <w:t>6</w:t>
        </w:r>
        <w:r>
          <w:rPr>
            <w:noProof/>
          </w:rPr>
          <w:fldChar w:fldCharType="end"/>
        </w:r>
      </w:p>
    </w:sdtContent>
  </w:sdt>
  <w:p w:rsidR="003D0164" w:rsidRDefault="003D01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rsidR="003D0164" w:rsidRDefault="003D0164" w:rsidP="00E95165">
        <w:pPr>
          <w:pStyle w:val="Footer"/>
          <w:jc w:val="center"/>
        </w:pPr>
        <w:r>
          <w:fldChar w:fldCharType="begin"/>
        </w:r>
        <w:r w:rsidRPr="00E95165">
          <w:instrText xml:space="preserve"> PAGE   \* MERGEFORMAT </w:instrText>
        </w:r>
        <w:r>
          <w:fldChar w:fldCharType="separate"/>
        </w:r>
        <w:r w:rsidR="00895982">
          <w:rPr>
            <w:noProof/>
          </w:rPr>
          <w:t>7</w:t>
        </w:r>
        <w:r>
          <w:rPr>
            <w:noProof/>
          </w:rPr>
          <w:fldChar w:fldCharType="end"/>
        </w:r>
      </w:p>
    </w:sdtContent>
  </w:sdt>
  <w:p w:rsidR="003D0164" w:rsidRDefault="003D0164"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C26" w:rsidRDefault="00B15C26" w:rsidP="00A362F7">
      <w:r>
        <w:separator/>
      </w:r>
    </w:p>
  </w:footnote>
  <w:footnote w:type="continuationSeparator" w:id="0">
    <w:p w:rsidR="00B15C26" w:rsidRDefault="00B15C26"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164" w:rsidRDefault="003D0164"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164" w:rsidRDefault="003D0164"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363EF"/>
    <w:rsid w:val="00060445"/>
    <w:rsid w:val="00096923"/>
    <w:rsid w:val="000A12FF"/>
    <w:rsid w:val="000A33E4"/>
    <w:rsid w:val="000D74D8"/>
    <w:rsid w:val="00154E23"/>
    <w:rsid w:val="001E3E51"/>
    <w:rsid w:val="001E63B9"/>
    <w:rsid w:val="00241CDA"/>
    <w:rsid w:val="0025255E"/>
    <w:rsid w:val="002545FB"/>
    <w:rsid w:val="002D1BDB"/>
    <w:rsid w:val="00322C2A"/>
    <w:rsid w:val="003363E0"/>
    <w:rsid w:val="003578D2"/>
    <w:rsid w:val="00363107"/>
    <w:rsid w:val="003D0164"/>
    <w:rsid w:val="00406968"/>
    <w:rsid w:val="00451F50"/>
    <w:rsid w:val="004762FF"/>
    <w:rsid w:val="004C26D4"/>
    <w:rsid w:val="004E67C2"/>
    <w:rsid w:val="005226B0"/>
    <w:rsid w:val="00541F23"/>
    <w:rsid w:val="00542096"/>
    <w:rsid w:val="00547A93"/>
    <w:rsid w:val="00563F73"/>
    <w:rsid w:val="005F02B4"/>
    <w:rsid w:val="00670FC1"/>
    <w:rsid w:val="006748D6"/>
    <w:rsid w:val="00677B67"/>
    <w:rsid w:val="006E28DC"/>
    <w:rsid w:val="00754346"/>
    <w:rsid w:val="00765CD6"/>
    <w:rsid w:val="007917E5"/>
    <w:rsid w:val="00797787"/>
    <w:rsid w:val="007C0F87"/>
    <w:rsid w:val="008200D3"/>
    <w:rsid w:val="00865920"/>
    <w:rsid w:val="00895982"/>
    <w:rsid w:val="008D29A3"/>
    <w:rsid w:val="0093181D"/>
    <w:rsid w:val="009776CA"/>
    <w:rsid w:val="00984152"/>
    <w:rsid w:val="009C4366"/>
    <w:rsid w:val="00A00EBA"/>
    <w:rsid w:val="00A01BA9"/>
    <w:rsid w:val="00A26E97"/>
    <w:rsid w:val="00A362F7"/>
    <w:rsid w:val="00A415D4"/>
    <w:rsid w:val="00AB3A96"/>
    <w:rsid w:val="00B12AFC"/>
    <w:rsid w:val="00B15C26"/>
    <w:rsid w:val="00BB3C26"/>
    <w:rsid w:val="00BC14C2"/>
    <w:rsid w:val="00BD50D7"/>
    <w:rsid w:val="00C05ED5"/>
    <w:rsid w:val="00C640AA"/>
    <w:rsid w:val="00C77C23"/>
    <w:rsid w:val="00C95EA3"/>
    <w:rsid w:val="00CB2929"/>
    <w:rsid w:val="00CE2595"/>
    <w:rsid w:val="00D271A1"/>
    <w:rsid w:val="00E95165"/>
    <w:rsid w:val="00EB7652"/>
    <w:rsid w:val="00F378C2"/>
    <w:rsid w:val="00FC0D75"/>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9EB"/>
    <w:rsid w:val="00FE79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9E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9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DD70481-0927-45EE-B001-C1730096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7119</Words>
  <Characters>35600</Characters>
  <Application>Microsoft Office Word</Application>
  <DocSecurity>0</DocSecurity>
  <Lines>296</Lines>
  <Paragraphs>85</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42634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7</cp:revision>
  <dcterms:created xsi:type="dcterms:W3CDTF">2015-07-15T09:13:00Z</dcterms:created>
  <dcterms:modified xsi:type="dcterms:W3CDTF">2015-07-15T14:20:00Z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