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29FBD134" w:rsidR="0093181D" w:rsidRPr="00D373CC" w:rsidRDefault="00670FC1" w:rsidP="006775F0">
      <w:pPr>
        <w:pStyle w:val="Title"/>
        <w:rPr>
          <w:sz w:val="44"/>
          <w:szCs w:val="44"/>
        </w:rPr>
      </w:pPr>
      <w:r w:rsidRPr="00D373CC">
        <w:rPr>
          <w:sz w:val="44"/>
          <w:szCs w:val="44"/>
        </w:rPr>
        <w:softHyphen/>
      </w:r>
      <w:r w:rsidR="00541F23" w:rsidRPr="00D373CC">
        <w:rPr>
          <w:sz w:val="44"/>
          <w:szCs w:val="44"/>
        </w:rPr>
        <w:t>Predicting competition</w:t>
      </w:r>
      <w:r w:rsidR="0097184D" w:rsidRPr="00D373CC">
        <w:rPr>
          <w:sz w:val="44"/>
          <w:szCs w:val="44"/>
        </w:rPr>
        <w:t xml:space="preserve"> result</w:t>
      </w:r>
      <w:r w:rsidR="000A33E4" w:rsidRPr="00D373CC">
        <w:rPr>
          <w:sz w:val="44"/>
          <w:szCs w:val="44"/>
        </w:rPr>
        <w:t>s</w:t>
      </w:r>
      <w:r w:rsidR="006775F0">
        <w:rPr>
          <w:sz w:val="44"/>
          <w:szCs w:val="44"/>
        </w:rPr>
        <w:t xml:space="preserve"> </w:t>
      </w:r>
      <w:r w:rsidR="00541F23" w:rsidRPr="00D373CC">
        <w:rPr>
          <w:sz w:val="44"/>
          <w:szCs w:val="44"/>
        </w:rPr>
        <w:t>from growth curves</w:t>
      </w:r>
    </w:p>
    <w:p w14:paraId="476FD698" w14:textId="77777777" w:rsidR="00563F73" w:rsidRPr="00E95165" w:rsidRDefault="00563F73" w:rsidP="00507681"/>
    <w:p w14:paraId="28885133" w14:textId="233267F2" w:rsidR="00E95165" w:rsidRDefault="00563F73" w:rsidP="006775F0">
      <w:pPr>
        <w:pStyle w:val="Subtitle"/>
        <w:rPr>
          <w:rFonts w:ascii="Palatino Linotype" w:hAnsi="Palatino Linotype"/>
        </w:rPr>
      </w:pPr>
      <w:r w:rsidRPr="00E95165">
        <w:rPr>
          <w:rFonts w:ascii="Palatino Linotype" w:hAnsi="Palatino Linotype"/>
        </w:rPr>
        <w:t>Yoav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006775F0" w:rsidRPr="00E95165">
        <w:rPr>
          <w:rFonts w:ascii="Palatino Linotype" w:hAnsi="Palatino Linotype"/>
        </w:rPr>
        <w:t>Maayan</w:t>
      </w:r>
      <w:proofErr w:type="spellEnd"/>
      <w:r w:rsidR="006775F0" w:rsidRPr="00E95165">
        <w:rPr>
          <w:rFonts w:ascii="Palatino Linotype" w:hAnsi="Palatino Linotype"/>
        </w:rPr>
        <w:t xml:space="preserve"> Bibi</w:t>
      </w:r>
      <w:r w:rsidR="006775F0" w:rsidRPr="00E95165">
        <w:rPr>
          <w:rFonts w:ascii="Palatino Linotype" w:hAnsi="Palatino Linotype"/>
          <w:vertAlign w:val="superscript"/>
        </w:rPr>
        <w:t>2</w:t>
      </w:r>
      <w:r w:rsidRPr="00E95165">
        <w:rPr>
          <w:rFonts w:ascii="Palatino Linotype" w:hAnsi="Palatino Linotype"/>
        </w:rPr>
        <w:t xml:space="preserve">, </w:t>
      </w:r>
    </w:p>
    <w:p w14:paraId="109FCC0D" w14:textId="5FCA7E7C" w:rsidR="00563F73" w:rsidRDefault="006775F0" w:rsidP="006775F0">
      <w:pPr>
        <w:pStyle w:val="Subtitle"/>
        <w:rPr>
          <w:rFonts w:ascii="Palatino Linotype" w:hAnsi="Palatino Linotype"/>
        </w:rPr>
      </w:pPr>
      <w:r w:rsidRPr="00E95165">
        <w:rPr>
          <w:rFonts w:ascii="Palatino Linotype" w:hAnsi="Palatino Linotype"/>
        </w:rPr>
        <w:t>Uri Obolski</w:t>
      </w:r>
      <w:r w:rsidRPr="00E95165">
        <w:rPr>
          <w:rFonts w:ascii="Palatino Linotype" w:hAnsi="Palatino Linotype"/>
          <w:vertAlign w:val="superscript"/>
        </w:rPr>
        <w:t>1</w:t>
      </w:r>
      <w:r w:rsidR="00563F73" w:rsidRPr="00E95165">
        <w:rPr>
          <w:rFonts w:ascii="Palatino Linotype" w:hAnsi="Palatino Linotype"/>
        </w:rPr>
        <w:t>, Judith Berman</w:t>
      </w:r>
      <w:r w:rsidR="00A01BA9" w:rsidRPr="00E95165">
        <w:rPr>
          <w:rFonts w:ascii="Palatino Linotype" w:hAnsi="Palatino Linotype"/>
          <w:vertAlign w:val="superscript"/>
        </w:rPr>
        <w:t>2</w:t>
      </w:r>
      <w:r w:rsidR="00ED1853">
        <w:rPr>
          <w:rFonts w:ascii="Palatino Linotype" w:hAnsi="Palatino Linotype"/>
          <w:vertAlign w:val="subscript"/>
        </w:rPr>
        <w:t>,</w:t>
      </w:r>
      <w:r w:rsidR="00563F73" w:rsidRPr="00E95165">
        <w:rPr>
          <w:rFonts w:ascii="Palatino Linotype" w:hAnsi="Palatino Linotype"/>
        </w:rPr>
        <w:t xml:space="preserve"> </w:t>
      </w:r>
      <w:r w:rsidR="00E95165">
        <w:rPr>
          <w:rFonts w:ascii="Palatino Linotype" w:hAnsi="Palatino Linotype"/>
        </w:rPr>
        <w:t>and</w:t>
      </w:r>
      <w:r w:rsidR="00563F73" w:rsidRPr="00E95165">
        <w:rPr>
          <w:rFonts w:ascii="Palatino Linotype" w:hAnsi="Palatino Linotype"/>
        </w:rPr>
        <w:t xml:space="preserve"> </w:t>
      </w:r>
      <w:proofErr w:type="spellStart"/>
      <w:r w:rsidR="00563F73" w:rsidRPr="00E95165">
        <w:rPr>
          <w:rFonts w:ascii="Palatino Linotype" w:hAnsi="Palatino Linotype"/>
        </w:rPr>
        <w:t>Lilach</w:t>
      </w:r>
      <w:proofErr w:type="spellEnd"/>
      <w:r w:rsidR="00563F73"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507681">
      <w:pPr>
        <w:jc w:val="center"/>
      </w:pPr>
      <w:r>
        <w:fldChar w:fldCharType="begin"/>
      </w:r>
      <w:r>
        <w:instrText xml:space="preserve"> DATE \@ "MMMM d, yyyy" </w:instrText>
      </w:r>
      <w:r>
        <w:fldChar w:fldCharType="separate"/>
      </w:r>
      <w:r w:rsidR="007F2D48">
        <w:rPr>
          <w:noProof/>
        </w:rPr>
        <w:t>January 6, 2016</w:t>
      </w:r>
      <w:r>
        <w:fldChar w:fldCharType="end"/>
      </w:r>
    </w:p>
    <w:p w14:paraId="5651D961" w14:textId="77777777" w:rsidR="00A01BA9" w:rsidRDefault="00A01BA9" w:rsidP="00507681"/>
    <w:p w14:paraId="1D0D4FAF" w14:textId="77777777" w:rsidR="00E95165" w:rsidRDefault="00E95165" w:rsidP="00507681"/>
    <w:p w14:paraId="22B6A034" w14:textId="77777777" w:rsidR="00A01BA9" w:rsidRPr="00E95165" w:rsidRDefault="00A01BA9" w:rsidP="00507681">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507681">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507681">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507681"/>
    <w:p w14:paraId="3F33E333" w14:textId="563621B0" w:rsidR="006161B0" w:rsidRDefault="004762FF" w:rsidP="00507681">
      <w:r w:rsidRPr="004762FF">
        <w:rPr>
          <w:b/>
          <w:bCs/>
        </w:rPr>
        <w:t>Keywords:</w:t>
      </w:r>
      <w:r>
        <w:t xml:space="preserve"> mathematical model, </w:t>
      </w:r>
      <w:r w:rsidR="00954602">
        <w:t>fitness, selection</w:t>
      </w:r>
      <w:r w:rsidR="004F69EA">
        <w:t xml:space="preserve"> coefficient</w:t>
      </w:r>
      <w:r w:rsidR="00954602">
        <w:t>, experimental evolution</w:t>
      </w:r>
      <w:r w:rsidR="00D36EDC">
        <w:t>, mixed culture, microbial growth</w:t>
      </w:r>
    </w:p>
    <w:p w14:paraId="449FF298" w14:textId="77777777" w:rsidR="006161B0" w:rsidRDefault="006161B0" w:rsidP="00507681"/>
    <w:p w14:paraId="795A36FC" w14:textId="77777777" w:rsidR="00030BD1" w:rsidRDefault="00030BD1">
      <w:pPr>
        <w:spacing w:line="240" w:lineRule="auto"/>
        <w:ind w:firstLine="0"/>
        <w:rPr>
          <w:rFonts w:ascii="Palatino Linotype" w:eastAsiaTheme="majorEastAsia" w:hAnsi="Palatino Linotype"/>
          <w:b/>
          <w:bCs/>
          <w:kern w:val="32"/>
          <w:sz w:val="32"/>
          <w:szCs w:val="32"/>
        </w:rPr>
      </w:pPr>
      <w:r>
        <w:br w:type="page"/>
      </w:r>
    </w:p>
    <w:p w14:paraId="472A8D9B" w14:textId="01CEE600" w:rsidR="006161B0" w:rsidRDefault="006161B0" w:rsidP="00507681">
      <w:pPr>
        <w:pStyle w:val="Heading1"/>
      </w:pPr>
      <w:r>
        <w:lastRenderedPageBreak/>
        <w:t>Abstract</w:t>
      </w:r>
    </w:p>
    <w:p w14:paraId="6335F154" w14:textId="4703DE64" w:rsidR="00030BD1" w:rsidRPr="006775F0" w:rsidRDefault="009B2A6B" w:rsidP="005B6BAF">
      <w:r>
        <w:t xml:space="preserve">Measuring </w:t>
      </w:r>
      <w:r w:rsidR="00030BD1">
        <w:t xml:space="preserve">microbial growth in a mixed culture </w:t>
      </w:r>
      <w:r w:rsidR="00443E6C">
        <w:t xml:space="preserve">is laborious and expensive as it </w:t>
      </w:r>
      <w:r w:rsidR="00030BD1">
        <w:t>requires the insertion or identification of unique genotypic or phenotypic markers.</w:t>
      </w:r>
      <w:r w:rsidR="00443E6C">
        <w:t xml:space="preserve"> </w:t>
      </w:r>
      <w:r w:rsidR="006775F0">
        <w:t xml:space="preserve">We have developed </w:t>
      </w:r>
      <w:r w:rsidR="006775F0">
        <w:rPr>
          <w:i/>
          <w:iCs/>
        </w:rPr>
        <w:t>Curveball</w:t>
      </w:r>
      <w:r w:rsidR="006775F0">
        <w:t xml:space="preserve"> (available at </w:t>
      </w:r>
      <w:hyperlink r:id="rId9" w:history="1">
        <w:r w:rsidR="006775F0" w:rsidRPr="006456E2">
          <w:rPr>
            <w:rStyle w:val="Hyperlink"/>
          </w:rPr>
          <w:t>http://curveball.yoavram.com</w:t>
        </w:r>
      </w:hyperlink>
      <w:r w:rsidR="00030BD1">
        <w:t xml:space="preserve">), a new method for predicting </w:t>
      </w:r>
      <w:r w:rsidR="00443E6C">
        <w:t xml:space="preserve">growth in mixed culture </w:t>
      </w:r>
      <w:r w:rsidR="00030BD1">
        <w:t xml:space="preserve">from growth curve data using a revisited population growth model and a newly derived competition model. We validated </w:t>
      </w:r>
      <w:r w:rsidR="00443E6C">
        <w:rPr>
          <w:i/>
          <w:iCs/>
        </w:rPr>
        <w:t>Curveball</w:t>
      </w:r>
      <w:r w:rsidR="00030BD1">
        <w:t xml:space="preserve">'s predictions </w:t>
      </w:r>
      <w:r w:rsidR="00443E6C">
        <w:t xml:space="preserve">using growth curve and </w:t>
      </w:r>
      <w:r w:rsidR="00030BD1">
        <w:t>competition exper</w:t>
      </w:r>
      <w:r w:rsidR="00443E6C">
        <w:t xml:space="preserve">iments with bacteria and yeast. </w:t>
      </w:r>
      <w:r w:rsidR="00030BD1">
        <w:t xml:space="preserve">Our method </w:t>
      </w:r>
      <w:r w:rsidR="00030BD1" w:rsidRPr="00FD5DB1">
        <w:t xml:space="preserve">not only result in </w:t>
      </w:r>
      <w:r w:rsidR="00030BD1">
        <w:t>a</w:t>
      </w:r>
      <w:r w:rsidR="00030BD1" w:rsidRPr="00FD5DB1">
        <w:t xml:space="preserve"> </w:t>
      </w:r>
      <w:r w:rsidR="00030BD1">
        <w:t>simpler</w:t>
      </w:r>
      <w:r w:rsidR="00030BD1" w:rsidRPr="00FD5DB1">
        <w:t xml:space="preserve"> and </w:t>
      </w:r>
      <w:r w:rsidR="00030BD1">
        <w:t>more cost-effective</w:t>
      </w:r>
      <w:r w:rsidR="00030BD1" w:rsidRPr="00FD5DB1">
        <w:t xml:space="preserve"> approach </w:t>
      </w:r>
      <w:r w:rsidR="00443E6C">
        <w:t xml:space="preserve">for analyzing growth in mixed culture and inferring relative </w:t>
      </w:r>
      <w:r w:rsidR="00030BD1">
        <w:t xml:space="preserve">fitness </w:t>
      </w:r>
      <w:r w:rsidR="00443E6C">
        <w:t>in microbes</w:t>
      </w:r>
      <w:r w:rsidR="00030BD1" w:rsidRPr="00FD5DB1">
        <w:t xml:space="preserve">, but also </w:t>
      </w:r>
      <w:r w:rsidR="00030BD1">
        <w:t>provide</w:t>
      </w:r>
      <w:r w:rsidR="00030BD1" w:rsidRPr="00FD5DB1">
        <w:t xml:space="preserve"> information on the specific </w:t>
      </w:r>
      <w:r w:rsidR="00030BD1">
        <w:t xml:space="preserve">growth </w:t>
      </w:r>
      <w:r w:rsidR="00030BD1" w:rsidRPr="00FD5DB1">
        <w:t xml:space="preserve">traits that </w:t>
      </w:r>
      <w:r w:rsidR="00030BD1">
        <w:t>contribute to differences in</w:t>
      </w:r>
      <w:r w:rsidR="00030BD1" w:rsidRPr="00FD5DB1">
        <w:t xml:space="preserve"> </w:t>
      </w:r>
      <w:r w:rsidR="00443E6C">
        <w:t>fitness and contributes to the integration between population dynamics and population genetics.</w:t>
      </w:r>
    </w:p>
    <w:p w14:paraId="4F70DEEF" w14:textId="77777777" w:rsidR="00563F73" w:rsidRDefault="00563F73" w:rsidP="00507681">
      <w:r>
        <w:br w:type="page"/>
      </w:r>
    </w:p>
    <w:p w14:paraId="382551CA" w14:textId="77777777" w:rsidR="00563F73" w:rsidRPr="00A362F7" w:rsidRDefault="00563F73" w:rsidP="00507681">
      <w:pPr>
        <w:pStyle w:val="Heading1"/>
      </w:pPr>
      <w:r w:rsidRPr="00A362F7">
        <w:lastRenderedPageBreak/>
        <w:t>Introduction</w:t>
      </w:r>
    </w:p>
    <w:p w14:paraId="38E8CD13" w14:textId="33005A69" w:rsidR="00D17DC9" w:rsidRDefault="00D17DC9" w:rsidP="005B6BAF">
      <w:r>
        <w:t xml:space="preserve">A key issue in </w:t>
      </w:r>
      <w:r w:rsidR="005B6BAF">
        <w:t xml:space="preserve">microbial ecology and </w:t>
      </w:r>
      <w:r>
        <w:t xml:space="preserve">evolutionary biology lies in understanding the factors underlying </w:t>
      </w:r>
      <w:r w:rsidR="005B6BAF">
        <w:t xml:space="preserve">the relationship between growth in monoculture and mixed culture. Such differences have a crucial impact on composition of microbial populations and communities and on microbial </w:t>
      </w:r>
      <w:r>
        <w:t xml:space="preserve">fitness. The advent of high-throughput experiments and omics data in microbiology yields information in unprecedented amount and detail. However, development of models for meaningful biological interpretation of this information </w:t>
      </w:r>
      <w:r w:rsidR="005B6BAF">
        <w:t>is ongoing.</w:t>
      </w:r>
    </w:p>
    <w:p w14:paraId="2F994DE7" w14:textId="5190ED95" w:rsidR="005B6BAF" w:rsidRDefault="005B6BAF" w:rsidP="005B6BAF">
      <w:pPr>
        <w:pStyle w:val="Heading2"/>
      </w:pPr>
      <w:r>
        <w:t>Predicting growth in mixed culture</w:t>
      </w:r>
    </w:p>
    <w:p w14:paraId="309D219A" w14:textId="366141DA" w:rsidR="004D4A11" w:rsidRPr="004D4A11" w:rsidRDefault="004D4A11" w:rsidP="004D4A11">
      <w:r>
        <w:t xml:space="preserve">For over a century, important discoveries have been made by studying </w:t>
      </w:r>
      <w:r>
        <w:t>growth in monoculture</w:t>
      </w:r>
      <w:r>
        <w:t xml:space="preserve"> in bacteria </w:t>
      </w:r>
      <w:r>
        <w:fldChar w:fldCharType="begin" w:fldLock="1"/>
      </w:r>
      <w:r>
        <w:instrText>ADDIN CSL_CITATION { "citationItems" : [ { "id" : "ITEM-1", "itemData" : { "DOI" : "10.1146/annurev.mi.03.100149.002103", "ISBN" : "0066-4227", "ISSN" : "0066-4227", "PMID" : "190", "abstract" : "The study of the growth of bacterial cultures does not constitute a specialized subject or branch of research: it is the basic method of Microbiology. It would be a foolish enterprise, and doomed to failure, to attempt reviewing briefly a \"subject\" which covers actually our whole discipline. Unless, of course, we considered the formal laws of growth for their own sake, an approach which has repeatedly proved sterile. In the present review we shall consider bacterial growth as a method for the study of bacterial physiology and biochemistry. More precisely, we shall concern ourselves with the quantitative aspects of the method, with the interpretation of quantitative data referring to bacterial growth. Furthermore, we shall consider z exclusively the positive phases of growth, since the study of bacterial \"death,\" i.e., of the negative phases of growth, involves distinct problems and methods. The discussion will be limited to populations considered genetically homogeneous. The problems of mutation and selection in growing cultures have been excellently dealt with in recent review articles by Delbriick (1) and Luria (2). No attempt is made at reviewing the literature on a subject which, as we have just seen, is not really a subject at all. The papers and results quoted have been selected as illustrations of the points discussed.", "author" : [ { "dropping-particle" : "", "family" : "Monod", "given" : "Jacques", "non-dropping-particle" : "", "parse-names" : false, "suffix" : "" } ], "container-title" : "Annual Review of Microbiology", "id" : "ITEM-1", "issue" : "1", "issued" : { "date-parts" : [ [ "1949" ] ] }, "page" : "371-394", "title" : "The Growth of Bacterial Cultures", "type" : "article-journal", "volume" : "3" }, "uris" : [ "http://www.mendeley.com/documents/?uuid=22c58c6e-ebde-4748-83b1-9176b15b3df5" ] } ], "mendeley" : { "formattedCitation" : "(Monod 1949)", "plainTextFormattedCitation" : "(Monod 1949)", "previouslyFormattedCitation" : "(Monod 1949)" }, "properties" : { "noteIndex" : 0 }, "schema" : "https://github.com/citation-style-language/schema/raw/master/csl-citation.json" }</w:instrText>
      </w:r>
      <w:r>
        <w:fldChar w:fldCharType="separate"/>
      </w:r>
      <w:r w:rsidRPr="004D4A11">
        <w:rPr>
          <w:noProof/>
        </w:rPr>
        <w:t>(Monod 1949)</w:t>
      </w:r>
      <w:r>
        <w:fldChar w:fldCharType="end"/>
      </w:r>
      <w:r>
        <w:t xml:space="preserve"> and yeast </w:t>
      </w:r>
      <w:r>
        <w:fldChar w:fldCharType="begin" w:fldLock="1"/>
      </w:r>
      <w:r>
        <w:instrText>ADDIN CSL_CITATION { "citationItems" : [ { "id" : "ITEM-1", "itemData" : { "ISBN" : "7737021736", "ISSN" : "10773711", "author" : [ { "dropping-particle" : "", "family" : "Pearl", "given" : "Raymond", "non-dropping-particle" : "", "parse-names" : false, "suffix" : "" } ], "container-title" : "The Quarterly Review of Biology", "id" : "ITEM-1", "issue" : "4", "issued" : { "date-parts" : [ [ "1927" ] ] }, "page" : "532-548", "title" : "The Growth of Populations", "type" : "article-journal", "volume" : "2" }, "uris" : [ "http://www.mendeley.com/documents/?uuid=51fefa90-3588-44f3-8f74-e3c3272c5399" ] } ], "mendeley" : { "formattedCitation" : "(Pearl 1927)", "plainTextFormattedCitation" : "(Pearl 1927)", "previouslyFormattedCitation" : "(Pearl 1927)" }, "properties" : { "noteIndex" : 0 }, "schema" : "https://github.com/citation-style-language/schema/raw/master/csl-citation.json" }</w:instrText>
      </w:r>
      <w:r>
        <w:fldChar w:fldCharType="separate"/>
      </w:r>
      <w:r w:rsidRPr="004D4A11">
        <w:rPr>
          <w:noProof/>
        </w:rPr>
        <w:t>(Pearl 1927)</w:t>
      </w:r>
      <w:r>
        <w:fldChar w:fldCharType="end"/>
      </w:r>
      <w:r>
        <w:t xml:space="preserve">. However, growth in mixed culture is still poorly understood and often requires the construction of custom models for specific sets of species and strains </w:t>
      </w:r>
      <w:r>
        <w:fldChar w:fldCharType="begin" w:fldLock="1"/>
      </w:r>
      <w:r>
        <w:instrText>ADDIN CSL_CITATION { "citationItems" : [ { "id" : "ITEM-1", "itemData" : { "DOI" : "10.1038/msb.2013.39", "ISBN" : "1744-4292 (Electronic)\\r1744-4292 (Linking)", "ISSN" : "1744-4292", "PMID" : "23917989", "abstract" : "Inactivation of \u03b2-lactam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\u03b2-lactamase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\u03b2-lactamase inhibitor will lead to the spread of resistance, highlighting the need to incorporate social dynamics into the study of antibiotic resistance.", "author" : [ { "dropping-particle" : "", "family" : "Yurtsev", "given" : "Eugene A.", "non-dropping-particle" : "", "parse-names" : false, "suffix" : "" }, { "dropping-particle" : "", "family" : "Chao", "given" : "Hui Xiao", "non-dropping-particle" : "", "parse-names" : false, "suffix" : "" }, { "dropping-particle" : "", "family" : "Datta", "given" : "Manoshi S.", "non-dropping-particle" : "", "parse-names" : false, "suffix" : "" }, { "dropping-particle" : "", "family" : "Artemova", "given" : "Tatiana", "non-dropping-particle" : "", "parse-names" : false, "suffix" : "" }, { "dropping-particle" : "", "family" : "Gore", "given" : "Jeff", "non-dropping-particle" : "", "parse-names" : false, "suffix" : "" } ], "container-title" : "Molecular systems biology", "id" : "ITEM-1", "issue" : "683", "issued" : { "date-parts" : [ [ "2013" ] ] }, "page" : "683", "publisher" : "Nature Publishing Group", "title" : "Bacterial cheating drives the population dynamics of cooperative antibiotic resistance plasmids.", "type" : "article-journal", "volume" : "9" }, "uris" : [ "http://www.mendeley.com/documents/?uuid=51e87887-7d43-4279-801c-64890e199b9e" ] } ], "mendeley" : { "formattedCitation" : "(Yurtsev et al. 2013)", "plainTextFormattedCitation" : "(Yurtsev et al. 2013)" }, "properties" : { "noteIndex" : 0 }, "schema" : "https://github.com/citation-style-language/schema/raw/master/csl-citation.json" }</w:instrText>
      </w:r>
      <w:r>
        <w:fldChar w:fldCharType="separate"/>
      </w:r>
      <w:r w:rsidRPr="004D4A11">
        <w:rPr>
          <w:noProof/>
        </w:rPr>
        <w:t>(Yurtsev et al. 2013)</w:t>
      </w:r>
      <w:r>
        <w:fldChar w:fldCharType="end"/>
      </w:r>
      <w:r>
        <w:t xml:space="preserve">. </w:t>
      </w:r>
      <w:bookmarkStart w:id="0" w:name="_GoBack"/>
      <w:bookmarkEnd w:id="0"/>
    </w:p>
    <w:p w14:paraId="2DA9438B" w14:textId="305C3448" w:rsidR="005B6BAF" w:rsidRPr="005B6BAF" w:rsidRDefault="005B6BAF" w:rsidP="005B6BAF">
      <w:pPr>
        <w:pStyle w:val="Heading2"/>
      </w:pPr>
      <w:r>
        <w:t>From growth to fitness</w:t>
      </w:r>
    </w:p>
    <w:p w14:paraId="56102034" w14:textId="6BFB5607" w:rsidR="00D17DC9" w:rsidRDefault="00D17DC9" w:rsidP="00D17DC9">
      <w:r>
        <w:t xml:space="preserve">Models in population dynamics focus on changes in population size and consider a number of growth traits, such as growth rate, maximum population size, and lag duration. Population genetic models focus on changes in frequencies of genotypes within populations and usually assume a single fitness value per genotype. There is statistical correlation between empirical estimates of growth traits and fitness </w:t>
      </w:r>
      <w:r>
        <w:fldChar w:fldCharType="begin" w:fldLock="1"/>
      </w:r>
      <w:r w:rsidR="00E22922">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"(Bell 2010)", "plainTextFormattedCitation" : "(Bell 2010)", "previouslyFormattedCitation" : "(Bell 2010)" }, "properties" : { "noteIndex" : 0 }, "schema" : "https://github.com/citation-style-language/schema/raw/master/csl-citation.json" }</w:instrText>
      </w:r>
      <w:r>
        <w:fldChar w:fldCharType="separate"/>
      </w:r>
      <w:r w:rsidRPr="00D17DC9">
        <w:rPr>
          <w:noProof/>
        </w:rPr>
        <w:t>(Bell 2010)</w:t>
      </w:r>
      <w:r>
        <w:fldChar w:fldCharType="end"/>
      </w:r>
      <w:r>
        <w:t>; however, there is currently no method to predict or interpret fitness from a combination of growth traits.</w:t>
      </w:r>
    </w:p>
    <w:p w14:paraId="0ABF797E" w14:textId="77777777" w:rsidR="003E7D70" w:rsidRPr="003E7D70" w:rsidRDefault="003E7D70" w:rsidP="00507681">
      <w:pPr>
        <w:pStyle w:val="Heading2"/>
      </w:pPr>
      <w:r w:rsidRPr="003E7D70">
        <w:t>Growth curves</w:t>
      </w:r>
    </w:p>
    <w:p w14:paraId="6EA498B5" w14:textId="746D2C9A" w:rsidR="00677B67" w:rsidRDefault="001539BA" w:rsidP="00507681">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ensity (OD) of one or more populations of cells</w:t>
      </w:r>
      <w:r w:rsidR="00D220AB">
        <w:t xml:space="preserve"> growing in liquid culture</w:t>
      </w:r>
      <w:r>
        <w:t xml:space="preserve"> over </w:t>
      </w:r>
      <w:r w:rsidR="009B2A6B">
        <w:t xml:space="preserve">a range of </w:t>
      </w:r>
      <w:r>
        <w:t xml:space="preserve">time.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rsidR="006C212D">
        <w:t>curve</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 xml:space="preserve">(Hall et </w:t>
      </w:r>
      <w:r w:rsidR="003D0164" w:rsidRPr="003D0164">
        <w:rPr>
          <w:noProof/>
        </w:rPr>
        <w:lastRenderedPageBreak/>
        <w:t>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B16DB">
        <w:t>a</w:t>
      </w:r>
      <w:r w:rsidR="009B2A6B">
        <w:t xml:space="preserve"> </w:t>
      </w:r>
      <w:r w:rsidR="00677B67">
        <w:t xml:space="preserve">standard </w:t>
      </w:r>
      <w:r w:rsidR="00BB16DB">
        <w:t>approach</w:t>
      </w:r>
      <w:r w:rsidR="00677B67">
        <w:t xml:space="preserve"> </w:t>
      </w:r>
      <w:r w:rsidR="00BB16DB">
        <w:t xml:space="preserve">for representing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 xml:space="preserve">However, the selection coefficient can </w:t>
      </w:r>
      <w:r w:rsidR="00D220AB">
        <w:t>be affected by other phases of</w:t>
      </w:r>
      <w:r w:rsidR="00E842FC">
        <w:t xml:space="preserve"> growth</w:t>
      </w:r>
      <w:r w:rsidR="00D220AB">
        <w:t>,</w:t>
      </w:r>
      <w:r w:rsidR="00E842FC">
        <w:t xml:space="preserve"> </w:t>
      </w:r>
      <w:r w:rsidR="00BB16DB">
        <w:t>such as</w:t>
      </w:r>
      <w:r w:rsidR="005F1042">
        <w:t xml:space="preserve"> the</w:t>
      </w:r>
      <w:r w:rsidR="00677B67">
        <w:t xml:space="preserve"> </w:t>
      </w:r>
      <w:r w:rsidR="00563F73">
        <w:t xml:space="preserve">lag phase and </w:t>
      </w:r>
      <w:r w:rsidR="005F1042">
        <w:t xml:space="preserve">the </w:t>
      </w:r>
      <w:r w:rsidR="00563F73">
        <w:t>stationary phase</w:t>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290F14EE" w:rsidR="003E7D70" w:rsidRDefault="00551D58" w:rsidP="00507681">
      <w:pPr>
        <w:pStyle w:val="Heading2"/>
      </w:pPr>
      <w:r>
        <w:t>C</w:t>
      </w:r>
      <w:r w:rsidR="003E7D70" w:rsidRPr="003E7D70">
        <w:t>ompetition experiments</w:t>
      </w:r>
    </w:p>
    <w:p w14:paraId="37EC2E19" w14:textId="7220AF0D" w:rsidR="003E7D70" w:rsidRDefault="00551D58" w:rsidP="00507681">
      <w:r>
        <w:t>C</w:t>
      </w:r>
      <w:r w:rsidR="00B12AFC" w:rsidRPr="003E7D70">
        <w:t xml:space="preserve">ompetition </w:t>
      </w:r>
      <w:r w:rsidR="001539BA" w:rsidRPr="003E7D70">
        <w:t>experiments</w:t>
      </w:r>
      <w:r w:rsidR="00B12AFC" w:rsidRPr="003E7D70">
        <w:t xml:space="preserve"> </w:t>
      </w:r>
      <w:r w:rsidR="001539BA">
        <w:t xml:space="preserve">infer </w:t>
      </w:r>
      <w:r w:rsidR="00BB7C4F">
        <w:t xml:space="preserve">relative </w:t>
      </w:r>
      <w:r w:rsidR="00B12AFC">
        <w:t xml:space="preserve">fitness </w:t>
      </w:r>
      <w:r w:rsidR="001539BA">
        <w:t xml:space="preserve">in a </w:t>
      </w:r>
      <w:r w:rsidR="00BB7C4F">
        <w:t xml:space="preserve">manner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w:t>
      </w:r>
      <w:r w:rsidR="00D220AB">
        <w:t>a mixed culture:</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w:t>
      </w:r>
      <w:r w:rsidR="00D220AB">
        <w:t>mixed culture</w:t>
      </w:r>
      <w:r w:rsidR="00BB7C4F">
        <w:t xml:space="preserve"> </w:t>
      </w:r>
      <w:r w:rsidR="001539BA">
        <w:t>is measured during the</w:t>
      </w:r>
      <w:r w:rsidR="00AC7A5E">
        <w:t xml:space="preserve"> course of the</w:t>
      </w:r>
      <w:r w:rsidR="001539BA">
        <w:t xml:space="preserve"> experiment</w:t>
      </w:r>
      <w:r w:rsidR="00AC7A5E">
        <w:t xml:space="preserve">. This is done classically by plating assays that distinguish the strains using </w:t>
      </w:r>
      <w:r w:rsidR="006C212D">
        <w:t>phenotypic</w:t>
      </w:r>
      <w:r w:rsidR="00AC7A5E">
        <w:t xml:space="preserve"> markers</w:t>
      </w:r>
      <w:r w:rsidR="005F1042">
        <w:t xml:space="preserve"> </w:t>
      </w:r>
      <w:r w:rsidR="005F104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More recently, </w:t>
      </w:r>
      <w:r w:rsidR="006161B0">
        <w:t>flow cytometry</w:t>
      </w:r>
      <w:r w:rsidR="00675E28">
        <w:t xml:space="preserve"> </w:t>
      </w:r>
      <w:r w:rsidR="00AC7A5E">
        <w:t>has been used with fluorescently marked cells</w:t>
      </w:r>
      <w:r w:rsidR="005F1042">
        <w:t xml:space="preserve"> </w:t>
      </w:r>
      <w:r w:rsidR="005F1042">
        <w:fldChar w:fldCharType="begin" w:fldLock="1"/>
      </w:r>
      <w:r w:rsidR="00223CEC">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"(Gallet et al. 2012b)", "plainTextFormattedCitation" : "(Gallet et al. 2012b)", "previouslyFormattedCitation" : "(Gallet et al. 2012b)" }, "properties" : { "noteIndex" : 0 }, "schema" : "https://github.com/citation-style-language/schema/raw/master/csl-citation.json" }</w:instrText>
      </w:r>
      <w:r w:rsidR="005F1042">
        <w:fldChar w:fldCharType="separate"/>
      </w:r>
      <w:r w:rsidR="00223CEC" w:rsidRPr="00223CEC">
        <w:rPr>
          <w:noProof/>
        </w:rPr>
        <w:t>(Gallet et al. 2012b)</w:t>
      </w:r>
      <w:r w:rsidR="005F1042">
        <w:fldChar w:fldCharType="end"/>
      </w:r>
      <w:r w:rsidR="00AC7A5E">
        <w:t xml:space="preserve"> and</w:t>
      </w:r>
      <w:r w:rsidR="00675E28">
        <w:t xml:space="preserve"> deep sequencing</w:t>
      </w:r>
      <w:r w:rsidR="00AC7A5E">
        <w:t xml:space="preserve"> read counts have been used to determine the frequencies of different alleles in the population</w:t>
      </w:r>
      <w:r w:rsidR="00675E28">
        <w:t xml:space="preserve"> </w:t>
      </w:r>
      <w:r w:rsidR="00675E28">
        <w:fldChar w:fldCharType="begin" w:fldLock="1"/>
      </w:r>
      <w:r w:rsidR="004D4A11">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rsidR="00675E28">
        <w:fldChar w:fldCharType="separate"/>
      </w:r>
      <w:r w:rsidR="004D4A11" w:rsidRPr="004D4A11">
        <w:rPr>
          <w:noProof/>
        </w:rPr>
        <w:t>(Bank et al. 2014; Levy et al. 2015)</w:t>
      </w:r>
      <w:r w:rsidR="00675E28">
        <w:fldChar w:fldCharType="end"/>
      </w:r>
      <w:r w:rsidR="001539BA">
        <w:t>.</w:t>
      </w:r>
      <w:r w:rsidR="00B12AFC">
        <w:t xml:space="preserve"> </w:t>
      </w:r>
      <w:r w:rsidR="00AC7A5E">
        <w:t>The selection coefficient of the strains of interest can then be estimated f</w:t>
      </w:r>
      <w:r w:rsidR="00677B67">
        <w:t>rom change</w:t>
      </w:r>
      <w:r w:rsidR="00AC7A5E">
        <w:t>s</w:t>
      </w:r>
      <w:r w:rsidR="00677B67">
        <w:t xml:space="preserve"> in </w:t>
      </w:r>
      <w:r w:rsidR="00AC7A5E">
        <w:t>the</w:t>
      </w:r>
      <w:r w:rsidR="00D220AB">
        <w:t>ir</w:t>
      </w:r>
      <w:r w:rsidR="00AC7A5E">
        <w:t xml:space="preserve"> </w:t>
      </w:r>
      <w:r w:rsidR="00677B67">
        <w:t>frequenc</w:t>
      </w:r>
      <w:r w:rsidR="001539BA">
        <w:t>ies</w:t>
      </w:r>
      <w:r w:rsidR="00AC7A5E">
        <w:t xml:space="preserve"> </w:t>
      </w:r>
      <w:r w:rsidR="006161B0">
        <w:t>during</w:t>
      </w:r>
      <w:r w:rsidR="00AC7A5E">
        <w:t xml:space="preserve"> </w:t>
      </w:r>
      <w:r w:rsidR="00D220AB">
        <w:t xml:space="preserve">the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method</w:t>
      </w:r>
      <w:r w:rsidR="00BB16DB">
        <w:t>s</w:t>
      </w:r>
      <w:r w:rsidR="00677B67">
        <w:t xml:space="preserve"> </w:t>
      </w:r>
      <w:r>
        <w:t>infer</w:t>
      </w:r>
      <w:r w:rsidR="006161B0">
        <w:t xml:space="preserve"> relative</w:t>
      </w:r>
      <w:r w:rsidR="00677B67">
        <w:t xml:space="preserve"> fitness</w:t>
      </w:r>
      <w:r w:rsidR="00D220AB">
        <w:t xml:space="preserve"> with high precision </w:t>
      </w:r>
      <w:r w:rsidR="00D220AB">
        <w:fldChar w:fldCharType="begin" w:fldLock="1"/>
      </w:r>
      <w:r w:rsidR="00223CEC">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"(Gallet et al. 2012b)", "plainTextFormattedCitation" : "(Gallet et al. 2012b)", "previouslyFormattedCitation" : "(Gallet et al. 2012b)" }, "properties" : { "noteIndex" : 0 }, "schema" : "https://github.com/citation-style-language/schema/raw/master/csl-citation.json" }</w:instrText>
      </w:r>
      <w:r w:rsidR="00D220AB">
        <w:fldChar w:fldCharType="separate"/>
      </w:r>
      <w:r w:rsidR="00223CEC" w:rsidRPr="00223CEC">
        <w:rPr>
          <w:noProof/>
        </w:rPr>
        <w:t>(Gallet et al. 2012b)</w:t>
      </w:r>
      <w:r w:rsidR="00D220AB">
        <w:fldChar w:fldCharType="end"/>
      </w:r>
      <w:r w:rsidR="00677B67">
        <w:t xml:space="preserve">, as </w:t>
      </w:r>
      <w:r w:rsidR="00BB16DB">
        <w:t>they</w:t>
      </w:r>
      <w:r w:rsidR="00677B67">
        <w:t xml:space="preserve"> directly estimate</w:t>
      </w:r>
      <w:r w:rsidR="00C77C23">
        <w:t xml:space="preserve"> </w:t>
      </w:r>
      <w:r w:rsidR="00677B67">
        <w:t>fitness</w:t>
      </w:r>
      <w:r w:rsidR="006161B0">
        <w:t xml:space="preserve"> from </w:t>
      </w:r>
      <w:r w:rsidR="00077B31">
        <w:t>change</w:t>
      </w:r>
      <w:r>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 xml:space="preserve">than growth curve </w:t>
      </w:r>
      <w:r w:rsidR="006161B0">
        <w:t>experiments</w:t>
      </w:r>
      <w:r w:rsidR="00B12AFC">
        <w:t xml:space="preserve"> </w:t>
      </w:r>
      <w:r w:rsidR="00677B67">
        <w:t xml:space="preserve">and </w:t>
      </w:r>
      <w:r w:rsidR="00B12AFC">
        <w:t xml:space="preserve">are typically more </w:t>
      </w:r>
      <w:r w:rsidR="00AC7A5E">
        <w:t>expensive</w:t>
      </w:r>
      <w:r w:rsidR="00677B67">
        <w:t>, requiring the construction and assaying of genetic or phenotypic markers</w:t>
      </w:r>
      <w:r w:rsidR="003D0164">
        <w:t xml:space="preserve"> </w:t>
      </w:r>
      <w:r w:rsidR="00677B67">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xml:space="preserve">, many investigators </w:t>
      </w:r>
      <w:r w:rsidR="00AC7A5E">
        <w:t xml:space="preserve">prefer to </w:t>
      </w:r>
      <w:r w:rsidR="00FC0D75">
        <w:t>use proxies of fitness such as growth rates.</w:t>
      </w:r>
    </w:p>
    <w:p w14:paraId="58A49E20" w14:textId="48D45714" w:rsidR="00D17DC9" w:rsidRDefault="005302A1" w:rsidP="00D17DC9">
      <w:pPr>
        <w:pStyle w:val="Heading2"/>
      </w:pPr>
      <w:r>
        <w:t xml:space="preserve">Outlook </w:t>
      </w:r>
    </w:p>
    <w:p w14:paraId="0A447EA3" w14:textId="4DF8F613" w:rsidR="0044050E" w:rsidRDefault="0044050E" w:rsidP="00D17DC9">
      <w:pPr>
        <w:rPr>
          <w:lang w:bidi="ar-SA"/>
        </w:rPr>
      </w:pPr>
      <w:r w:rsidRPr="00FD5DB1">
        <w:t xml:space="preserve">Here </w:t>
      </w:r>
      <w:r w:rsidR="00D220AB">
        <w:t>we</w:t>
      </w:r>
      <w:r w:rsidRPr="00FD5DB1">
        <w:t xml:space="preserve"> </w:t>
      </w:r>
      <w:r w:rsidR="00D220AB">
        <w:t xml:space="preserve">present </w:t>
      </w:r>
      <w:r w:rsidRPr="00BE2CB3">
        <w:rPr>
          <w:lang w:bidi="ar-SA"/>
        </w:rPr>
        <w:t xml:space="preserve">a new computational method named </w:t>
      </w:r>
      <w:r w:rsidRPr="00BE2CB3">
        <w:rPr>
          <w:i/>
          <w:iCs/>
          <w:lang w:bidi="ar-SA"/>
        </w:rPr>
        <w:t>Curveball</w:t>
      </w:r>
      <w:r w:rsidRPr="00BE2CB3">
        <w:rPr>
          <w:lang w:bidi="ar-SA"/>
        </w:rPr>
        <w:t xml:space="preserve">: </w:t>
      </w:r>
      <w:r w:rsidR="00D17DC9">
        <w:t>a descriptive and predictive framework for estimating growth traits from growth dynamics, predicting competition results, and inferring relative fitness. This integration between growth and fitness is crucial for understanding microbial diversity and adaptation due to the fundamental role of fitness in evolution</w:t>
      </w:r>
    </w:p>
    <w:p w14:paraId="4EC11D9F" w14:textId="1D36A5B7" w:rsidR="00FC0D75" w:rsidRDefault="000D1077" w:rsidP="00507681">
      <w:pPr>
        <w:pStyle w:val="Heading1"/>
      </w:pPr>
      <w:r>
        <w:lastRenderedPageBreak/>
        <w:t>Results</w:t>
      </w:r>
      <w:r w:rsidR="00FC0D75">
        <w:t xml:space="preserve"> </w:t>
      </w:r>
    </w:p>
    <w:p w14:paraId="619A2F8E" w14:textId="257F903B" w:rsidR="00060445" w:rsidRDefault="00B12AFC" w:rsidP="00507681">
      <w:r>
        <w:t>O</w:t>
      </w:r>
      <w:r w:rsidR="00765CD6">
        <w:t xml:space="preserve">ur method </w:t>
      </w:r>
      <w:r>
        <w:t xml:space="preserve">includes </w:t>
      </w:r>
      <w:r w:rsidR="0044050E">
        <w:t>four</w:t>
      </w:r>
      <w:r>
        <w:t xml:space="preserve"> stages: (</w:t>
      </w:r>
      <w:proofErr w:type="spellStart"/>
      <w:r>
        <w:t>i</w:t>
      </w:r>
      <w:proofErr w:type="spellEnd"/>
      <w:r>
        <w:t xml:space="preserve">) </w:t>
      </w:r>
      <w:r w:rsidR="00765CD6">
        <w:t xml:space="preserve">fitting growth models to </w:t>
      </w:r>
      <w:r w:rsidR="0044050E">
        <w:t xml:space="preserve">monoculture </w:t>
      </w:r>
      <w:r w:rsidR="00765CD6">
        <w:t>growth curves data,</w:t>
      </w:r>
      <w:r w:rsidR="0044050E">
        <w:t xml:space="preserve"> (ii) fitting competition models to mixed culture growth curve data,</w:t>
      </w:r>
      <w:r w:rsidR="000363EF">
        <w:t xml:space="preserve"> </w:t>
      </w:r>
      <w:r w:rsidR="007C0F87">
        <w:t>(ii</w:t>
      </w:r>
      <w:r w:rsidR="0044050E">
        <w:t>i</w:t>
      </w:r>
      <w:r w:rsidR="007C0F87">
        <w:t>)</w:t>
      </w:r>
      <w:r w:rsidR="00765CD6">
        <w:t xml:space="preserve"> using the </w:t>
      </w:r>
      <w:r w:rsidR="0044050E">
        <w:t xml:space="preserve">estimated growth and competition parameters </w:t>
      </w:r>
      <w:r w:rsidR="00765CD6">
        <w:t xml:space="preserve">to predict the results of competition </w:t>
      </w:r>
      <w:r w:rsidR="00077B31">
        <w:t>experiments</w:t>
      </w:r>
      <w:r w:rsidR="00765CD6">
        <w:t xml:space="preserve">, and </w:t>
      </w:r>
      <w:proofErr w:type="gramStart"/>
      <w:r w:rsidR="0044050E">
        <w:t>(iv</w:t>
      </w:r>
      <w:r w:rsidR="003202F1">
        <w:t xml:space="preserve">) </w:t>
      </w:r>
      <w:r w:rsidR="00077B31">
        <w:t>estimating</w:t>
      </w:r>
      <w:proofErr w:type="gramEnd"/>
      <w:r w:rsidR="00765CD6">
        <w:t xml:space="preserve"> </w:t>
      </w:r>
      <w:r w:rsidR="0044050E">
        <w:t xml:space="preserve">fitness </w:t>
      </w:r>
      <w:r w:rsidR="00765CD6">
        <w:t>from the</w:t>
      </w:r>
      <w:r w:rsidR="00865920">
        <w:t xml:space="preserve"> predicted competition results.</w:t>
      </w:r>
    </w:p>
    <w:p w14:paraId="0F58CA5C" w14:textId="50A7E5BE" w:rsidR="002B4BAE" w:rsidRDefault="002B4BAE" w:rsidP="002B4BAE">
      <w:pPr>
        <w:pStyle w:val="Heading2"/>
      </w:pPr>
      <w:r>
        <w:t>Growth curves</w:t>
      </w:r>
    </w:p>
    <w:p w14:paraId="3C9F91C4" w14:textId="02BD1D51" w:rsidR="002B4BAE" w:rsidRDefault="002B4BAE" w:rsidP="00DA15C0">
      <w:r>
        <w:t xml:space="preserve">In each experiment we grew two </w:t>
      </w:r>
      <w:r>
        <w:rPr>
          <w:i/>
          <w:iCs/>
        </w:rPr>
        <w:t>E. coli</w:t>
      </w:r>
      <w:r>
        <w:t xml:space="preserve"> strains, each labeled with a different fluorescent marker – green or red – in monoculture and mixed culture, and measured their changing density over several hours (</w:t>
      </w:r>
      <w:r w:rsidR="00DA15C0">
        <w:fldChar w:fldCharType="begin"/>
      </w:r>
      <w:r w:rsidR="00DA15C0">
        <w:instrText xml:space="preserve"> REF _Ref439852115 \h </w:instrText>
      </w:r>
      <w:r w:rsidR="00DA15C0">
        <w:fldChar w:fldCharType="separate"/>
      </w:r>
      <w:r w:rsidR="007F2D48" w:rsidRPr="002B4BAE">
        <w:t xml:space="preserve">Figure </w:t>
      </w:r>
      <w:r w:rsidR="007F2D48">
        <w:rPr>
          <w:noProof/>
        </w:rPr>
        <w:t>1</w:t>
      </w:r>
      <w:r w:rsidR="00DA15C0">
        <w:fldChar w:fldCharType="end"/>
      </w:r>
      <w:r>
        <w:t>).</w:t>
      </w:r>
    </w:p>
    <w:p w14:paraId="2D9D7FB9" w14:textId="77777777" w:rsidR="002B4BAE" w:rsidRDefault="002B4BAE" w:rsidP="002B4BAE"/>
    <w:p w14:paraId="62D826DE" w14:textId="77777777" w:rsidR="002B4BAE" w:rsidRDefault="002B4BAE" w:rsidP="002B4BAE">
      <w:pPr>
        <w:keepNext/>
      </w:pPr>
      <w:r>
        <w:rPr>
          <w:noProof/>
        </w:rPr>
        <w:drawing>
          <wp:inline distT="0" distB="0" distL="0" distR="0" wp14:anchorId="51243536" wp14:editId="1819056B">
            <wp:extent cx="5262245" cy="1802765"/>
            <wp:effectExtent l="0" t="0" r="0" b="6985"/>
            <wp:docPr id="6" name="Picture 6"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curveball_project\ms\Fig-wel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245" cy="1802765"/>
                    </a:xfrm>
                    <a:prstGeom prst="rect">
                      <a:avLst/>
                    </a:prstGeom>
                    <a:noFill/>
                    <a:ln>
                      <a:noFill/>
                    </a:ln>
                  </pic:spPr>
                </pic:pic>
              </a:graphicData>
            </a:graphic>
          </wp:inline>
        </w:drawing>
      </w:r>
    </w:p>
    <w:p w14:paraId="52D0ECA8" w14:textId="4F34ADD3" w:rsidR="002B4BAE" w:rsidRPr="002B4BAE" w:rsidRDefault="002B4BAE" w:rsidP="002B4BAE">
      <w:pPr>
        <w:pStyle w:val="Caption"/>
        <w:jc w:val="center"/>
        <w:rPr>
          <w:b w:val="0"/>
          <w:bCs w:val="0"/>
          <w:color w:val="auto"/>
        </w:rPr>
      </w:pPr>
      <w:bookmarkStart w:id="1" w:name="_Ref439852115"/>
      <w:proofErr w:type="gramStart"/>
      <w:r w:rsidRPr="002B4BAE">
        <w:rPr>
          <w:color w:val="auto"/>
        </w:rPr>
        <w:t xml:space="preserve">Figure </w:t>
      </w:r>
      <w:proofErr w:type="gramEnd"/>
      <w:r w:rsidRPr="002B4BAE">
        <w:rPr>
          <w:color w:val="auto"/>
        </w:rPr>
        <w:fldChar w:fldCharType="begin"/>
      </w:r>
      <w:r w:rsidRPr="002B4BAE">
        <w:rPr>
          <w:color w:val="auto"/>
        </w:rPr>
        <w:instrText xml:space="preserve"> SEQ Figure \* ARABIC </w:instrText>
      </w:r>
      <w:r w:rsidRPr="002B4BAE">
        <w:rPr>
          <w:color w:val="auto"/>
        </w:rPr>
        <w:fldChar w:fldCharType="separate"/>
      </w:r>
      <w:r w:rsidR="00755D4D">
        <w:rPr>
          <w:noProof/>
          <w:color w:val="auto"/>
        </w:rPr>
        <w:t>1</w:t>
      </w:r>
      <w:r w:rsidRPr="002B4BAE">
        <w:rPr>
          <w:color w:val="auto"/>
        </w:rPr>
        <w:fldChar w:fldCharType="end"/>
      </w:r>
      <w:bookmarkEnd w:id="1"/>
      <w:proofErr w:type="gramStart"/>
      <w:r>
        <w:rPr>
          <w:color w:val="auto"/>
        </w:rPr>
        <w:t>.</w:t>
      </w:r>
      <w:proofErr w:type="gramEnd"/>
      <w:r>
        <w:rPr>
          <w:color w:val="auto"/>
        </w:rPr>
        <w:t xml:space="preserve"> </w:t>
      </w:r>
      <w:proofErr w:type="gramStart"/>
      <w:r>
        <w:rPr>
          <w:color w:val="auto"/>
        </w:rPr>
        <w:t xml:space="preserve">Growth curve data from two experiments with </w:t>
      </w:r>
      <w:r>
        <w:rPr>
          <w:i/>
          <w:iCs/>
          <w:color w:val="auto"/>
        </w:rPr>
        <w:t>E. coli</w:t>
      </w:r>
      <w:r>
        <w:rPr>
          <w:color w:val="auto"/>
        </w:rPr>
        <w:t>.</w:t>
      </w:r>
      <w:proofErr w:type="gramEnd"/>
      <w:r>
        <w:rPr>
          <w:color w:val="auto"/>
        </w:rPr>
        <w:t xml:space="preserve"> </w:t>
      </w:r>
      <w:r>
        <w:rPr>
          <w:b w:val="0"/>
          <w:bCs w:val="0"/>
          <w:color w:val="auto"/>
        </w:rPr>
        <w:t xml:space="preserve">The optical density (OD) of two strains growing in monoculture (green lines for green labeled strain; red lines for red labeled strains) and mixed culture (blue lines). Each experimental replicate is represented by a separate line. </w:t>
      </w:r>
      <w:r>
        <w:rPr>
          <w:color w:val="auto"/>
        </w:rPr>
        <w:t>(A)</w:t>
      </w:r>
      <w:r>
        <w:rPr>
          <w:b w:val="0"/>
          <w:bCs w:val="0"/>
          <w:color w:val="auto"/>
        </w:rPr>
        <w:t xml:space="preserve"> Experiment started by diluting bacteria from stationary phase into fresh media. Therefore, there is a clear lag phase, which is longer for the green strain. </w:t>
      </w:r>
      <w:r>
        <w:rPr>
          <w:color w:val="auto"/>
        </w:rPr>
        <w:t>(B)</w:t>
      </w:r>
      <w:r>
        <w:rPr>
          <w:b w:val="0"/>
          <w:bCs w:val="0"/>
          <w:color w:val="auto"/>
        </w:rPr>
        <w:t xml:space="preserve"> Bacteria were diluted into fresh media before experiment started and allowed to adjust to growth for 4 hours. They were then diluted again into fresh media and the experiment started. Therefore, there is no observable lag phase.</w:t>
      </w:r>
    </w:p>
    <w:p w14:paraId="19EFE683" w14:textId="77777777" w:rsidR="001D6287" w:rsidRDefault="001D6287" w:rsidP="00DA15C0"/>
    <w:p w14:paraId="731F4FC5" w14:textId="29CCE69A" w:rsidR="00060445" w:rsidRPr="00A362F7" w:rsidRDefault="00060445" w:rsidP="00507681">
      <w:pPr>
        <w:pStyle w:val="Heading2"/>
      </w:pPr>
      <w:r w:rsidRPr="00A362F7">
        <w:t>Growth model</w:t>
      </w:r>
      <w:r w:rsidR="003202F1">
        <w:t>s</w:t>
      </w:r>
    </w:p>
    <w:p w14:paraId="13443C12" w14:textId="6E778184" w:rsidR="00765CD6" w:rsidRDefault="00765CD6" w:rsidP="00A4145D">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we use an extension of the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574E06">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00CC51DD" w:rsidRPr="00CC51DD">
        <w:rPr>
          <w:noProof/>
        </w:rPr>
        <w:t>(Baranyi and Roberts 1994)</w:t>
      </w:r>
      <w:r>
        <w:fldChar w:fldCharType="end"/>
      </w:r>
      <w:r>
        <w:t>.</w:t>
      </w:r>
    </w:p>
    <w:p w14:paraId="3BC129A0" w14:textId="36D9B50A" w:rsidR="00765CD6" w:rsidRDefault="00765CD6" w:rsidP="00A4145D">
      <w:r>
        <w:t xml:space="preserve">The </w:t>
      </w:r>
      <w:proofErr w:type="spellStart"/>
      <w:r>
        <w:t>Baranyi</w:t>
      </w:r>
      <w:proofErr w:type="spellEnd"/>
      <w:r>
        <w:t>-</w:t>
      </w:r>
      <w:r w:rsidR="00984152">
        <w:t xml:space="preserve">Roberts </w:t>
      </w:r>
      <w:r>
        <w:t xml:space="preserve">model </w:t>
      </w:r>
      <w:r w:rsidR="00A4145D">
        <w:t>describes the growth of a cell population under a limiting resource; as the resource becomes scarce, growth decelerates, until it finally halts when the resource is depleted. The model is</w:t>
      </w:r>
      <w:r>
        <w:t xml:space="preserve"> </w:t>
      </w:r>
      <w:r w:rsidR="00A4145D">
        <w:t xml:space="preserve">described </w:t>
      </w:r>
      <w:r>
        <w:t>by the following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507681"/>
    <w:p w14:paraId="089F7244" w14:textId="12495F45" w:rsidR="00765CD6" w:rsidRDefault="00D220AB" w:rsidP="00507681">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m:t>
        </m:r>
        <m:r>
          <w:rPr>
            <w:rFonts w:ascii="Cambria Math" w:hAnsi="Cambria Math"/>
          </w:rPr>
          <m:t>⋅</m:t>
        </m:r>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507681">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44E9089C" w:rsidR="00EB7652" w:rsidRDefault="00EB7652" w:rsidP="00A4145D">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m</m:t>
                </m:r>
                <m:r>
                  <w:rPr>
                    <w:rFonts w:ascii="Cambria Math" w:hAnsi="Cambria Math"/>
                  </w:rPr>
                  <m:t>t</m:t>
                </m:r>
              </m:sup>
            </m:sSup>
          </m:den>
        </m:f>
      </m:oMath>
      <w:r>
        <w:t xml:space="preserve">                          </w:t>
      </w:r>
      <w:r w:rsidR="00F54779">
        <w:t xml:space="preserve"> </w:t>
      </w:r>
      <w:r>
        <w:t xml:space="preserve">                         (1c)</w:t>
      </w:r>
    </w:p>
    <w:p w14:paraId="54335713" w14:textId="77777777" w:rsidR="00B551CC" w:rsidRDefault="00B551CC" w:rsidP="00507681"/>
    <w:p w14:paraId="50A0698A" w14:textId="12D08440" w:rsidR="00EB7652" w:rsidRDefault="00EB7652" w:rsidP="00A4145D">
      <w:r>
        <w:t xml:space="preserve">where </w:t>
      </w:r>
      <m:oMath>
        <m:r>
          <w:rPr>
            <w:rFonts w:ascii="Cambria Math" w:hAnsi="Cambria Math"/>
          </w:rPr>
          <m:t>N</m:t>
        </m:r>
      </m:oMath>
      <w:r>
        <w:t xml:space="preserve"> is the population density</w:t>
      </w:r>
      <w:r w:rsidR="003202F1">
        <w:t xml:space="preserve">, </w:t>
      </w:r>
      <m:oMath>
        <m:r>
          <w:rPr>
            <w:rFonts w:ascii="Cambria Math" w:hAnsi="Cambria Math"/>
          </w:rPr>
          <m:t>t</m:t>
        </m:r>
      </m:oMath>
      <w:r w:rsidR="003202F1">
        <w:t xml:space="preserve"> is time</w:t>
      </w:r>
      <w:r>
        <w:t xml:space="preserve">, </w:t>
      </w:r>
      <m:oMath>
        <m:r>
          <w:rPr>
            <w:rFonts w:ascii="Cambria Math" w:hAnsi="Cambria Math"/>
          </w:rPr>
          <m:t>r</m:t>
        </m:r>
      </m:oMath>
      <w:r>
        <w:t xml:space="preserve"> is the </w:t>
      </w:r>
      <w:r w:rsidR="003202F1">
        <w:t>specific</w:t>
      </w:r>
      <w:r>
        <w:t xml:space="preserve"> growth rate</w:t>
      </w:r>
      <w:r w:rsidR="00A4145D">
        <w:t xml:space="preserve"> in low density</w:t>
      </w:r>
      <w:r>
        <w:t xml:space="preserv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w:t>
      </w:r>
      <m:oMath>
        <m:r>
          <w:rPr>
            <w:rFonts w:ascii="Cambria Math" w:hAnsi="Cambria Math"/>
          </w:rPr>
          <m:t>K</m:t>
        </m:r>
      </m:oMath>
      <w:r>
        <w:t xml:space="preserve"> is the maximum density, and </w:t>
      </w:r>
      <m:oMath>
        <m:r>
          <w:rPr>
            <w:rFonts w:ascii="Cambria Math" w:hAnsi="Cambria Math"/>
          </w:rPr>
          <m:t>ν</m:t>
        </m:r>
      </m:oMath>
      <w:r>
        <w:t xml:space="preserve"> </w:t>
      </w:r>
      <w:r w:rsidR="003202F1">
        <w:rPr>
          <w:iCs/>
        </w:rPr>
        <w:t xml:space="preserve">is the </w:t>
      </w:r>
      <w:r w:rsidR="00A4145D">
        <w:rPr>
          <w:iCs/>
        </w:rPr>
        <w:t>cell population surface to mass ratio</w:t>
      </w:r>
      <w:r w:rsidR="003202F1">
        <w:t xml:space="preserve">. </w:t>
      </w:r>
      <w:r w:rsidR="00CC51DD">
        <w:t xml:space="preserve">For a derivation of eq. 1 </w:t>
      </w:r>
      <w:r w:rsidR="00A4145D">
        <w:t>and further details</w:t>
      </w:r>
      <w:r w:rsidR="00CC51DD">
        <w:t>, see Appendix A.</w:t>
      </w:r>
    </w:p>
    <w:p w14:paraId="34FDB3B7" w14:textId="079D30CD" w:rsidR="00EB7652" w:rsidRDefault="00EB7652" w:rsidP="00200E78">
      <w:r>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t xml:space="preserve"> is used to</w:t>
      </w:r>
      <w:r w:rsidR="000363EF">
        <w:t xml:space="preserve"> describe the</w:t>
      </w:r>
      <w:r>
        <w:t xml:space="preserve"> </w:t>
      </w:r>
      <w:r w:rsidR="000363EF">
        <w:t xml:space="preserve">deceleration in </w:t>
      </w:r>
      <w:r>
        <w:t xml:space="preserve">the growth of the population as it </w:t>
      </w:r>
      <w:r w:rsidR="003202F1">
        <w:t>approaches</w:t>
      </w:r>
      <w:r>
        <w:t xml:space="preserve"> the maximum </w:t>
      </w:r>
      <w:proofErr w:type="gramStart"/>
      <w:r>
        <w:t>density</w:t>
      </w:r>
      <w:r w:rsidR="00551D58">
        <w:t xml:space="preserve"> </w:t>
      </w:r>
      <w:proofErr w:type="gramEnd"/>
      <m:oMath>
        <m:r>
          <w:rPr>
            <w:rFonts w:ascii="Cambria Math" w:hAnsi="Cambria Math"/>
          </w:rPr>
          <m:t>K</m:t>
        </m:r>
      </m:oMath>
      <w:r w:rsidR="00A4145D">
        <w:t xml:space="preserve">. </w:t>
      </w:r>
      <w:proofErr w:type="gramStart"/>
      <w:r w:rsidR="00A4145D">
        <w:t xml:space="preserve">When </w:t>
      </w:r>
      <w:proofErr w:type="gramEnd"/>
      <m:oMath>
        <m:r>
          <w:rPr>
            <w:rFonts w:ascii="Cambria Math" w:hAnsi="Cambria Math"/>
          </w:rPr>
          <m:t>ν=1</m:t>
        </m:r>
      </m:oMath>
      <w:r>
        <w:t>, the deceleratio</w:t>
      </w:r>
      <w:r w:rsidR="00984152">
        <w:t xml:space="preserve">n is the same as in the </w:t>
      </w:r>
      <w:r w:rsidR="009050CE">
        <w:t>standard</w:t>
      </w:r>
      <w:r>
        <w:t xml:space="preserve">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m:t>
            </m:r>
            <m:r>
              <w:rPr>
                <w:rFonts w:ascii="Cambria Math" w:hAnsi="Cambria Math"/>
              </w:rPr>
              <m:t>⋅</m:t>
            </m:r>
            <m:r>
              <w:rPr>
                <w:rFonts w:ascii="Cambria Math" w:hAnsi="Cambria Math"/>
              </w:rPr>
              <m:t>N</m:t>
            </m:r>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003202F1">
        <w:t xml:space="preserve"> </w:t>
      </w:r>
      <w:r>
        <w:t xml:space="preserve">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r w:rsidR="00966DD5">
        <w:t>,</w:t>
      </w:r>
      <w:r>
        <w:t xml:space="preserve">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t>
      </w:r>
      <w:r w:rsidR="009050CE">
        <w:t xml:space="preserve">When </w:t>
      </w:r>
      <m:oMath>
        <m:r>
          <w:rPr>
            <w:rFonts w:ascii="Cambria Math" w:hAnsi="Cambria Math"/>
          </w:rPr>
          <m:t>ν&gt;1</m:t>
        </m:r>
      </m:oMath>
      <w:r w:rsidR="009050CE">
        <w:t xml:space="preserve"> or </w:t>
      </w:r>
      <m:oMath>
        <m:r>
          <w:rPr>
            <w:rFonts w:ascii="Cambria Math" w:hAnsi="Cambria Math"/>
          </w:rPr>
          <m:t>ν&lt;1</m:t>
        </m:r>
      </m:oMath>
      <w:r w:rsidR="009050CE">
        <w:t xml:space="preserve">, the deceleration is slower or faster, respectively, and </w:t>
      </w:r>
      <w:r>
        <w:t>th</w:t>
      </w:r>
      <w:r w:rsidR="003D0164">
        <w:t>e</w:t>
      </w:r>
      <w:r>
        <w:t xml:space="preserve"> density</w:t>
      </w:r>
      <w:r w:rsidR="00A26E97" w:rsidRPr="00A26E97">
        <w:t xml:space="preserve"> </w:t>
      </w:r>
      <w:r w:rsidR="00A26E97">
        <w:t>at the time of the maximum growth rate</w:t>
      </w:r>
      <w:r>
        <w:t xml:space="preserve"> is </w:t>
      </w:r>
      <m:oMath>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9050CE">
        <w:t xml:space="preserve"> </w:t>
      </w:r>
      <w:r w:rsidR="009050CE">
        <w:fldChar w:fldCharType="begin" w:fldLock="1"/>
      </w:r>
      <w:r w:rsidR="00200E78">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\ud835\udc4a=\ud835\udc41,\ud835\udc34=\ud835\udc3e,\ud835\udc5a=\ud835\udf08+1,\ud835\udc58=\ud835\udc5f\u22c5\ud835\udf08)", "plainTextFormattedCitation" : "(Richards 1959)", "previouslyFormattedCitation" : "(Richards 1959)" }, "properties" : { "noteIndex" : 0 }, "schema" : "https://github.com/citation-style-language/schema/raw/master/csl-citation.json" }</w:instrText>
      </w:r>
      <w:r w:rsidR="009050CE">
        <w:fldChar w:fldCharType="separate"/>
      </w:r>
      <w:r w:rsidR="009050CE" w:rsidRPr="009050CE">
        <w:rPr>
          <w:noProof/>
        </w:rPr>
        <w:t>(Richards 1959</w:t>
      </w:r>
      <w:r w:rsidR="009050CE">
        <w:rPr>
          <w:noProof/>
        </w:rPr>
        <w:t xml:space="preserve">, substituting </w:t>
      </w:r>
      <m:oMath>
        <m:r>
          <w:rPr>
            <w:rFonts w:ascii="Cambria Math" w:hAnsi="Cambria Math"/>
            <w:noProof/>
          </w:rPr>
          <m:t>W=N,A=K,</m:t>
        </m:r>
        <m:r>
          <w:rPr>
            <w:rFonts w:ascii="Cambria Math" w:hAnsi="Cambria Math"/>
            <w:noProof/>
          </w:rPr>
          <m:t>m=ν+1</m:t>
        </m:r>
        <m:r>
          <w:rPr>
            <w:rFonts w:ascii="Cambria Math" w:hAnsi="Cambria Math"/>
            <w:noProof/>
          </w:rPr>
          <m:t>,k=r⋅ν</m:t>
        </m:r>
      </m:oMath>
      <w:r w:rsidR="009050CE" w:rsidRPr="009050CE">
        <w:rPr>
          <w:noProof/>
        </w:rPr>
        <w:t>)</w:t>
      </w:r>
      <w:r w:rsidR="009050CE">
        <w:fldChar w:fldCharType="end"/>
      </w:r>
      <w:r w:rsidR="003D0164">
        <w:t>.</w:t>
      </w:r>
    </w:p>
    <w:p w14:paraId="03E4527E" w14:textId="1A334990" w:rsidR="00EB7652" w:rsidRDefault="00EB7652" w:rsidP="00A4145D">
      <w:r>
        <w:t xml:space="preserve">The adjustment function </w:t>
      </w:r>
      <m:oMath>
        <m:r>
          <w:rPr>
            <w:rFonts w:ascii="Cambria Math" w:hAnsi="Cambria Math"/>
          </w:rPr>
          <m:t>α(t)</m:t>
        </m:r>
      </m:oMath>
      <w:r>
        <w:t xml:space="preserve"> describe</w:t>
      </w:r>
      <w:proofErr w:type="spellStart"/>
      <w:r w:rsidR="003202F1">
        <w:t>s</w:t>
      </w:r>
      <w:proofErr w:type="spellEnd"/>
      <w:r>
        <w:t xml:space="preserve"> the </w:t>
      </w:r>
      <w:r w:rsidR="003202F1">
        <w:t xml:space="preserve">fraction of the population that is adjusted for </w:t>
      </w:r>
      <w:r w:rsidR="009050CE">
        <w:t>growth</w:t>
      </w:r>
      <w:r w:rsidR="003202F1">
        <w:t xml:space="preserve"> at time </w:t>
      </w:r>
      <m:oMath>
        <m:r>
          <w:rPr>
            <w:rFonts w:ascii="Cambria Math" w:hAnsi="Cambria Math"/>
          </w:rPr>
          <m:t>t</m:t>
        </m:r>
      </m:oMath>
      <w:r w:rsidR="00A4145D">
        <w:t xml:space="preserve"> (</w:t>
      </w:r>
      <m:oMath>
        <m:r>
          <w:rPr>
            <w:rFonts w:ascii="Cambria Math" w:hAnsi="Cambria Math"/>
          </w:rPr>
          <m:t>0≤α</m:t>
        </m:r>
        <m:d>
          <m:dPr>
            <m:ctrlPr>
              <w:rPr>
                <w:rFonts w:ascii="Cambria Math" w:hAnsi="Cambria Math"/>
                <w:i/>
              </w:rPr>
            </m:ctrlPr>
          </m:dPr>
          <m:e>
            <m:r>
              <w:rPr>
                <w:rFonts w:ascii="Cambria Math" w:hAnsi="Cambria Math"/>
              </w:rPr>
              <m:t>t</m:t>
            </m:r>
          </m:e>
        </m:d>
        <m:r>
          <w:rPr>
            <w:rFonts w:ascii="Cambria Math" w:hAnsi="Cambria Math"/>
          </w:rPr>
          <m:t>≤1</m:t>
        </m:r>
      </m:oMath>
      <w:r w:rsidR="00A4145D">
        <w:t>)</w:t>
      </w:r>
      <w:r>
        <w:t xml:space="preserve">. Typically, </w:t>
      </w:r>
      <w:r w:rsidR="00984152">
        <w:t>micro</w:t>
      </w:r>
      <w:r>
        <w:t xml:space="preserve">organisms are grown in overnight </w:t>
      </w:r>
      <w:r w:rsidR="003202F1">
        <w:t xml:space="preserve">liquid </w:t>
      </w:r>
      <w:r>
        <w:t>culture</w:t>
      </w:r>
      <w:r w:rsidR="003202F1">
        <w:t>, reaching</w:t>
      </w:r>
      <w:r w:rsidR="00D46522">
        <w:t xml:space="preserve"> stationary phase</w:t>
      </w:r>
      <w:r w:rsidR="003202F1">
        <w:t>,</w:t>
      </w:r>
      <w:r>
        <w:t xml:space="preserve"> </w:t>
      </w:r>
      <w:r w:rsidR="00984152">
        <w:t xml:space="preserve">and </w:t>
      </w:r>
      <w:r w:rsidR="003202F1">
        <w:t xml:space="preserve">then </w:t>
      </w:r>
      <w:r>
        <w:t>diluted into fresh media</w:t>
      </w:r>
      <w:r w:rsidR="00406968">
        <w:t xml:space="preserve">. Therefore, </w:t>
      </w:r>
      <w:r w:rsidR="00A4145D">
        <w:t>populations in</w:t>
      </w:r>
      <w:r w:rsidR="00406968">
        <w:t xml:space="preserve"> stationary phase must adjust to growth</w:t>
      </w:r>
      <w:r w:rsidR="00CD3999">
        <w:t xml:space="preserve"> conditions</w:t>
      </w:r>
      <w:r w:rsidR="00406968">
        <w:t>, and this</w:t>
      </w:r>
      <w:r w:rsidR="00D46522">
        <w:t xml:space="preserve"> might</w:t>
      </w:r>
      <w:r w:rsidR="00406968">
        <w:t xml:space="preserve"> </w:t>
      </w:r>
      <w:r w:rsidR="00D46522">
        <w:t>take</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w:t>
      </w:r>
      <w:r w:rsidR="003202F1">
        <w:t>interpretation</w:t>
      </w:r>
      <w:r w:rsidR="00406968">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v</m:t>
        </m:r>
      </m:oMath>
      <w:r w:rsidR="00406968">
        <w:t xml:space="preserve"> is the rate in which this molecule is accumulated</w:t>
      </w:r>
      <w:r w:rsidR="00B551CC">
        <w:t xml:space="preserve"> in the cell</w:t>
      </w:r>
      <w:r w:rsidR="00406968">
        <w:t>.</w:t>
      </w:r>
    </w:p>
    <w:p w14:paraId="693D6B89" w14:textId="31797A7A" w:rsidR="00406968" w:rsidRDefault="00406968" w:rsidP="00507681">
      <w:r>
        <w:t xml:space="preserve">The </w:t>
      </w:r>
      <w:proofErr w:type="spellStart"/>
      <w:r>
        <w:t>Baranyi</w:t>
      </w:r>
      <w:proofErr w:type="spellEnd"/>
      <w:r>
        <w:t>-Roberts differential equation</w:t>
      </w:r>
      <w:r w:rsidR="003202F1">
        <w:t xml:space="preserve"> (eq. 1)</w:t>
      </w:r>
      <w:r>
        <w:t xml:space="preserve"> has a closed form solution:</w:t>
      </w:r>
    </w:p>
    <w:p w14:paraId="745356B6" w14:textId="77777777" w:rsidR="00B551CC" w:rsidRDefault="00B551CC" w:rsidP="00507681"/>
    <w:p w14:paraId="3C326C31" w14:textId="77777777" w:rsidR="00406968" w:rsidRDefault="00406968" w:rsidP="0050768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C7FEA05" w:rsidR="00406968" w:rsidRDefault="00406968" w:rsidP="00200E78">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m:t>
                        </m:r>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507681"/>
    <w:p w14:paraId="51D46DBD" w14:textId="77460587" w:rsidR="00551D58" w:rsidRDefault="00551D58" w:rsidP="00507681">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w:t>
      </w:r>
      <w:r w:rsidR="003202F1">
        <w:t xml:space="preserve"> (usually determined by the dilution chosen by the experimenter)</w:t>
      </w:r>
      <w:r>
        <w:t>.</w:t>
      </w:r>
      <w:r w:rsidR="00A4145D">
        <w:t xml:space="preserve"> For derivation of eq. 2 from eq. 1, see Appendix A.</w:t>
      </w:r>
    </w:p>
    <w:p w14:paraId="2A6969CE" w14:textId="50914289" w:rsidR="00AD6A92" w:rsidRDefault="005F02B4" w:rsidP="00200E78">
      <w:r>
        <w:t>W</w:t>
      </w:r>
      <w:r w:rsidR="00060445">
        <w:t xml:space="preserve">e </w:t>
      </w:r>
      <w:r>
        <w:t xml:space="preserve">use </w:t>
      </w:r>
      <w:r w:rsidR="00464BA0">
        <w:t>six</w:t>
      </w:r>
      <w:r w:rsidR="00060445">
        <w:t xml:space="preserve"> </w:t>
      </w:r>
      <w:r w:rsidR="00966DD5">
        <w:t>forms</w:t>
      </w:r>
      <w:r w:rsidR="00060445">
        <w:t xml:space="preserve"> of the </w:t>
      </w:r>
      <w:proofErr w:type="spellStart"/>
      <w:r w:rsidR="00060445">
        <w:t>Baranyi</w:t>
      </w:r>
      <w:proofErr w:type="spellEnd"/>
      <w:r w:rsidR="00060445">
        <w:t>-Roberts model</w:t>
      </w:r>
      <w:r w:rsidR="00F70C02">
        <w:t xml:space="preserve"> (Table 1)</w:t>
      </w:r>
      <w:r w:rsidR="00060445">
        <w:t xml:space="preserve">.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proofErr w:type="gramStart"/>
      <w:r w:rsidR="00966DD5">
        <w:t xml:space="preserve">has </w:t>
      </w:r>
      <w:proofErr w:type="gramEnd"/>
      <m:oMath>
        <m:r>
          <w:rPr>
            <w:rFonts w:ascii="Cambria Math" w:hAnsi="Cambria Math"/>
          </w:rPr>
          <m:t>ν</m:t>
        </m:r>
        <m:r>
          <w:rPr>
            <w:rFonts w:ascii="Cambria Math" w:hAnsi="Cambria Math"/>
          </w:rPr>
          <m:t>=1</m:t>
        </m:r>
      </m:oMath>
      <w:r w:rsidR="00060445">
        <w:t xml:space="preserve">, as in the </w:t>
      </w:r>
      <w:r w:rsidR="00B66E46">
        <w:t>standard</w:t>
      </w:r>
      <w:r w:rsidR="00060445">
        <w:t xml:space="preserve"> logistic model</w:t>
      </w:r>
      <w:r w:rsidR="00B66E46">
        <w:t>.</w:t>
      </w:r>
      <w:r w:rsidR="00464BA0">
        <w:t xml:space="preserve"> Another five parameter form has both rate parameters set to the same value (</w:t>
      </w:r>
      <m:oMath>
        <m:r>
          <w:rPr>
            <w:rFonts w:ascii="Cambria Math" w:hAnsi="Cambria Math"/>
          </w:rPr>
          <m:t>m</m:t>
        </m:r>
        <m:r>
          <w:rPr>
            <w:rFonts w:ascii="Cambria Math" w:hAnsi="Cambria Math"/>
          </w:rPr>
          <m:t>=r</m:t>
        </m:r>
      </m:oMath>
      <w:r w:rsidR="00464BA0">
        <w:t xml:space="preserve">), which can make the fitting procedure more stable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 xml:space="preserve">. A four parameter form has both of the previous reductions, setting </w:t>
      </w:r>
      <m:oMath>
        <m:r>
          <w:rPr>
            <w:rFonts w:ascii="Cambria Math" w:hAnsi="Cambria Math"/>
          </w:rPr>
          <m:t>m</m:t>
        </m:r>
        <m:r>
          <w:rPr>
            <w:rFonts w:ascii="Cambria Math" w:hAnsi="Cambria Math"/>
          </w:rPr>
          <m:t>=r</m:t>
        </m:r>
      </m:oMath>
      <w:r w:rsidR="00464BA0">
        <w:t xml:space="preserve"> and </w:t>
      </w:r>
      <m:oMath>
        <m:r>
          <w:rPr>
            <w:rFonts w:ascii="Cambria Math" w:hAnsi="Cambria Math"/>
          </w:rPr>
          <m:t>ν=1</m:t>
        </m:r>
      </m:oMath>
      <w:r w:rsidR="00464BA0">
        <w:t xml:space="preserv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w:t>
      </w:r>
      <w:r w:rsidR="00B66E46">
        <w:t xml:space="preserve"> </w:t>
      </w:r>
      <w:r w:rsidR="00966DD5">
        <w:t>A</w:t>
      </w:r>
      <w:r w:rsidR="00464BA0">
        <w:t>nother</w:t>
      </w:r>
      <w:r w:rsidR="00966DD5">
        <w:t xml:space="preserve">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proofErr w:type="gramStart"/>
      <w:r w:rsidR="00966DD5">
        <w:t xml:space="preserve">with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This is also known as the Richards model</w:t>
      </w:r>
      <w:r w:rsidR="00FE04E0">
        <w:t xml:space="preserve"> </w:t>
      </w:r>
      <w:r w:rsidR="00FE04E0">
        <w:fldChar w:fldCharType="begin" w:fldLock="1"/>
      </w:r>
      <w:r w:rsidR="0044050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fldChar w:fldCharType="separate"/>
      </w:r>
      <w:r w:rsidR="00FE04E0" w:rsidRPr="00FE04E0">
        <w:rPr>
          <w:noProof/>
        </w:rPr>
        <w:t>(Richards 1959)</w:t>
      </w:r>
      <w:r w:rsidR="00FE04E0">
        <w:fldChar w:fldCharType="end"/>
      </w:r>
      <w:r w:rsidR="00464BA0">
        <w:t xml:space="preserve">, the </w:t>
      </w:r>
      <m:oMath>
        <m:r>
          <w:rPr>
            <w:rFonts w:ascii="Cambria Math" w:hAnsi="Cambria Math"/>
          </w:rPr>
          <m:t>θ</m:t>
        </m:r>
      </m:oMath>
      <w:r w:rsidR="00464BA0">
        <w:t xml:space="preserve">-logistic model </w:t>
      </w:r>
      <w:r w:rsidR="00464BA0">
        <w:fldChar w:fldCharType="begin" w:fldLock="1"/>
      </w:r>
      <w:r w:rsidR="00464BA0">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00464BA0">
        <w:fldChar w:fldCharType="separate"/>
      </w:r>
      <w:r w:rsidR="00464BA0" w:rsidRPr="00464BA0">
        <w:rPr>
          <w:noProof/>
        </w:rPr>
        <w:t>(Gilpin and Ayala 1973)</w:t>
      </w:r>
      <w:r w:rsidR="00464BA0">
        <w:fldChar w:fldCharType="end"/>
      </w:r>
      <w:r w:rsidR="00464BA0">
        <w:t>, or the generalized logistic model (see Wikipedia)</w:t>
      </w:r>
      <w:r w:rsidR="00060445">
        <w:t xml:space="preserve">.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A4145D">
        <w:t>last</w:t>
      </w:r>
      <w:r w:rsidR="00464BA0">
        <w:t xml:space="preserve"> </w:t>
      </w:r>
      <w:r w:rsidR="00966DD5">
        <w:t>form i</w:t>
      </w:r>
      <w:r w:rsidR="00B551CC">
        <w:t>s</w:t>
      </w:r>
      <w:r w:rsidR="00966DD5">
        <w:t xml:space="preserve"> the </w:t>
      </w:r>
      <w:r w:rsidR="00551D58">
        <w:t>standard</w:t>
      </w:r>
      <w:r w:rsidR="00966DD5">
        <w:t xml:space="preserve"> logistic model</w:t>
      </w:r>
      <w:r w:rsidR="00060445">
        <w:t xml:space="preserve">, in which </w:t>
      </w:r>
      <m:oMath>
        <m:r>
          <w:rPr>
            <w:rFonts w:ascii="Cambria Math" w:hAnsi="Cambria Math"/>
          </w:rPr>
          <m:t>ν=1</m:t>
        </m:r>
      </m:oMath>
      <w:r w:rsidR="00060445">
        <w:t xml:space="preserve"> </w:t>
      </w:r>
      <w:proofErr w:type="gramStart"/>
      <w:r w:rsidR="00060445">
        <w:t xml:space="preserve">and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14:paraId="6FB2650C" w14:textId="77777777" w:rsidR="00AD6A92" w:rsidRDefault="00AD6A92">
      <w:pPr>
        <w:spacing w:line="240" w:lineRule="auto"/>
        <w:ind w:firstLine="0"/>
      </w:pPr>
      <w:r>
        <w:br w:type="page"/>
      </w:r>
    </w:p>
    <w:p w14:paraId="080C07BB" w14:textId="77777777" w:rsidR="008404BC" w:rsidRDefault="008404BC" w:rsidP="00200E78"/>
    <w:p w14:paraId="4BA71751" w14:textId="77777777" w:rsidR="008404BC" w:rsidRDefault="008404BC">
      <w:pPr>
        <w:spacing w:line="240" w:lineRule="auto"/>
        <w:ind w:firstLine="0"/>
      </w:pPr>
    </w:p>
    <w:p w14:paraId="378E4C63" w14:textId="64364A40" w:rsidR="008404BC" w:rsidRDefault="008404BC">
      <w:pPr>
        <w:spacing w:line="240" w:lineRule="auto"/>
        <w:ind w:firstLine="0"/>
      </w:pPr>
    </w:p>
    <w:tbl>
      <w:tblPr>
        <w:tblStyle w:val="MediumList1"/>
        <w:tblW w:w="0" w:type="auto"/>
        <w:tblLook w:val="04A0" w:firstRow="1" w:lastRow="0" w:firstColumn="1" w:lastColumn="0" w:noHBand="0" w:noVBand="1"/>
      </w:tblPr>
      <w:tblGrid>
        <w:gridCol w:w="1804"/>
        <w:gridCol w:w="1498"/>
        <w:gridCol w:w="1900"/>
        <w:gridCol w:w="1994"/>
        <w:gridCol w:w="1326"/>
      </w:tblGrid>
      <w:tr w:rsidR="008404BC" w14:paraId="6A047244" w14:textId="77777777" w:rsidTr="00840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090DADFE" w14:textId="77777777" w:rsidR="008404BC" w:rsidRDefault="008404BC" w:rsidP="008404BC">
            <w:pPr>
              <w:ind w:firstLine="0"/>
              <w:jc w:val="center"/>
            </w:pPr>
            <w:r>
              <w:t>Name</w:t>
            </w:r>
          </w:p>
        </w:tc>
        <w:tc>
          <w:tcPr>
            <w:tcW w:w="1498" w:type="dxa"/>
            <w:vAlign w:val="center"/>
          </w:tcPr>
          <w:p w14:paraId="6CD88C43"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 xml:space="preserve"># </w:t>
            </w:r>
            <w:proofErr w:type="spellStart"/>
            <w:r>
              <w:t>Params</w:t>
            </w:r>
            <w:proofErr w:type="spellEnd"/>
          </w:p>
        </w:tc>
        <w:tc>
          <w:tcPr>
            <w:tcW w:w="1900" w:type="dxa"/>
            <w:vAlign w:val="center"/>
          </w:tcPr>
          <w:p w14:paraId="4A89DFE0"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Free Parameters</w:t>
            </w:r>
          </w:p>
        </w:tc>
        <w:tc>
          <w:tcPr>
            <w:tcW w:w="1994" w:type="dxa"/>
            <w:vAlign w:val="center"/>
          </w:tcPr>
          <w:p w14:paraId="265E5FAE"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Fixed Parameters</w:t>
            </w:r>
          </w:p>
        </w:tc>
        <w:tc>
          <w:tcPr>
            <w:tcW w:w="1326" w:type="dxa"/>
            <w:vAlign w:val="center"/>
          </w:tcPr>
          <w:p w14:paraId="0D895EBF"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References</w:t>
            </w:r>
          </w:p>
        </w:tc>
      </w:tr>
      <w:tr w:rsidR="008404BC" w14:paraId="73B6D94C"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7A09356" w14:textId="77777777" w:rsidR="008404BC" w:rsidRDefault="008404BC" w:rsidP="008404BC">
            <w:pPr>
              <w:ind w:firstLine="0"/>
              <w:jc w:val="center"/>
            </w:pPr>
            <w:proofErr w:type="spellStart"/>
            <w:r>
              <w:t>Baranyi</w:t>
            </w:r>
            <w:proofErr w:type="spellEnd"/>
            <w:r>
              <w:t>-Roberts</w:t>
            </w:r>
          </w:p>
        </w:tc>
        <w:tc>
          <w:tcPr>
            <w:tcW w:w="1498" w:type="dxa"/>
            <w:vAlign w:val="center"/>
          </w:tcPr>
          <w:p w14:paraId="764135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6</w:t>
            </w:r>
          </w:p>
        </w:tc>
        <w:tc>
          <w:tcPr>
            <w:tcW w:w="1900" w:type="dxa"/>
            <w:vAlign w:val="center"/>
          </w:tcPr>
          <w:p w14:paraId="3E9BAE1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7571DDA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p w14:paraId="2C5125D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p>
        </w:tc>
        <w:tc>
          <w:tcPr>
            <w:tcW w:w="1326" w:type="dxa"/>
            <w:vAlign w:val="center"/>
          </w:tcPr>
          <w:p w14:paraId="4025583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200E78">
              <w:rPr>
                <w:noProof/>
              </w:rPr>
              <w:t>(Baranyi and Roberts 1994)</w:t>
            </w:r>
            <w:r>
              <w:fldChar w:fldCharType="end"/>
            </w:r>
          </w:p>
        </w:tc>
      </w:tr>
      <w:tr w:rsidR="008404BC" w14:paraId="51266A75"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48BB4134" w14:textId="77777777" w:rsidR="008404BC" w:rsidRDefault="008404BC" w:rsidP="008404BC">
            <w:pPr>
              <w:ind w:firstLine="0"/>
              <w:jc w:val="center"/>
            </w:pPr>
            <w:r>
              <w:t>-</w:t>
            </w:r>
          </w:p>
        </w:tc>
        <w:tc>
          <w:tcPr>
            <w:tcW w:w="1498" w:type="dxa"/>
            <w:vAlign w:val="center"/>
          </w:tcPr>
          <w:p w14:paraId="52C146D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1900" w:type="dxa"/>
            <w:vAlign w:val="center"/>
          </w:tcPr>
          <w:p w14:paraId="5BC6EBCF"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51584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40B3EA0A"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8404BC" w14:paraId="5CF765F4"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9CEE8C3" w14:textId="77777777" w:rsidR="008404BC" w:rsidRDefault="008404BC" w:rsidP="008404BC">
            <w:pPr>
              <w:ind w:firstLine="0"/>
              <w:jc w:val="center"/>
            </w:pPr>
            <w:r>
              <w:t>-</w:t>
            </w:r>
          </w:p>
        </w:tc>
        <w:tc>
          <w:tcPr>
            <w:tcW w:w="1498" w:type="dxa"/>
            <w:vAlign w:val="center"/>
          </w:tcPr>
          <w:p w14:paraId="21C46E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5</w:t>
            </w:r>
          </w:p>
        </w:tc>
        <w:tc>
          <w:tcPr>
            <w:tcW w:w="1900" w:type="dxa"/>
            <w:vAlign w:val="center"/>
          </w:tcPr>
          <w:p w14:paraId="07BD3585"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00BAED49"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tc>
        <w:tc>
          <w:tcPr>
            <w:tcW w:w="1326" w:type="dxa"/>
            <w:vAlign w:val="center"/>
          </w:tcPr>
          <w:p w14:paraId="1E2DC551"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8404BC" w14:paraId="3FF0E39D"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1A0F2975" w14:textId="77777777" w:rsidR="008404BC" w:rsidRDefault="008404BC" w:rsidP="008404BC">
            <w:pPr>
              <w:ind w:firstLine="0"/>
              <w:jc w:val="center"/>
            </w:pPr>
            <w:r>
              <w:t>Richards</w:t>
            </w:r>
          </w:p>
        </w:tc>
        <w:tc>
          <w:tcPr>
            <w:tcW w:w="1498" w:type="dxa"/>
            <w:vAlign w:val="center"/>
          </w:tcPr>
          <w:p w14:paraId="52B62746"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4</w:t>
            </w:r>
          </w:p>
        </w:tc>
        <w:tc>
          <w:tcPr>
            <w:tcW w:w="1900" w:type="dxa"/>
            <w:vAlign w:val="center"/>
          </w:tcPr>
          <w:p w14:paraId="310D83FE"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oMath>
            </m:oMathPara>
          </w:p>
        </w:tc>
        <w:tc>
          <w:tcPr>
            <w:tcW w:w="1994" w:type="dxa"/>
            <w:vAlign w:val="center"/>
          </w:tcPr>
          <w:p w14:paraId="6E8D7FC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456B4989"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200E78">
              <w:rPr>
                <w:noProof/>
              </w:rPr>
              <w:t>(Richards 1959)</w:t>
            </w:r>
            <w:r>
              <w:fldChar w:fldCharType="end"/>
            </w:r>
          </w:p>
        </w:tc>
      </w:tr>
      <w:tr w:rsidR="008404BC" w14:paraId="7F6A3747"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1758C585" w14:textId="77777777" w:rsidR="008404BC" w:rsidRDefault="008404BC" w:rsidP="008404BC">
            <w:pPr>
              <w:ind w:firstLine="0"/>
              <w:jc w:val="center"/>
            </w:pPr>
            <w:r>
              <w:t xml:space="preserve">Simplified </w:t>
            </w:r>
            <w:proofErr w:type="spellStart"/>
            <w:r>
              <w:t>Baranyi</w:t>
            </w:r>
            <w:proofErr w:type="spellEnd"/>
            <w:r>
              <w:t>-Roberts</w:t>
            </w:r>
          </w:p>
        </w:tc>
        <w:tc>
          <w:tcPr>
            <w:tcW w:w="1498" w:type="dxa"/>
            <w:vAlign w:val="center"/>
          </w:tcPr>
          <w:p w14:paraId="439E3DBB"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4</w:t>
            </w:r>
          </w:p>
        </w:tc>
        <w:tc>
          <w:tcPr>
            <w:tcW w:w="1900" w:type="dxa"/>
            <w:vAlign w:val="center"/>
          </w:tcPr>
          <w:p w14:paraId="28B3148A"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27B14B" w14:textId="77777777" w:rsidR="008404BC" w:rsidRPr="00200E78"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p w14:paraId="02C98F2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0986474E"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200E78">
              <w:rPr>
                <w:noProof/>
              </w:rPr>
              <w:t>(Baranyi 1997)</w:t>
            </w:r>
            <w:r>
              <w:fldChar w:fldCharType="end"/>
            </w:r>
          </w:p>
        </w:tc>
      </w:tr>
      <w:tr w:rsidR="008404BC" w14:paraId="3B5D0717"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28D79B9E" w14:textId="77777777" w:rsidR="008404BC" w:rsidRDefault="008404BC" w:rsidP="008404BC">
            <w:pPr>
              <w:ind w:firstLine="0"/>
              <w:jc w:val="center"/>
            </w:pPr>
            <w:r>
              <w:t>Logistic</w:t>
            </w:r>
          </w:p>
        </w:tc>
        <w:tc>
          <w:tcPr>
            <w:tcW w:w="1498" w:type="dxa"/>
            <w:vAlign w:val="center"/>
          </w:tcPr>
          <w:p w14:paraId="7279B81D"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1900" w:type="dxa"/>
            <w:vAlign w:val="center"/>
          </w:tcPr>
          <w:p w14:paraId="429927D2"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oMath>
            </m:oMathPara>
          </w:p>
        </w:tc>
        <w:tc>
          <w:tcPr>
            <w:tcW w:w="1994" w:type="dxa"/>
            <w:vAlign w:val="center"/>
          </w:tcPr>
          <w:p w14:paraId="089983BA" w14:textId="77777777" w:rsidR="008404BC" w:rsidRPr="00200E78"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ν=1</m:t>
                </m:r>
              </m:oMath>
            </m:oMathPara>
          </w:p>
          <w:p w14:paraId="045F2149"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508C8F29" w14:textId="77777777" w:rsidR="008404BC" w:rsidRDefault="008404BC" w:rsidP="008404BC">
            <w:pPr>
              <w:keepNext/>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"(Verhulst 1838)", "plainTextFormattedCitation" : "(Verhulst 1838)", "previouslyFormattedCitation" : "(Verhulst 1838)" }, "properties" : { "noteIndex" : 0 }, "schema" : "https://github.com/citation-style-language/schema/raw/master/csl-citation.json" }</w:instrText>
            </w:r>
            <w:r>
              <w:fldChar w:fldCharType="separate"/>
            </w:r>
            <w:r w:rsidRPr="00200E78">
              <w:rPr>
                <w:noProof/>
              </w:rPr>
              <w:t>(Verhulst 1838)</w:t>
            </w:r>
            <w:r>
              <w:fldChar w:fldCharType="end"/>
            </w:r>
          </w:p>
        </w:tc>
      </w:tr>
    </w:tbl>
    <w:p w14:paraId="7AE5C61C" w14:textId="77777777" w:rsidR="008404BC" w:rsidRPr="008404BC" w:rsidRDefault="008404BC" w:rsidP="008404BC">
      <w:pPr>
        <w:pStyle w:val="Caption"/>
        <w:rPr>
          <w:b w:val="0"/>
          <w:bCs w:val="0"/>
          <w:color w:val="auto"/>
        </w:rPr>
      </w:pPr>
      <w:proofErr w:type="gramStart"/>
      <w:r w:rsidRPr="00200E78">
        <w:rPr>
          <w:color w:val="auto"/>
        </w:rPr>
        <w:t xml:space="preserve">Table </w:t>
      </w:r>
      <w:proofErr w:type="gramEnd"/>
      <w:r w:rsidRPr="00200E78">
        <w:rPr>
          <w:color w:val="auto"/>
        </w:rPr>
        <w:fldChar w:fldCharType="begin"/>
      </w:r>
      <w:r w:rsidRPr="00200E78">
        <w:rPr>
          <w:color w:val="auto"/>
        </w:rPr>
        <w:instrText xml:space="preserve"> SEQ Table \* ARABIC </w:instrText>
      </w:r>
      <w:r w:rsidRPr="00200E78">
        <w:rPr>
          <w:color w:val="auto"/>
        </w:rPr>
        <w:fldChar w:fldCharType="separate"/>
      </w:r>
      <w:r w:rsidR="007F2D48">
        <w:rPr>
          <w:noProof/>
          <w:color w:val="auto"/>
        </w:rPr>
        <w:t>1</w:t>
      </w:r>
      <w:r w:rsidRPr="00200E78">
        <w:rPr>
          <w:color w:val="auto"/>
        </w:rPr>
        <w:fldChar w:fldCharType="end"/>
      </w:r>
      <w:proofErr w:type="gramStart"/>
      <w:r>
        <w:rPr>
          <w:color w:val="auto"/>
        </w:rPr>
        <w:t>.</w:t>
      </w:r>
      <w:proofErr w:type="gramEnd"/>
      <w:r>
        <w:rPr>
          <w:color w:val="auto"/>
        </w:rPr>
        <w:t xml:space="preserve"> </w:t>
      </w:r>
      <w:proofErr w:type="gramStart"/>
      <w:r>
        <w:rPr>
          <w:color w:val="auto"/>
        </w:rPr>
        <w:t>Growth models.</w:t>
      </w:r>
      <w:proofErr w:type="gramEnd"/>
      <w:r>
        <w:rPr>
          <w:b w:val="0"/>
          <w:bCs w:val="0"/>
          <w:color w:val="auto"/>
        </w:rPr>
        <w:t xml:space="preserve"> The table lists the growth models </w:t>
      </w:r>
      <w:r w:rsidRPr="008404BC">
        <w:rPr>
          <w:b w:val="0"/>
          <w:bCs w:val="0"/>
          <w:color w:val="auto"/>
        </w:rPr>
        <w:t xml:space="preserve">used for fitting growth curve data. All models are defined by </w:t>
      </w:r>
      <w:proofErr w:type="spellStart"/>
      <w:r w:rsidRPr="008404BC">
        <w:rPr>
          <w:b w:val="0"/>
          <w:bCs w:val="0"/>
          <w:color w:val="auto"/>
        </w:rPr>
        <w:t>eqs</w:t>
      </w:r>
      <w:proofErr w:type="spellEnd"/>
      <w:r w:rsidRPr="008404BC">
        <w:rPr>
          <w:b w:val="0"/>
          <w:bCs w:val="0"/>
          <w:color w:val="auto"/>
        </w:rPr>
        <w:t xml:space="preserve">. </w:t>
      </w:r>
      <w:proofErr w:type="gramStart"/>
      <w:r w:rsidRPr="008404BC">
        <w:rPr>
          <w:b w:val="0"/>
          <w:bCs w:val="0"/>
          <w:color w:val="auto"/>
        </w:rPr>
        <w:t>1 and 2 by setting the respective fixed parameters.</w:t>
      </w:r>
      <w:proofErr w:type="gramEnd"/>
      <w:r w:rsidRPr="008404BC">
        <w:rPr>
          <w:b w:val="0"/>
          <w:bCs w:val="0"/>
          <w:color w:val="auto"/>
        </w:rPr>
        <w:t xml:space="preserv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w:t>
      </w:r>
      <w:proofErr w:type="gramStart"/>
      <w:r w:rsidRPr="008404BC">
        <w:rPr>
          <w:b w:val="0"/>
          <w:bCs w:val="0"/>
          <w:color w:val="auto"/>
        </w:rPr>
        <w:t>is</w:t>
      </w:r>
      <w:proofErr w:type="gramEnd"/>
      <w:r w:rsidRPr="008404BC">
        <w:rPr>
          <w:b w:val="0"/>
          <w:bCs w:val="0"/>
          <w:color w:val="auto"/>
        </w:rPr>
        <w:t xml:space="preserve">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Appendix A.</w:t>
      </w:r>
    </w:p>
    <w:p w14:paraId="272B256D" w14:textId="77777777" w:rsidR="005F02B4" w:rsidRDefault="005F02B4" w:rsidP="00507681">
      <w:pPr>
        <w:pStyle w:val="Heading2"/>
      </w:pPr>
      <w:r>
        <w:t>Model fitting and selection</w:t>
      </w:r>
    </w:p>
    <w:p w14:paraId="7E2DCE03" w14:textId="7FC01831" w:rsidR="005F02B4" w:rsidRDefault="005F02B4" w:rsidP="00F70C02">
      <w:r>
        <w:t xml:space="preserve">We fit all </w:t>
      </w:r>
      <w:r w:rsidR="00464BA0">
        <w:t>six</w:t>
      </w:r>
      <w:r>
        <w:t xml:space="preserve"> model</w:t>
      </w:r>
      <w:r w:rsidR="00966DD5">
        <w:t xml:space="preserve"> form</w:t>
      </w:r>
      <w:r>
        <w:t xml:space="preserve">s to the </w:t>
      </w:r>
      <w:r w:rsidR="00F70C02">
        <w:t xml:space="preserve">monoculture </w:t>
      </w:r>
      <w:r>
        <w:t xml:space="preserve">growth curve </w:t>
      </w:r>
      <w:r w:rsidR="00464BA0">
        <w:t xml:space="preserve">data </w:t>
      </w:r>
      <w:r>
        <w:t>of each strain</w:t>
      </w:r>
      <w:r w:rsidR="00B37B5A">
        <w:t xml:space="preserve"> </w:t>
      </w:r>
      <w:r w:rsidR="00F06897">
        <w:t>using</w:t>
      </w:r>
      <w:r w:rsidR="00464BA0">
        <w:t xml:space="preserve"> the </w:t>
      </w:r>
      <w:proofErr w:type="spellStart"/>
      <w:r w:rsidR="00464BA0">
        <w:rPr>
          <w:i/>
          <w:iCs/>
        </w:rPr>
        <w:t>leastsq</w:t>
      </w:r>
      <w:proofErr w:type="spellEnd"/>
      <w:r w:rsidR="00F06897">
        <w:t xml:space="preserve"> non-linear curve fitting</w:t>
      </w:r>
      <w:r w:rsidR="00464BA0">
        <w:t xml:space="preserve"> procedure</w:t>
      </w:r>
      <w:r w:rsidR="002065DF">
        <w:t xml:space="preserve"> </w:t>
      </w:r>
      <w:r w:rsidR="002065DF">
        <w:fldChar w:fldCharType="begin" w:fldLock="1"/>
      </w:r>
      <w:r w:rsidR="00464BA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002065DF">
        <w:fldChar w:fldCharType="separate"/>
      </w:r>
      <w:r w:rsidR="00464BA0" w:rsidRPr="00464BA0">
        <w:rPr>
          <w:noProof/>
        </w:rPr>
        <w:t>(Jones et al. 2001; Newville et al. 2014)</w:t>
      </w:r>
      <w:r w:rsidR="002065DF">
        <w:fldChar w:fldCharType="end"/>
      </w:r>
      <w:r>
        <w:t>. We then calculate the Bayesian Information C</w:t>
      </w:r>
      <w:r w:rsidR="00984152">
        <w:t>riteria (BIC) of each model fit</w:t>
      </w:r>
      <w:r w:rsidR="00F06897">
        <w:t>:</w:t>
      </w:r>
    </w:p>
    <w:p w14:paraId="3E45556E" w14:textId="77777777" w:rsidR="005F02B4" w:rsidRDefault="00984152" w:rsidP="00507681">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14:paraId="04EB3F0C" w14:textId="708ECFFD" w:rsidR="005F02B4" w:rsidRDefault="005F02B4" w:rsidP="00507681">
      <w:r>
        <w:t xml:space="preserve">where </w:t>
      </w:r>
      <m:oMath>
        <m:r>
          <w:rPr>
            <w:rFonts w:ascii="Cambria Math" w:hAnsi="Cambria Math"/>
          </w:rPr>
          <m:t>k</m:t>
        </m:r>
      </m:oMath>
      <w:r>
        <w:t xml:space="preserve"> is the number </w:t>
      </w:r>
      <w:r w:rsidR="00464BA0">
        <w:t>model</w:t>
      </w:r>
      <w:r>
        <w:t xml:space="preserve"> parameters, </w:t>
      </w:r>
      <m:oMath>
        <m:r>
          <w:rPr>
            <w:rFonts w:ascii="Cambria Math" w:hAnsi="Cambria Math"/>
          </w:rPr>
          <m:t>n</m:t>
        </m:r>
      </m:oMath>
      <w:r>
        <w:t xml:space="preserve"> is the number of </w:t>
      </w:r>
      <w:r w:rsidR="00464BA0">
        <w:t xml:space="preserve">data </w:t>
      </w:r>
      <w:r>
        <w:t>points</w:t>
      </w:r>
      <w:r w:rsidR="00464BA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64BA0">
        <w:t xml:space="preserve"> are the time points</w:t>
      </w:r>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w:t>
      </w:r>
      <w:r w:rsidR="00464BA0">
        <w:t xml:space="preserve">optical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r w:rsidR="00464BA0">
        <w:t xml:space="preserve"> </w:t>
      </w:r>
      <w:r w:rsidR="00464BA0">
        <w:fldChar w:fldCharType="begin" w:fldLock="1"/>
      </w:r>
      <w:r w:rsidR="00D44992">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00464BA0">
        <w:fldChar w:fldCharType="separate"/>
      </w:r>
      <w:r w:rsidR="00464BA0" w:rsidRPr="00464BA0">
        <w:rPr>
          <w:noProof/>
        </w:rPr>
        <w:t>(Kass and Raftery 1995; Ward 2008)</w:t>
      </w:r>
      <w:r w:rsidR="00464BA0">
        <w:fldChar w:fldCharType="end"/>
      </w:r>
      <w:r w:rsidR="00154E23">
        <w:t>.</w:t>
      </w:r>
    </w:p>
    <w:p w14:paraId="202C6CCE" w14:textId="5976E042" w:rsidR="00154E23" w:rsidRDefault="00C05ED5" w:rsidP="00997352">
      <w:r>
        <w:t xml:space="preserve">We repeat the model fitting procedure for the </w:t>
      </w:r>
      <w:r w:rsidR="00F70C02">
        <w:t>monoculture growth curve</w:t>
      </w:r>
      <w:r>
        <w:t xml:space="preserve"> data of each strain to produce estimates for all six parameters as well as confidence intervals on these </w:t>
      </w:r>
      <w:r w:rsidR="00895982">
        <w:t>estimates</w:t>
      </w:r>
      <w:r w:rsidR="00E74D07">
        <w:t xml:space="preserve"> (</w:t>
      </w:r>
      <w:r w:rsidR="00E74D07" w:rsidRPr="008F3527">
        <w:rPr>
          <w:highlight w:val="yellow"/>
        </w:rPr>
        <w:t xml:space="preserve">Fig. </w:t>
      </w:r>
      <w:proofErr w:type="gramStart"/>
      <w:r w:rsidR="008404BC" w:rsidRPr="008404BC">
        <w:rPr>
          <w:highlight w:val="yellow"/>
        </w:rPr>
        <w:t>SX</w:t>
      </w:r>
      <w:r w:rsidR="00E74D07">
        <w:t>)</w:t>
      </w:r>
      <w:r w:rsidR="00DA15C0">
        <w:t>.</w:t>
      </w:r>
      <w:proofErr w:type="gramEnd"/>
      <w:r w:rsidR="00DA15C0">
        <w:t xml:space="preserve"> The best fit</w:t>
      </w:r>
      <w:r w:rsidR="00997352">
        <w:t xml:space="preserve"> </w:t>
      </w:r>
      <w:r w:rsidR="00DA15C0">
        <w:t xml:space="preserve">is shown in </w:t>
      </w:r>
      <w:r w:rsidR="00DA15C0">
        <w:fldChar w:fldCharType="begin"/>
      </w:r>
      <w:r w:rsidR="00DA15C0">
        <w:instrText xml:space="preserve"> REF _Ref439852214 \h </w:instrText>
      </w:r>
      <w:r w:rsidR="00DA15C0">
        <w:fldChar w:fldCharType="separate"/>
      </w:r>
      <w:r w:rsidR="007F2D48" w:rsidRPr="00DA15C0">
        <w:t xml:space="preserve">Figure </w:t>
      </w:r>
      <w:r w:rsidR="007F2D48">
        <w:rPr>
          <w:noProof/>
        </w:rPr>
        <w:t>2</w:t>
      </w:r>
      <w:r w:rsidR="00DA15C0">
        <w:fldChar w:fldCharType="end"/>
      </w:r>
      <w:r w:rsidR="00997352">
        <w:t>; the estimated growth parameters are given in Table X.</w:t>
      </w:r>
    </w:p>
    <w:p w14:paraId="4F993615" w14:textId="77777777" w:rsidR="00DA15C0" w:rsidRDefault="00DA15C0" w:rsidP="008404BC"/>
    <w:p w14:paraId="3983ED24" w14:textId="77777777" w:rsidR="00DA15C0" w:rsidRDefault="00DA15C0" w:rsidP="00DA15C0">
      <w:pPr>
        <w:keepNext/>
      </w:pPr>
      <w:r>
        <w:rPr>
          <w:noProof/>
        </w:rPr>
        <w:drawing>
          <wp:inline distT="0" distB="0" distL="0" distR="0" wp14:anchorId="0695AF6D" wp14:editId="3777AD02">
            <wp:extent cx="5262245" cy="1802765"/>
            <wp:effectExtent l="0" t="0" r="0" b="6985"/>
            <wp:docPr id="7" name="Picture 7" descr="D:\workspace\curveball_project\ms\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space\curveball_project\ms\Fig-model_fitt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245" cy="1802765"/>
                    </a:xfrm>
                    <a:prstGeom prst="rect">
                      <a:avLst/>
                    </a:prstGeom>
                    <a:noFill/>
                    <a:ln>
                      <a:noFill/>
                    </a:ln>
                  </pic:spPr>
                </pic:pic>
              </a:graphicData>
            </a:graphic>
          </wp:inline>
        </w:drawing>
      </w:r>
    </w:p>
    <w:p w14:paraId="152D5154" w14:textId="1FA7C775" w:rsidR="00DA15C0" w:rsidRPr="00DA15C0" w:rsidRDefault="00DA15C0" w:rsidP="007F2D48">
      <w:pPr>
        <w:pStyle w:val="Caption"/>
        <w:jc w:val="center"/>
        <w:rPr>
          <w:color w:val="auto"/>
        </w:rPr>
      </w:pPr>
      <w:bookmarkStart w:id="2" w:name="_Ref439852214"/>
      <w:proofErr w:type="gramStart"/>
      <w:r w:rsidRPr="00DA15C0">
        <w:rPr>
          <w:color w:val="auto"/>
        </w:rPr>
        <w:t xml:space="preserve">Figure </w:t>
      </w:r>
      <w:proofErr w:type="gramEnd"/>
      <w:r w:rsidRPr="00DA15C0">
        <w:rPr>
          <w:color w:val="auto"/>
        </w:rPr>
        <w:fldChar w:fldCharType="begin"/>
      </w:r>
      <w:r w:rsidRPr="00DA15C0">
        <w:rPr>
          <w:color w:val="auto"/>
        </w:rPr>
        <w:instrText xml:space="preserve"> SEQ Figure \* ARABIC </w:instrText>
      </w:r>
      <w:r w:rsidRPr="00DA15C0">
        <w:rPr>
          <w:color w:val="auto"/>
        </w:rPr>
        <w:fldChar w:fldCharType="separate"/>
      </w:r>
      <w:r w:rsidR="00755D4D">
        <w:rPr>
          <w:noProof/>
          <w:color w:val="auto"/>
        </w:rPr>
        <w:t>2</w:t>
      </w:r>
      <w:r w:rsidRPr="00DA15C0">
        <w:rPr>
          <w:color w:val="auto"/>
        </w:rPr>
        <w:fldChar w:fldCharType="end"/>
      </w:r>
      <w:bookmarkEnd w:id="2"/>
      <w:proofErr w:type="gramStart"/>
      <w:r>
        <w:rPr>
          <w:color w:val="auto"/>
        </w:rPr>
        <w:t>.</w:t>
      </w:r>
      <w:proofErr w:type="gramEnd"/>
      <w:r>
        <w:rPr>
          <w:color w:val="auto"/>
        </w:rPr>
        <w:t xml:space="preserve"> Fitting growth </w:t>
      </w:r>
      <w:r w:rsidR="007F2D48">
        <w:rPr>
          <w:color w:val="auto"/>
        </w:rPr>
        <w:t>model</w:t>
      </w:r>
      <w:r>
        <w:rPr>
          <w:color w:val="auto"/>
        </w:rPr>
        <w:t xml:space="preserve"> to growth </w:t>
      </w:r>
      <w:r w:rsidR="007F2D48">
        <w:rPr>
          <w:color w:val="auto"/>
        </w:rPr>
        <w:t>curves data</w:t>
      </w:r>
      <w:r>
        <w:rPr>
          <w:color w:val="auto"/>
        </w:rPr>
        <w:t>.</w:t>
      </w:r>
      <w:r>
        <w:rPr>
          <w:b w:val="0"/>
          <w:bCs w:val="0"/>
          <w:color w:val="auto"/>
        </w:rPr>
        <w:t xml:space="preserve"> The figure shows the best model fit (solid lines) to the growth curves data (markers) of two strains (green and red) growing in monoculture.</w:t>
      </w:r>
      <w:r w:rsidR="00997352">
        <w:rPr>
          <w:b w:val="0"/>
          <w:bCs w:val="0"/>
          <w:color w:val="auto"/>
        </w:rPr>
        <w:t xml:space="preserve"> </w:t>
      </w:r>
      <w:r>
        <w:rPr>
          <w:color w:val="auto"/>
        </w:rPr>
        <w:t>(A)</w:t>
      </w:r>
      <w:r>
        <w:rPr>
          <w:b w:val="0"/>
          <w:bCs w:val="0"/>
          <w:color w:val="auto"/>
        </w:rPr>
        <w:t xml:space="preserve"> Experiment that includes a lag phase. </w:t>
      </w:r>
      <w:r>
        <w:rPr>
          <w:color w:val="auto"/>
        </w:rPr>
        <w:t>(B)</w:t>
      </w:r>
      <w:r>
        <w:rPr>
          <w:i/>
          <w:iCs/>
          <w:color w:val="auto"/>
        </w:rPr>
        <w:t xml:space="preserve"> </w:t>
      </w:r>
      <w:r w:rsidRPr="00DA15C0">
        <w:rPr>
          <w:b w:val="0"/>
          <w:bCs w:val="0"/>
          <w:color w:val="auto"/>
        </w:rPr>
        <w:t xml:space="preserve">Experiment that doesn't include a lag phase (see </w:t>
      </w:r>
      <w:r w:rsidRPr="00DA15C0">
        <w:rPr>
          <w:b w:val="0"/>
          <w:bCs w:val="0"/>
          <w:color w:val="auto"/>
        </w:rPr>
        <w:fldChar w:fldCharType="begin"/>
      </w:r>
      <w:r w:rsidRPr="00DA15C0">
        <w:rPr>
          <w:b w:val="0"/>
          <w:bCs w:val="0"/>
          <w:color w:val="auto"/>
        </w:rPr>
        <w:instrText xml:space="preserve"> REF _Ref439852115 \h </w:instrText>
      </w:r>
      <w:r w:rsidRPr="00DA15C0">
        <w:rPr>
          <w:b w:val="0"/>
          <w:bCs w:val="0"/>
          <w:color w:val="auto"/>
        </w:rPr>
      </w:r>
      <w:r w:rsidRPr="00DA15C0">
        <w:rPr>
          <w:b w:val="0"/>
          <w:bCs w:val="0"/>
          <w:color w:val="auto"/>
        </w:rPr>
        <w:instrText xml:space="preserve"> \* MERGEFORMAT </w:instrText>
      </w:r>
      <w:r w:rsidRPr="00DA15C0">
        <w:rPr>
          <w:b w:val="0"/>
          <w:bCs w:val="0"/>
          <w:color w:val="auto"/>
        </w:rPr>
        <w:fldChar w:fldCharType="separate"/>
      </w:r>
      <w:r w:rsidR="007F2D48" w:rsidRPr="007F2D48">
        <w:rPr>
          <w:b w:val="0"/>
          <w:bCs w:val="0"/>
          <w:color w:val="auto"/>
        </w:rPr>
        <w:t xml:space="preserve">Figure </w:t>
      </w:r>
      <w:r w:rsidR="007F2D48" w:rsidRPr="007F2D48">
        <w:rPr>
          <w:b w:val="0"/>
          <w:bCs w:val="0"/>
          <w:noProof/>
          <w:color w:val="auto"/>
        </w:rPr>
        <w:t>1</w:t>
      </w:r>
      <w:r w:rsidRPr="00DA15C0">
        <w:rPr>
          <w:b w:val="0"/>
          <w:bCs w:val="0"/>
          <w:color w:val="auto"/>
        </w:rPr>
        <w:fldChar w:fldCharType="end"/>
      </w:r>
      <w:r>
        <w:rPr>
          <w:b w:val="0"/>
          <w:bCs w:val="0"/>
          <w:color w:val="auto"/>
        </w:rPr>
        <w:t>).</w:t>
      </w:r>
    </w:p>
    <w:p w14:paraId="4086193F" w14:textId="77777777" w:rsidR="00997352" w:rsidRDefault="00997352" w:rsidP="00604C25"/>
    <w:tbl>
      <w:tblPr>
        <w:tblStyle w:val="LightShading"/>
        <w:tblW w:w="0" w:type="auto"/>
        <w:tblLook w:val="04A0" w:firstRow="1" w:lastRow="0" w:firstColumn="1" w:lastColumn="0" w:noHBand="0" w:noVBand="1"/>
      </w:tblPr>
      <w:tblGrid>
        <w:gridCol w:w="1704"/>
        <w:gridCol w:w="1704"/>
        <w:gridCol w:w="1704"/>
        <w:gridCol w:w="1705"/>
        <w:gridCol w:w="1705"/>
      </w:tblGrid>
      <w:tr w:rsidR="00997352" w14:paraId="3C45AC95" w14:textId="77777777" w:rsidTr="00997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0203180C" w14:textId="10197C2B" w:rsidR="00997352" w:rsidRDefault="00997352" w:rsidP="00997352">
            <w:pPr>
              <w:ind w:firstLine="0"/>
              <w:jc w:val="center"/>
            </w:pPr>
            <w:r>
              <w:t>Parameter</w:t>
            </w:r>
          </w:p>
        </w:tc>
        <w:tc>
          <w:tcPr>
            <w:tcW w:w="1704" w:type="dxa"/>
          </w:tcPr>
          <w:p w14:paraId="4BBE23AE" w14:textId="76EEFA15" w:rsidR="00997352" w:rsidRDefault="00997352" w:rsidP="00997352">
            <w:pPr>
              <w:ind w:firstLine="0"/>
              <w:jc w:val="center"/>
              <w:cnfStyle w:val="100000000000" w:firstRow="1" w:lastRow="0" w:firstColumn="0" w:lastColumn="0" w:oddVBand="0" w:evenVBand="0" w:oddHBand="0" w:evenHBand="0" w:firstRowFirstColumn="0" w:firstRowLastColumn="0" w:lastRowFirstColumn="0" w:lastRowLastColumn="0"/>
            </w:pPr>
            <w:r>
              <w:t>Exp. A/Green</w:t>
            </w:r>
          </w:p>
        </w:tc>
        <w:tc>
          <w:tcPr>
            <w:tcW w:w="1704" w:type="dxa"/>
          </w:tcPr>
          <w:p w14:paraId="586BA134" w14:textId="215F2E76" w:rsidR="00997352" w:rsidRDefault="00997352" w:rsidP="00997352">
            <w:pPr>
              <w:ind w:firstLine="0"/>
              <w:jc w:val="center"/>
              <w:cnfStyle w:val="100000000000" w:firstRow="1" w:lastRow="0" w:firstColumn="0" w:lastColumn="0" w:oddVBand="0" w:evenVBand="0" w:oddHBand="0" w:evenHBand="0" w:firstRowFirstColumn="0" w:firstRowLastColumn="0" w:lastRowFirstColumn="0" w:lastRowLastColumn="0"/>
            </w:pPr>
            <w:r>
              <w:t>Exp. A/Red</w:t>
            </w:r>
          </w:p>
        </w:tc>
        <w:tc>
          <w:tcPr>
            <w:tcW w:w="1705" w:type="dxa"/>
          </w:tcPr>
          <w:p w14:paraId="34143450" w14:textId="42833817" w:rsidR="00997352" w:rsidRDefault="00997352" w:rsidP="00997352">
            <w:pPr>
              <w:ind w:firstLine="0"/>
              <w:jc w:val="center"/>
              <w:cnfStyle w:val="100000000000" w:firstRow="1" w:lastRow="0" w:firstColumn="0" w:lastColumn="0" w:oddVBand="0" w:evenVBand="0" w:oddHBand="0" w:evenHBand="0" w:firstRowFirstColumn="0" w:firstRowLastColumn="0" w:lastRowFirstColumn="0" w:lastRowLastColumn="0"/>
            </w:pPr>
            <w:r>
              <w:t>Exp. B/Green</w:t>
            </w:r>
          </w:p>
        </w:tc>
        <w:tc>
          <w:tcPr>
            <w:tcW w:w="1705" w:type="dxa"/>
          </w:tcPr>
          <w:p w14:paraId="0627B489" w14:textId="3AEC37C1" w:rsidR="00997352" w:rsidRDefault="00997352" w:rsidP="00997352">
            <w:pPr>
              <w:ind w:firstLine="0"/>
              <w:jc w:val="center"/>
              <w:cnfStyle w:val="100000000000" w:firstRow="1" w:lastRow="0" w:firstColumn="0" w:lastColumn="0" w:oddVBand="0" w:evenVBand="0" w:oddHBand="0" w:evenHBand="0" w:firstRowFirstColumn="0" w:firstRowLastColumn="0" w:lastRowFirstColumn="0" w:lastRowLastColumn="0"/>
            </w:pPr>
            <w:r>
              <w:t>Exp. B/Green</w:t>
            </w:r>
          </w:p>
        </w:tc>
      </w:tr>
      <w:tr w:rsidR="00997352" w14:paraId="242B60E5" w14:textId="77777777" w:rsidTr="0099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57FAAE8A" w14:textId="724331F6" w:rsidR="00997352" w:rsidRPr="007F2D48" w:rsidRDefault="007F2D48" w:rsidP="00997352">
            <w:pPr>
              <w:ind w:firstLine="0"/>
              <w:jc w:val="center"/>
              <w:rPr>
                <w:vertAlign w:val="subscript"/>
              </w:rPr>
            </w:pPr>
            <m:oMathPara>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m:oMathPara>
          </w:p>
        </w:tc>
        <w:tc>
          <w:tcPr>
            <w:tcW w:w="1704" w:type="dxa"/>
          </w:tcPr>
          <w:p w14:paraId="4706B8E0" w14:textId="61723D5F" w:rsidR="00997352" w:rsidRDefault="00997352" w:rsidP="00997352">
            <w:pPr>
              <w:ind w:firstLine="0"/>
              <w:jc w:val="center"/>
              <w:cnfStyle w:val="000000100000" w:firstRow="0" w:lastRow="0" w:firstColumn="0" w:lastColumn="0" w:oddVBand="0" w:evenVBand="0" w:oddHBand="1" w:evenHBand="0" w:firstRowFirstColumn="0" w:firstRowLastColumn="0" w:lastRowFirstColumn="0" w:lastRowLastColumn="0"/>
            </w:pPr>
            <w:r>
              <w:t>0.125</w:t>
            </w:r>
          </w:p>
        </w:tc>
        <w:tc>
          <w:tcPr>
            <w:tcW w:w="1704" w:type="dxa"/>
          </w:tcPr>
          <w:p w14:paraId="67EF53EC" w14:textId="33FBA246" w:rsidR="00997352" w:rsidRDefault="00997352" w:rsidP="00997352">
            <w:pPr>
              <w:ind w:firstLine="0"/>
              <w:jc w:val="center"/>
              <w:cnfStyle w:val="000000100000" w:firstRow="0" w:lastRow="0" w:firstColumn="0" w:lastColumn="0" w:oddVBand="0" w:evenVBand="0" w:oddHBand="1" w:evenHBand="0" w:firstRowFirstColumn="0" w:firstRowLastColumn="0" w:lastRowFirstColumn="0" w:lastRowLastColumn="0"/>
            </w:pPr>
            <w:r>
              <w:t>0.124</w:t>
            </w:r>
          </w:p>
        </w:tc>
        <w:tc>
          <w:tcPr>
            <w:tcW w:w="1705" w:type="dxa"/>
          </w:tcPr>
          <w:p w14:paraId="637369D0" w14:textId="7473976A" w:rsidR="00997352" w:rsidRDefault="007F2D48" w:rsidP="00997352">
            <w:pPr>
              <w:ind w:firstLine="0"/>
              <w:jc w:val="center"/>
              <w:cnfStyle w:val="000000100000" w:firstRow="0" w:lastRow="0" w:firstColumn="0" w:lastColumn="0" w:oddVBand="0" w:evenVBand="0" w:oddHBand="1" w:evenHBand="0" w:firstRowFirstColumn="0" w:firstRowLastColumn="0" w:lastRowFirstColumn="0" w:lastRowLastColumn="0"/>
            </w:pPr>
            <w:r>
              <w:t>0.286</w:t>
            </w:r>
          </w:p>
        </w:tc>
        <w:tc>
          <w:tcPr>
            <w:tcW w:w="1705" w:type="dxa"/>
          </w:tcPr>
          <w:p w14:paraId="5DAF2BAC" w14:textId="0A0AEA74" w:rsidR="00997352" w:rsidRDefault="007F2D48" w:rsidP="00997352">
            <w:pPr>
              <w:ind w:firstLine="0"/>
              <w:jc w:val="center"/>
              <w:cnfStyle w:val="000000100000" w:firstRow="0" w:lastRow="0" w:firstColumn="0" w:lastColumn="0" w:oddVBand="0" w:evenVBand="0" w:oddHBand="1" w:evenHBand="0" w:firstRowFirstColumn="0" w:firstRowLastColumn="0" w:lastRowFirstColumn="0" w:lastRowLastColumn="0"/>
            </w:pPr>
            <w:r>
              <w:t>0.23</w:t>
            </w:r>
          </w:p>
        </w:tc>
      </w:tr>
      <w:tr w:rsidR="00997352" w14:paraId="496164D8" w14:textId="77777777" w:rsidTr="00997352">
        <w:tc>
          <w:tcPr>
            <w:cnfStyle w:val="001000000000" w:firstRow="0" w:lastRow="0" w:firstColumn="1" w:lastColumn="0" w:oddVBand="0" w:evenVBand="0" w:oddHBand="0" w:evenHBand="0" w:firstRowFirstColumn="0" w:firstRowLastColumn="0" w:lastRowFirstColumn="0" w:lastRowLastColumn="0"/>
            <w:tcW w:w="1704" w:type="dxa"/>
          </w:tcPr>
          <w:p w14:paraId="2F30EAE3" w14:textId="3FBB05BA" w:rsidR="00997352" w:rsidRPr="007F2D48" w:rsidRDefault="007F2D48" w:rsidP="00997352">
            <w:pPr>
              <w:ind w:firstLine="0"/>
              <w:jc w:val="center"/>
            </w:pPr>
            <m:oMathPara>
              <m:oMath>
                <m:r>
                  <m:rPr>
                    <m:sty m:val="bi"/>
                  </m:rPr>
                  <w:rPr>
                    <w:rFonts w:ascii="Cambria Math" w:hAnsi="Cambria Math"/>
                    <w:color w:val="auto"/>
                  </w:rPr>
                  <m:t>K</m:t>
                </m:r>
              </m:oMath>
            </m:oMathPara>
          </w:p>
        </w:tc>
        <w:tc>
          <w:tcPr>
            <w:tcW w:w="1704" w:type="dxa"/>
          </w:tcPr>
          <w:p w14:paraId="02AFDB10" w14:textId="76A962CA" w:rsidR="00997352" w:rsidRDefault="00997352" w:rsidP="00997352">
            <w:pPr>
              <w:ind w:firstLine="0"/>
              <w:jc w:val="center"/>
              <w:cnfStyle w:val="000000000000" w:firstRow="0" w:lastRow="0" w:firstColumn="0" w:lastColumn="0" w:oddVBand="0" w:evenVBand="0" w:oddHBand="0" w:evenHBand="0" w:firstRowFirstColumn="0" w:firstRowLastColumn="0" w:lastRowFirstColumn="0" w:lastRowLastColumn="0"/>
            </w:pPr>
            <w:r>
              <w:t>0.528</w:t>
            </w:r>
          </w:p>
        </w:tc>
        <w:tc>
          <w:tcPr>
            <w:tcW w:w="1704" w:type="dxa"/>
          </w:tcPr>
          <w:p w14:paraId="2F73AB10" w14:textId="578D3876" w:rsidR="00997352" w:rsidRDefault="00997352" w:rsidP="00997352">
            <w:pPr>
              <w:ind w:firstLine="0"/>
              <w:jc w:val="center"/>
              <w:cnfStyle w:val="000000000000" w:firstRow="0" w:lastRow="0" w:firstColumn="0" w:lastColumn="0" w:oddVBand="0" w:evenVBand="0" w:oddHBand="0" w:evenHBand="0" w:firstRowFirstColumn="0" w:firstRowLastColumn="0" w:lastRowFirstColumn="0" w:lastRowLastColumn="0"/>
            </w:pPr>
            <w:r>
              <w:t>0.65</w:t>
            </w:r>
          </w:p>
        </w:tc>
        <w:tc>
          <w:tcPr>
            <w:tcW w:w="1705" w:type="dxa"/>
          </w:tcPr>
          <w:p w14:paraId="03764BC7" w14:textId="1184AF67" w:rsidR="00997352" w:rsidRDefault="007F2D48" w:rsidP="00997352">
            <w:pPr>
              <w:ind w:firstLine="0"/>
              <w:jc w:val="center"/>
              <w:cnfStyle w:val="000000000000" w:firstRow="0" w:lastRow="0" w:firstColumn="0" w:lastColumn="0" w:oddVBand="0" w:evenVBand="0" w:oddHBand="0" w:evenHBand="0" w:firstRowFirstColumn="0" w:firstRowLastColumn="0" w:lastRowFirstColumn="0" w:lastRowLastColumn="0"/>
            </w:pPr>
            <w:r>
              <w:t>0.619</w:t>
            </w:r>
          </w:p>
        </w:tc>
        <w:tc>
          <w:tcPr>
            <w:tcW w:w="1705" w:type="dxa"/>
          </w:tcPr>
          <w:p w14:paraId="6C45B5EE" w14:textId="5FD1246D" w:rsidR="00997352" w:rsidRDefault="007F2D48" w:rsidP="00997352">
            <w:pPr>
              <w:ind w:firstLine="0"/>
              <w:jc w:val="center"/>
              <w:cnfStyle w:val="000000000000" w:firstRow="0" w:lastRow="0" w:firstColumn="0" w:lastColumn="0" w:oddVBand="0" w:evenVBand="0" w:oddHBand="0" w:evenHBand="0" w:firstRowFirstColumn="0" w:firstRowLastColumn="0" w:lastRowFirstColumn="0" w:lastRowLastColumn="0"/>
            </w:pPr>
            <w:r>
              <w:t>0.631</w:t>
            </w:r>
          </w:p>
        </w:tc>
      </w:tr>
      <w:tr w:rsidR="00997352" w14:paraId="24C25DCB" w14:textId="77777777" w:rsidTr="0099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38669633" w14:textId="5A2DE39A" w:rsidR="00997352" w:rsidRPr="007F2D48" w:rsidRDefault="007F2D48" w:rsidP="00997352">
            <w:pPr>
              <w:ind w:firstLine="0"/>
              <w:jc w:val="center"/>
            </w:pPr>
            <m:oMathPara>
              <m:oMath>
                <m:r>
                  <m:rPr>
                    <m:sty m:val="bi"/>
                  </m:rPr>
                  <w:rPr>
                    <w:rFonts w:ascii="Cambria Math" w:hAnsi="Cambria Math"/>
                    <w:color w:val="auto"/>
                  </w:rPr>
                  <m:t>r</m:t>
                </m:r>
              </m:oMath>
            </m:oMathPara>
          </w:p>
        </w:tc>
        <w:tc>
          <w:tcPr>
            <w:tcW w:w="1704" w:type="dxa"/>
          </w:tcPr>
          <w:p w14:paraId="529CF34D" w14:textId="14241409" w:rsidR="00997352" w:rsidRDefault="00997352" w:rsidP="00997352">
            <w:pPr>
              <w:ind w:firstLine="0"/>
              <w:jc w:val="center"/>
              <w:cnfStyle w:val="000000100000" w:firstRow="0" w:lastRow="0" w:firstColumn="0" w:lastColumn="0" w:oddVBand="0" w:evenVBand="0" w:oddHBand="1" w:evenHBand="0" w:firstRowFirstColumn="0" w:firstRowLastColumn="0" w:lastRowFirstColumn="0" w:lastRowLastColumn="0"/>
            </w:pPr>
            <w:r>
              <w:t>0.265</w:t>
            </w:r>
            <w:r w:rsidR="007F2D48">
              <w:t>±0</w:t>
            </w:r>
          </w:p>
        </w:tc>
        <w:tc>
          <w:tcPr>
            <w:tcW w:w="1704" w:type="dxa"/>
          </w:tcPr>
          <w:p w14:paraId="6A2EA377" w14:textId="28DD0E75" w:rsidR="00997352" w:rsidRDefault="00997352" w:rsidP="00997352">
            <w:pPr>
              <w:ind w:firstLine="0"/>
              <w:jc w:val="center"/>
              <w:cnfStyle w:val="000000100000" w:firstRow="0" w:lastRow="0" w:firstColumn="0" w:lastColumn="0" w:oddVBand="0" w:evenVBand="0" w:oddHBand="1" w:evenHBand="0" w:firstRowFirstColumn="0" w:firstRowLastColumn="0" w:lastRowFirstColumn="0" w:lastRowLastColumn="0"/>
            </w:pPr>
            <w:r>
              <w:t>0.587±0.003</w:t>
            </w:r>
          </w:p>
        </w:tc>
        <w:tc>
          <w:tcPr>
            <w:tcW w:w="1705" w:type="dxa"/>
          </w:tcPr>
          <w:p w14:paraId="1A420BE9" w14:textId="7F001184" w:rsidR="00997352" w:rsidRDefault="007F2D48" w:rsidP="007F2D48">
            <w:pPr>
              <w:ind w:firstLine="0"/>
              <w:jc w:val="center"/>
              <w:cnfStyle w:val="000000100000" w:firstRow="0" w:lastRow="0" w:firstColumn="0" w:lastColumn="0" w:oddVBand="0" w:evenVBand="0" w:oddHBand="1" w:evenHBand="0" w:firstRowFirstColumn="0" w:firstRowLastColumn="0" w:lastRowFirstColumn="0" w:lastRowLastColumn="0"/>
            </w:pPr>
            <w:r>
              <w:t>0.304±0.012</w:t>
            </w:r>
          </w:p>
        </w:tc>
        <w:tc>
          <w:tcPr>
            <w:tcW w:w="1705" w:type="dxa"/>
          </w:tcPr>
          <w:p w14:paraId="72CFB0E6" w14:textId="22E9B45C" w:rsidR="00997352" w:rsidRDefault="007F2D48" w:rsidP="00997352">
            <w:pPr>
              <w:ind w:firstLine="0"/>
              <w:jc w:val="center"/>
              <w:cnfStyle w:val="000000100000" w:firstRow="0" w:lastRow="0" w:firstColumn="0" w:lastColumn="0" w:oddVBand="0" w:evenVBand="0" w:oddHBand="1" w:evenHBand="0" w:firstRowFirstColumn="0" w:firstRowLastColumn="0" w:lastRowFirstColumn="0" w:lastRowLastColumn="0"/>
            </w:pPr>
            <w:r>
              <w:t>0.483±0.017</w:t>
            </w:r>
          </w:p>
        </w:tc>
      </w:tr>
      <w:tr w:rsidR="00997352" w14:paraId="451EF5B9" w14:textId="77777777" w:rsidTr="00997352">
        <w:tc>
          <w:tcPr>
            <w:cnfStyle w:val="001000000000" w:firstRow="0" w:lastRow="0" w:firstColumn="1" w:lastColumn="0" w:oddVBand="0" w:evenVBand="0" w:oddHBand="0" w:evenHBand="0" w:firstRowFirstColumn="0" w:firstRowLastColumn="0" w:lastRowFirstColumn="0" w:lastRowLastColumn="0"/>
            <w:tcW w:w="1704" w:type="dxa"/>
          </w:tcPr>
          <w:p w14:paraId="4F950059" w14:textId="5A7408A0" w:rsidR="00997352" w:rsidRPr="007F2D48" w:rsidRDefault="007F2D48" w:rsidP="00997352">
            <w:pPr>
              <w:ind w:firstLine="0"/>
              <w:jc w:val="center"/>
            </w:pPr>
            <m:oMathPara>
              <m:oMath>
                <m:r>
                  <m:rPr>
                    <m:sty m:val="bi"/>
                  </m:rPr>
                  <w:rPr>
                    <w:rFonts w:ascii="Cambria Math" w:hAnsi="Cambria Math"/>
                    <w:color w:val="auto"/>
                  </w:rPr>
                  <m:t>ν</m:t>
                </m:r>
              </m:oMath>
            </m:oMathPara>
          </w:p>
        </w:tc>
        <w:tc>
          <w:tcPr>
            <w:tcW w:w="1704" w:type="dxa"/>
          </w:tcPr>
          <w:p w14:paraId="223B3ABD" w14:textId="6F9DDE24" w:rsidR="00997352" w:rsidRDefault="00997352" w:rsidP="00997352">
            <w:pPr>
              <w:ind w:firstLine="0"/>
              <w:jc w:val="center"/>
              <w:cnfStyle w:val="000000000000" w:firstRow="0" w:lastRow="0" w:firstColumn="0" w:lastColumn="0" w:oddVBand="0" w:evenVBand="0" w:oddHBand="0" w:evenHBand="0" w:firstRowFirstColumn="0" w:firstRowLastColumn="0" w:lastRowFirstColumn="0" w:lastRowLastColumn="0"/>
            </w:pPr>
            <w:r>
              <w:t>4.417</w:t>
            </w:r>
            <w:r w:rsidR="007F2D48">
              <w:t>±0</w:t>
            </w:r>
          </w:p>
        </w:tc>
        <w:tc>
          <w:tcPr>
            <w:tcW w:w="1704" w:type="dxa"/>
          </w:tcPr>
          <w:p w14:paraId="5549276C" w14:textId="66495560" w:rsidR="00997352" w:rsidRDefault="007F2D48" w:rsidP="007F2D48">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705" w:type="dxa"/>
          </w:tcPr>
          <w:p w14:paraId="727A2E00" w14:textId="40EA579C" w:rsidR="00997352" w:rsidRDefault="007F2D48" w:rsidP="00997352">
            <w:pPr>
              <w:ind w:firstLine="0"/>
              <w:jc w:val="center"/>
              <w:cnfStyle w:val="000000000000" w:firstRow="0" w:lastRow="0" w:firstColumn="0" w:lastColumn="0" w:oddVBand="0" w:evenVBand="0" w:oddHBand="0" w:evenHBand="0" w:firstRowFirstColumn="0" w:firstRowLastColumn="0" w:lastRowFirstColumn="0" w:lastRowLastColumn="0"/>
            </w:pPr>
            <w:r>
              <w:t>2.484±0.164</w:t>
            </w:r>
          </w:p>
        </w:tc>
        <w:tc>
          <w:tcPr>
            <w:tcW w:w="1705" w:type="dxa"/>
          </w:tcPr>
          <w:p w14:paraId="5443B90C" w14:textId="4E611129" w:rsidR="00997352" w:rsidRDefault="007F2D48" w:rsidP="00997352">
            <w:pPr>
              <w:ind w:firstLine="0"/>
              <w:jc w:val="center"/>
              <w:cnfStyle w:val="000000000000" w:firstRow="0" w:lastRow="0" w:firstColumn="0" w:lastColumn="0" w:oddVBand="0" w:evenVBand="0" w:oddHBand="0" w:evenHBand="0" w:firstRowFirstColumn="0" w:firstRowLastColumn="0" w:lastRowFirstColumn="0" w:lastRowLastColumn="0"/>
            </w:pPr>
            <w:r>
              <w:t>1.512±0.083</w:t>
            </w:r>
          </w:p>
        </w:tc>
      </w:tr>
      <w:tr w:rsidR="00997352" w14:paraId="362096E8" w14:textId="77777777" w:rsidTr="0099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4FC5976B" w14:textId="6C7695C8" w:rsidR="00997352" w:rsidRPr="007F2D48" w:rsidRDefault="007F2D48" w:rsidP="00997352">
            <w:pPr>
              <w:ind w:firstLine="0"/>
              <w:jc w:val="center"/>
              <w:rPr>
                <w:vertAlign w:val="subscript"/>
              </w:rPr>
            </w:pPr>
            <m:oMathPara>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m:oMathPara>
          </w:p>
        </w:tc>
        <w:tc>
          <w:tcPr>
            <w:tcW w:w="1704" w:type="dxa"/>
          </w:tcPr>
          <w:p w14:paraId="6A4EBC36" w14:textId="79258E5F" w:rsidR="00997352" w:rsidRDefault="00997352" w:rsidP="00997352">
            <w:pPr>
              <w:ind w:firstLine="0"/>
              <w:jc w:val="center"/>
              <w:cnfStyle w:val="000000100000" w:firstRow="0" w:lastRow="0" w:firstColumn="0" w:lastColumn="0" w:oddVBand="0" w:evenVBand="0" w:oddHBand="1" w:evenHBand="0" w:firstRowFirstColumn="0" w:firstRowLastColumn="0" w:lastRowFirstColumn="0" w:lastRowLastColumn="0"/>
            </w:pPr>
            <w:r>
              <w:t>0.0001</w:t>
            </w:r>
            <w:r w:rsidR="007F2D48">
              <w:t>±0</w:t>
            </w:r>
          </w:p>
        </w:tc>
        <w:tc>
          <w:tcPr>
            <w:tcW w:w="1704" w:type="dxa"/>
          </w:tcPr>
          <w:p w14:paraId="69974360" w14:textId="5AF0A2A2" w:rsidR="00997352" w:rsidRDefault="007F2D48" w:rsidP="00997352">
            <w:pPr>
              <w:ind w:firstLine="0"/>
              <w:jc w:val="center"/>
              <w:cnfStyle w:val="000000100000" w:firstRow="0" w:lastRow="0" w:firstColumn="0" w:lastColumn="0" w:oddVBand="0" w:evenVBand="0" w:oddHBand="1" w:evenHBand="0" w:firstRowFirstColumn="0" w:firstRowLastColumn="0" w:lastRowFirstColumn="0" w:lastRowLastColumn="0"/>
            </w:pPr>
            <w:r>
              <w:t>0.008±0.006</w:t>
            </w:r>
          </w:p>
        </w:tc>
        <w:tc>
          <w:tcPr>
            <w:tcW w:w="1705" w:type="dxa"/>
          </w:tcPr>
          <w:p w14:paraId="6B0098F5" w14:textId="265D394A" w:rsidR="00997352" w:rsidRPr="007F2D48" w:rsidRDefault="007F2D48" w:rsidP="00997352">
            <w:pPr>
              <w:ind w:firstLine="0"/>
              <w:jc w:val="center"/>
              <w:cnfStyle w:val="000000100000" w:firstRow="0" w:lastRow="0" w:firstColumn="0" w:lastColumn="0" w:oddVBand="0" w:evenVBand="0" w:oddHBand="1" w:evenHBand="0" w:firstRowFirstColumn="0" w:firstRowLastColumn="0" w:lastRowFirstColumn="0" w:lastRowLastColumn="0"/>
              <w:rPr>
                <w:b/>
                <w:bCs/>
              </w:rPr>
            </w:pPr>
            <w:r w:rsidRPr="007F2D48">
              <w:rPr>
                <w:b/>
                <w:bCs/>
              </w:rPr>
              <w:t>-</w:t>
            </w:r>
            <w:r>
              <w:rPr>
                <w:b/>
                <w:bCs/>
              </w:rPr>
              <w:t>*</w:t>
            </w:r>
          </w:p>
        </w:tc>
        <w:tc>
          <w:tcPr>
            <w:tcW w:w="1705" w:type="dxa"/>
          </w:tcPr>
          <w:p w14:paraId="10F8DC1A" w14:textId="77A23452" w:rsidR="00997352" w:rsidRPr="007F2D48" w:rsidRDefault="007F2D48" w:rsidP="00997352">
            <w:pPr>
              <w:ind w:firstLine="0"/>
              <w:jc w:val="center"/>
              <w:cnfStyle w:val="000000100000" w:firstRow="0" w:lastRow="0" w:firstColumn="0" w:lastColumn="0" w:oddVBand="0" w:evenVBand="0" w:oddHBand="1" w:evenHBand="0" w:firstRowFirstColumn="0" w:firstRowLastColumn="0" w:lastRowFirstColumn="0" w:lastRowLastColumn="0"/>
              <w:rPr>
                <w:b/>
                <w:bCs/>
              </w:rPr>
            </w:pPr>
            <w:r w:rsidRPr="007F2D48">
              <w:rPr>
                <w:b/>
                <w:bCs/>
              </w:rPr>
              <w:t>-</w:t>
            </w:r>
            <w:r>
              <w:rPr>
                <w:b/>
                <w:bCs/>
              </w:rPr>
              <w:t>*</w:t>
            </w:r>
          </w:p>
        </w:tc>
      </w:tr>
      <w:tr w:rsidR="00997352" w14:paraId="64C90D8B" w14:textId="77777777" w:rsidTr="00997352">
        <w:tc>
          <w:tcPr>
            <w:cnfStyle w:val="001000000000" w:firstRow="0" w:lastRow="0" w:firstColumn="1" w:lastColumn="0" w:oddVBand="0" w:evenVBand="0" w:oddHBand="0" w:evenHBand="0" w:firstRowFirstColumn="0" w:firstRowLastColumn="0" w:lastRowFirstColumn="0" w:lastRowLastColumn="0"/>
            <w:tcW w:w="1704" w:type="dxa"/>
          </w:tcPr>
          <w:p w14:paraId="1B4A045F" w14:textId="39710D35" w:rsidR="00997352" w:rsidRPr="007F2D48" w:rsidRDefault="007F2D48" w:rsidP="00997352">
            <w:pPr>
              <w:ind w:firstLine="0"/>
              <w:jc w:val="center"/>
            </w:pPr>
            <m:oMathPara>
              <m:oMath>
                <m:r>
                  <m:rPr>
                    <m:sty m:val="bi"/>
                  </m:rPr>
                  <w:rPr>
                    <w:rFonts w:ascii="Cambria Math" w:hAnsi="Cambria Math"/>
                    <w:color w:val="auto"/>
                  </w:rPr>
                  <m:t>m</m:t>
                </m:r>
              </m:oMath>
            </m:oMathPara>
          </w:p>
        </w:tc>
        <w:tc>
          <w:tcPr>
            <w:tcW w:w="1704" w:type="dxa"/>
          </w:tcPr>
          <w:p w14:paraId="01966BEF" w14:textId="18A10618" w:rsidR="00997352" w:rsidRDefault="00997352" w:rsidP="00997352">
            <w:pPr>
              <w:ind w:firstLine="0"/>
              <w:jc w:val="center"/>
              <w:cnfStyle w:val="000000000000" w:firstRow="0" w:lastRow="0" w:firstColumn="0" w:lastColumn="0" w:oddVBand="0" w:evenVBand="0" w:oddHBand="0" w:evenHBand="0" w:firstRowFirstColumn="0" w:firstRowLastColumn="0" w:lastRowFirstColumn="0" w:lastRowLastColumn="0"/>
            </w:pPr>
            <w:r>
              <w:t>3.316</w:t>
            </w:r>
            <w:r w:rsidR="007F2D48">
              <w:t>±0</w:t>
            </w:r>
          </w:p>
        </w:tc>
        <w:tc>
          <w:tcPr>
            <w:tcW w:w="1704" w:type="dxa"/>
          </w:tcPr>
          <w:p w14:paraId="02B764E1" w14:textId="5AB10331" w:rsidR="00997352" w:rsidRDefault="007F2D48" w:rsidP="00997352">
            <w:pPr>
              <w:ind w:firstLine="0"/>
              <w:jc w:val="center"/>
              <w:cnfStyle w:val="000000000000" w:firstRow="0" w:lastRow="0" w:firstColumn="0" w:lastColumn="0" w:oddVBand="0" w:evenVBand="0" w:oddHBand="0" w:evenHBand="0" w:firstRowFirstColumn="0" w:firstRowLastColumn="0" w:lastRowFirstColumn="0" w:lastRowLastColumn="0"/>
            </w:pPr>
            <w:r>
              <w:t>3.738±0.64</w:t>
            </w:r>
          </w:p>
        </w:tc>
        <w:tc>
          <w:tcPr>
            <w:tcW w:w="1705" w:type="dxa"/>
          </w:tcPr>
          <w:p w14:paraId="50A5AFEE" w14:textId="616B978F" w:rsidR="00997352" w:rsidRPr="007F2D48" w:rsidRDefault="007F2D48" w:rsidP="00997352">
            <w:pPr>
              <w:ind w:firstLine="0"/>
              <w:jc w:val="center"/>
              <w:cnfStyle w:val="000000000000" w:firstRow="0" w:lastRow="0" w:firstColumn="0" w:lastColumn="0" w:oddVBand="0" w:evenVBand="0" w:oddHBand="0" w:evenHBand="0" w:firstRowFirstColumn="0" w:firstRowLastColumn="0" w:lastRowFirstColumn="0" w:lastRowLastColumn="0"/>
              <w:rPr>
                <w:b/>
                <w:bCs/>
              </w:rPr>
            </w:pPr>
            <w:r w:rsidRPr="007F2D48">
              <w:rPr>
                <w:b/>
                <w:bCs/>
              </w:rPr>
              <w:t>-</w:t>
            </w:r>
            <w:r>
              <w:rPr>
                <w:b/>
                <w:bCs/>
              </w:rPr>
              <w:t>*</w:t>
            </w:r>
          </w:p>
        </w:tc>
        <w:tc>
          <w:tcPr>
            <w:tcW w:w="1705" w:type="dxa"/>
          </w:tcPr>
          <w:p w14:paraId="7F5B1888" w14:textId="24BE12CB" w:rsidR="00997352" w:rsidRPr="007F2D48" w:rsidRDefault="007F2D48" w:rsidP="007F2D48">
            <w:pPr>
              <w:keepNext/>
              <w:ind w:firstLine="0"/>
              <w:jc w:val="center"/>
              <w:cnfStyle w:val="000000000000" w:firstRow="0" w:lastRow="0" w:firstColumn="0" w:lastColumn="0" w:oddVBand="0" w:evenVBand="0" w:oddHBand="0" w:evenHBand="0" w:firstRowFirstColumn="0" w:firstRowLastColumn="0" w:lastRowFirstColumn="0" w:lastRowLastColumn="0"/>
              <w:rPr>
                <w:b/>
                <w:bCs/>
              </w:rPr>
            </w:pPr>
            <w:r w:rsidRPr="007F2D48">
              <w:rPr>
                <w:b/>
                <w:bCs/>
              </w:rPr>
              <w:t>-</w:t>
            </w:r>
            <w:r>
              <w:rPr>
                <w:b/>
                <w:bCs/>
              </w:rPr>
              <w:t>*</w:t>
            </w:r>
          </w:p>
        </w:tc>
      </w:tr>
      <w:tr w:rsidR="007F2D48" w14:paraId="691A4645" w14:textId="77777777" w:rsidTr="0099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66E146F3" w14:textId="76B6A806" w:rsidR="007F2D48" w:rsidRPr="007F2D48" w:rsidRDefault="007F2D48" w:rsidP="00997352">
            <w:pPr>
              <w:ind w:firstLine="0"/>
              <w:jc w:val="center"/>
              <w:rPr>
                <w:rFonts w:ascii="Times New Roman" w:eastAsia="MS Mincho" w:hAnsi="Times New Roman" w:cs="Times New Roman"/>
              </w:rPr>
            </w:pPr>
            <w:proofErr w:type="gramStart"/>
            <w:r>
              <w:rPr>
                <w:rFonts w:ascii="Times New Roman" w:eastAsia="MS Mincho" w:hAnsi="Times New Roman" w:cs="Times New Roman"/>
              </w:rPr>
              <w:t>max</w:t>
            </w:r>
            <w:proofErr w:type="gramEnd"/>
            <w:r>
              <w:rPr>
                <w:rFonts w:ascii="Times New Roman" w:eastAsia="MS Mincho" w:hAnsi="Times New Roman" w:cs="Times New Roman"/>
              </w:rPr>
              <w:t>. specific growth rate</w:t>
            </w:r>
          </w:p>
        </w:tc>
        <w:tc>
          <w:tcPr>
            <w:tcW w:w="1704" w:type="dxa"/>
          </w:tcPr>
          <w:p w14:paraId="6B6BC406" w14:textId="6CB93C4A" w:rsidR="007F2D48" w:rsidRDefault="00D372D0" w:rsidP="00997352">
            <w:pPr>
              <w:ind w:firstLine="0"/>
              <w:jc w:val="center"/>
              <w:cnfStyle w:val="000000100000" w:firstRow="0" w:lastRow="0" w:firstColumn="0" w:lastColumn="0" w:oddVBand="0" w:evenVBand="0" w:oddHBand="1" w:evenHBand="0" w:firstRowFirstColumn="0" w:firstRowLastColumn="0" w:lastRowFirstColumn="0" w:lastRowLastColumn="0"/>
            </w:pPr>
            <w:r>
              <w:t>0.26</w:t>
            </w:r>
          </w:p>
        </w:tc>
        <w:tc>
          <w:tcPr>
            <w:tcW w:w="1704" w:type="dxa"/>
          </w:tcPr>
          <w:p w14:paraId="204BFBAA" w14:textId="3FFEA693" w:rsidR="007F2D48" w:rsidRDefault="00D372D0" w:rsidP="00997352">
            <w:pPr>
              <w:ind w:firstLine="0"/>
              <w:jc w:val="center"/>
              <w:cnfStyle w:val="000000100000" w:firstRow="0" w:lastRow="0" w:firstColumn="0" w:lastColumn="0" w:oddVBand="0" w:evenVBand="0" w:oddHBand="1" w:evenHBand="0" w:firstRowFirstColumn="0" w:firstRowLastColumn="0" w:lastRowFirstColumn="0" w:lastRowLastColumn="0"/>
            </w:pPr>
            <w:r>
              <w:t>0.376</w:t>
            </w:r>
          </w:p>
        </w:tc>
        <w:tc>
          <w:tcPr>
            <w:tcW w:w="1705" w:type="dxa"/>
          </w:tcPr>
          <w:p w14:paraId="1E026860" w14:textId="194ACA96" w:rsidR="007F2D48" w:rsidRPr="00D372D0" w:rsidRDefault="00D372D0" w:rsidP="00997352">
            <w:pPr>
              <w:ind w:firstLine="0"/>
              <w:jc w:val="center"/>
              <w:cnfStyle w:val="000000100000" w:firstRow="0" w:lastRow="0" w:firstColumn="0" w:lastColumn="0" w:oddVBand="0" w:evenVBand="0" w:oddHBand="1" w:evenHBand="0" w:firstRowFirstColumn="0" w:firstRowLastColumn="0" w:lastRowFirstColumn="0" w:lastRowLastColumn="0"/>
            </w:pPr>
            <w:r w:rsidRPr="00D372D0">
              <w:t>0.256</w:t>
            </w:r>
          </w:p>
        </w:tc>
        <w:tc>
          <w:tcPr>
            <w:tcW w:w="1705" w:type="dxa"/>
          </w:tcPr>
          <w:p w14:paraId="5D6AE684" w14:textId="654A9EF4" w:rsidR="007F2D48" w:rsidRPr="00D372D0" w:rsidRDefault="00D372D0" w:rsidP="007F2D48">
            <w:pPr>
              <w:keepNext/>
              <w:ind w:firstLine="0"/>
              <w:jc w:val="center"/>
              <w:cnfStyle w:val="000000100000" w:firstRow="0" w:lastRow="0" w:firstColumn="0" w:lastColumn="0" w:oddVBand="0" w:evenVBand="0" w:oddHBand="1" w:evenHBand="0" w:firstRowFirstColumn="0" w:firstRowLastColumn="0" w:lastRowFirstColumn="0" w:lastRowLastColumn="0"/>
            </w:pPr>
            <w:r w:rsidRPr="00D372D0">
              <w:t>0.37</w:t>
            </w:r>
          </w:p>
        </w:tc>
      </w:tr>
      <w:tr w:rsidR="007F2D48" w14:paraId="5DE5D1C3" w14:textId="77777777" w:rsidTr="00997352">
        <w:tc>
          <w:tcPr>
            <w:cnfStyle w:val="001000000000" w:firstRow="0" w:lastRow="0" w:firstColumn="1" w:lastColumn="0" w:oddVBand="0" w:evenVBand="0" w:oddHBand="0" w:evenHBand="0" w:firstRowFirstColumn="0" w:firstRowLastColumn="0" w:lastRowFirstColumn="0" w:lastRowLastColumn="0"/>
            <w:tcW w:w="1704" w:type="dxa"/>
          </w:tcPr>
          <w:p w14:paraId="0AFED169" w14:textId="3172353C" w:rsidR="007F2D48" w:rsidRPr="007F2D48" w:rsidRDefault="007F2D48" w:rsidP="00997352">
            <w:pPr>
              <w:ind w:firstLine="0"/>
              <w:jc w:val="center"/>
              <w:rPr>
                <w:rFonts w:ascii="Times New Roman" w:eastAsia="MS Mincho" w:hAnsi="Times New Roman" w:cs="Times New Roman"/>
              </w:rPr>
            </w:pPr>
            <w:r>
              <w:rPr>
                <w:rFonts w:ascii="Times New Roman" w:eastAsia="MS Mincho" w:hAnsi="Times New Roman" w:cs="Times New Roman"/>
              </w:rPr>
              <w:t>lag duration</w:t>
            </w:r>
          </w:p>
        </w:tc>
        <w:tc>
          <w:tcPr>
            <w:tcW w:w="1704" w:type="dxa"/>
          </w:tcPr>
          <w:p w14:paraId="6CB462FD" w14:textId="7AC0D4E6" w:rsidR="007F2D48" w:rsidRDefault="00D372D0" w:rsidP="00997352">
            <w:pPr>
              <w:ind w:firstLine="0"/>
              <w:jc w:val="center"/>
              <w:cnfStyle w:val="000000000000" w:firstRow="0" w:lastRow="0" w:firstColumn="0" w:lastColumn="0" w:oddVBand="0" w:evenVBand="0" w:oddHBand="0" w:evenHBand="0" w:firstRowFirstColumn="0" w:firstRowLastColumn="0" w:lastRowFirstColumn="0" w:lastRowLastColumn="0"/>
            </w:pPr>
            <w:r>
              <w:t>3.796</w:t>
            </w:r>
          </w:p>
        </w:tc>
        <w:tc>
          <w:tcPr>
            <w:tcW w:w="1704" w:type="dxa"/>
          </w:tcPr>
          <w:p w14:paraId="5F466670" w14:textId="52B468B9" w:rsidR="007F2D48" w:rsidRDefault="00D372D0" w:rsidP="00997352">
            <w:pPr>
              <w:ind w:firstLine="0"/>
              <w:jc w:val="center"/>
              <w:cnfStyle w:val="000000000000" w:firstRow="0" w:lastRow="0" w:firstColumn="0" w:lastColumn="0" w:oddVBand="0" w:evenVBand="0" w:oddHBand="0" w:evenHBand="0" w:firstRowFirstColumn="0" w:firstRowLastColumn="0" w:lastRowFirstColumn="0" w:lastRowLastColumn="0"/>
            </w:pPr>
            <w:r>
              <w:t>1.578</w:t>
            </w:r>
          </w:p>
        </w:tc>
        <w:tc>
          <w:tcPr>
            <w:tcW w:w="1705" w:type="dxa"/>
          </w:tcPr>
          <w:p w14:paraId="2AD4D17F" w14:textId="6E227412" w:rsidR="007F2D48" w:rsidRPr="00D372D0" w:rsidRDefault="00D372D0" w:rsidP="00997352">
            <w:pPr>
              <w:ind w:firstLine="0"/>
              <w:jc w:val="center"/>
              <w:cnfStyle w:val="000000000000" w:firstRow="0" w:lastRow="0" w:firstColumn="0" w:lastColumn="0" w:oddVBand="0" w:evenVBand="0" w:oddHBand="0" w:evenHBand="0" w:firstRowFirstColumn="0" w:firstRowLastColumn="0" w:lastRowFirstColumn="0" w:lastRowLastColumn="0"/>
            </w:pPr>
            <w:r w:rsidRPr="00D372D0">
              <w:t>0</w:t>
            </w:r>
          </w:p>
        </w:tc>
        <w:tc>
          <w:tcPr>
            <w:tcW w:w="1705" w:type="dxa"/>
          </w:tcPr>
          <w:p w14:paraId="4175C3D0" w14:textId="3ACBC1D6" w:rsidR="007F2D48" w:rsidRPr="00D372D0" w:rsidRDefault="00D372D0" w:rsidP="007F2D48">
            <w:pPr>
              <w:keepNext/>
              <w:ind w:firstLine="0"/>
              <w:jc w:val="center"/>
              <w:cnfStyle w:val="000000000000" w:firstRow="0" w:lastRow="0" w:firstColumn="0" w:lastColumn="0" w:oddVBand="0" w:evenVBand="0" w:oddHBand="0" w:evenHBand="0" w:firstRowFirstColumn="0" w:firstRowLastColumn="0" w:lastRowFirstColumn="0" w:lastRowLastColumn="0"/>
            </w:pPr>
            <w:r w:rsidRPr="00D372D0">
              <w:t>0</w:t>
            </w:r>
          </w:p>
        </w:tc>
      </w:tr>
    </w:tbl>
    <w:p w14:paraId="7383547C" w14:textId="02C1B6E7" w:rsidR="00997352" w:rsidRPr="007F2D48" w:rsidRDefault="007F2D48" w:rsidP="007F2D48">
      <w:pPr>
        <w:pStyle w:val="Caption"/>
        <w:jc w:val="center"/>
        <w:rPr>
          <w:b w:val="0"/>
          <w:bCs w:val="0"/>
          <w:color w:val="auto"/>
        </w:rPr>
      </w:pPr>
      <w:proofErr w:type="gramStart"/>
      <w:r w:rsidRPr="007F2D48">
        <w:rPr>
          <w:color w:val="auto"/>
        </w:rPr>
        <w:t xml:space="preserve">Table </w:t>
      </w:r>
      <w:r w:rsidRPr="007F2D48">
        <w:rPr>
          <w:color w:val="auto"/>
        </w:rPr>
        <w:fldChar w:fldCharType="begin"/>
      </w:r>
      <w:r w:rsidRPr="007F2D48">
        <w:rPr>
          <w:color w:val="auto"/>
        </w:rPr>
        <w:instrText xml:space="preserve"> SEQ Table \* ARABIC </w:instrText>
      </w:r>
      <w:r w:rsidRPr="007F2D48">
        <w:rPr>
          <w:color w:val="auto"/>
        </w:rPr>
        <w:fldChar w:fldCharType="separate"/>
      </w:r>
      <w:r>
        <w:rPr>
          <w:noProof/>
          <w:color w:val="auto"/>
        </w:rPr>
        <w:t>2</w:t>
      </w:r>
      <w:r w:rsidRPr="007F2D48">
        <w:rPr>
          <w:color w:val="auto"/>
        </w:rPr>
        <w:fldChar w:fldCharType="end"/>
      </w:r>
      <w:r>
        <w:rPr>
          <w:color w:val="auto"/>
        </w:rPr>
        <w:t>.</w:t>
      </w:r>
      <w:proofErr w:type="gramEnd"/>
      <w:r>
        <w:rPr>
          <w:color w:val="auto"/>
        </w:rPr>
        <w:t xml:space="preserve"> Estimated parameters from growth model fitting. </w:t>
      </w:r>
      <w:r>
        <w:rPr>
          <w:b w:val="0"/>
          <w:bCs w:val="0"/>
          <w:color w:val="auto"/>
        </w:rPr>
        <w:t xml:space="preserve">Where applicable, the estimation standard </w:t>
      </w:r>
      <w:r w:rsidRPr="007F2D48">
        <w:rPr>
          <w:b w:val="0"/>
          <w:bCs w:val="0"/>
          <w:color w:val="auto"/>
        </w:rPr>
        <w:t>deviation is given after the ± sign.</w:t>
      </w:r>
      <w:r>
        <w:rPr>
          <w:b w:val="0"/>
          <w:bCs w:val="0"/>
          <w:color w:val="auto"/>
        </w:rPr>
        <w:t xml:space="preserve"> * denotes cases where the best model had a parameter fixed. – denotes cases where the selected model had no lag phase.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is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Appendix A.</w:t>
      </w:r>
    </w:p>
    <w:p w14:paraId="70FD87B0" w14:textId="00BB61E1" w:rsidR="00464BA0" w:rsidRDefault="00464BA0" w:rsidP="00507681">
      <w:pPr>
        <w:pStyle w:val="Heading2"/>
      </w:pPr>
      <w:r>
        <w:t>Competition model</w:t>
      </w:r>
    </w:p>
    <w:p w14:paraId="18A511A7" w14:textId="0FCAC075" w:rsidR="005F02B4" w:rsidRDefault="00F70C02" w:rsidP="00755D4D">
      <w:r>
        <w:t xml:space="preserve">For modeling growth in mixed culture, we assume that interactions between the strains or species are solely due to resource competition. The competition model for two strains is given by this differential equation system </w:t>
      </w:r>
      <w:r w:rsidR="00FB4568">
        <w:t xml:space="preserve">(see </w:t>
      </w:r>
      <w:r w:rsidR="00755D4D">
        <w:t>Appendix B</w:t>
      </w:r>
      <w:r w:rsidR="00FB4568">
        <w:t xml:space="preserve"> for more details)</w:t>
      </w:r>
      <w:r w:rsidR="00C05E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70C02" w:rsidRPr="00F9516D" w14:paraId="6DD53718" w14:textId="77777777" w:rsidTr="00F70C02">
        <w:tc>
          <w:tcPr>
            <w:tcW w:w="1951" w:type="dxa"/>
            <w:vAlign w:val="center"/>
          </w:tcPr>
          <w:p w14:paraId="2A321508" w14:textId="77777777" w:rsidR="00F70C02" w:rsidRPr="00F9516D" w:rsidRDefault="00F70C02" w:rsidP="00F70C02">
            <w:pPr>
              <w:jc w:val="right"/>
              <w:rPr>
                <w:i/>
                <w:iCs/>
              </w:rPr>
            </w:pPr>
          </w:p>
        </w:tc>
        <w:tc>
          <w:tcPr>
            <w:tcW w:w="5103" w:type="dxa"/>
            <w:vAlign w:val="center"/>
          </w:tcPr>
          <w:p w14:paraId="5E5DA760" w14:textId="6042FE97" w:rsidR="00F70C02" w:rsidRPr="00507681" w:rsidRDefault="00F70C02"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e>
                    </m:eqArr>
                  </m:e>
                </m:d>
              </m:oMath>
            </m:oMathPara>
          </w:p>
        </w:tc>
        <w:tc>
          <w:tcPr>
            <w:tcW w:w="1468" w:type="dxa"/>
            <w:vAlign w:val="center"/>
          </w:tcPr>
          <w:p w14:paraId="49EAF50D" w14:textId="0A88F49D" w:rsidR="00F70C02" w:rsidRPr="00F9516D" w:rsidRDefault="00F70C02" w:rsidP="00F70C02">
            <w:pPr>
              <w:jc w:val="right"/>
              <w:rPr>
                <w:i/>
                <w:iCs/>
              </w:rPr>
            </w:pPr>
            <w:r w:rsidRPr="00F9516D">
              <w:rPr>
                <w:i/>
                <w:iCs/>
              </w:rPr>
              <w:t>[</w:t>
            </w:r>
            <w:r>
              <w:rPr>
                <w:i/>
                <w:iCs/>
              </w:rPr>
              <w:t>3</w:t>
            </w:r>
            <w:r w:rsidRPr="00F9516D">
              <w:rPr>
                <w:i/>
                <w:iCs/>
              </w:rPr>
              <w:t>a]</w:t>
            </w:r>
          </w:p>
          <w:p w14:paraId="39E0FB9E" w14:textId="77777777" w:rsidR="00F70C02" w:rsidRDefault="00F70C02" w:rsidP="00F70C02">
            <w:pPr>
              <w:jc w:val="right"/>
              <w:rPr>
                <w:i/>
                <w:iCs/>
              </w:rPr>
            </w:pPr>
            <w:r w:rsidRPr="00F9516D">
              <w:rPr>
                <w:i/>
                <w:iCs/>
              </w:rPr>
              <w:t>[</w:t>
            </w:r>
            <w:r>
              <w:rPr>
                <w:i/>
                <w:iCs/>
              </w:rPr>
              <w:t>3</w:t>
            </w:r>
            <w:r w:rsidRPr="00F9516D">
              <w:rPr>
                <w:i/>
                <w:iCs/>
              </w:rPr>
              <w:t>b</w:t>
            </w:r>
            <w:r>
              <w:rPr>
                <w:i/>
                <w:iCs/>
              </w:rPr>
              <w:t>]</w:t>
            </w:r>
          </w:p>
          <w:p w14:paraId="33E5ED7F" w14:textId="6615DA94" w:rsidR="00F70C02" w:rsidRDefault="00F70C02" w:rsidP="00F70C02">
            <w:pPr>
              <w:jc w:val="right"/>
              <w:rPr>
                <w:i/>
                <w:iCs/>
              </w:rPr>
            </w:pPr>
            <w:r w:rsidRPr="00F9516D">
              <w:rPr>
                <w:i/>
                <w:iCs/>
              </w:rPr>
              <w:t>[</w:t>
            </w:r>
            <w:r>
              <w:rPr>
                <w:i/>
                <w:iCs/>
              </w:rPr>
              <w:t>3c]</w:t>
            </w:r>
          </w:p>
          <w:p w14:paraId="55C7D222" w14:textId="1AD942C7" w:rsidR="00F70C02" w:rsidRPr="00F9516D" w:rsidRDefault="00F70C02" w:rsidP="00F70C02">
            <w:pPr>
              <w:jc w:val="right"/>
              <w:rPr>
                <w:i/>
                <w:iCs/>
              </w:rPr>
            </w:pPr>
            <w:r w:rsidRPr="00F9516D">
              <w:rPr>
                <w:i/>
                <w:iCs/>
              </w:rPr>
              <w:t>[</w:t>
            </w:r>
            <w:r>
              <w:rPr>
                <w:i/>
                <w:iCs/>
              </w:rPr>
              <w:t>3d]</w:t>
            </w:r>
          </w:p>
        </w:tc>
      </w:tr>
    </w:tbl>
    <w:p w14:paraId="1819F52B" w14:textId="0A554CB0" w:rsidR="002D475F" w:rsidRDefault="00D220AB" w:rsidP="00755D4D">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w:t>
      </w:r>
      <w:proofErr w:type="gramStart"/>
      <w:r w:rsidR="00B37B5A">
        <w:t>is</w:t>
      </w:r>
      <w:proofErr w:type="gramEnd"/>
      <w:r w:rsidR="00B37B5A">
        <w:t xml:space="preserve"> the density of strain </w:t>
      </w:r>
      <m:oMath>
        <m:r>
          <w:rPr>
            <w:rFonts w:ascii="Cambria Math" w:hAnsi="Cambria Math"/>
          </w:rPr>
          <m:t>i</m:t>
        </m:r>
      </m:oMath>
      <w:r w:rsidR="00B37B5A">
        <w:t xml:space="preserve"> and</w:t>
      </w:r>
      <w:r w:rsidR="003578D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3578D2">
        <w:t xml:space="preserve"> </w:t>
      </w:r>
      <w:r w:rsidR="00B37B5A">
        <w:t>are</w:t>
      </w:r>
      <w:r w:rsidR="00984152">
        <w:t xml:space="preserve"> the value</w:t>
      </w:r>
      <w:r w:rsidR="00B37B5A">
        <w:t>s</w:t>
      </w:r>
      <w:r w:rsidR="00984152">
        <w:t xml:space="preserve"> of</w:t>
      </w:r>
      <w:r w:rsidR="003578D2">
        <w:t xml:space="preserve"> </w:t>
      </w:r>
      <w:r w:rsidR="00B37B5A">
        <w:t>the corresponding parameters for</w:t>
      </w:r>
      <w:r w:rsidR="003578D2">
        <w:t xml:space="preserve"> strain </w:t>
      </w:r>
      <m:oMath>
        <m:r>
          <w:rPr>
            <w:rFonts w:ascii="Cambria Math" w:hAnsi="Cambria Math"/>
          </w:rPr>
          <m:t>i</m:t>
        </m:r>
      </m:oMath>
      <w:r w:rsidR="003578D2">
        <w:t xml:space="preserve"> which we </w:t>
      </w:r>
      <w:r w:rsidR="00984152">
        <w:t xml:space="preserve">get </w:t>
      </w:r>
      <w:r w:rsidR="003578D2">
        <w:t xml:space="preserve">from the fitting </w:t>
      </w:r>
      <w:r w:rsidR="002D475F">
        <w:t>the monoculture growth curve data</w:t>
      </w:r>
      <w:r w:rsidR="003578D2">
        <w:t>.</w:t>
      </w:r>
      <w:r w:rsidR="00FB4568">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D475F">
        <w:t xml:space="preserve"> is a competition coefficient, the ratio between inter- and intra-strain competitions, or the ratio between strain </w:t>
      </w:r>
      <w:proofErr w:type="spellStart"/>
      <w:r w:rsidR="002D475F">
        <w:rPr>
          <w:i/>
          <w:iCs/>
        </w:rPr>
        <w:t>i</w:t>
      </w:r>
      <w:proofErr w:type="spellEnd"/>
      <w:r w:rsidR="002D475F">
        <w:rPr>
          <w:i/>
          <w:iCs/>
        </w:rPr>
        <w:t xml:space="preserve"> </w:t>
      </w:r>
      <w:r w:rsidR="002D475F" w:rsidRPr="002D475F">
        <w:t>competitive</w:t>
      </w:r>
      <w:r w:rsidR="002D475F">
        <w:rPr>
          <w:i/>
          <w:iCs/>
        </w:rPr>
        <w:t xml:space="preserve"> </w:t>
      </w:r>
      <w:r w:rsidR="002D475F">
        <w:t xml:space="preserve">effect on cells of strain </w:t>
      </w:r>
      <w:r w:rsidR="002D475F">
        <w:rPr>
          <w:i/>
          <w:iCs/>
        </w:rPr>
        <w:t>j</w:t>
      </w:r>
      <w:r w:rsidR="002D475F">
        <w:t xml:space="preserve"> and its effect on cells from its own strain</w:t>
      </w:r>
      <w:r w:rsidR="00FB4568">
        <w:t>.</w:t>
      </w:r>
      <w:r w:rsidR="002D475F">
        <w:t xml:space="preserve"> See </w:t>
      </w:r>
      <w:r w:rsidR="00755D4D">
        <w:t xml:space="preserve">Appendix B </w:t>
      </w:r>
      <w:r w:rsidR="002D475F">
        <w:t>for a definition based on a resource consumption approach.</w:t>
      </w:r>
      <w:r w:rsidR="00FB4568">
        <w:t xml:space="preserve"> </w:t>
      </w:r>
    </w:p>
    <w:p w14:paraId="40D60065" w14:textId="16F8E0A9" w:rsidR="00FB4568" w:rsidRDefault="008F3527" w:rsidP="00755D4D">
      <w:r>
        <w:t>The competition mode</w:t>
      </w:r>
      <w:r w:rsidRPr="00895982">
        <w:t xml:space="preserve">l explicitly assumes that interactions between the strains </w:t>
      </w:r>
      <w:r>
        <w:t xml:space="preserve">are solely due </w:t>
      </w:r>
      <w:r w:rsidRPr="00895982">
        <w:t xml:space="preserve">to </w:t>
      </w:r>
      <w:r w:rsidRPr="008F3527">
        <w:t>resource competition</w:t>
      </w:r>
      <w:r w:rsidRPr="00895982">
        <w:t>. Therefore, all</w:t>
      </w:r>
      <w:r>
        <w:t xml:space="preserve"> </w:t>
      </w:r>
      <w:r w:rsidRPr="00895982">
        <w:t>interactions are described by the deceleration of the growth rate of each strain in response to growth of the other strain</w:t>
      </w:r>
      <w:r>
        <w:t xml:space="preserve">. We do not however assume the same limiting resource or 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(see </w:t>
      </w:r>
      <w:r w:rsidR="00755D4D">
        <w:fldChar w:fldCharType="begin"/>
      </w:r>
      <w:r w:rsidR="00755D4D">
        <w:instrText xml:space="preserve"> REF _Ref439853477 \h </w:instrText>
      </w:r>
      <w:r w:rsidR="00755D4D">
        <w:fldChar w:fldCharType="separate"/>
      </w:r>
      <w:r w:rsidR="00755D4D">
        <w:t xml:space="preserve">Appendix B </w:t>
      </w:r>
      <w:r w:rsidR="00755D4D">
        <w:fldChar w:fldCharType="end"/>
      </w:r>
      <w:r w:rsidR="00755D4D">
        <w:t>for a formal description</w:t>
      </w:r>
      <w:r>
        <w:t>).</w:t>
      </w:r>
    </w:p>
    <w:p w14:paraId="44A4379B" w14:textId="2C65F2F5" w:rsidR="00FB4568" w:rsidRDefault="00FB4568" w:rsidP="00755D4D">
      <w:r>
        <w:t>Eq. 3 is fitted to the growth curve of a mixed culture</w:t>
      </w:r>
      <w:r w:rsidR="002D475F">
        <w:t xml:space="preserve"> that includes </w:t>
      </w:r>
      <w:r>
        <w:t xml:space="preserve">both strains, in which the combined OD of </w:t>
      </w:r>
      <w:r w:rsidR="002D475F">
        <w:t>the</w:t>
      </w:r>
      <w:r>
        <w:t xml:space="preserve"> strains is recorded over time. This</w:t>
      </w:r>
      <w:r w:rsidR="00353E9F">
        <w:t xml:space="preserve"> fitting</w:t>
      </w:r>
      <w:r>
        <w:t xml:space="preserve"> provides estimate</w:t>
      </w:r>
      <w:r w:rsidR="00353E9F">
        <w:t>s</w:t>
      </w:r>
      <w:r>
        <w:t xml:space="preserve"> for the </w:t>
      </w:r>
      <w:r w:rsidR="00353E9F">
        <w:t>competition</w:t>
      </w:r>
      <w:r>
        <w:t xml:space="preserve"> </w:t>
      </w:r>
      <w:proofErr w:type="gramStart"/>
      <w:r>
        <w:t xml:space="preserve">coefficients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 </w:t>
      </w:r>
      <w:r w:rsidR="002D475F">
        <w:t xml:space="preserve">fitting </w:t>
      </w:r>
      <w:r>
        <w:t xml:space="preserve">is </w:t>
      </w:r>
      <w:r w:rsidR="00353E9F">
        <w:t>performed</w:t>
      </w:r>
      <w:r>
        <w:t xml:space="preserve"> to minimize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and the </w:t>
      </w:r>
      <w:r w:rsidR="002D475F">
        <w:t xml:space="preserve">observed </w:t>
      </w:r>
      <w:r>
        <w:t>OD from the mixed culture</w:t>
      </w:r>
      <w:r w:rsidR="00353E9F">
        <w:t xml:space="preserve"> (</w:t>
      </w:r>
      <w:r w:rsidR="00755D4D">
        <w:fldChar w:fldCharType="begin"/>
      </w:r>
      <w:r w:rsidR="00755D4D">
        <w:instrText xml:space="preserve"> REF _Ref439853356 \h </w:instrText>
      </w:r>
      <w:r w:rsidR="00755D4D">
        <w:fldChar w:fldCharType="separate"/>
      </w:r>
      <w:r w:rsidR="00755D4D" w:rsidRPr="00755D4D">
        <w:t xml:space="preserve">Figure </w:t>
      </w:r>
      <w:r w:rsidR="00755D4D" w:rsidRPr="00755D4D">
        <w:rPr>
          <w:noProof/>
        </w:rPr>
        <w:t>3</w:t>
      </w:r>
      <w:r w:rsidR="00755D4D">
        <w:fldChar w:fldCharType="end"/>
      </w:r>
      <w:r w:rsidR="00755D4D">
        <w:t>A</w:t>
      </w:r>
      <w:proofErr w:type="gramStart"/>
      <w:r w:rsidR="00755D4D">
        <w:t>,C</w:t>
      </w:r>
      <w:proofErr w:type="gramEnd"/>
      <w:r w:rsidR="00353E9F">
        <w:t>)</w:t>
      </w:r>
      <w:r>
        <w:t>.</w:t>
      </w:r>
    </w:p>
    <w:p w14:paraId="2C0CE35C" w14:textId="78A3522E" w:rsidR="00353E9F" w:rsidRDefault="00353E9F" w:rsidP="00507681">
      <w:pPr>
        <w:pStyle w:val="Heading2"/>
      </w:pPr>
      <w:r>
        <w:t>Competition prediction</w:t>
      </w:r>
    </w:p>
    <w:p w14:paraId="3F886ACF" w14:textId="3367B3B5" w:rsidR="003578D2" w:rsidRDefault="00353E9F" w:rsidP="00755D4D">
      <w:r>
        <w:t>Once all growth and competition parameters have been estimated, e</w:t>
      </w:r>
      <w:r w:rsidR="00FB4568">
        <w:t xml:space="preserve">q. 3 </w:t>
      </w:r>
      <w:r w:rsidR="003578D2">
        <w:t>is solved</w:t>
      </w:r>
      <w:r>
        <w:t xml:space="preserve"> by numerical integration</w:t>
      </w:r>
      <w:r w:rsidR="008F3527">
        <w:t xml:space="preserve">, providing a prediction for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8F3527">
        <w:t xml:space="preserve"> </w:t>
      </w:r>
      <w:proofErr w:type="gramStart"/>
      <w:r w:rsidR="008F3527">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t>. This predicts</w:t>
      </w:r>
      <w:r w:rsidR="003578D2">
        <w:t xml:space="preserve"> the </w:t>
      </w:r>
      <w:r w:rsidR="00FB4568" w:rsidRPr="002D475F">
        <w:rPr>
          <w:i/>
          <w:iCs/>
        </w:rPr>
        <w:t>frequenc</w:t>
      </w:r>
      <w:r w:rsidR="008F3527" w:rsidRPr="002D475F">
        <w:rPr>
          <w:i/>
          <w:iCs/>
        </w:rPr>
        <w:t>y</w:t>
      </w:r>
      <w:r w:rsidR="00FB4568">
        <w:t xml:space="preserve"> of each strain over time</w:t>
      </w:r>
      <w:r w:rsidR="008F3527">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e>
        </m:d>
      </m:oMath>
      <w:r w:rsidR="00FB4568">
        <w:t xml:space="preserve"> during </w:t>
      </w:r>
      <w:r w:rsidR="002D475F">
        <w:t xml:space="preserve">growth in </w:t>
      </w:r>
      <w:r w:rsidR="00FB4568">
        <w:t>a</w:t>
      </w:r>
      <w:r w:rsidR="002D475F">
        <w:t xml:space="preserve"> mixed culture, such as in a</w:t>
      </w:r>
      <w:r w:rsidR="00FB4568">
        <w:t xml:space="preserve"> </w:t>
      </w:r>
      <w:r w:rsidR="003578D2">
        <w:t xml:space="preserve">competition </w:t>
      </w:r>
      <w:r w:rsidR="00755D4D">
        <w:t>experiment.</w:t>
      </w:r>
    </w:p>
    <w:p w14:paraId="71456173" w14:textId="3DD76F43" w:rsidR="002168D9" w:rsidRDefault="002168D9" w:rsidP="002168D9">
      <w:pPr>
        <w:pStyle w:val="Heading2"/>
      </w:pPr>
      <w:r>
        <w:lastRenderedPageBreak/>
        <w:t>Prediction verification</w:t>
      </w:r>
    </w:p>
    <w:p w14:paraId="5685D906" w14:textId="0A7E897C" w:rsidR="002168D9" w:rsidRDefault="00634C7E" w:rsidP="00212934">
      <w:r>
        <w:t xml:space="preserve">To verify our method, we performed </w:t>
      </w:r>
      <w:r w:rsidR="002168D9">
        <w:t xml:space="preserve">growth curve and </w:t>
      </w:r>
      <w:r>
        <w:t xml:space="preserve">competition experiments with two different sets of </w:t>
      </w:r>
      <w:r>
        <w:rPr>
          <w:i/>
          <w:iCs/>
        </w:rPr>
        <w:t xml:space="preserve">Escherichia coli </w:t>
      </w:r>
      <w:r>
        <w:t>strains marked with fluorescent proteins. In set 1, we competed DH5α-GFP vs. TG1-RFP; in set 2 we competed JM109-GFP with MG1655-</w:t>
      </w:r>
      <w:r w:rsidR="008404BC">
        <w:t>fnr</w:t>
      </w:r>
      <w:r w:rsidR="00212934">
        <w:rPr>
          <w:vertAlign w:val="superscript"/>
        </w:rPr>
        <w:t>—</w:t>
      </w:r>
      <w:r w:rsidRPr="008404BC">
        <w:t>RFP</w:t>
      </w:r>
      <w:r w:rsidR="00212934">
        <w:t xml:space="preserve"> </w:t>
      </w:r>
      <w:r w:rsidR="002168D9" w:rsidRPr="002168D9">
        <w:rPr>
          <w:highlight w:val="yellow"/>
        </w:rPr>
        <w:t>[?]</w:t>
      </w:r>
      <w:r>
        <w:t xml:space="preserve">. </w:t>
      </w:r>
    </w:p>
    <w:p w14:paraId="7076F3E1" w14:textId="1C5D3579" w:rsidR="00634C7E" w:rsidRDefault="00634C7E" w:rsidP="00755D4D">
      <w:r>
        <w:t>In each competition experiment, we grew 32 populations of the green strain alone, 30 populations of the red strain alone, and 32 populations of both of the strain</w:t>
      </w:r>
      <w:r w:rsidR="00212934">
        <w:t>s</w:t>
      </w:r>
      <w:r>
        <w:t xml:space="preserve"> together, all in the same experimental conditions. The optical </w:t>
      </w:r>
      <w:r w:rsidR="009172CF">
        <w:t>density of each population was</w:t>
      </w:r>
      <w:r>
        <w:t xml:space="preserve"> measured every 15 minutes using a plate reader. A sample was taken from the mixed populations every hour for the first 7-8 hours, and the frequencies of the two strains was measured using flow cytometry (see</w:t>
      </w:r>
      <w:r w:rsidR="00755D4D">
        <w:t xml:space="preserve"> </w:t>
      </w:r>
      <w:r w:rsidR="00755D4D">
        <w:fldChar w:fldCharType="begin"/>
      </w:r>
      <w:r w:rsidR="00755D4D">
        <w:instrText xml:space="preserve"> REF _Ref439853427 \h </w:instrText>
      </w:r>
      <w:r w:rsidR="00755D4D">
        <w:fldChar w:fldCharType="separate"/>
      </w:r>
      <w:r w:rsidR="00755D4D">
        <w:t>Materials and Methods</w:t>
      </w:r>
      <w:r w:rsidR="00755D4D">
        <w:fldChar w:fldCharType="end"/>
      </w:r>
      <w:r>
        <w:t>).</w:t>
      </w:r>
    </w:p>
    <w:p w14:paraId="5AABE948" w14:textId="7C50E1B8" w:rsidR="00634C7E" w:rsidRPr="00634C7E" w:rsidRDefault="002168D9" w:rsidP="002168D9">
      <w:r>
        <w:t xml:space="preserve">We compare our model prediction with the exponential model which is most commonly used in the literature to estimate relative fitness from growth curve </w:t>
      </w:r>
      <w:r>
        <w:fldChar w:fldCharType="begin" w:fldLock="1"/>
      </w:r>
      <w:r>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fldChar w:fldCharType="separate"/>
      </w:r>
      <w:r w:rsidRPr="002168D9">
        <w:rPr>
          <w:noProof/>
        </w:rPr>
        <w:t>(Hall et al. 2014)</w:t>
      </w:r>
      <w:r>
        <w:fldChar w:fldCharType="end"/>
      </w:r>
      <w:r>
        <w:t>. Briefly, the log of population density (</w:t>
      </w:r>
      <m:oMath>
        <m:r>
          <m:rPr>
            <m:sty m:val="p"/>
          </m:rPr>
          <w:rPr>
            <w:rFonts w:ascii="Cambria Math" w:hAnsi="Cambria Math"/>
          </w:rPr>
          <m:t>log⁡</m:t>
        </m:r>
        <m:r>
          <w:rPr>
            <w:rFonts w:ascii="Cambria Math" w:hAnsi="Cambria Math"/>
          </w:rPr>
          <m:t>N</m:t>
        </m:r>
      </m:oMath>
      <w:r>
        <w:t xml:space="preserve">) is drawn vs. time, the inflection point – point of maximum growth rate - is found, the growth rate is estimated from the slope of the tangent line to the inflection point, and fitness is inferred from the ratio of the growth rates </w:t>
      </w:r>
      <w:r>
        <w:fldChar w:fldCharType="begin" w:fldLock="1"/>
      </w:r>
      <w:r w:rsidR="000A6BEB">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fldChar w:fldCharType="separate"/>
      </w:r>
      <w:r w:rsidRPr="002168D9">
        <w:rPr>
          <w:noProof/>
        </w:rPr>
        <w:t>(Chevin 2011)</w:t>
      </w:r>
      <w:r>
        <w:fldChar w:fldCharType="end"/>
      </w:r>
      <w:r>
        <w:t>.</w:t>
      </w:r>
    </w:p>
    <w:p w14:paraId="2682370D" w14:textId="42D6EC21" w:rsidR="00AD6A92" w:rsidRDefault="00755D4D" w:rsidP="00AD6A92">
      <w:r>
        <w:fldChar w:fldCharType="begin"/>
      </w:r>
      <w:r>
        <w:instrText xml:space="preserve"> REF _Ref439853356 \h </w:instrText>
      </w:r>
      <w:r>
        <w:fldChar w:fldCharType="separate"/>
      </w:r>
      <w:r w:rsidRPr="00755D4D">
        <w:t xml:space="preserve">Figure </w:t>
      </w:r>
      <w:r w:rsidRPr="00755D4D">
        <w:rPr>
          <w:noProof/>
        </w:rPr>
        <w:t>3</w:t>
      </w:r>
      <w:r>
        <w:fldChar w:fldCharType="end"/>
      </w:r>
      <w:r w:rsidR="002168D9">
        <w:t>shows the comparison of our method prediction (in green and red solid lines) with data from the competition experiment (colored error bars) and the exponential model (dashed black lines) for different sets of bacterial strain and experiments. Our method is clearly better for predicting competition in mixed culture, as can be seen from the figure as well as from statistical analysis (XXXX).</w:t>
      </w:r>
    </w:p>
    <w:p w14:paraId="0670E5C8" w14:textId="77777777" w:rsidR="00AD6A92" w:rsidRDefault="00AD6A92">
      <w:pPr>
        <w:spacing w:line="240" w:lineRule="auto"/>
        <w:ind w:firstLine="0"/>
      </w:pPr>
      <w:r>
        <w:br w:type="page"/>
      </w:r>
    </w:p>
    <w:p w14:paraId="342BDF15" w14:textId="77777777" w:rsidR="00AD6A92" w:rsidRDefault="00AD6A92" w:rsidP="00AD6A92"/>
    <w:p w14:paraId="178F8F6D" w14:textId="77777777" w:rsidR="00755D4D" w:rsidRDefault="00AD6A92" w:rsidP="00755D4D">
      <w:pPr>
        <w:keepNext/>
      </w:pPr>
      <w:r>
        <w:rPr>
          <w:noProof/>
          <w:sz w:val="20"/>
          <w:szCs w:val="20"/>
        </w:rPr>
        <w:drawing>
          <wp:inline distT="0" distB="0" distL="0" distR="0" wp14:anchorId="4B6176B9" wp14:editId="03B068B3">
            <wp:extent cx="5262245" cy="3614420"/>
            <wp:effectExtent l="0" t="0" r="0" b="5080"/>
            <wp:docPr id="4" name="Picture 4"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Competition_predi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245" cy="3614420"/>
                    </a:xfrm>
                    <a:prstGeom prst="rect">
                      <a:avLst/>
                    </a:prstGeom>
                    <a:noFill/>
                    <a:ln>
                      <a:noFill/>
                    </a:ln>
                  </pic:spPr>
                </pic:pic>
              </a:graphicData>
            </a:graphic>
          </wp:inline>
        </w:drawing>
      </w:r>
    </w:p>
    <w:p w14:paraId="1D85F89C" w14:textId="227AACB7" w:rsidR="00212934" w:rsidRPr="00212934" w:rsidRDefault="00755D4D" w:rsidP="00755D4D">
      <w:pPr>
        <w:pStyle w:val="Caption"/>
        <w:rPr>
          <w:b w:val="0"/>
          <w:bCs w:val="0"/>
          <w:color w:val="auto"/>
          <w:sz w:val="20"/>
          <w:szCs w:val="20"/>
        </w:rPr>
      </w:pPr>
      <w:bookmarkStart w:id="3" w:name="_Ref439853356"/>
      <w:proofErr w:type="gramStart"/>
      <w:r w:rsidRPr="00755D4D">
        <w:rPr>
          <w:color w:val="auto"/>
        </w:rPr>
        <w:t xml:space="preserve">Figure </w:t>
      </w:r>
      <w:r w:rsidRPr="00755D4D">
        <w:rPr>
          <w:color w:val="auto"/>
        </w:rPr>
        <w:fldChar w:fldCharType="begin"/>
      </w:r>
      <w:r w:rsidRPr="00755D4D">
        <w:rPr>
          <w:color w:val="auto"/>
        </w:rPr>
        <w:instrText xml:space="preserve"> SEQ Figure \* ARABIC </w:instrText>
      </w:r>
      <w:r w:rsidRPr="00755D4D">
        <w:rPr>
          <w:color w:val="auto"/>
        </w:rPr>
        <w:fldChar w:fldCharType="separate"/>
      </w:r>
      <w:r w:rsidRPr="00755D4D">
        <w:rPr>
          <w:noProof/>
          <w:color w:val="auto"/>
        </w:rPr>
        <w:t>3</w:t>
      </w:r>
      <w:r w:rsidRPr="00755D4D">
        <w:rPr>
          <w:color w:val="auto"/>
        </w:rPr>
        <w:fldChar w:fldCharType="end"/>
      </w:r>
      <w:bookmarkEnd w:id="3"/>
      <w:r>
        <w:rPr>
          <w:color w:val="auto"/>
        </w:rPr>
        <w:t>.</w:t>
      </w:r>
      <w:proofErr w:type="gramEnd"/>
      <w:r w:rsidR="002D33FF" w:rsidRPr="00503DBB">
        <w:rPr>
          <w:color w:val="auto"/>
          <w:sz w:val="20"/>
          <w:szCs w:val="20"/>
        </w:rPr>
        <w:t xml:space="preserve"> </w:t>
      </w:r>
      <w:proofErr w:type="gramStart"/>
      <w:r w:rsidR="00212934" w:rsidRPr="00755D4D">
        <w:rPr>
          <w:color w:val="auto"/>
        </w:rPr>
        <w:t xml:space="preserve">Predicting results of </w:t>
      </w:r>
      <w:r w:rsidR="008C3E22" w:rsidRPr="00755D4D">
        <w:rPr>
          <w:color w:val="auto"/>
        </w:rPr>
        <w:t xml:space="preserve">competition </w:t>
      </w:r>
      <w:r w:rsidR="00212934" w:rsidRPr="00755D4D">
        <w:rPr>
          <w:color w:val="auto"/>
        </w:rPr>
        <w:t>experiments</w:t>
      </w:r>
      <w:r w:rsidR="008C3E22" w:rsidRPr="00755D4D">
        <w:rPr>
          <w:color w:val="auto"/>
        </w:rPr>
        <w:t>.</w:t>
      </w:r>
      <w:proofErr w:type="gramEnd"/>
      <w:r w:rsidR="00212934" w:rsidRPr="00755D4D">
        <w:rPr>
          <w:color w:val="auto"/>
        </w:rPr>
        <w:t xml:space="preserve"> </w:t>
      </w:r>
      <w:r w:rsidR="00212934">
        <w:rPr>
          <w:b w:val="0"/>
          <w:bCs w:val="0"/>
          <w:color w:val="auto"/>
        </w:rPr>
        <w:t xml:space="preserve">Growth of two </w:t>
      </w:r>
      <w:r w:rsidR="00212934">
        <w:rPr>
          <w:b w:val="0"/>
          <w:bCs w:val="0"/>
          <w:i/>
          <w:iCs/>
          <w:color w:val="auto"/>
        </w:rPr>
        <w:t>E. coli</w:t>
      </w:r>
      <w:r w:rsidR="00212934">
        <w:rPr>
          <w:b w:val="0"/>
          <w:bCs w:val="0"/>
          <w:color w:val="auto"/>
        </w:rPr>
        <w:t xml:space="preserve"> strains (DH5α in green vs. TG1 in red) in mixed culture, competing for resources. </w:t>
      </w:r>
      <w:r w:rsidR="00212934">
        <w:rPr>
          <w:color w:val="auto"/>
        </w:rPr>
        <w:t>(A, C</w:t>
      </w:r>
      <w:r w:rsidR="00212934" w:rsidRPr="00212934">
        <w:rPr>
          <w:color w:val="auto"/>
        </w:rPr>
        <w:t>)</w:t>
      </w:r>
      <w:r w:rsidR="00212934">
        <w:rPr>
          <w:color w:val="auto"/>
        </w:rPr>
        <w:t xml:space="preserve"> </w:t>
      </w:r>
      <w:r w:rsidR="00212934">
        <w:rPr>
          <w:b w:val="0"/>
          <w:bCs w:val="0"/>
          <w:color w:val="auto"/>
        </w:rPr>
        <w:t xml:space="preserve">Blue error bars are measured total optical density data, the solid blue line is the competition model (eq. X) fitted to the data. The black line represents the exponential model prediction; the green and red dashed lines represent the competition model prediction for each strain. </w:t>
      </w:r>
      <w:r w:rsidR="00212934">
        <w:rPr>
          <w:color w:val="auto"/>
        </w:rPr>
        <w:t xml:space="preserve">(B, D) </w:t>
      </w:r>
      <w:r w:rsidR="00212934">
        <w:rPr>
          <w:b w:val="0"/>
          <w:bCs w:val="0"/>
          <w:color w:val="auto"/>
        </w:rPr>
        <w:t xml:space="preserve">Green and red error bars are the measured frequencies of the two strains. The dashed green and red lines are the competition model prediction. The dashed black lines are the exponential model prediction. Error bars show mean values ± standard deviation. </w:t>
      </w:r>
      <w:r w:rsidR="00381281">
        <w:rPr>
          <w:b w:val="0"/>
          <w:bCs w:val="0"/>
          <w:color w:val="auto"/>
        </w:rPr>
        <w:t>Mean residual squared errors: A, 0.00012; C, 0.00011. Estimated competition coefficients: A, a</w:t>
      </w:r>
      <w:r w:rsidR="00381281">
        <w:rPr>
          <w:b w:val="0"/>
          <w:bCs w:val="0"/>
          <w:color w:val="auto"/>
          <w:vertAlign w:val="subscript"/>
        </w:rPr>
        <w:t>1</w:t>
      </w:r>
      <w:r w:rsidR="00381281">
        <w:rPr>
          <w:b w:val="0"/>
          <w:bCs w:val="0"/>
          <w:color w:val="auto"/>
        </w:rPr>
        <w:t>=10</w:t>
      </w:r>
      <w:proofErr w:type="gramStart"/>
      <w:r w:rsidR="00381281">
        <w:rPr>
          <w:b w:val="0"/>
          <w:bCs w:val="0"/>
          <w:color w:val="auto"/>
        </w:rPr>
        <w:t>,a</w:t>
      </w:r>
      <w:r w:rsidR="00381281">
        <w:rPr>
          <w:b w:val="0"/>
          <w:bCs w:val="0"/>
          <w:color w:val="auto"/>
          <w:vertAlign w:val="subscript"/>
        </w:rPr>
        <w:t>2</w:t>
      </w:r>
      <w:proofErr w:type="gramEnd"/>
      <w:r w:rsidR="00381281">
        <w:rPr>
          <w:b w:val="0"/>
          <w:bCs w:val="0"/>
          <w:color w:val="auto"/>
        </w:rPr>
        <w:t>=0.27;</w:t>
      </w:r>
      <w:r w:rsidR="00212934">
        <w:rPr>
          <w:b w:val="0"/>
          <w:bCs w:val="0"/>
          <w:color w:val="auto"/>
        </w:rPr>
        <w:t xml:space="preserve"> </w:t>
      </w:r>
      <w:r w:rsidR="00381281">
        <w:rPr>
          <w:b w:val="0"/>
          <w:bCs w:val="0"/>
          <w:color w:val="auto"/>
        </w:rPr>
        <w:t>C,</w:t>
      </w:r>
      <w:r w:rsidR="00212934">
        <w:rPr>
          <w:b w:val="0"/>
          <w:bCs w:val="0"/>
          <w:color w:val="auto"/>
        </w:rPr>
        <w:t xml:space="preserve"> </w:t>
      </w:r>
      <w:r w:rsidR="00381281">
        <w:rPr>
          <w:b w:val="0"/>
          <w:bCs w:val="0"/>
          <w:color w:val="auto"/>
        </w:rPr>
        <w:t>a</w:t>
      </w:r>
      <w:r w:rsidR="00381281">
        <w:rPr>
          <w:b w:val="0"/>
          <w:bCs w:val="0"/>
          <w:color w:val="auto"/>
          <w:vertAlign w:val="subscript"/>
        </w:rPr>
        <w:t>1</w:t>
      </w:r>
      <w:r w:rsidR="00381281">
        <w:rPr>
          <w:b w:val="0"/>
          <w:bCs w:val="0"/>
          <w:color w:val="auto"/>
        </w:rPr>
        <w:t>=3.7, a</w:t>
      </w:r>
      <w:r w:rsidR="00381281">
        <w:rPr>
          <w:b w:val="0"/>
          <w:bCs w:val="0"/>
          <w:color w:val="auto"/>
          <w:vertAlign w:val="subscript"/>
        </w:rPr>
        <w:t>2</w:t>
      </w:r>
      <w:r w:rsidR="00381281">
        <w:rPr>
          <w:b w:val="0"/>
          <w:bCs w:val="0"/>
          <w:color w:val="auto"/>
        </w:rPr>
        <w:t>=2.</w:t>
      </w:r>
    </w:p>
    <w:p w14:paraId="1BFDFE5C" w14:textId="19F1B9E6" w:rsidR="002D33FF" w:rsidRDefault="002D33FF" w:rsidP="00507681">
      <w:r>
        <w:br w:type="page"/>
      </w:r>
    </w:p>
    <w:p w14:paraId="2D753749" w14:textId="77AF674C" w:rsidR="003578D2" w:rsidRDefault="008F3527" w:rsidP="00507681">
      <w:pPr>
        <w:pStyle w:val="Heading2"/>
      </w:pPr>
      <w:r>
        <w:lastRenderedPageBreak/>
        <w:t>Fitness</w:t>
      </w:r>
      <w:r w:rsidR="00542096" w:rsidRPr="00A362F7">
        <w:t xml:space="preserve"> </w:t>
      </w:r>
      <w:r w:rsidR="006E28DC" w:rsidRPr="00A362F7">
        <w:t>inference</w:t>
      </w:r>
    </w:p>
    <w:p w14:paraId="7E901878" w14:textId="5DCEA278" w:rsidR="002D475F" w:rsidRDefault="002D475F" w:rsidP="002D475F">
      <w:r>
        <w:t xml:space="preserve">The best way to estimate relative fitness of two strains is by performing pairwise competition assays: growing them in mixed culture and measuring the change in their frequencies over time. Our method allows </w:t>
      </w:r>
      <w:proofErr w:type="gramStart"/>
      <w:r>
        <w:t>to do</w:t>
      </w:r>
      <w:proofErr w:type="gramEnd"/>
      <w:r>
        <w:t xml:space="preserve"> this by simply measuring their densities in mono- and mixed culture, without requiring direct measurement of strain frequencies, thus allowing the estimation of fitness in a simpler, more cost-effective, way. </w:t>
      </w:r>
    </w:p>
    <w:p w14:paraId="04D6C044" w14:textId="7907A149" w:rsidR="00895982" w:rsidRDefault="008F3527" w:rsidP="002D475F">
      <w:r>
        <w:t>A</w:t>
      </w:r>
      <w:r w:rsidR="00895982">
        <w:t xml:space="preserve"> common method for estimating relative fitness or selection coefficients from pairwise competition results is </w:t>
      </w:r>
      <w:r w:rsidR="0089598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fldChar w:fldCharType="separate"/>
      </w:r>
      <w:r w:rsidR="00895982" w:rsidRPr="003D0164">
        <w:rPr>
          <w:noProof/>
        </w:rPr>
        <w:t>(Wiser and Lenski 2015)</w:t>
      </w:r>
      <w:r w:rsidR="00895982">
        <w:fldChar w:fldCharType="end"/>
      </w:r>
      <w:r w:rsidR="00895982">
        <w:t>:</w:t>
      </w:r>
    </w:p>
    <w:p w14:paraId="3D9AB4E3" w14:textId="753862DC" w:rsidR="00895982" w:rsidRDefault="008F3527" w:rsidP="00507681">
      <w:pPr>
        <w:jc w:val="right"/>
      </w:pP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m:t>
        </m:r>
      </m:oMath>
      <w:r w:rsidR="00895982">
        <w:t xml:space="preserve">                                         (4)</w:t>
      </w:r>
    </w:p>
    <w:p w14:paraId="731A4D8A" w14:textId="08971092" w:rsidR="00406968" w:rsidRDefault="00895982" w:rsidP="002D475F">
      <w:pPr>
        <w:rPr>
          <w:rFonts w:asciiTheme="minorHAnsi" w:hAnsiTheme="minorHAnsi"/>
        </w:rPr>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1D731C">
        <w:t xml:space="preserve"> Eq. 4 can be applied to the predicted competition results to infer the </w:t>
      </w:r>
      <w:r w:rsidR="002D475F">
        <w:t>relative fitness</w:t>
      </w:r>
      <w:r w:rsidR="001D731C">
        <w:t xml:space="preserve"> of the strain of interest (</w:t>
      </w:r>
      <w:r w:rsidR="001D731C" w:rsidRPr="008F3527">
        <w:rPr>
          <w:highlight w:val="yellow"/>
        </w:rPr>
        <w:t>Fig. 1D</w:t>
      </w:r>
      <w:r w:rsidR="001D731C">
        <w:t>).</w:t>
      </w:r>
    </w:p>
    <w:p w14:paraId="531DA89C" w14:textId="77777777" w:rsidR="00406968" w:rsidRDefault="00406968" w:rsidP="00507681">
      <w:pPr>
        <w:pStyle w:val="Heading1"/>
      </w:pPr>
      <w:r>
        <w:t>Discussion</w:t>
      </w:r>
    </w:p>
    <w:p w14:paraId="30C799EF" w14:textId="44A32FD4" w:rsidR="00634C7E" w:rsidRDefault="00E95165" w:rsidP="000F5388">
      <w:r>
        <w:t xml:space="preserve">We present a </w:t>
      </w:r>
      <w:r w:rsidR="005226B0">
        <w:t xml:space="preserve">new computational </w:t>
      </w:r>
      <w:r>
        <w:t>method to predict the results of competition</w:t>
      </w:r>
      <w:r w:rsidR="007A5D05">
        <w:t>s between two strains</w:t>
      </w:r>
      <w:r>
        <w:t xml:space="preserve"> </w:t>
      </w:r>
      <w:r w:rsidR="007A5D05">
        <w:t xml:space="preserve">from </w:t>
      </w:r>
      <w:r>
        <w:t xml:space="preserve">growth curves </w:t>
      </w:r>
      <w:r w:rsidR="008F3527">
        <w:t>of mono- and mixed cultures</w:t>
      </w:r>
      <w:r w:rsidR="000F5388">
        <w:t>, without measuring frequencies of strains in mixed culture</w:t>
      </w:r>
      <w:r>
        <w:t>.</w:t>
      </w:r>
      <w:r w:rsidR="005226B0">
        <w:t xml:space="preserve"> </w:t>
      </w:r>
      <w:r w:rsidR="00634C7E">
        <w:t>We tested and verified our method, which performed well and much better than the model commonly used in the literature.</w:t>
      </w:r>
    </w:p>
    <w:p w14:paraId="5A0F99F2" w14:textId="0D9C6F2B" w:rsidR="000A6BEB" w:rsidRDefault="000A6BEB" w:rsidP="000A6BEB">
      <w:r>
        <w:t xml:space="preserve">We have recently released an open-source software package called </w:t>
      </w:r>
      <w:r w:rsidRPr="000A6BEB">
        <w:rPr>
          <w:i/>
          <w:iCs/>
        </w:rPr>
        <w:t>Curveball</w:t>
      </w:r>
      <w:r w:rsidRPr="000A6BEB">
        <w:t xml:space="preserve"> </w:t>
      </w:r>
      <w:r>
        <w:t>which implements our method (</w:t>
      </w:r>
      <w:hyperlink r:id="rId13" w:history="1">
        <w:r w:rsidRPr="006456E2">
          <w:rPr>
            <w:rStyle w:val="Hyperlink"/>
          </w:rPr>
          <w:t>http://curveball.yoavram.com</w:t>
        </w:r>
      </w:hyperlink>
      <w:r>
        <w:t xml:space="preserve"> and </w:t>
      </w:r>
      <w:hyperlink r:id="rId14" w:history="1">
        <w:r w:rsidRPr="006456E2">
          <w:rPr>
            <w:rStyle w:val="Hyperlink"/>
          </w:rPr>
          <w:t>https://github.com/yoavram/curveball</w:t>
        </w:r>
      </w:hyperlink>
      <w:r>
        <w:t xml:space="preserve">). The software includes a command line interface (CLI) that can be used by non-programmers, as well as an application programming interface (API) that can be used by Python programmers. It can be freely </w:t>
      </w:r>
      <w:r w:rsidRPr="000A6BEB">
        <w:t>used</w:t>
      </w:r>
      <w:r>
        <w:t xml:space="preserve"> and extended by the community.</w:t>
      </w:r>
    </w:p>
    <w:p w14:paraId="567E758A" w14:textId="05AAD0BD" w:rsidR="005226B0" w:rsidRDefault="005226B0" w:rsidP="00507681">
      <w:r>
        <w:t xml:space="preserve">This method </w:t>
      </w:r>
      <w:r w:rsidR="00096923">
        <w:t xml:space="preserve">should </w:t>
      </w:r>
      <w:r>
        <w:t>be useful</w:t>
      </w:r>
      <w:r w:rsidR="00145FE7">
        <w:t>,</w:t>
      </w:r>
      <w:r>
        <w:t xml:space="preserve"> because growth curve </w:t>
      </w:r>
      <w:r w:rsidR="006147AD">
        <w:t>experiments</w:t>
      </w:r>
      <w:r w:rsidR="008F3527">
        <w:t>, in which only optical density is measured,</w:t>
      </w:r>
      <w:r>
        <w:t xml:space="preserve"> require much less </w:t>
      </w:r>
      <w:r w:rsidR="00A415D4">
        <w:t xml:space="preserve">effort </w:t>
      </w:r>
      <w:r>
        <w:t xml:space="preserve">and </w:t>
      </w:r>
      <w:r w:rsidR="005816A6">
        <w:t xml:space="preserve">resources </w:t>
      </w:r>
      <w:r>
        <w:t xml:space="preserve">than </w:t>
      </w:r>
      <w:r w:rsidR="00044070">
        <w:t>p</w:t>
      </w:r>
      <w:r w:rsidR="00145FE7">
        <w:t>air</w:t>
      </w:r>
      <w:r w:rsidR="00044070">
        <w:t xml:space="preserve">wise </w:t>
      </w:r>
      <w:r>
        <w:t xml:space="preserve">competition </w:t>
      </w:r>
      <w:r w:rsidR="00145FE7">
        <w:t>experiments</w:t>
      </w:r>
      <w:r w:rsidR="008F3527">
        <w:t>, in which the cell frequency or count of each strain in measured</w:t>
      </w:r>
      <w:r w:rsidR="00044070">
        <w:t xml:space="preserve"> </w:t>
      </w:r>
      <w:r w:rsidR="00044070">
        <w:fldChar w:fldCharType="begin" w:fldLock="1"/>
      </w:r>
      <w:r w:rsidR="00223CEC">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Escherichia coli",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"(Concepci\u00f3n-Acevedo et al. 2015; Wiser and Lenski 2015; Hegreness et al. 2006; Gallet et al. 2012b)", "plainTextFormattedCitation" : "(Concepci\u00f3n-Acevedo et al. 2015; Wiser and Lenski 2015; Hegreness et al. 2006; Gallet et al. 2012b)", "previouslyFormattedCitation" : "(Concepci\u00f3n-Acevedo et al. 2015; Wiser and Lenski 2015; Hegreness et al. 2006; Gallet et al. 2012b)" }, "properties" : { "noteIndex" : 0 }, "schema" : "https://github.com/citation-style-language/schema/raw/master/csl-citation.json" }</w:instrText>
      </w:r>
      <w:r w:rsidR="00044070">
        <w:fldChar w:fldCharType="separate"/>
      </w:r>
      <w:r w:rsidR="00223CEC" w:rsidRPr="00223CEC">
        <w:rPr>
          <w:noProof/>
        </w:rPr>
        <w:t>(Concepción-Acevedo et al. 2015; Wiser and Lenski 2015; Hegreness et al. 2006; Gallet et al. 2012b)</w:t>
      </w:r>
      <w:r w:rsidR="00044070">
        <w:fldChar w:fldCharType="end"/>
      </w:r>
      <w:r>
        <w:t xml:space="preserve">. As automatic 96-well microplate readers become more and </w:t>
      </w:r>
      <w:r w:rsidR="00096923">
        <w:t xml:space="preserve">more </w:t>
      </w:r>
      <w:r w:rsidR="006147AD">
        <w:t>common</w:t>
      </w:r>
      <w:r w:rsidR="00096923">
        <w:t xml:space="preserve"> in microbiology</w:t>
      </w:r>
      <w:r>
        <w:t xml:space="preserve"> labs, </w:t>
      </w:r>
      <w:r w:rsidR="00044070">
        <w:t>growth curve</w:t>
      </w:r>
      <w:r>
        <w:t xml:space="preserve"> </w:t>
      </w:r>
      <w:r w:rsidR="006147AD">
        <w:t>experiments</w:t>
      </w:r>
      <w:r>
        <w:t xml:space="preserve"> can be </w:t>
      </w:r>
      <w:r w:rsidR="005816A6">
        <w:t xml:space="preserve">set up </w:t>
      </w:r>
      <w:r>
        <w:t xml:space="preserve">in less </w:t>
      </w:r>
      <w:r>
        <w:lastRenderedPageBreak/>
        <w:t xml:space="preserve">than 30 minutes, after which </w:t>
      </w:r>
      <w:r w:rsidR="00096923">
        <w:t xml:space="preserve">measurements </w:t>
      </w:r>
      <w:r>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t>.</w:t>
      </w:r>
      <w:r w:rsidR="000A6BEB">
        <w:t xml:space="preserve"> </w:t>
      </w:r>
      <w:r w:rsidR="000A6BEB" w:rsidRPr="00FD5DB1">
        <w:t xml:space="preserve">Importantly, this does not only result in </w:t>
      </w:r>
      <w:r w:rsidR="000A6BEB">
        <w:t>a</w:t>
      </w:r>
      <w:r w:rsidR="000A6BEB" w:rsidRPr="00FD5DB1">
        <w:t xml:space="preserve"> </w:t>
      </w:r>
      <w:r w:rsidR="000A6BEB">
        <w:t>simpler</w:t>
      </w:r>
      <w:r w:rsidR="000A6BEB" w:rsidRPr="00FD5DB1">
        <w:t xml:space="preserve"> and </w:t>
      </w:r>
      <w:r w:rsidR="000A6BEB">
        <w:t>more cost-effective</w:t>
      </w:r>
      <w:r w:rsidR="000A6BEB" w:rsidRPr="00FD5DB1">
        <w:t xml:space="preserve"> approach to high-throughput </w:t>
      </w:r>
      <w:r w:rsidR="000A6BEB">
        <w:t>fitness inference</w:t>
      </w:r>
      <w:r w:rsidR="000A6BEB" w:rsidRPr="00FD5DB1">
        <w:t xml:space="preserve">, but also </w:t>
      </w:r>
      <w:r w:rsidR="000A6BEB">
        <w:t>provides</w:t>
      </w:r>
      <w:r w:rsidR="000A6BEB" w:rsidRPr="00FD5DB1">
        <w:t xml:space="preserve"> information on the specific </w:t>
      </w:r>
      <w:r w:rsidR="000A6BEB">
        <w:t xml:space="preserve">growth </w:t>
      </w:r>
      <w:r w:rsidR="000A6BEB" w:rsidRPr="00FD5DB1">
        <w:t xml:space="preserve">traits that </w:t>
      </w:r>
      <w:r w:rsidR="000A6BEB">
        <w:t>contribute to differences in</w:t>
      </w:r>
      <w:r w:rsidR="000A6BEB" w:rsidRPr="00FD5DB1">
        <w:t xml:space="preserve"> </w:t>
      </w:r>
      <w:r w:rsidR="000A6BEB">
        <w:t>fitness</w:t>
      </w:r>
      <w:r w:rsidR="000A6BEB" w:rsidRPr="00FD5DB1">
        <w:t>.</w:t>
      </w:r>
      <w:r w:rsidR="000A6BEB">
        <w:t xml:space="preserve"> </w:t>
      </w:r>
      <w:r w:rsidR="000A6BEB" w:rsidRPr="000A6BEB">
        <w:t xml:space="preserve">By providing researchers with a simple yet powerful method to estimate and interpret fitness, </w:t>
      </w:r>
      <w:r w:rsidR="000A6BEB">
        <w:t>we hope our research</w:t>
      </w:r>
      <w:r w:rsidR="000A6BEB" w:rsidRPr="000A6BEB">
        <w:t xml:space="preserve"> will help to standardize the way fitness is measured and reported and improve communication between empirical and theoretical evolutionary biologists and ecologists.</w:t>
      </w:r>
    </w:p>
    <w:p w14:paraId="4C7003BA" w14:textId="71B6AD7B" w:rsidR="00920F1D" w:rsidRDefault="00920F1D" w:rsidP="00507681">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several disadvantages: (</w:t>
      </w:r>
      <w:proofErr w:type="spellStart"/>
      <w:r>
        <w:t>i</w:t>
      </w:r>
      <w:proofErr w:type="spellEnd"/>
      <w:r>
        <w:t xml:space="preserve">) they can't capture the full scope of effects contributing to differences in fitness; (ii) </w:t>
      </w:r>
      <w:r w:rsidR="00E14ACF" w:rsidRPr="00E14ACF">
        <w:t xml:space="preserve">they </w:t>
      </w:r>
      <w:r w:rsidR="008F3527">
        <w:t xml:space="preserve">depend on </w:t>
      </w:r>
      <w:r w:rsidR="00E14ACF" w:rsidRPr="00E14ACF">
        <w:t>specific experimental conditions</w:t>
      </w:r>
      <w:r w:rsidR="00E14ACF">
        <w:t xml:space="preserve"> that differ </w:t>
      </w:r>
      <w:r w:rsidR="00E14ACF" w:rsidRPr="00E14ACF">
        <w:t>for different organisms</w:t>
      </w:r>
      <w:r w:rsidR="00E14ACF">
        <w:t xml:space="preserve"> and from lab to lab</w:t>
      </w:r>
      <w:r>
        <w:t xml:space="preserve">; 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w:t>
      </w:r>
      <w:r w:rsidR="008F3527">
        <w:t xml:space="preserve">and competition </w:t>
      </w:r>
      <w:r>
        <w:t>model can be extended to include other phases and factors of growth, such as biphasic growth</w:t>
      </w:r>
      <w:r w:rsidR="007E465E">
        <w:t xml:space="preserve"> and cell death.</w:t>
      </w:r>
    </w:p>
    <w:p w14:paraId="004BD330" w14:textId="36C5031A" w:rsidR="00406968" w:rsidRDefault="005226B0" w:rsidP="000F5388">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0F5388">
        <w:t xml:space="preserve">(eq. 1) and </w:t>
      </w:r>
      <w:r w:rsidR="00406968">
        <w:t xml:space="preserve">a closed form </w:t>
      </w:r>
      <w:r w:rsidR="00B947CD">
        <w:t xml:space="preserve">analytical </w:t>
      </w:r>
      <w:r w:rsidR="00406968">
        <w:t>solution</w:t>
      </w:r>
      <w:r w:rsidR="005B79A5">
        <w:t xml:space="preserve"> (eq. 2)</w:t>
      </w:r>
      <w:r w:rsidR="000F5388">
        <w:t>. We have also shown here that it can be derived from a resource consumption perspective (Appendix A) and that it can be extended to competition model with multiple strains under the assumption of resource competition (Appendix B)</w:t>
      </w:r>
      <w:r>
        <w:t xml:space="preserve">. </w:t>
      </w:r>
      <w:r w:rsidR="00096923">
        <w:t>Hence</w:t>
      </w:r>
      <w:r>
        <w:t>,</w:t>
      </w:r>
      <w:r w:rsidR="00406968">
        <w:t xml:space="preserve"> </w:t>
      </w:r>
      <w:r w:rsidR="000F5388">
        <w:t>this model</w:t>
      </w:r>
      <w:r w:rsidR="00406968">
        <w:t xml:space="preserve"> is </w:t>
      </w:r>
      <w:r w:rsidR="00145FE7">
        <w:t>very</w:t>
      </w:r>
      <w:r w:rsidR="00406968">
        <w:t xml:space="preserve"> </w:t>
      </w:r>
      <w:r w:rsidR="00096923">
        <w:t xml:space="preserve">useful </w:t>
      </w:r>
      <w:r w:rsidR="00406968">
        <w:t xml:space="preserve">for our </w:t>
      </w:r>
      <w:r>
        <w:t>method</w:t>
      </w:r>
      <w:r w:rsidR="00406968">
        <w:t xml:space="preserve">: the closed form </w:t>
      </w:r>
      <w:r w:rsidR="000F5388">
        <w:t xml:space="preserve">of the monoculture model </w:t>
      </w:r>
      <w:r w:rsidR="00406968">
        <w:t>is used to fit to</w:t>
      </w:r>
      <w:r w:rsidR="00D46522">
        <w:t xml:space="preserve"> the</w:t>
      </w:r>
      <w:r w:rsidR="00406968">
        <w:t xml:space="preserve"> growth curve data</w:t>
      </w:r>
      <w:r w:rsidR="00D46522">
        <w:t>,</w:t>
      </w:r>
      <w:r w:rsidR="000F5388">
        <w:t xml:space="preserve"> whereas </w:t>
      </w:r>
      <w:r w:rsidR="00406968">
        <w:t>the differential equation</w:t>
      </w:r>
      <w:r w:rsidR="000F5388">
        <w:t xml:space="preserve"> of the mixed culture model</w:t>
      </w:r>
      <w:r w:rsidR="00406968">
        <w:t xml:space="preserve"> is used to predict the competition</w:t>
      </w:r>
      <w:r w:rsidR="00096923">
        <w:t xml:space="preserve"> dynamic</w:t>
      </w:r>
      <w:r w:rsidR="000F5388">
        <w:t>s</w:t>
      </w:r>
    </w:p>
    <w:p w14:paraId="77F17907" w14:textId="7E4D73F3" w:rsidR="00E95165" w:rsidRPr="00555009" w:rsidRDefault="00E95165" w:rsidP="000A6BEB">
      <w:r w:rsidRPr="003272F9">
        <w:t>Our method assumes that the two strains interact</w:t>
      </w:r>
      <w:r w:rsidR="006147AD" w:rsidRPr="003272F9">
        <w:t xml:space="preserve"> solely</w:t>
      </w:r>
      <w:r w:rsidRPr="003272F9">
        <w:t xml:space="preserve"> via resource competition</w:t>
      </w:r>
      <w:r w:rsidR="00451F50" w:rsidRPr="003272F9">
        <w:t xml:space="preserve">. </w:t>
      </w:r>
      <w:r w:rsidR="00096923" w:rsidRPr="003272F9">
        <w:t xml:space="preserve">If the </w:t>
      </w:r>
      <w:r w:rsidR="00451F50" w:rsidRPr="003272F9">
        <w:t>investigators know or suspect that additional interactions exist (</w:t>
      </w:r>
      <w:r w:rsidR="00451F50" w:rsidRPr="003272F9">
        <w:rPr>
          <w:i/>
          <w:iCs/>
        </w:rPr>
        <w:t>i.e.</w:t>
      </w:r>
      <w:r w:rsidR="00451F50" w:rsidRPr="003272F9">
        <w:t xml:space="preserve">, </w:t>
      </w:r>
      <w:r w:rsidR="000F5388" w:rsidRPr="003272F9">
        <w:t>frequency</w:t>
      </w:r>
      <w:r w:rsidR="00451F50" w:rsidRPr="003272F9">
        <w:t xml:space="preserve">-dependent interactions such as social or sexual selection, mutualism, and interference), our model can serve as a null hypothesis: the results of competition </w:t>
      </w:r>
      <w:r w:rsidR="006147AD" w:rsidRPr="003272F9">
        <w:t>experiments</w:t>
      </w:r>
      <w:r w:rsidR="00451F50" w:rsidRPr="003272F9">
        <w:t xml:space="preserve"> can be compared to model predictions and a</w:t>
      </w:r>
      <w:r w:rsidR="00096923" w:rsidRPr="003272F9">
        <w:t xml:space="preserve"> goodness of fit test </w:t>
      </w:r>
      <w:r w:rsidR="00451F50" w:rsidRPr="003272F9">
        <w:t>can be used to decide if additional interactions are significant.</w:t>
      </w:r>
      <w:r w:rsidR="000A6BEB">
        <w:t xml:space="preserve"> This can be of tremendous values, as frequency-dependent interactions </w:t>
      </w:r>
      <w:r w:rsidR="000A6BEB" w:rsidRPr="000A6BEB">
        <w:t>are hard to detect in the lab despite having a significant effect on microbial evolution</w:t>
      </w:r>
      <w:r w:rsidR="000A6BEB">
        <w:t xml:space="preserve"> </w:t>
      </w:r>
      <w:r w:rsidR="000A6BEB">
        <w:fldChar w:fldCharType="begin" w:fldLock="1"/>
      </w:r>
      <w:r w:rsidR="00D17DC9">
        <w:instrText>ADDIN CSL_CITATION { "citationItems" : [ { "id" : "ITEM-1", "itemData" : { "DOI" : "10.1038/nrmicro2259", "ISBN" : "1740-1534 (Electronic)\\r1740-1526 (Linking)", "ISSN" : "1740-1526", "PMID" : "19946288", "abstract" : "Most natural environments harbour a stunningly diverse collection of microbial species. In these communities, bacteria compete with their neighbours for space and resources. Laboratory experiments with pure and mixed cultures have revealed many active mechanisms by which bacteria can impair or kill other microorganisms. In addition, a growing body of theoretical and experimental population studies indicates that the interactions within and between bacterial species can have a profound impact on the outcome of competition in nature. The next challenge is to integrate the findings of these laboratory and theoretical studies and to evaluate the predictions that they generate in more natural settings.", "author" : [ { "dropping-particle" : "", "family" : "Hibbing", "given" : "Michael E", "non-dropping-particle" : "", "parse-names" : false, "suffix" : "" }, { "dropping-particle" : "", "family" : "Fuqua", "given" : "Clay", "non-dropping-particle" : "", "parse-names" : false, "suffix" : "" }, { "dropping-particle" : "", "family" : "Parsek", "given" : "Matthew R", "non-dropping-particle" : "", "parse-names" : false, "suffix" : "" }, { "dropping-particle" : "", "family" : "Peterson", "given" : "S Brook", "non-dropping-particle" : "", "parse-names" : false, "suffix" : "" } ], "container-title" : "Nature reviews. Microbiology", "id" : "ITEM-1", "issue" : "1", "issued" : { "date-parts" : [ [ "2010" ] ] }, "page" : "15-25", "title" : "Bacterial competition: surviving and thriving in the microbial jungle.", "type" : "article-journal", "volume" : "8" }, "uris" : [ "http://www.mendeley.com/documents/?uuid=3da3b9fa-0658-4842-a599-e92e98deebef" ] } ], "mendeley" : { "formattedCitation" : "(Hibbing et al. 2010)", "plainTextFormattedCitation" : "(Hibbing et al. 2010)", "previouslyFormattedCitation" : "(Hibbing et al. 2010)" }, "properties" : { "noteIndex" : 0 }, "schema" : "https://github.com/citation-style-language/schema/raw/master/csl-citation.json" }</w:instrText>
      </w:r>
      <w:r w:rsidR="000A6BEB">
        <w:fldChar w:fldCharType="separate"/>
      </w:r>
      <w:r w:rsidR="000A6BEB" w:rsidRPr="000A6BEB">
        <w:rPr>
          <w:noProof/>
        </w:rPr>
        <w:t>(Hibbing et al. 2010)</w:t>
      </w:r>
      <w:r w:rsidR="000A6BEB">
        <w:fldChar w:fldCharType="end"/>
      </w:r>
      <w:r w:rsidR="000A6BEB">
        <w:t xml:space="preserve">. </w:t>
      </w:r>
      <w:r w:rsidR="00451F50" w:rsidRPr="003272F9">
        <w:t xml:space="preserve">Moreover, </w:t>
      </w:r>
      <w:r w:rsidR="000A6BEB">
        <w:lastRenderedPageBreak/>
        <w:t xml:space="preserve">frequency-dependent </w:t>
      </w:r>
      <w:r w:rsidR="00451F50" w:rsidRPr="003272F9">
        <w:t xml:space="preserve">interactions </w:t>
      </w:r>
      <w:r w:rsidR="000A6BEB">
        <w:t>could</w:t>
      </w:r>
      <w:r w:rsidR="00451F50" w:rsidRPr="003272F9">
        <w:t xml:space="preserve">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rsidRPr="003272F9">
        <w:t xml:space="preserve"> </w:t>
      </w:r>
      <w:r w:rsidR="00451F50" w:rsidRPr="003272F9">
        <w:fldChar w:fldCharType="begin" w:fldLock="1"/>
      </w:r>
      <w:r w:rsidR="0044050E" w:rsidRPr="003272F9">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instrText>
      </w:r>
      <w:r w:rsidR="00451F50" w:rsidRPr="003272F9">
        <w:fldChar w:fldCharType="separate"/>
      </w:r>
      <w:r w:rsidR="003D0164" w:rsidRPr="003272F9">
        <w:rPr>
          <w:noProof/>
        </w:rPr>
        <w:t>(Masel 2014)</w:t>
      </w:r>
      <w:r w:rsidR="00451F50" w:rsidRPr="003272F9">
        <w:fldChar w:fldCharType="end"/>
      </w:r>
      <w:r w:rsidR="00451F50" w:rsidRPr="003272F9">
        <w:t>.</w:t>
      </w:r>
      <w:r w:rsidR="000F5388">
        <w:t xml:space="preserve"> Developing a statistical framework for detecting and measuring frequency-dependent interactions will be the subject of future work.</w:t>
      </w:r>
    </w:p>
    <w:p w14:paraId="05BD0246" w14:textId="77777777" w:rsidR="00096923" w:rsidRDefault="00096923" w:rsidP="00507681">
      <w:pPr>
        <w:pStyle w:val="Heading2"/>
      </w:pPr>
      <w:r>
        <w:t>Conclusions</w:t>
      </w:r>
    </w:p>
    <w:p w14:paraId="3F0CFB8A" w14:textId="2F8EF8FD" w:rsidR="00096923" w:rsidRDefault="00E50794" w:rsidP="000F5388">
      <w:r>
        <w:t>We</w:t>
      </w:r>
      <w:r w:rsidR="00096923">
        <w:t xml:space="preserve"> </w:t>
      </w:r>
      <w:r w:rsidR="000F5388">
        <w:t>developed</w:t>
      </w:r>
      <w:r w:rsidR="008F3527">
        <w:t xml:space="preserve"> and test</w:t>
      </w:r>
      <w:r w:rsidR="000F5388">
        <w:t>ed</w:t>
      </w:r>
      <w:r w:rsidR="00096923">
        <w:t xml:space="preserve"> a new </w:t>
      </w:r>
      <w:r w:rsidR="008D29A3">
        <w:t xml:space="preserve">method to </w:t>
      </w:r>
      <w:r w:rsidR="00096923">
        <w:t>analyze growth curves</w:t>
      </w:r>
      <w:r>
        <w:t xml:space="preserve">, predict </w:t>
      </w:r>
      <w:r w:rsidR="000F5388">
        <w:t xml:space="preserve">growth and </w:t>
      </w:r>
      <w:r>
        <w:t xml:space="preserve">competition </w:t>
      </w:r>
      <w:r w:rsidR="000F5388">
        <w:t>in mixed culture</w:t>
      </w:r>
      <w:r>
        <w:t>,</w:t>
      </w:r>
      <w:r w:rsidR="00096923">
        <w:t xml:space="preserve"> and </w:t>
      </w:r>
      <w:r w:rsidR="000F5388">
        <w:t>infer</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w:t>
      </w:r>
      <w:r w:rsidR="000F5388">
        <w:t xml:space="preserve">to interpret growth in mixed culture and </w:t>
      </w:r>
      <w:r w:rsidR="00096923">
        <w:t xml:space="preserve">competition </w:t>
      </w:r>
      <w:r>
        <w:t>experiments</w:t>
      </w:r>
      <w:r w:rsidR="000F5388">
        <w:t>.</w:t>
      </w:r>
    </w:p>
    <w:p w14:paraId="38E2EFE2" w14:textId="14E1166D" w:rsidR="002D33FF" w:rsidRDefault="00F80CD3" w:rsidP="00051459">
      <w:pPr>
        <w:pStyle w:val="Heading1"/>
      </w:pPr>
      <w:bookmarkStart w:id="4" w:name="_Ref439853427"/>
      <w:r>
        <w:t xml:space="preserve">Materials and </w:t>
      </w:r>
      <w:r w:rsidR="00051459">
        <w:t>Methods</w:t>
      </w:r>
      <w:bookmarkEnd w:id="4"/>
    </w:p>
    <w:p w14:paraId="41E5B16A" w14:textId="7B9251F0" w:rsidR="00051459" w:rsidRDefault="00F80CD3" w:rsidP="00086EFC">
      <w:pPr>
        <w:pStyle w:val="Heading2"/>
      </w:pPr>
      <w:r>
        <w:t>Strains</w:t>
      </w:r>
      <w:r w:rsidR="00086EFC">
        <w:t xml:space="preserve"> and plasmids</w:t>
      </w:r>
    </w:p>
    <w:p w14:paraId="53E1A465" w14:textId="7CE4BC6D" w:rsidR="00F80CD3" w:rsidRDefault="00F80CD3" w:rsidP="00A558C7">
      <w:r>
        <w:t xml:space="preserve">The strains used were </w:t>
      </w:r>
      <w:r>
        <w:rPr>
          <w:i/>
          <w:iCs/>
        </w:rPr>
        <w:t xml:space="preserve">E. coli </w:t>
      </w:r>
      <w:r>
        <w:t>DH5α</w:t>
      </w:r>
      <w:r w:rsidR="00086EFC">
        <w:t xml:space="preserve"> (Berman lab, Tel-Aviv University)</w:t>
      </w:r>
      <w:r>
        <w:t>, TG1</w:t>
      </w:r>
      <w:r w:rsidR="00086EFC">
        <w:t xml:space="preserve"> (Ron lab, TAU)</w:t>
      </w:r>
      <w:r>
        <w:t>, JM109</w:t>
      </w:r>
      <w:r w:rsidR="00086EFC">
        <w:t xml:space="preserve"> (</w:t>
      </w:r>
      <w:proofErr w:type="spellStart"/>
      <w:r w:rsidR="00086EFC">
        <w:t>Nir</w:t>
      </w:r>
      <w:proofErr w:type="spellEnd"/>
      <w:r w:rsidR="00086EFC">
        <w:t xml:space="preserve"> lab, TAU), and</w:t>
      </w:r>
      <w:r w:rsidR="00A558C7">
        <w:t xml:space="preserve"> K12</w:t>
      </w:r>
      <w:r w:rsidR="00086EFC">
        <w:t xml:space="preserve"> MG1655</w:t>
      </w:r>
      <w:r w:rsidR="00A558C7">
        <w:t xml:space="preserve"> </w:t>
      </w:r>
      <w:r w:rsidR="00257515">
        <w:t>ΔFNR</w:t>
      </w:r>
      <w:r w:rsidR="00086EFC">
        <w:t xml:space="preserve"> (Ron lab, TAU)</w:t>
      </w:r>
      <w:r>
        <w:t xml:space="preserve">. </w:t>
      </w:r>
      <w:r w:rsidR="00086EFC">
        <w:t>These</w:t>
      </w:r>
      <w:r>
        <w:t xml:space="preserve"> strains were transformed </w:t>
      </w:r>
      <w:r w:rsidR="00E22922">
        <w:t>by electroporation (DH5α, TG1,</w:t>
      </w:r>
      <w:r w:rsidR="00E22922" w:rsidRPr="00E22922">
        <w:t xml:space="preserve"> </w:t>
      </w:r>
      <w:proofErr w:type="gramStart"/>
      <w:r w:rsidR="00E22922">
        <w:t>MG1655</w:t>
      </w:r>
      <w:proofErr w:type="gramEnd"/>
      <w:r w:rsidR="00E22922">
        <w:t>) or chemo</w:t>
      </w:r>
      <w:r w:rsidR="00E22922" w:rsidRPr="00E22922">
        <w:rPr>
          <w:highlight w:val="yellow"/>
        </w:rPr>
        <w:t>?</w:t>
      </w:r>
      <w:r w:rsidR="00E22922">
        <w:t xml:space="preserve"> (JM109)</w:t>
      </w:r>
      <w:r w:rsidR="00086EFC">
        <w:t xml:space="preserve"> to incorporate </w:t>
      </w:r>
      <w:r w:rsidR="00E22922">
        <w:t xml:space="preserve">plasmids, previously described in </w:t>
      </w:r>
      <w:r w:rsidR="00E22922">
        <w:fldChar w:fldCharType="begin" w:fldLock="1"/>
      </w:r>
      <w:r w:rsidR="00086EFC">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et al. 2013)", "plainTextFormattedCitation" : "(Zelcbuch et al. 2013)", "previouslyFormattedCitation" : "(Zelcbuch et al. 2013)" }, "properties" : { "noteIndex" : 0 }, "schema" : "https://github.com/citation-style-language/schema/raw/master/csl-citation.json" }</w:instrText>
      </w:r>
      <w:r w:rsidR="00E22922">
        <w:fldChar w:fldCharType="separate"/>
      </w:r>
      <w:r w:rsidR="00E22922" w:rsidRPr="00E22922">
        <w:rPr>
          <w:noProof/>
        </w:rPr>
        <w:t>(Zelcbuch et al. 2013)</w:t>
      </w:r>
      <w:r w:rsidR="00E22922">
        <w:fldChar w:fldCharType="end"/>
      </w:r>
      <w:r w:rsidR="00E22922">
        <w:t xml:space="preserve">, which contain a GFP or RFP gene, and genes conferring </w:t>
      </w:r>
      <w:r w:rsidR="00086EFC">
        <w:t>resistance to k</w:t>
      </w:r>
      <w:r w:rsidR="00E22922">
        <w:t>anamycin</w:t>
      </w:r>
      <w:r w:rsidR="00086EFC">
        <w:t xml:space="preserve"> (</w:t>
      </w:r>
      <w:proofErr w:type="spellStart"/>
      <w:r w:rsidR="00086EFC">
        <w:t>Kan</w:t>
      </w:r>
      <w:r w:rsidR="00086EFC" w:rsidRPr="00086EFC">
        <w:rPr>
          <w:vertAlign w:val="superscript"/>
        </w:rPr>
        <w:t>R</w:t>
      </w:r>
      <w:proofErr w:type="spellEnd"/>
      <w:r w:rsidR="00086EFC">
        <w:t>)</w:t>
      </w:r>
      <w:r w:rsidR="00E22922">
        <w:t xml:space="preserve"> and </w:t>
      </w:r>
      <w:r w:rsidR="00086EFC">
        <w:t>c</w:t>
      </w:r>
      <w:r w:rsidR="00E22922">
        <w:t>hloramphenicol</w:t>
      </w:r>
      <w:r w:rsidR="00086EFC">
        <w:t xml:space="preserve"> (</w:t>
      </w:r>
      <w:proofErr w:type="spellStart"/>
      <w:r w:rsidR="00086EFC">
        <w:t>Cap</w:t>
      </w:r>
      <w:r w:rsidR="00086EFC" w:rsidRPr="00086EFC">
        <w:rPr>
          <w:vertAlign w:val="superscript"/>
        </w:rPr>
        <w:t>R</w:t>
      </w:r>
      <w:proofErr w:type="spellEnd"/>
      <w:r w:rsidR="00086EFC">
        <w:t>)</w:t>
      </w:r>
      <w:r w:rsidR="00E22922">
        <w:t>.</w:t>
      </w:r>
      <w:r w:rsidR="00086EFC">
        <w:t xml:space="preserve"> These GFP and RFP </w:t>
      </w:r>
      <w:r w:rsidR="00A558C7">
        <w:t xml:space="preserve">bearing plasmids </w:t>
      </w:r>
      <w:r w:rsidR="00086EFC">
        <w:t xml:space="preserve">were previously shown to have roughly the same effect on growth </w:t>
      </w:r>
      <w:r w:rsidR="00086EFC">
        <w:fldChar w:fldCharType="begin" w:fldLock="1"/>
      </w:r>
      <w:r w:rsidR="00223CEC">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et al. 2013)", "plainTextFormattedCitation" : "(Zelcbuch et al. 2013)", "previouslyFormattedCitation" : "(Zelcbuch et al. 2013)" }, "properties" : { "noteIndex" : 0 }, "schema" : "https://github.com/citation-style-language/schema/raw/master/csl-citation.json" }</w:instrText>
      </w:r>
      <w:r w:rsidR="00086EFC">
        <w:fldChar w:fldCharType="separate"/>
      </w:r>
      <w:r w:rsidR="00086EFC" w:rsidRPr="00086EFC">
        <w:rPr>
          <w:noProof/>
        </w:rPr>
        <w:t>(Zelcbuch et al. 2013)</w:t>
      </w:r>
      <w:r w:rsidR="00086EFC">
        <w:fldChar w:fldCharType="end"/>
      </w:r>
      <w:r w:rsidR="00086EFC">
        <w:t>; we confirmed this using a growth curve assay (</w:t>
      </w:r>
      <w:r w:rsidR="00086EFC" w:rsidRPr="00086EFC">
        <w:rPr>
          <w:highlight w:val="yellow"/>
        </w:rPr>
        <w:t xml:space="preserve">Fig. </w:t>
      </w:r>
      <w:proofErr w:type="gramStart"/>
      <w:r w:rsidR="00086EFC" w:rsidRPr="00086EFC">
        <w:rPr>
          <w:highlight w:val="yellow"/>
        </w:rPr>
        <w:t>SX</w:t>
      </w:r>
      <w:r w:rsidR="00086EFC">
        <w:t>).</w:t>
      </w:r>
      <w:proofErr w:type="gramEnd"/>
      <w:r w:rsidR="00086EFC">
        <w:t xml:space="preserve"> Transformation was verified by inoculation in selective media and with fluorescent microscopy (</w:t>
      </w:r>
      <w:r w:rsidR="00A558C7">
        <w:rPr>
          <w:highlight w:val="yellow"/>
        </w:rPr>
        <w:t xml:space="preserve">Nikon </w:t>
      </w:r>
      <w:proofErr w:type="spellStart"/>
      <w:r w:rsidR="00A558C7">
        <w:rPr>
          <w:highlight w:val="yellow"/>
        </w:rPr>
        <w:t>Eclipe</w:t>
      </w:r>
      <w:proofErr w:type="spellEnd"/>
      <w:r w:rsidR="00A558C7">
        <w:rPr>
          <w:highlight w:val="yellow"/>
        </w:rPr>
        <w:t xml:space="preserve"> </w:t>
      </w:r>
      <w:proofErr w:type="spellStart"/>
      <w:r w:rsidR="00A558C7">
        <w:rPr>
          <w:highlight w:val="yellow"/>
        </w:rPr>
        <w:t>Ti</w:t>
      </w:r>
      <w:proofErr w:type="spellEnd"/>
      <w:r w:rsidR="00086EFC" w:rsidRPr="00086EFC">
        <w:rPr>
          <w:highlight w:val="yellow"/>
        </w:rPr>
        <w:t xml:space="preserve">, Fig. </w:t>
      </w:r>
      <w:proofErr w:type="gramStart"/>
      <w:r w:rsidR="00A558C7">
        <w:rPr>
          <w:highlight w:val="yellow"/>
        </w:rPr>
        <w:t>S</w:t>
      </w:r>
      <w:r w:rsidR="00086EFC" w:rsidRPr="00086EFC">
        <w:rPr>
          <w:highlight w:val="yellow"/>
        </w:rPr>
        <w:t>X</w:t>
      </w:r>
      <w:r w:rsidR="00086EFC">
        <w:t>).</w:t>
      </w:r>
      <w:proofErr w:type="gramEnd"/>
      <w:r w:rsidR="00C027C6">
        <w:t xml:space="preserve"> Frozen stocks were prepared by adding 0.5 ml from overnight culture to 0.5 ml 50% glycerol stock, freezing in liquid nitrogen, and storing in -80</w:t>
      </w:r>
      <w:r w:rsidR="00C027C6">
        <w:rPr>
          <w:rFonts w:ascii="Arial" w:hAnsi="Arial" w:cs="Arial"/>
        </w:rPr>
        <w:t>°</w:t>
      </w:r>
      <w:r w:rsidR="00C027C6">
        <w:t>C.</w:t>
      </w:r>
    </w:p>
    <w:p w14:paraId="424AED5E" w14:textId="2F2ACAC6" w:rsidR="00086EFC" w:rsidRPr="00F80CD3" w:rsidRDefault="00086EFC" w:rsidP="00086EFC">
      <w:pPr>
        <w:pStyle w:val="Heading2"/>
      </w:pPr>
      <w:r>
        <w:t>Growth media</w:t>
      </w:r>
    </w:p>
    <w:p w14:paraId="6801EF57" w14:textId="51430D65" w:rsidR="00086EFC" w:rsidRDefault="00086EFC" w:rsidP="00A558C7">
      <w:r>
        <w:t xml:space="preserve">All experiments were performed in liquid </w:t>
      </w:r>
      <w:proofErr w:type="spellStart"/>
      <w:r>
        <w:t>Lysogeny</w:t>
      </w:r>
      <w:proofErr w:type="spellEnd"/>
      <w:r>
        <w:t xml:space="preserve"> Broth (LB):</w:t>
      </w:r>
      <w:r w:rsidR="000E4439">
        <w:t xml:space="preserve"> 5 g/L </w:t>
      </w:r>
      <w:proofErr w:type="spellStart"/>
      <w:r w:rsidR="000E4439">
        <w:t>Bacto</w:t>
      </w:r>
      <w:proofErr w:type="spellEnd"/>
      <w:r w:rsidR="000E4439">
        <w:t xml:space="preserve"> yeast extract (BD 212750), 10 g/L </w:t>
      </w:r>
      <w:proofErr w:type="spellStart"/>
      <w:r w:rsidR="000E4439">
        <w:t>Bacto</w:t>
      </w:r>
      <w:proofErr w:type="spellEnd"/>
      <w:r w:rsidR="000E4439">
        <w:t xml:space="preserve"> </w:t>
      </w:r>
      <w:proofErr w:type="spellStart"/>
      <w:r w:rsidR="000E4439">
        <w:t>Tryptone</w:t>
      </w:r>
      <w:proofErr w:type="spellEnd"/>
      <w:r w:rsidR="000E4439">
        <w:t xml:space="preserve"> (BD 211705), 10 g/L </w:t>
      </w:r>
      <w:proofErr w:type="spellStart"/>
      <w:r w:rsidR="000E4439">
        <w:t>NaCl</w:t>
      </w:r>
      <w:proofErr w:type="spellEnd"/>
      <w:r w:rsidR="000E4439">
        <w:t xml:space="preserve"> (Bio-Lab CAS 764-14-5), DDW 1 L</w:t>
      </w:r>
      <w:r>
        <w:t>.</w:t>
      </w:r>
      <w:r w:rsidR="00A558C7">
        <w:t xml:space="preserve"> LB was autoclaved, and after it cooled,</w:t>
      </w:r>
      <w:r>
        <w:t xml:space="preserve"> </w:t>
      </w:r>
      <w:r w:rsidRPr="00086EFC">
        <w:t>3</w:t>
      </w:r>
      <w:r>
        <w:t>0</w:t>
      </w:r>
      <w:r w:rsidRPr="00086EFC">
        <w:t xml:space="preserve"> </w:t>
      </w:r>
      <w:proofErr w:type="spellStart"/>
      <w:r w:rsidRPr="00086EFC">
        <w:t>μg</w:t>
      </w:r>
      <w:proofErr w:type="spellEnd"/>
      <w:r w:rsidRPr="00086EFC">
        <w:t>/mL</w:t>
      </w:r>
      <w:r>
        <w:t xml:space="preserve"> kanamycin and </w:t>
      </w:r>
      <w:r w:rsidRPr="00086EFC">
        <w:t xml:space="preserve">34 </w:t>
      </w:r>
      <w:proofErr w:type="spellStart"/>
      <w:r w:rsidRPr="00086EFC">
        <w:t>μg</w:t>
      </w:r>
      <w:proofErr w:type="spellEnd"/>
      <w:r w:rsidRPr="00086EFC">
        <w:t xml:space="preserve">/mL </w:t>
      </w:r>
      <w:r>
        <w:t xml:space="preserve">chloramphenicol were added. </w:t>
      </w:r>
    </w:p>
    <w:p w14:paraId="5232A1CE" w14:textId="4D26FC7A" w:rsidR="001F25C6" w:rsidRDefault="001F25C6" w:rsidP="001F25C6">
      <w:pPr>
        <w:pStyle w:val="Heading2"/>
      </w:pPr>
      <w:r>
        <w:lastRenderedPageBreak/>
        <w:t>Growth and competition experiment</w:t>
      </w:r>
    </w:p>
    <w:p w14:paraId="1835855D" w14:textId="1E988079" w:rsidR="00C027C6" w:rsidRDefault="00C027C6" w:rsidP="000E4439">
      <w:r>
        <w:t>Strains were revived from frozen stocks and grown overnight in 3 ml LB at 30</w:t>
      </w:r>
      <w:r>
        <w:rPr>
          <w:rFonts w:ascii="Arial" w:hAnsi="Arial" w:cs="Arial"/>
        </w:rPr>
        <w:t>°</w:t>
      </w:r>
      <w:r>
        <w:t xml:space="preserve">C with shaking. Saturated overnight cultures were diluted into fresh media so that the OD will be above the OD of blank media (1:1-1:20 dilution </w:t>
      </w:r>
      <w:proofErr w:type="gramStart"/>
      <w:r>
        <w:t>rate</w:t>
      </w:r>
      <w:proofErr w:type="gramEnd"/>
      <w:r>
        <w:t>). In experiments without lag phase, the cultures were left to grow for 3-5 hours, their OD monitored until the exponential growth phase was reached. A 96-wells flat-bottom microplate</w:t>
      </w:r>
      <w:r w:rsidR="00223CEC">
        <w:t xml:space="preserve"> (</w:t>
      </w:r>
      <w:r w:rsidR="00223CEC" w:rsidRPr="000E4439">
        <w:t>Costar</w:t>
      </w:r>
      <w:r w:rsidR="00223CEC">
        <w:t>)</w:t>
      </w:r>
      <w:r>
        <w:t xml:space="preserve"> was inoculated with four cultures</w:t>
      </w:r>
      <w:r w:rsidR="00223CEC">
        <w:t xml:space="preserve">, 100 </w:t>
      </w:r>
      <w:proofErr w:type="spellStart"/>
      <w:r w:rsidR="00223CEC" w:rsidRPr="00086EFC">
        <w:t>μ</w:t>
      </w:r>
      <w:r w:rsidR="00223CEC">
        <w:t>L</w:t>
      </w:r>
      <w:proofErr w:type="spellEnd"/>
      <w:r w:rsidR="00223CEC">
        <w:t xml:space="preserve"> per well</w:t>
      </w:r>
      <w:r>
        <w:t xml:space="preserve">: </w:t>
      </w:r>
    </w:p>
    <w:p w14:paraId="35510D2B" w14:textId="700BF26A" w:rsidR="00C027C6" w:rsidRDefault="00223CEC" w:rsidP="00223CEC">
      <w:pPr>
        <w:pStyle w:val="ListParagraph"/>
        <w:numPr>
          <w:ilvl w:val="0"/>
          <w:numId w:val="1"/>
        </w:numPr>
      </w:pPr>
      <w:r>
        <w:t>36</w:t>
      </w:r>
      <w:r w:rsidR="00C027C6">
        <w:t xml:space="preserve">-48 wells </w:t>
      </w:r>
      <w:r>
        <w:t xml:space="preserve">containing </w:t>
      </w:r>
      <w:r w:rsidR="00C027C6">
        <w:t>a</w:t>
      </w:r>
      <w:r>
        <w:t xml:space="preserve"> monoculture of</w:t>
      </w:r>
      <w:r w:rsidR="00C027C6">
        <w:t xml:space="preserve"> </w:t>
      </w:r>
      <w:r>
        <w:t xml:space="preserve">a </w:t>
      </w:r>
      <w:r w:rsidR="00C027C6">
        <w:t>GFP-labeled strain</w:t>
      </w:r>
    </w:p>
    <w:p w14:paraId="23AE6DC9" w14:textId="79061906" w:rsidR="00C027C6" w:rsidRDefault="00223CEC" w:rsidP="00223CEC">
      <w:pPr>
        <w:pStyle w:val="ListParagraph"/>
        <w:numPr>
          <w:ilvl w:val="0"/>
          <w:numId w:val="1"/>
        </w:numPr>
      </w:pPr>
      <w:r>
        <w:t>34-46</w:t>
      </w:r>
      <w:r w:rsidR="00C027C6">
        <w:t xml:space="preserve"> wells </w:t>
      </w:r>
      <w:r>
        <w:t xml:space="preserve">containing a monoculture of a </w:t>
      </w:r>
      <w:r w:rsidR="00C027C6">
        <w:t>RFP-labeled strain</w:t>
      </w:r>
    </w:p>
    <w:p w14:paraId="783F58CD" w14:textId="0D6CBD84" w:rsidR="00C027C6" w:rsidRDefault="00223CEC" w:rsidP="00223CEC">
      <w:pPr>
        <w:pStyle w:val="ListParagraph"/>
        <w:numPr>
          <w:ilvl w:val="0"/>
          <w:numId w:val="1"/>
        </w:numPr>
      </w:pPr>
      <w:r>
        <w:t>48-72 wells containing a mixed culture of both GFP- and RFP-labeled strains</w:t>
      </w:r>
    </w:p>
    <w:p w14:paraId="1FDE2643" w14:textId="21DB61B0" w:rsidR="00C027C6" w:rsidRDefault="00C027C6" w:rsidP="00C027C6">
      <w:pPr>
        <w:pStyle w:val="ListParagraph"/>
        <w:numPr>
          <w:ilvl w:val="0"/>
          <w:numId w:val="1"/>
        </w:numPr>
      </w:pPr>
      <w:r>
        <w:t>2 wells with blank media</w:t>
      </w:r>
    </w:p>
    <w:p w14:paraId="163C6CFA" w14:textId="44B79742" w:rsidR="00223CEC" w:rsidRDefault="00223CEC" w:rsidP="000E4439">
      <w:pPr>
        <w:ind w:firstLine="0"/>
        <w:rPr>
          <w:vertAlign w:val="subscript"/>
        </w:rPr>
      </w:pPr>
      <w:r>
        <w:t xml:space="preserve">The microplate was covered with </w:t>
      </w:r>
      <w:r w:rsidR="000E4439">
        <w:t xml:space="preserve">a </w:t>
      </w:r>
      <w:r w:rsidR="001F25C6">
        <w:t>sealing</w:t>
      </w:r>
      <w:r w:rsidR="000E4439">
        <w:t xml:space="preserve"> membrane (Easy-Breathe, Sigma-Aldrich Z380059-1PAK) </w:t>
      </w:r>
      <w:r>
        <w:t>and incubated at 30</w:t>
      </w:r>
      <w:r>
        <w:rPr>
          <w:rFonts w:ascii="Arial" w:hAnsi="Arial" w:cs="Arial"/>
        </w:rPr>
        <w:t>°</w:t>
      </w:r>
      <w:r>
        <w:t>C in a</w:t>
      </w:r>
      <w:r w:rsidR="000E4439">
        <w:t>n</w:t>
      </w:r>
      <w:r>
        <w:t xml:space="preserve"> automatic microplate reader</w:t>
      </w:r>
      <w:r w:rsidR="000E4439">
        <w:t xml:space="preserve"> (</w:t>
      </w:r>
      <w:proofErr w:type="spellStart"/>
      <w:r w:rsidR="000E4439">
        <w:t>Tecan</w:t>
      </w:r>
      <w:proofErr w:type="spellEnd"/>
      <w:r w:rsidR="000E4439">
        <w:t xml:space="preserve"> infinite F200 Pro)</w:t>
      </w:r>
      <w:r>
        <w:t xml:space="preserve">. </w:t>
      </w:r>
      <w:r w:rsidRPr="000E4439">
        <w:t>OD</w:t>
      </w:r>
      <w:r w:rsidR="000E4439" w:rsidRPr="000E4439">
        <w:rPr>
          <w:vertAlign w:val="subscript"/>
        </w:rPr>
        <w:t>595</w:t>
      </w:r>
      <w:r>
        <w:t xml:space="preserve"> </w:t>
      </w:r>
      <w:r w:rsidRPr="00223CEC">
        <w:t>readi</w:t>
      </w:r>
      <w:r>
        <w:t xml:space="preserve">ngs were taken </w:t>
      </w:r>
      <w:r w:rsidRPr="00257515">
        <w:t>every 1</w:t>
      </w:r>
      <w:r w:rsidR="00257515" w:rsidRPr="00257515">
        <w:t>0</w:t>
      </w:r>
      <w:r w:rsidRPr="00257515">
        <w:t xml:space="preserve"> minutes</w:t>
      </w:r>
      <w:r>
        <w:t xml:space="preserve"> with continuous shaking between readings.</w:t>
      </w:r>
    </w:p>
    <w:p w14:paraId="4B08723B" w14:textId="1C69A94E" w:rsidR="00086EFC" w:rsidRDefault="00223CEC" w:rsidP="001F25C6">
      <w:r>
        <w:t xml:space="preserve">Samples were taken from the </w:t>
      </w:r>
      <w:r w:rsidR="001F25C6">
        <w:t xml:space="preserve">incubated </w:t>
      </w:r>
      <w:r>
        <w:t>microplate at the beginning of the experiment and roughly once an hour for 6-8 hours: 1-1</w:t>
      </w:r>
      <w:r w:rsidR="001F25C6">
        <w:t>0 µL were removed from 4 wells (different wells for each sample)</w:t>
      </w:r>
      <w:r>
        <w:t>, and diluted into</w:t>
      </w:r>
      <w:r w:rsidR="001F25C6">
        <w:t xml:space="preserve"> cold</w:t>
      </w:r>
      <w:r>
        <w:t xml:space="preserve"> buffer (</w:t>
      </w:r>
      <w:r w:rsidR="000E4439" w:rsidRPr="000E4439">
        <w:t>Dulbecco's PBS, Biological Industries 02-020-1A</w:t>
      </w:r>
      <w:r w:rsidRPr="000E4439">
        <w:t xml:space="preserve">, filtered with </w:t>
      </w:r>
      <w:r w:rsidR="000E4439" w:rsidRPr="000E4439">
        <w:t>a 0.22 µm syringe-driven filter, JET BIOFIL FCA-206-030</w:t>
      </w:r>
      <w:r>
        <w:t>). These samples were stored in 4</w:t>
      </w:r>
      <w:r>
        <w:rPr>
          <w:rFonts w:ascii="Arial" w:hAnsi="Arial" w:cs="Arial"/>
        </w:rPr>
        <w:t>°</w:t>
      </w:r>
      <w:r>
        <w:t xml:space="preserve">C </w:t>
      </w:r>
      <w:r w:rsidR="001F25C6">
        <w:t xml:space="preserve">for </w:t>
      </w:r>
      <w:r>
        <w:t>up to two hours and then analyzed with a fluorescent cell sorter (</w:t>
      </w:r>
      <w:proofErr w:type="spellStart"/>
      <w:r w:rsidR="000E4439">
        <w:t>Miltenyi</w:t>
      </w:r>
      <w:proofErr w:type="spellEnd"/>
      <w:r w:rsidR="000E4439">
        <w:t xml:space="preserve"> </w:t>
      </w:r>
      <w:proofErr w:type="spellStart"/>
      <w:r w:rsidR="000E4439">
        <w:t>Biotec</w:t>
      </w:r>
      <w:proofErr w:type="spellEnd"/>
      <w:r w:rsidR="000E4439">
        <w:t xml:space="preserve"> </w:t>
      </w:r>
      <w:proofErr w:type="spellStart"/>
      <w:r>
        <w:t>MACSQuant</w:t>
      </w:r>
      <w:proofErr w:type="spellEnd"/>
      <w:r w:rsidR="000E4439">
        <w:t xml:space="preserve"> VYB</w:t>
      </w:r>
      <w:r>
        <w:t>) to count the number of GFP- and RFP-labe</w:t>
      </w:r>
      <w:r w:rsidR="000E4439">
        <w:t xml:space="preserve">led cells (GFP was detected </w:t>
      </w:r>
      <w:r w:rsidR="001F25C6">
        <w:t xml:space="preserve">with </w:t>
      </w:r>
      <w:r w:rsidR="000E4439">
        <w:t>the 488nm/520(50)nm FITC laser</w:t>
      </w:r>
      <w:r>
        <w:t>; RFP was detected with</w:t>
      </w:r>
      <w:r w:rsidR="000E4439">
        <w:t xml:space="preserve"> the 561nm/615(20</w:t>
      </w:r>
      <w:r>
        <w:t>)</w:t>
      </w:r>
      <w:r w:rsidR="000E4439">
        <w:t xml:space="preserve">nm </w:t>
      </w:r>
      <w:proofErr w:type="spellStart"/>
      <w:r w:rsidR="000E4439">
        <w:t>dsRed</w:t>
      </w:r>
      <w:proofErr w:type="spellEnd"/>
      <w:r w:rsidR="000E4439">
        <w:t xml:space="preserve"> laser)</w:t>
      </w:r>
      <w:r>
        <w:t xml:space="preserve">. Samples were further diluted to allow precise detection in the cell sorter </w:t>
      </w:r>
      <w:r>
        <w:fldChar w:fldCharType="begin" w:fldLock="1"/>
      </w:r>
      <w: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"http://www.mendeley.com/documents/?uuid=b8baa827-c70c-419f-8430-616de02dd18e" ] } ], "mendeley" : { "formattedCitation" : "(Gallet et al. 2012a)", "plainTextFormattedCitation" : "(Gallet et al. 2012a)", "previouslyFormattedCitation" : "(Gallet et al. 2012a)" }, "properties" : { "noteIndex" : 0 }, "schema" : "https://github.com/citation-style-language/schema/raw/master/csl-citation.json" }</w:instrText>
      </w:r>
      <w:r>
        <w:fldChar w:fldCharType="separate"/>
      </w:r>
      <w:r w:rsidRPr="00223CEC">
        <w:rPr>
          <w:noProof/>
        </w:rPr>
        <w:t>(Gallet et al. 2012a)</w:t>
      </w:r>
      <w:r>
        <w:fldChar w:fldCharType="end"/>
      </w:r>
      <w:r w:rsidR="001F25C6">
        <w:t xml:space="preserve">, see </w:t>
      </w:r>
      <w:r w:rsidR="001F25C6" w:rsidRPr="001F25C6">
        <w:rPr>
          <w:highlight w:val="yellow"/>
        </w:rPr>
        <w:t>Table SX</w:t>
      </w:r>
      <w:r w:rsidR="001F25C6">
        <w:t xml:space="preserve"> for details</w:t>
      </w:r>
      <w:r>
        <w:t>.</w:t>
      </w:r>
    </w:p>
    <w:p w14:paraId="713B2385" w14:textId="3EF407F9" w:rsidR="00223CEC" w:rsidRDefault="00223CEC" w:rsidP="001F25C6">
      <w:r>
        <w:t xml:space="preserve">The cell sorter data was analyzed using R </w:t>
      </w:r>
      <w:r>
        <w:fldChar w:fldCharType="begin" w:fldLock="1"/>
      </w:r>
      <w:r w:rsidR="00E90C5B">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"(R Development Core Team 2012)", "plainTextFormattedCitation" : "(R Development Core Team 2012)", "previouslyFormattedCitation" : "(R Development Core Team 2012)" }, "properties" : { "noteIndex" : 0 }, "schema" : "https://github.com/citation-style-language/schema/raw/master/csl-citation.json" }</w:instrText>
      </w:r>
      <w:r>
        <w:fldChar w:fldCharType="separate"/>
      </w:r>
      <w:r w:rsidRPr="00223CEC">
        <w:rPr>
          <w:noProof/>
        </w:rPr>
        <w:t>(R Development Core Team 2012)</w:t>
      </w:r>
      <w:r>
        <w:fldChar w:fldCharType="end"/>
      </w:r>
      <w:r>
        <w:t xml:space="preserve"> with the </w:t>
      </w:r>
      <w:proofErr w:type="spellStart"/>
      <w:r w:rsidRPr="00257515">
        <w:rPr>
          <w:i/>
          <w:iCs/>
        </w:rPr>
        <w:t>flowPeaks</w:t>
      </w:r>
      <w:proofErr w:type="spellEnd"/>
      <w:r>
        <w:t xml:space="preserve"> package</w:t>
      </w:r>
      <w:r w:rsidR="00E90C5B">
        <w:t>, an unsupervised flow cytometry clustering algorithm</w:t>
      </w:r>
      <w:r>
        <w:t xml:space="preserve"> </w:t>
      </w:r>
      <w:r w:rsidR="00E90C5B">
        <w:fldChar w:fldCharType="begin" w:fldLock="1"/>
      </w:r>
      <w:r w:rsidR="00E90C5B">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"(Ge and Sealfon 2012)", "plainTextFormattedCitation" : "(Ge and Sealfon 2012)", "previouslyFormattedCitation" : "(Ge and Sealfon 2012)" }, "properties" : { "noteIndex" : 0 }, "schema" : "https://github.com/citation-style-language/schema/raw/master/csl-citation.json" }</w:instrText>
      </w:r>
      <w:r w:rsidR="00E90C5B">
        <w:fldChar w:fldCharType="separate"/>
      </w:r>
      <w:r w:rsidR="00E90C5B" w:rsidRPr="00E90C5B">
        <w:rPr>
          <w:noProof/>
        </w:rPr>
        <w:t>(Ge and Sealfon 2012)</w:t>
      </w:r>
      <w:r w:rsidR="00E90C5B">
        <w:fldChar w:fldCharType="end"/>
      </w:r>
      <w:r w:rsidR="00D14C66">
        <w:t xml:space="preserve">. </w:t>
      </w:r>
      <w:r w:rsidR="001F25C6">
        <w:t>The analysis scripts are included in</w:t>
      </w:r>
      <w:r w:rsidR="00D14C66">
        <w:t xml:space="preserve"> supporting files </w:t>
      </w:r>
      <w:r w:rsidR="00D14C66" w:rsidRPr="00E90C5B">
        <w:rPr>
          <w:highlight w:val="yellow"/>
        </w:rPr>
        <w:t>XXX</w:t>
      </w:r>
      <w:r w:rsidR="001F25C6">
        <w:t xml:space="preserve">; data </w:t>
      </w:r>
      <w:r w:rsidR="001F25C6" w:rsidRPr="001F25C6">
        <w:rPr>
          <w:highlight w:val="yellow"/>
        </w:rPr>
        <w:t>will be deposited in Dryad</w:t>
      </w:r>
      <w:r w:rsidR="001F25C6">
        <w:t>.</w:t>
      </w:r>
    </w:p>
    <w:p w14:paraId="0C6EB815" w14:textId="447359D6" w:rsidR="00E90C5B" w:rsidRDefault="00E90C5B" w:rsidP="000945FA">
      <w:pPr>
        <w:pStyle w:val="Heading2"/>
      </w:pPr>
      <w:r>
        <w:t>Data analysis</w:t>
      </w:r>
      <w:r w:rsidR="000945FA">
        <w:t xml:space="preserve">, </w:t>
      </w:r>
      <w:r>
        <w:t>model</w:t>
      </w:r>
      <w:r w:rsidR="000945FA">
        <w:t xml:space="preserve"> fitting and prediction, figure production</w:t>
      </w:r>
    </w:p>
    <w:p w14:paraId="6BE3A985" w14:textId="22C33D8F" w:rsidR="00814C7A" w:rsidRPr="00814C7A" w:rsidRDefault="00E90C5B" w:rsidP="001F25C6">
      <w:r>
        <w:t xml:space="preserve">Growth curve data was analyzed using </w:t>
      </w:r>
      <w:r>
        <w:rPr>
          <w:i/>
          <w:iCs/>
        </w:rPr>
        <w:t>Curveball</w:t>
      </w:r>
      <w:r>
        <w:t xml:space="preserve">, an open-source Python </w:t>
      </w:r>
      <w:r>
        <w:fldChar w:fldCharType="begin" w:fldLock="1"/>
      </w:r>
      <w:r>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fldChar w:fldCharType="separate"/>
      </w:r>
      <w:r w:rsidRPr="00E90C5B">
        <w:rPr>
          <w:noProof/>
        </w:rPr>
        <w:t>(Van Rossum and others 2007)</w:t>
      </w:r>
      <w:r>
        <w:fldChar w:fldCharType="end"/>
      </w:r>
      <w:r>
        <w:t xml:space="preserve"> package that implements our new method. </w:t>
      </w:r>
      <w:r w:rsidR="00814C7A">
        <w:rPr>
          <w:i/>
          <w:iCs/>
        </w:rPr>
        <w:t>Curveball</w:t>
      </w:r>
      <w:r w:rsidR="00814C7A">
        <w:t xml:space="preserve"> </w:t>
      </w:r>
      <w:r w:rsidR="00814C7A">
        <w:lastRenderedPageBreak/>
        <w:t xml:space="preserve">includes a command line interface and therefore doesn't require programming skills. See </w:t>
      </w:r>
      <w:hyperlink r:id="rId15" w:history="1">
        <w:r w:rsidR="00814C7A" w:rsidRPr="006456E2">
          <w:rPr>
            <w:rStyle w:val="Hyperlink"/>
          </w:rPr>
          <w:t>http://curveball.yoavram.com</w:t>
        </w:r>
      </w:hyperlink>
      <w:r w:rsidR="00814C7A">
        <w:t xml:space="preserve"> or </w:t>
      </w:r>
      <w:hyperlink r:id="rId16" w:history="1">
        <w:r w:rsidR="00814C7A" w:rsidRPr="006456E2">
          <w:rPr>
            <w:rStyle w:val="Hyperlink"/>
          </w:rPr>
          <w:t>https://github.com/yoavram/curveball</w:t>
        </w:r>
      </w:hyperlink>
      <w:r w:rsidR="00814C7A">
        <w:t xml:space="preserve"> for </w:t>
      </w:r>
      <w:r w:rsidR="001F25C6">
        <w:t>an installation</w:t>
      </w:r>
      <w:r w:rsidR="00814C7A">
        <w:t xml:space="preserve"> guide and a basic tutorial.</w:t>
      </w:r>
    </w:p>
    <w:p w14:paraId="2CE49779" w14:textId="2278C0F4" w:rsidR="00E90C5B" w:rsidRDefault="00E90C5B" w:rsidP="00814C7A">
      <w:r>
        <w:rPr>
          <w:i/>
          <w:iCs/>
        </w:rPr>
        <w:t>Curveball</w:t>
      </w:r>
      <w:r>
        <w:t xml:space="preserve"> makes use of several python packages: </w:t>
      </w:r>
      <w:proofErr w:type="spellStart"/>
      <w:r>
        <w:t>NumPy</w:t>
      </w:r>
      <w:proofErr w:type="spellEnd"/>
      <w:r>
        <w:t xml:space="preserve"> </w:t>
      </w:r>
      <w:r>
        <w:fldChar w:fldCharType="begin" w:fldLock="1"/>
      </w:r>
      <w:r w:rsidR="00814C7A">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"(Ste\u0301fan van der Walt, Colbert, and Varoquaux 2011)", "plainTextFormattedCitation" : "(Ste\u0301fan van der Walt, Colbert, and Varoquaux 2011)", "previouslyFormattedCitation" : "(Ste\u0301fan van der Walt, Colbert, and Varoquaux 2011)" }, "properties" : { "noteIndex" : 0 }, "schema" : "https://github.com/citation-style-language/schema/raw/master/csl-citation.json" }</w:instrText>
      </w:r>
      <w:r>
        <w:fldChar w:fldCharType="separate"/>
      </w:r>
      <w:r w:rsidR="00814C7A" w:rsidRPr="00814C7A">
        <w:rPr>
          <w:noProof/>
        </w:rPr>
        <w:t>(Stéfan van der Walt, Colbert, and Varoquaux 2011)</w:t>
      </w:r>
      <w:r>
        <w:fldChar w:fldCharType="end"/>
      </w:r>
      <w:r>
        <w:t xml:space="preserve">, </w:t>
      </w:r>
      <w:proofErr w:type="spellStart"/>
      <w:r>
        <w:t>SciPy</w:t>
      </w:r>
      <w:proofErr w:type="spellEnd"/>
      <w:r>
        <w:t xml:space="preserve"> </w:t>
      </w:r>
      <w:r>
        <w:fldChar w:fldCharType="begin" w:fldLock="1"/>
      </w:r>
      <w:r>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"(Jones et al. 2001)", "plainTextFormattedCitation" : "(Jones et al. 2001)", "previouslyFormattedCitation" : "(Jones et al. 2001)" }, "properties" : { "noteIndex" : 0 }, "schema" : "https://github.com/citation-style-language/schema/raw/master/csl-citation.json" }</w:instrText>
      </w:r>
      <w:r>
        <w:fldChar w:fldCharType="separate"/>
      </w:r>
      <w:r w:rsidRPr="00E90C5B">
        <w:rPr>
          <w:noProof/>
        </w:rPr>
        <w:t>(Jones et al. 2001)</w:t>
      </w:r>
      <w:r>
        <w:fldChar w:fldCharType="end"/>
      </w:r>
      <w:r>
        <w:t xml:space="preserve">, </w:t>
      </w:r>
      <w:proofErr w:type="spellStart"/>
      <w:r>
        <w:t>Matplotlib</w:t>
      </w:r>
      <w:proofErr w:type="spellEnd"/>
      <w:r>
        <w:t xml:space="preserve"> </w:t>
      </w:r>
      <w:r>
        <w:fldChar w:fldCharType="begin" w:fldLock="1"/>
      </w:r>
      <w:r>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"(Hunter 2007)", "plainTextFormattedCitation" : "(Hunter 2007)", "previouslyFormattedCitation" : "(Hunter 2007)" }, "properties" : { "noteIndex" : 0 }, "schema" : "https://github.com/citation-style-language/schema/raw/master/csl-citation.json" }</w:instrText>
      </w:r>
      <w:r>
        <w:fldChar w:fldCharType="separate"/>
      </w:r>
      <w:r w:rsidRPr="00E90C5B">
        <w:rPr>
          <w:noProof/>
        </w:rPr>
        <w:t>(Hunter 2007)</w:t>
      </w:r>
      <w:r>
        <w:fldChar w:fldCharType="end"/>
      </w:r>
      <w:r w:rsidR="00814C7A">
        <w:t xml:space="preserve">, Pandas </w:t>
      </w:r>
      <w:r w:rsidR="00814C7A">
        <w:fldChar w:fldCharType="begin" w:fldLock="1"/>
      </w:r>
      <w:r w:rsidR="00814C7A">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"(McKinney 2010)", "plainTextFormattedCitation" : "(McKinney 2010)", "previouslyFormattedCitation" : "(McKinney 2010)" }, "properties" : { "noteIndex" : 0 }, "schema" : "https://github.com/citation-style-language/schema/raw/master/csl-citation.json" }</w:instrText>
      </w:r>
      <w:r w:rsidR="00814C7A">
        <w:fldChar w:fldCharType="separate"/>
      </w:r>
      <w:r w:rsidR="00814C7A" w:rsidRPr="00814C7A">
        <w:rPr>
          <w:noProof/>
        </w:rPr>
        <w:t>(McKinney 2010)</w:t>
      </w:r>
      <w:r w:rsidR="00814C7A">
        <w:fldChar w:fldCharType="end"/>
      </w:r>
      <w:r w:rsidR="00814C7A">
        <w:t xml:space="preserve">, </w:t>
      </w:r>
      <w:proofErr w:type="spellStart"/>
      <w:r w:rsidR="00814C7A">
        <w:t>Seaborn</w:t>
      </w:r>
      <w:proofErr w:type="spellEnd"/>
      <w:r w:rsidR="00814C7A">
        <w:t xml:space="preserve"> </w:t>
      </w:r>
      <w:r w:rsidR="00814C7A">
        <w:fldChar w:fldCharType="begin" w:fldLock="1"/>
      </w:r>
      <w:r w:rsidR="00814C7A">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"(Waskom et al. 2015)", "plainTextFormattedCitation" : "(Waskom et al. 2015)", "previouslyFormattedCitation" : "(Waskom et al. 2015)" }, "properties" : { "noteIndex" : 0 }, "schema" : "https://github.com/citation-style-language/schema/raw/master/csl-citation.json" }</w:instrText>
      </w:r>
      <w:r w:rsidR="00814C7A">
        <w:fldChar w:fldCharType="separate"/>
      </w:r>
      <w:r w:rsidR="00814C7A" w:rsidRPr="00814C7A">
        <w:rPr>
          <w:noProof/>
        </w:rPr>
        <w:t>(Waskom et al. 2015)</w:t>
      </w:r>
      <w:r w:rsidR="00814C7A">
        <w:fldChar w:fldCharType="end"/>
      </w:r>
      <w:r>
        <w:t xml:space="preserve">, LMFIT </w:t>
      </w:r>
      <w:r>
        <w:fldChar w:fldCharType="begin" w:fldLock="1"/>
      </w:r>
      <w:r>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et al. 2014)", "plainTextFormattedCitation" : "(Newville et al. 2014)", "previouslyFormattedCitation" : "(Newville et al. 2014)" }, "properties" : { "noteIndex" : 0 }, "schema" : "https://github.com/citation-style-language/schema/raw/master/csl-citation.json" }</w:instrText>
      </w:r>
      <w:r>
        <w:fldChar w:fldCharType="separate"/>
      </w:r>
      <w:r w:rsidRPr="00E90C5B">
        <w:rPr>
          <w:noProof/>
        </w:rPr>
        <w:t>(Newville et al. 2014)</w:t>
      </w:r>
      <w:r>
        <w:fldChar w:fldCharType="end"/>
      </w:r>
      <w:r>
        <w:t xml:space="preserve">, and </w:t>
      </w:r>
      <w:proofErr w:type="spellStart"/>
      <w:r>
        <w:t>SymPy</w:t>
      </w:r>
      <w:proofErr w:type="spellEnd"/>
      <w:r>
        <w:t xml:space="preserve"> </w:t>
      </w:r>
      <w:r>
        <w:fldChar w:fldCharType="begin" w:fldLock="1"/>
      </w:r>
      <w:r w:rsidR="00814C7A">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"(SymPy Development Team 2014)", "plainTextFormattedCitation" : "(SymPy Development Team 2014)", "previouslyFormattedCitation" : "(SymPy Development Team 2014)" }, "properties" : { "noteIndex" : 0 }, "schema" : "https://github.com/citation-style-language/schema/raw/master/csl-citation.json" }</w:instrText>
      </w:r>
      <w:r>
        <w:fldChar w:fldCharType="separate"/>
      </w:r>
      <w:r w:rsidRPr="00E90C5B">
        <w:rPr>
          <w:noProof/>
        </w:rPr>
        <w:t>(SymPy Development Team 2014)</w:t>
      </w:r>
      <w:r>
        <w:fldChar w:fldCharType="end"/>
      </w:r>
      <w:r>
        <w:t xml:space="preserve">. </w:t>
      </w:r>
    </w:p>
    <w:p w14:paraId="7581083C" w14:textId="534659DB" w:rsidR="00814C7A" w:rsidRDefault="00814C7A" w:rsidP="001F25C6">
      <w:r>
        <w:t xml:space="preserve">The analysis presented in this article, including all figures, </w:t>
      </w:r>
      <w:r w:rsidR="001F25C6">
        <w:t>was</w:t>
      </w:r>
      <w:r>
        <w:t xml:space="preserve"> produce</w:t>
      </w:r>
      <w:r w:rsidR="001F25C6">
        <w:t>d</w:t>
      </w:r>
      <w:r>
        <w:t xml:space="preserve"> using a </w:t>
      </w:r>
      <w:proofErr w:type="spellStart"/>
      <w:r>
        <w:t>Jupyter</w:t>
      </w:r>
      <w:proofErr w:type="spellEnd"/>
      <w:r>
        <w:t xml:space="preserve"> notebook </w:t>
      </w:r>
      <w:r>
        <w:fldChar w:fldCharType="begin" w:fldLock="1"/>
      </w:r>
      <w:r w:rsidR="004D4A11">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"(Perez and Granger 2007)", "plainTextFormattedCitation" : "(Perez and Granger 2007)", "previouslyFormattedCitation" : "(Perez and Granger 2007)" }, "properties" : { "noteIndex" : 0 }, "schema" : "https://github.com/citation-style-language/schema/raw/master/csl-citation.json" }</w:instrText>
      </w:r>
      <w:r>
        <w:fldChar w:fldCharType="separate"/>
      </w:r>
      <w:r w:rsidRPr="00814C7A">
        <w:rPr>
          <w:noProof/>
        </w:rPr>
        <w:t>(Perez and Granger 2007)</w:t>
      </w:r>
      <w:r>
        <w:fldChar w:fldCharType="end"/>
      </w:r>
      <w:r>
        <w:t xml:space="preserve">, </w:t>
      </w:r>
      <w:r w:rsidR="001F25C6">
        <w:t>available here</w:t>
      </w:r>
      <w:r>
        <w:t xml:space="preserve"> as a supporting file </w:t>
      </w:r>
      <w:r w:rsidRPr="00814C7A">
        <w:rPr>
          <w:highlight w:val="yellow"/>
        </w:rPr>
        <w:t>XXX</w:t>
      </w:r>
      <w:r>
        <w:t xml:space="preserve"> or at </w:t>
      </w:r>
      <w:r w:rsidRPr="00814C7A">
        <w:rPr>
          <w:highlight w:val="yellow"/>
        </w:rPr>
        <w:t>https://github.com/yoavram/....</w:t>
      </w:r>
    </w:p>
    <w:p w14:paraId="701ABB3D" w14:textId="77777777" w:rsidR="009C4366" w:rsidRDefault="009C4366" w:rsidP="00507681">
      <w:pPr>
        <w:pStyle w:val="Heading1"/>
      </w:pPr>
      <w:r>
        <w:t>Acknowledgments</w:t>
      </w:r>
    </w:p>
    <w:p w14:paraId="7423A734" w14:textId="145F7164" w:rsidR="00575946" w:rsidRPr="008436AC" w:rsidRDefault="009C4366" w:rsidP="00F80CD3">
      <w:pPr>
        <w:rPr>
          <w:rFonts w:ascii="Times New Roman" w:eastAsia="Times New Roman" w:hAnsi="Times New Roman" w:cs="Times New Roman"/>
        </w:rPr>
      </w:pPr>
      <w:r w:rsidRPr="009C4366">
        <w:t xml:space="preserve">We thank Y. </w:t>
      </w:r>
      <w:proofErr w:type="spellStart"/>
      <w:r w:rsidRPr="009C4366">
        <w:t>Pilpel</w:t>
      </w:r>
      <w:proofErr w:type="spellEnd"/>
      <w:r w:rsidRPr="009C4366">
        <w:t xml:space="preserve">, D. </w:t>
      </w:r>
      <w:proofErr w:type="spellStart"/>
      <w:r w:rsidRPr="009C4366">
        <w:t>Hizi</w:t>
      </w:r>
      <w:proofErr w:type="spellEnd"/>
      <w:r w:rsidRPr="009C4366">
        <w:t>,</w:t>
      </w:r>
      <w:r w:rsidR="00574E06">
        <w:t xml:space="preserve"> I. Françoise, </w:t>
      </w:r>
      <w:r w:rsidRPr="009C4366">
        <w:t xml:space="preserve">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74E06">
        <w:t xml:space="preserve">T. </w:t>
      </w:r>
      <w:proofErr w:type="spellStart"/>
      <w:r w:rsidR="00574E06">
        <w:t>Pupko</w:t>
      </w:r>
      <w:proofErr w:type="spellEnd"/>
      <w:r w:rsidR="00574E06">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F80CD3" w:rsidRPr="009C4366">
        <w:t xml:space="preserve">E. Kroll, </w:t>
      </w:r>
      <w:r w:rsidR="009C1B7D">
        <w:t xml:space="preserve">H. </w:t>
      </w:r>
      <w:proofErr w:type="spellStart"/>
      <w:r w:rsidR="009C1B7D">
        <w:t>Acar</w:t>
      </w:r>
      <w:proofErr w:type="spellEnd"/>
      <w:r w:rsidR="009C1B7D">
        <w:t>,</w:t>
      </w:r>
      <w:r w:rsidR="00090EE9">
        <w:t xml:space="preserve"> J. Barrick</w:t>
      </w:r>
      <w:r w:rsidR="00574E06">
        <w:t>,</w:t>
      </w:r>
      <w:r w:rsidR="008F3527">
        <w:t xml:space="preserve"> </w:t>
      </w:r>
      <w:r w:rsidR="00D77AD4">
        <w:t xml:space="preserve">A.C. </w:t>
      </w:r>
      <w:r w:rsidR="00D77AD4" w:rsidRPr="00D77AD4">
        <w:t>Gerstein</w:t>
      </w:r>
      <w:r w:rsidR="00D77AD4">
        <w:t xml:space="preserve">, N. </w:t>
      </w:r>
      <w:proofErr w:type="spellStart"/>
      <w:r w:rsidR="00D77AD4" w:rsidRPr="00D77AD4">
        <w:t>Antonovsky</w:t>
      </w:r>
      <w:proofErr w:type="spellEnd"/>
      <w:r w:rsidR="00D77AD4">
        <w:t>,</w:t>
      </w:r>
      <w:r w:rsidR="009C1B7D">
        <w:t xml:space="preserve"> </w:t>
      </w:r>
      <w:r w:rsidR="00F80CD3">
        <w:t xml:space="preserve">E. Rosenberg, </w:t>
      </w:r>
      <w:r>
        <w:t xml:space="preserve">and J. </w:t>
      </w:r>
      <w:proofErr w:type="spellStart"/>
      <w:r>
        <w:t>Masel</w:t>
      </w:r>
      <w:proofErr w:type="spellEnd"/>
      <w:r>
        <w:t xml:space="preserve"> for helpful discussions</w:t>
      </w:r>
      <w:r w:rsidR="00574E06">
        <w:t xml:space="preserve"> </w:t>
      </w:r>
      <w:r w:rsidR="00D77AD4">
        <w:t xml:space="preserve">and comments, </w:t>
      </w:r>
      <w:r w:rsidR="00574E06">
        <w:t xml:space="preserve">and L. </w:t>
      </w:r>
      <w:proofErr w:type="spellStart"/>
      <w:r w:rsidR="00574E06">
        <w:t>Zelcbuch</w:t>
      </w:r>
      <w:proofErr w:type="spellEnd"/>
      <w:r w:rsidR="00574E06">
        <w:t xml:space="preserve">, </w:t>
      </w:r>
      <w:r w:rsidR="00574E06" w:rsidRPr="00574E06">
        <w:rPr>
          <w:lang w:val="en-GB"/>
        </w:rPr>
        <w:t xml:space="preserve">N. Wertheimer, A. Rosenberg, A. </w:t>
      </w:r>
      <w:proofErr w:type="spellStart"/>
      <w:r w:rsidR="00574E06" w:rsidRPr="00574E06">
        <w:rPr>
          <w:lang w:val="en-GB"/>
        </w:rPr>
        <w:t>Zisman</w:t>
      </w:r>
      <w:proofErr w:type="spellEnd"/>
      <w:r w:rsidR="00574E06" w:rsidRPr="00574E06">
        <w:rPr>
          <w:lang w:val="en-GB"/>
        </w:rPr>
        <w:t xml:space="preserve">, F. Yang, E. </w:t>
      </w:r>
      <w:proofErr w:type="spellStart"/>
      <w:r w:rsidR="00574E06" w:rsidRPr="00574E06">
        <w:rPr>
          <w:lang w:val="en-GB"/>
        </w:rPr>
        <w:t>Shtifman</w:t>
      </w:r>
      <w:proofErr w:type="spellEnd"/>
      <w:r w:rsidR="00574E06" w:rsidRPr="00574E06">
        <w:rPr>
          <w:lang w:val="en-GB"/>
        </w:rPr>
        <w:t xml:space="preserve"> Segal, and R. </w:t>
      </w:r>
      <w:proofErr w:type="spellStart"/>
      <w:r w:rsidR="00574E06" w:rsidRPr="00574E06">
        <w:rPr>
          <w:lang w:val="en-GB"/>
        </w:rPr>
        <w:t>Yaari</w:t>
      </w:r>
      <w:proofErr w:type="spellEnd"/>
      <w:r w:rsidR="00574E06">
        <w:rPr>
          <w:lang w:val="en-GB"/>
        </w:rPr>
        <w:t xml:space="preserve"> for sharing materials and experimental advice</w:t>
      </w:r>
      <w:r>
        <w:t xml:space="preserve">.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w:t>
      </w:r>
      <w:r w:rsidR="006F0C9C" w:rsidRPr="006F0C9C">
        <w:rPr>
          <w:bCs/>
        </w:rPr>
        <w:t xml:space="preserve">TAU Global Research and Training Fellowship in Medical and Life Science and </w:t>
      </w:r>
      <w:r w:rsidR="008436AC">
        <w:rPr>
          <w:bCs/>
        </w:rPr>
        <w:t>t</w:t>
      </w:r>
      <w:r w:rsidR="006F0C9C" w:rsidRPr="006F0C9C">
        <w:rPr>
          <w:bCs/>
        </w:rPr>
        <w:t>he Naomi Foundation</w:t>
      </w:r>
      <w:r w:rsidR="006F0C9C" w:rsidRPr="006F0C9C">
        <w:t xml:space="preserve"> </w:t>
      </w:r>
      <w:r w:rsidR="00EB198A">
        <w:t xml:space="preserve">(MB),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r w:rsidR="00575946">
        <w:br w:type="page"/>
      </w:r>
    </w:p>
    <w:p w14:paraId="16D27233" w14:textId="77777777" w:rsidR="00575946" w:rsidRDefault="00575946" w:rsidP="00575946">
      <w:pPr>
        <w:pStyle w:val="Heading1"/>
      </w:pPr>
      <w:r>
        <w:lastRenderedPageBreak/>
        <w:t>Appendices</w:t>
      </w:r>
    </w:p>
    <w:p w14:paraId="392D3E96" w14:textId="4EB0FFA2" w:rsidR="00960D78" w:rsidRDefault="00960D78" w:rsidP="00960D78">
      <w:pPr>
        <w:pStyle w:val="Heading2"/>
      </w:pPr>
      <w:r>
        <w:t>Appendix A: Monoculture model</w:t>
      </w:r>
    </w:p>
    <w:p w14:paraId="17C6D8C3" w14:textId="77777777" w:rsidR="00960D78" w:rsidRDefault="00960D78" w:rsidP="00960D78">
      <w:r>
        <w:t xml:space="preserve">We derive our growth models from a resource consumption perspective </w:t>
      </w:r>
      <w:r>
        <w:fldChar w:fldCharType="begin" w:fldLock="1"/>
      </w:r>
      <w: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"mendeley" : { "formattedCitation" : "(Otto and Day 2007, 365)", "plainTextFormattedCitation" : "(Otto and Day 2007, 365)", "previouslyFormattedCitation" : "(Otto and Day 2007, 365)" }, "properties" : { "noteIndex" : 0 }, "schema" : "https://github.com/citation-style-language/schema/raw/master/csl-citation.json" }</w:instrText>
      </w:r>
      <w:r>
        <w:fldChar w:fldCharType="separate"/>
      </w:r>
      <w:r w:rsidRPr="00DA4024">
        <w:rPr>
          <w:noProof/>
        </w:rPr>
        <w:t>(Otto and Day 2007, 365)</w:t>
      </w:r>
      <w:r>
        <w:fldChar w:fldCharType="end"/>
      </w:r>
      <w:r>
        <w:t xml:space="preserve">.  Denote by </w:t>
      </w:r>
      <m:oMath>
        <m:r>
          <w:rPr>
            <w:rFonts w:ascii="Cambria Math" w:hAnsi="Cambria Math"/>
          </w:rPr>
          <m:t>R</m:t>
        </m:r>
      </m:oMath>
      <w:r>
        <w:t xml:space="preserve"> the density of a limiting resource and by </w:t>
      </w:r>
      <m:oMath>
        <m:r>
          <w:rPr>
            <w:rFonts w:ascii="Cambria Math" w:hAnsi="Cambria Math"/>
          </w:rPr>
          <m:t>N</m:t>
        </m:r>
      </m:oMath>
      <w:r>
        <w:t xml:space="preserve"> the density of the population cells, both in total mass per unit of volume. Because cells intake resources via their surface, we denote </w:t>
      </w: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oMath>
      <w:r>
        <w:t xml:space="preserve"> to be the total surface of the cells, in total area per unit of volume. The parameter </w:t>
      </w:r>
      <m:oMath>
        <m:r>
          <w:rPr>
            <w:rFonts w:ascii="Cambria Math" w:hAnsi="Cambria Math"/>
          </w:rPr>
          <m:t>ν</m:t>
        </m:r>
      </m:oMath>
      <w:r>
        <w:t xml:space="preserve"> can be considered the </w:t>
      </w:r>
      <w:proofErr w:type="spellStart"/>
      <w:r>
        <w:t>surface</w:t>
      </w:r>
      <w:proofErr w:type="gramStart"/>
      <w:r>
        <w:t>:mass</w:t>
      </w:r>
      <w:proofErr w:type="spellEnd"/>
      <w:proofErr w:type="gramEnd"/>
      <w:r>
        <w:t xml:space="preserve"> ratio for all cells; for a single, spheroid cell, this would be 2/3 </w:t>
      </w:r>
      <w:r w:rsidRPr="00F1445E">
        <w:rPr>
          <w:highlight w:val="yellow"/>
        </w:rPr>
        <w:t>[?]</w:t>
      </w:r>
      <w:r>
        <w:t>.</w:t>
      </w:r>
    </w:p>
    <w:p w14:paraId="42766344" w14:textId="77777777" w:rsidR="00960D78" w:rsidRDefault="00960D78" w:rsidP="00960D78">
      <w:r>
        <w:t xml:space="preserve">We assume that the culture is well-mixed and homogeneous and that the resource is depleted by the growing population without being replenished. Therefore, the intake of resources occurs when cells meet resource via mass action law with resource intake </w:t>
      </w:r>
      <w:proofErr w:type="gramStart"/>
      <w:r>
        <w:t xml:space="preserve">rate </w:t>
      </w:r>
      <w:proofErr w:type="gramEnd"/>
      <m:oMath>
        <m:r>
          <w:rPr>
            <w:rFonts w:ascii="Cambria Math" w:hAnsi="Cambria Math"/>
          </w:rPr>
          <m:t>h</m:t>
        </m:r>
      </m:oMath>
      <w:r>
        <w:t xml:space="preserve">. Once inside the cell, resources are converted to cell material at a </w:t>
      </w:r>
      <w:proofErr w:type="gramStart"/>
      <w:r>
        <w:t xml:space="preserve">rate </w:t>
      </w:r>
      <w:proofErr w:type="gramEnd"/>
      <m:oMath>
        <m:r>
          <w:rPr>
            <w:rFonts w:ascii="Cambria Math" w:hAnsi="Cambria Math" w:cs="Arial"/>
          </w:rPr>
          <m:t>μ</m:t>
        </m:r>
      </m:oMath>
      <w:r>
        <w:t>. The differential equations describing this process are:</w:t>
      </w:r>
      <w:r w:rsidRPr="00D42D4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2118A761" w14:textId="77777777" w:rsidTr="008436AC">
        <w:tc>
          <w:tcPr>
            <w:tcW w:w="1242" w:type="dxa"/>
            <w:vAlign w:val="center"/>
          </w:tcPr>
          <w:p w14:paraId="52CB0AE8" w14:textId="77777777" w:rsidR="00960D78" w:rsidRDefault="00960D78" w:rsidP="008436AC">
            <w:pPr>
              <w:jc w:val="right"/>
            </w:pPr>
          </w:p>
        </w:tc>
        <w:tc>
          <w:tcPr>
            <w:tcW w:w="5812" w:type="dxa"/>
            <w:vAlign w:val="center"/>
          </w:tcPr>
          <w:p w14:paraId="526E5300" w14:textId="77777777" w:rsidR="00960D78" w:rsidRDefault="00960D78" w:rsidP="008436AC">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14:paraId="6D731657" w14:textId="77777777" w:rsidR="00960D78" w:rsidRDefault="00960D78" w:rsidP="008436AC">
            <w:pPr>
              <w:jc w:val="right"/>
            </w:pPr>
            <w:r>
              <w:t>[A1a]</w:t>
            </w:r>
          </w:p>
          <w:p w14:paraId="732D04A8" w14:textId="77777777" w:rsidR="00960D78" w:rsidRDefault="00960D78" w:rsidP="008436AC">
            <w:pPr>
              <w:jc w:val="right"/>
            </w:pPr>
            <w:r>
              <w:t>[A1b]</w:t>
            </w:r>
          </w:p>
        </w:tc>
      </w:tr>
    </w:tbl>
    <w:p w14:paraId="49DA01F0" w14:textId="77777777" w:rsidR="00960D78" w:rsidRDefault="00960D78" w:rsidP="00960D78">
      <w:pPr>
        <w:ind w:firstLine="0"/>
      </w:pPr>
      <w:r>
        <w:t>However, we are interested in cell mass, rather than cell surface:</w:t>
      </w:r>
    </w:p>
    <w:p w14:paraId="4B893BE3" w14:textId="77777777" w:rsidR="00960D78" w:rsidRPr="00F1445E" w:rsidRDefault="00960D78" w:rsidP="00960D78">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6ACB5C4A" w14:textId="77777777" w:rsidR="00960D78" w:rsidRPr="00F1445E" w:rsidRDefault="00960D78"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dy</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16A06125" w14:textId="77777777" w:rsidR="00960D78" w:rsidRPr="00F1445E" w:rsidRDefault="00960D78"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μhR</m:t>
              </m:r>
              <m:sSup>
                <m:sSupPr>
                  <m:ctrlPr>
                    <w:rPr>
                      <w:rFonts w:ascii="Cambria Math" w:hAnsi="Cambria Math"/>
                      <w:i/>
                    </w:rPr>
                  </m:ctrlPr>
                </m:sSupPr>
                <m:e>
                  <m:r>
                    <w:rPr>
                      <w:rFonts w:ascii="Cambria Math" w:hAnsi="Cambria Math"/>
                    </w:rPr>
                    <m:t>N</m:t>
                  </m:r>
                </m:e>
                <m:sup>
                  <m:r>
                    <w:rPr>
                      <w:rFonts w:ascii="Cambria Math" w:hAnsi="Cambria Math"/>
                    </w:rPr>
                    <m:t>ν</m:t>
                  </m:r>
                </m:sup>
              </m:sSup>
            </m:num>
            <m:den>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den>
          </m:f>
          <m:r>
            <w:rPr>
              <w:rFonts w:ascii="Cambria Math" w:hAnsi="Cambria Math"/>
            </w:rPr>
            <m:t>⇒</m:t>
          </m:r>
        </m:oMath>
      </m:oMathPara>
    </w:p>
    <w:p w14:paraId="21BB8F40" w14:textId="77777777" w:rsidR="00960D78" w:rsidRPr="00F1445E" w:rsidRDefault="00960D78" w:rsidP="00960D78">
      <w:pPr>
        <w:jc w:val="center"/>
        <w:rPr>
          <w:rFonts w:asciiTheme="minorHAnsi" w:hAnsiTheme="minorHAnsi" w:cstheme="minorBidi"/>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ν</m:t>
            </m:r>
          </m:den>
        </m:f>
        <m:r>
          <w:rPr>
            <w:rFonts w:ascii="Cambria Math" w:hAnsi="Cambria Math"/>
          </w:rPr>
          <m:t>hR</m:t>
        </m:r>
        <m:r>
          <w:rPr>
            <w:rFonts w:ascii="Cambria Math" w:hAnsi="Cambria Math"/>
          </w:rPr>
          <m:t>N</m:t>
        </m:r>
      </m:oMath>
      <w:r>
        <w:rPr>
          <w:rFonts w:asciiTheme="minorHAnsi" w:hAnsiTheme="minorHAnsi" w:cstheme="minorBidi"/>
        </w:rPr>
        <w:t>,</w:t>
      </w:r>
    </w:p>
    <w:p w14:paraId="337356AE" w14:textId="77777777" w:rsidR="00960D78" w:rsidRDefault="00960D78" w:rsidP="00960D78">
      <w:proofErr w:type="gramStart"/>
      <w:r>
        <w:t>which</w:t>
      </w:r>
      <w:proofErr w:type="gramEnd"/>
      <w:r>
        <w:t xml:space="preserve"> gives us the equivalent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7BD499E9" w14:textId="77777777" w:rsidTr="008436AC">
        <w:tc>
          <w:tcPr>
            <w:tcW w:w="1242" w:type="dxa"/>
            <w:vAlign w:val="center"/>
          </w:tcPr>
          <w:p w14:paraId="6AD10F2D" w14:textId="77777777" w:rsidR="00960D78" w:rsidRDefault="00960D78" w:rsidP="008436AC">
            <w:pPr>
              <w:jc w:val="right"/>
            </w:pPr>
          </w:p>
        </w:tc>
        <w:tc>
          <w:tcPr>
            <w:tcW w:w="5812" w:type="dxa"/>
            <w:vAlign w:val="center"/>
          </w:tcPr>
          <w:p w14:paraId="71401380" w14:textId="77777777" w:rsidR="00960D78" w:rsidRDefault="00960D78" w:rsidP="008436AC">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t>,</w:t>
            </w:r>
          </w:p>
        </w:tc>
        <w:tc>
          <w:tcPr>
            <w:tcW w:w="1468" w:type="dxa"/>
            <w:vAlign w:val="center"/>
          </w:tcPr>
          <w:p w14:paraId="423913C1" w14:textId="77777777" w:rsidR="00960D78" w:rsidRDefault="00960D78" w:rsidP="008436AC">
            <w:pPr>
              <w:jc w:val="right"/>
            </w:pPr>
            <w:r>
              <w:t>[A2a]</w:t>
            </w:r>
          </w:p>
          <w:p w14:paraId="22B7AF81" w14:textId="77777777" w:rsidR="00960D78" w:rsidRDefault="00960D78" w:rsidP="008436AC">
            <w:pPr>
              <w:jc w:val="right"/>
            </w:pPr>
            <w:r>
              <w:t>[A2b]</w:t>
            </w:r>
          </w:p>
        </w:tc>
      </w:tr>
    </w:tbl>
    <w:p w14:paraId="26218CBD" w14:textId="77777777" w:rsidR="00960D78" w:rsidRDefault="00960D78" w:rsidP="00960D78">
      <w:proofErr w:type="gramStart"/>
      <w:r>
        <w:t xml:space="preserve">with </w:t>
      </w:r>
      <w:proofErr w:type="gramEnd"/>
      <m:oMath>
        <m:r>
          <w:rPr>
            <w:rFonts w:ascii="Cambria Math" w:hAnsi="Cambria Math"/>
          </w:rPr>
          <m:t>ϵ=</m:t>
        </m:r>
        <m:f>
          <m:fPr>
            <m:ctrlPr>
              <w:rPr>
                <w:rFonts w:ascii="Cambria Math" w:hAnsi="Cambria Math"/>
                <w:i/>
              </w:rPr>
            </m:ctrlPr>
          </m:fPr>
          <m:num>
            <m:r>
              <w:rPr>
                <w:rFonts w:ascii="Cambria Math" w:hAnsi="Cambria Math"/>
              </w:rPr>
              <m:t>μ</m:t>
            </m:r>
          </m:num>
          <m:den>
            <m:r>
              <w:rPr>
                <w:rFonts w:ascii="Cambria Math" w:hAnsi="Cambria Math"/>
              </w:rPr>
              <m:t>ν</m:t>
            </m:r>
          </m:den>
        </m:f>
      </m:oMath>
      <w:r>
        <w:t xml:space="preserve">. To solve this system, we use a conservation law approach by setting </w:t>
      </w:r>
      <m:oMath>
        <m:r>
          <w:rPr>
            <w:rFonts w:ascii="Cambria Math" w:hAnsi="Cambria Math"/>
          </w:rPr>
          <m:t>M=μR+Y</m:t>
        </m:r>
      </m:oMath>
      <w:r>
        <w:t xml:space="preserve"> </w:t>
      </w:r>
      <w:r>
        <w:fldChar w:fldCharType="begin" w:fldLock="1"/>
      </w:r>
      <w:r>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fldChar w:fldCharType="separate"/>
      </w:r>
      <w:r w:rsidRPr="001779D8">
        <w:rPr>
          <w:noProof/>
        </w:rPr>
        <w:t>(Dilao and Domingos 1999)</w:t>
      </w:r>
      <w:r>
        <w:fldChar w:fldCharType="end"/>
      </w:r>
      <w:r>
        <w:t xml:space="preserve">. We find that </w:t>
      </w:r>
      <w:r>
        <w:rPr>
          <w:i/>
          <w:iCs/>
        </w:rPr>
        <w:t>M</w:t>
      </w:r>
      <w:r>
        <w:t xml:space="preserve"> is constant:</w:t>
      </w:r>
    </w:p>
    <w:p w14:paraId="7020E355" w14:textId="77777777" w:rsidR="00960D78" w:rsidRPr="0001424B" w:rsidRDefault="00960D78" w:rsidP="00960D78">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t>,</w:t>
      </w:r>
    </w:p>
    <w:p w14:paraId="38BE2851" w14:textId="77777777" w:rsidR="00960D78" w:rsidRDefault="00960D78" w:rsidP="00960D78">
      <w:pPr>
        <w:ind w:firstLine="0"/>
      </w:pPr>
      <w:proofErr w:type="gramStart"/>
      <w:r>
        <w:t>and</w:t>
      </w:r>
      <w:proofErr w:type="gramEnd"/>
      <w:r>
        <w:t xml:space="preserve"> so we can substitute </w:t>
      </w:r>
      <m:oMath>
        <m:r>
          <w:rPr>
            <w:rFonts w:ascii="Cambria Math" w:hAnsi="Cambria Math"/>
          </w:rPr>
          <m:t>μR=M-Y</m:t>
        </m:r>
      </m:oMath>
      <w:r>
        <w:t xml:space="preserve"> in eq. A1b: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6F0D31FB" w14:textId="77777777" w:rsidTr="008436AC">
        <w:tc>
          <w:tcPr>
            <w:tcW w:w="1951" w:type="dxa"/>
            <w:vAlign w:val="center"/>
          </w:tcPr>
          <w:p w14:paraId="721D8F9A" w14:textId="77777777" w:rsidR="00960D78" w:rsidRDefault="00960D78" w:rsidP="008436AC">
            <w:pPr>
              <w:jc w:val="right"/>
            </w:pPr>
          </w:p>
        </w:tc>
        <w:tc>
          <w:tcPr>
            <w:tcW w:w="5103" w:type="dxa"/>
            <w:vAlign w:val="center"/>
          </w:tcPr>
          <w:p w14:paraId="731B0186" w14:textId="77777777" w:rsidR="00960D78" w:rsidRDefault="00960D78" w:rsidP="008436AC">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t>.</w:t>
            </w:r>
          </w:p>
        </w:tc>
        <w:tc>
          <w:tcPr>
            <w:tcW w:w="1468" w:type="dxa"/>
            <w:vAlign w:val="center"/>
          </w:tcPr>
          <w:p w14:paraId="6E16782C" w14:textId="77777777" w:rsidR="00960D78" w:rsidRDefault="00960D78" w:rsidP="008436AC">
            <w:pPr>
              <w:jc w:val="right"/>
            </w:pPr>
            <w:r>
              <w:t>[A3]</w:t>
            </w:r>
          </w:p>
        </w:tc>
      </w:tr>
    </w:tbl>
    <w:p w14:paraId="68437014" w14:textId="77777777" w:rsidR="00960D78" w:rsidRDefault="00960D78" w:rsidP="00960D78">
      <w:r>
        <w:t xml:space="preserve">Substituting </w:t>
      </w:r>
      <w:proofErr w:type="gramStart"/>
      <w:r>
        <w:t xml:space="preserve">again </w:t>
      </w:r>
      <w:proofErr w:type="gramEnd"/>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t xml:space="preserve">, and defining </w:t>
      </w:r>
      <m:oMath>
        <m:r>
          <w:rPr>
            <w:rFonts w:ascii="Cambria Math" w:hAnsi="Cambria Math"/>
          </w:rPr>
          <m:t>K=</m:t>
        </m:r>
        <m:rad>
          <m:radPr>
            <m:ctrlPr>
              <w:rPr>
                <w:rFonts w:ascii="Cambria Math" w:hAnsi="Cambria Math"/>
                <w:i/>
              </w:rPr>
            </m:ctrlPr>
          </m:radPr>
          <m:deg>
            <m:r>
              <w:rPr>
                <w:rFonts w:ascii="Cambria Math" w:hAnsi="Cambria Math"/>
              </w:rPr>
              <m:t>ν</m:t>
            </m:r>
          </m:deg>
          <m:e>
            <m:r>
              <w:rPr>
                <w:rFonts w:ascii="Cambria Math" w:hAnsi="Cambria Math"/>
              </w:rPr>
              <m:t>M</m:t>
            </m:r>
          </m:e>
        </m:rad>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0183EC5" w14:textId="77777777" w:rsidTr="008436AC">
        <w:tc>
          <w:tcPr>
            <w:tcW w:w="1951" w:type="dxa"/>
            <w:vAlign w:val="center"/>
          </w:tcPr>
          <w:p w14:paraId="7E2F9FE1" w14:textId="77777777" w:rsidR="00960D78" w:rsidRDefault="00960D78" w:rsidP="008436AC">
            <w:pPr>
              <w:jc w:val="right"/>
            </w:pPr>
          </w:p>
        </w:tc>
        <w:tc>
          <w:tcPr>
            <w:tcW w:w="5103" w:type="dxa"/>
            <w:vAlign w:val="center"/>
          </w:tcPr>
          <w:p w14:paraId="04157B2B" w14:textId="77777777" w:rsidR="00960D78" w:rsidRDefault="00960D78"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w:t>
            </w:r>
          </w:p>
        </w:tc>
        <w:tc>
          <w:tcPr>
            <w:tcW w:w="1468" w:type="dxa"/>
            <w:vAlign w:val="center"/>
          </w:tcPr>
          <w:p w14:paraId="4722E0D6" w14:textId="77777777" w:rsidR="00960D78" w:rsidRDefault="00960D78" w:rsidP="008436AC">
            <w:pPr>
              <w:jc w:val="right"/>
            </w:pPr>
            <w:r>
              <w:t>[A4]</w:t>
            </w:r>
          </w:p>
        </w:tc>
      </w:tr>
    </w:tbl>
    <w:p w14:paraId="5D2CDAEA" w14:textId="77777777" w:rsidR="00960D78" w:rsidRDefault="00960D78" w:rsidP="00960D78">
      <w:r>
        <w:t xml:space="preserve">which is the Richards differential equation </w:t>
      </w: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A37B5D">
        <w:rPr>
          <w:noProof/>
        </w:rPr>
        <w:t>(Richards 1959)</w:t>
      </w:r>
      <w:r>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t xml:space="preserve">. </w:t>
      </w:r>
    </w:p>
    <w:p w14:paraId="1CD72A90" w14:textId="77777777" w:rsidR="00960D78" w:rsidRDefault="00960D78" w:rsidP="00960D78">
      <w:proofErr w:type="gramStart"/>
      <w:r>
        <w:t>Eq. A4 via eq. A3, which is a logistic equation and therefore has a known solution.</w:t>
      </w:r>
      <w:proofErr w:type="gramEnd"/>
      <w:r>
        <w:t xml:space="preserve"> Setting the initial cell </w:t>
      </w:r>
      <w:proofErr w:type="gramStart"/>
      <w:r>
        <w:t xml:space="preserve">density </w:t>
      </w:r>
      <w:proofErr w:type="gramEnd"/>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14:paraId="05888AD7" w14:textId="77777777" w:rsidR="00960D78" w:rsidRDefault="00960D78" w:rsidP="00960D78">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t>.</w:t>
      </w:r>
    </w:p>
    <w:p w14:paraId="62431A3E" w14:textId="77777777" w:rsidR="00960D78" w:rsidRDefault="00960D78" w:rsidP="00960D78">
      <w:r>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t xml:space="preserve"> doesn't depend </w:t>
      </w:r>
      <w:proofErr w:type="gramStart"/>
      <w:r>
        <w:t xml:space="preserve">on </w:t>
      </w:r>
      <w:proofErr w:type="gramEnd"/>
      <m:oMath>
        <m:r>
          <w:rPr>
            <w:rFonts w:ascii="Cambria Math" w:hAnsi="Cambria Math"/>
          </w:rPr>
          <m:t>t</m:t>
        </m:r>
      </m:oMath>
      <w:r>
        <w:t xml:space="preserve">). To include a lag phase, Baranyi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53290E">
        <w:rPr>
          <w:noProof/>
        </w:rPr>
        <w:t>(1994)</w:t>
      </w:r>
      <w:r>
        <w:fldChar w:fldCharType="end"/>
      </w:r>
      <w:r>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t xml:space="preserve">, which makes the equation non-autonomous (dependent on </w:t>
      </w:r>
      <m:oMath>
        <m:r>
          <w:rPr>
            <w:rFonts w:ascii="Cambria Math" w:hAnsi="Cambria Math"/>
          </w:rPr>
          <m:t>t</m:t>
        </m:r>
      </m:oMath>
      <w:r>
        <w:rPr>
          <w:iCs/>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8D785B4" w14:textId="77777777" w:rsidTr="008436AC">
        <w:tc>
          <w:tcPr>
            <w:tcW w:w="1951" w:type="dxa"/>
            <w:vAlign w:val="center"/>
          </w:tcPr>
          <w:p w14:paraId="4352A8F2" w14:textId="77777777" w:rsidR="00960D78" w:rsidRDefault="00960D78" w:rsidP="008436AC">
            <w:pPr>
              <w:jc w:val="right"/>
            </w:pPr>
          </w:p>
        </w:tc>
        <w:tc>
          <w:tcPr>
            <w:tcW w:w="5103" w:type="dxa"/>
            <w:vAlign w:val="center"/>
          </w:tcPr>
          <w:p w14:paraId="55281F62" w14:textId="77777777" w:rsidR="00960D78" w:rsidRDefault="00960D78"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w:t>
            </w:r>
          </w:p>
        </w:tc>
        <w:tc>
          <w:tcPr>
            <w:tcW w:w="1468" w:type="dxa"/>
            <w:vAlign w:val="center"/>
          </w:tcPr>
          <w:p w14:paraId="7F48D9C6" w14:textId="77777777" w:rsidR="00960D78" w:rsidRDefault="00960D78" w:rsidP="008436AC">
            <w:pPr>
              <w:jc w:val="right"/>
            </w:pPr>
            <w:r>
              <w:t>[A5]</w:t>
            </w:r>
          </w:p>
        </w:tc>
      </w:tr>
    </w:tbl>
    <w:p w14:paraId="6F311F22" w14:textId="77777777" w:rsidR="00960D78" w:rsidRDefault="00960D78" w:rsidP="00960D78">
      <w:proofErr w:type="spellStart"/>
      <w:r>
        <w:t>Baranyi</w:t>
      </w:r>
      <w:proofErr w:type="spellEnd"/>
      <w:r>
        <w:t xml:space="preserve"> and Roberts suggested a </w:t>
      </w:r>
      <w:proofErr w:type="spellStart"/>
      <w:r>
        <w:t>Michaelis-Menten</w:t>
      </w:r>
      <w:proofErr w:type="spellEnd"/>
      <w:r>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fraction of the population adjusted to growth, and </w:t>
      </w:r>
      <w:r>
        <w:rPr>
          <w:i/>
          <w:iCs/>
        </w:rPr>
        <w:t>m</w:t>
      </w:r>
      <w:r>
        <w:t xml:space="preserve"> is the adjustment rate, or the rate at which additional cells adjust to growth. Integrating eq. A5 produces eq. 2. </w:t>
      </w:r>
      <w:proofErr w:type="spellStart"/>
      <w:r>
        <w:t>Baranyi</w:t>
      </w:r>
      <w:proofErr w:type="spellEnd"/>
      <w:r>
        <w:t xml:space="preserve"> and Roberts suggested to fix </w:t>
      </w:r>
      <m:oMath>
        <m:r>
          <w:rPr>
            <w:rFonts w:ascii="Cambria Math" w:hAnsi="Cambria Math"/>
          </w:rPr>
          <m:t>v=r</m:t>
        </m:r>
      </m:oMath>
      <w:r>
        <w:t xml:space="preserve"> to avoid instability of the fitting procedure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instrText>
      </w:r>
      <w:r>
        <w:fldChar w:fldCharType="separate"/>
      </w:r>
      <w:r w:rsidRPr="00D44992">
        <w:rPr>
          <w:noProof/>
        </w:rPr>
        <w:t>(Baranyi 1997; Clark et al. 2010)</w:t>
      </w:r>
      <w:r>
        <w:fldChar w:fldCharType="end"/>
      </w:r>
      <w:r>
        <w:t>.</w:t>
      </w:r>
    </w:p>
    <w:p w14:paraId="4A8445E6" w14:textId="774BCFE7" w:rsidR="00960D78" w:rsidRDefault="00960D78" w:rsidP="00960D78">
      <w:pPr>
        <w:pStyle w:val="Heading2"/>
      </w:pPr>
      <w:bookmarkStart w:id="5" w:name="_Ref439853477"/>
      <w:r>
        <w:t>Appendix B: Mixed culture model</w:t>
      </w:r>
      <w:bookmarkEnd w:id="5"/>
    </w:p>
    <w:p w14:paraId="4F7A6DA2" w14:textId="77777777" w:rsidR="00960D78" w:rsidRDefault="00960D78" w:rsidP="00960D78">
      <w:r>
        <w:t>We now consider the case in which two species or strains grow in the same culture, competing for a single limiting resource, similarly to eq. 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175A4B48" w14:textId="77777777" w:rsidTr="008436AC">
        <w:tc>
          <w:tcPr>
            <w:tcW w:w="1951" w:type="dxa"/>
            <w:vAlign w:val="center"/>
          </w:tcPr>
          <w:p w14:paraId="26CCBAF7" w14:textId="77777777" w:rsidR="00960D78" w:rsidRPr="00F9516D" w:rsidRDefault="00960D78" w:rsidP="008436AC">
            <w:pPr>
              <w:jc w:val="right"/>
              <w:rPr>
                <w:i/>
                <w:iCs/>
              </w:rPr>
            </w:pPr>
          </w:p>
        </w:tc>
        <w:tc>
          <w:tcPr>
            <w:tcW w:w="5103" w:type="dxa"/>
            <w:vAlign w:val="center"/>
          </w:tcPr>
          <w:p w14:paraId="172D6AC7" w14:textId="77777777" w:rsidR="00960D78" w:rsidRPr="00507681" w:rsidRDefault="00960D78" w:rsidP="008436A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4660DFD" w14:textId="0C0746FB" w:rsidR="00960D78" w:rsidRPr="00F9516D" w:rsidRDefault="00960D78" w:rsidP="00960D78">
            <w:pPr>
              <w:jc w:val="right"/>
              <w:rPr>
                <w:i/>
                <w:iCs/>
              </w:rPr>
            </w:pPr>
            <w:r w:rsidRPr="00F9516D">
              <w:rPr>
                <w:i/>
                <w:iCs/>
              </w:rPr>
              <w:t>[</w:t>
            </w:r>
            <w:r>
              <w:rPr>
                <w:i/>
                <w:iCs/>
              </w:rPr>
              <w:t>B1</w:t>
            </w:r>
            <w:r w:rsidRPr="00F9516D">
              <w:rPr>
                <w:i/>
                <w:iCs/>
              </w:rPr>
              <w:t>a]</w:t>
            </w:r>
          </w:p>
          <w:p w14:paraId="1A337782" w14:textId="7D052513" w:rsidR="00960D78" w:rsidRPr="00F9516D" w:rsidRDefault="00960D78" w:rsidP="008436AC">
            <w:pPr>
              <w:jc w:val="right"/>
              <w:rPr>
                <w:i/>
                <w:iCs/>
              </w:rPr>
            </w:pPr>
            <w:r w:rsidRPr="00F9516D">
              <w:rPr>
                <w:i/>
                <w:iCs/>
              </w:rPr>
              <w:t>[</w:t>
            </w:r>
            <w:r>
              <w:rPr>
                <w:i/>
                <w:iCs/>
              </w:rPr>
              <w:t>B1</w:t>
            </w:r>
            <w:r w:rsidRPr="00F9516D">
              <w:rPr>
                <w:i/>
                <w:iCs/>
              </w:rPr>
              <w:t>b]</w:t>
            </w:r>
          </w:p>
          <w:p w14:paraId="437C6C7A" w14:textId="579256DE" w:rsidR="00960D78" w:rsidRPr="00F9516D" w:rsidRDefault="00960D78" w:rsidP="008436AC">
            <w:pPr>
              <w:jc w:val="right"/>
              <w:rPr>
                <w:i/>
                <w:iCs/>
              </w:rPr>
            </w:pPr>
            <w:r>
              <w:rPr>
                <w:i/>
                <w:iCs/>
              </w:rPr>
              <w:t>[B1c]</w:t>
            </w:r>
          </w:p>
        </w:tc>
      </w:tr>
    </w:tbl>
    <w:p w14:paraId="7E06BD27" w14:textId="77777777" w:rsidR="00960D78" w:rsidRDefault="00960D78" w:rsidP="00960D78">
      <w:r>
        <w:t xml:space="preserve">We </w:t>
      </w:r>
      <w:proofErr w:type="gramStart"/>
      <w:r>
        <w:t xml:space="preserve">define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(where </w:t>
      </w:r>
      <w:r w:rsidRPr="00181262">
        <w:rPr>
          <w:i/>
          <w:iCs/>
        </w:rPr>
        <w:t>j</w:t>
      </w:r>
      <w:r>
        <w:t xml:space="preserve"> is 1 when </w:t>
      </w:r>
      <w:proofErr w:type="spellStart"/>
      <w:r w:rsidRPr="00181262">
        <w:rPr>
          <w:i/>
          <w:iCs/>
        </w:rPr>
        <w:t>i</w:t>
      </w:r>
      <w:proofErr w:type="spellEnd"/>
      <w:r>
        <w:t xml:space="preserve"> is 2 and vice versa) </w:t>
      </w:r>
      <w:r w:rsidRPr="00181262">
        <w:t>to</w:t>
      </w:r>
      <w:r>
        <w:t xml:space="preserve">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into the differential equations </w:t>
      </w:r>
      <w:proofErr w:type="gramStart"/>
      <w:r>
        <w:t xml:space="preserve">for </w:t>
      </w:r>
      <w:proofErr w:type="gramEnd"/>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M</m:t>
                </m:r>
              </m:e>
              <m:sub>
                <m:r>
                  <w:rPr>
                    <w:rFonts w:ascii="Cambria Math" w:hAnsi="Cambria Math"/>
                  </w:rPr>
                  <m:t>i</m:t>
                </m:r>
              </m:sub>
            </m:sSub>
          </m:e>
        </m:ra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5253B387" w14:textId="77777777" w:rsidTr="008436AC">
        <w:tc>
          <w:tcPr>
            <w:tcW w:w="1951" w:type="dxa"/>
            <w:vAlign w:val="center"/>
          </w:tcPr>
          <w:p w14:paraId="6393839E" w14:textId="77777777" w:rsidR="00960D78" w:rsidRPr="00F9516D" w:rsidRDefault="00960D78" w:rsidP="008436AC">
            <w:pPr>
              <w:jc w:val="right"/>
              <w:rPr>
                <w:i/>
                <w:iCs/>
              </w:rPr>
            </w:pPr>
          </w:p>
        </w:tc>
        <w:tc>
          <w:tcPr>
            <w:tcW w:w="5103" w:type="dxa"/>
            <w:vAlign w:val="center"/>
          </w:tcPr>
          <w:p w14:paraId="2D2D2761" w14:textId="61048C05" w:rsidR="00960D78" w:rsidRPr="00507681" w:rsidRDefault="00960D78"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384C8C0E" w14:textId="06603967" w:rsidR="00960D78" w:rsidRPr="00F9516D" w:rsidRDefault="00960D78" w:rsidP="008436AC">
            <w:pPr>
              <w:jc w:val="right"/>
              <w:rPr>
                <w:i/>
                <w:iCs/>
              </w:rPr>
            </w:pPr>
            <w:r w:rsidRPr="00F9516D">
              <w:rPr>
                <w:i/>
                <w:iCs/>
              </w:rPr>
              <w:t>[</w:t>
            </w:r>
            <w:r>
              <w:rPr>
                <w:i/>
                <w:iCs/>
              </w:rPr>
              <w:t>B2</w:t>
            </w:r>
            <w:r w:rsidRPr="00F9516D">
              <w:rPr>
                <w:i/>
                <w:iCs/>
              </w:rPr>
              <w:t>a]</w:t>
            </w:r>
          </w:p>
          <w:p w14:paraId="6BA5CA6D" w14:textId="143D0EDF" w:rsidR="00960D78" w:rsidRPr="00F9516D" w:rsidRDefault="00960D78" w:rsidP="008436AC">
            <w:pPr>
              <w:jc w:val="right"/>
              <w:rPr>
                <w:i/>
                <w:iCs/>
              </w:rPr>
            </w:pPr>
            <w:r w:rsidRPr="00F9516D">
              <w:rPr>
                <w:i/>
                <w:iCs/>
              </w:rPr>
              <w:t>[</w:t>
            </w:r>
            <w:r>
              <w:rPr>
                <w:i/>
                <w:iCs/>
              </w:rPr>
              <w:t>B2</w:t>
            </w:r>
            <w:r w:rsidRPr="00F9516D">
              <w:rPr>
                <w:i/>
                <w:iCs/>
              </w:rPr>
              <w:t>b</w:t>
            </w:r>
            <w:r>
              <w:rPr>
                <w:i/>
                <w:iCs/>
              </w:rPr>
              <w:t>]</w:t>
            </w:r>
          </w:p>
        </w:tc>
      </w:tr>
    </w:tbl>
    <w:p w14:paraId="701B2C83" w14:textId="6F58C419" w:rsidR="00960D78" w:rsidRDefault="00960D78" w:rsidP="00F70C02">
      <w:pPr>
        <w:tabs>
          <w:tab w:val="left" w:pos="1803"/>
          <w:tab w:val="center" w:pos="4153"/>
        </w:tabs>
        <w:ind w:firstLine="0"/>
      </w:pPr>
      <w:proofErr w:type="gramStart"/>
      <w: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t xml:space="preserve">. </w:t>
      </w:r>
    </w:p>
    <w:p w14:paraId="5D87A210" w14:textId="77777777" w:rsidR="00960D78" w:rsidRDefault="00960D78" w:rsidP="00960D78">
      <w:pPr>
        <w:tabs>
          <w:tab w:val="left" w:pos="1803"/>
          <w:tab w:val="center" w:pos="4153"/>
        </w:tabs>
      </w:pPr>
      <w:r>
        <w:t>We get a similar result if each strain is limited by a different resource that both strains consume, and the intake rates depend only on the strain:</w:t>
      </w:r>
    </w:p>
    <w:p w14:paraId="37611F0C" w14:textId="77777777" w:rsidR="00960D78" w:rsidRPr="00520F09" w:rsidRDefault="00960D78" w:rsidP="00960D78">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0ABA7392" w14:textId="77777777" w:rsidTr="008436AC">
        <w:tc>
          <w:tcPr>
            <w:tcW w:w="1951" w:type="dxa"/>
            <w:vAlign w:val="center"/>
          </w:tcPr>
          <w:p w14:paraId="23F0E408" w14:textId="77777777" w:rsidR="00960D78" w:rsidRPr="00F9516D" w:rsidRDefault="00960D78" w:rsidP="008436AC">
            <w:pPr>
              <w:jc w:val="right"/>
              <w:rPr>
                <w:i/>
                <w:iCs/>
              </w:rPr>
            </w:pPr>
          </w:p>
        </w:tc>
        <w:tc>
          <w:tcPr>
            <w:tcW w:w="5103" w:type="dxa"/>
            <w:vAlign w:val="center"/>
          </w:tcPr>
          <w:p w14:paraId="6B68C41F" w14:textId="77777777" w:rsidR="00960D78" w:rsidRPr="00F9516D" w:rsidRDefault="00960D78"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D38C276" w14:textId="79C64CF4" w:rsidR="00960D78" w:rsidRPr="00F9516D" w:rsidRDefault="00960D78" w:rsidP="008436AC">
            <w:pPr>
              <w:jc w:val="right"/>
              <w:rPr>
                <w:i/>
                <w:iCs/>
              </w:rPr>
            </w:pPr>
            <w:r w:rsidRPr="00F9516D">
              <w:rPr>
                <w:i/>
                <w:iCs/>
              </w:rPr>
              <w:t>[</w:t>
            </w:r>
            <w:r>
              <w:rPr>
                <w:i/>
                <w:iCs/>
              </w:rPr>
              <w:t>B3</w:t>
            </w:r>
            <w:r w:rsidRPr="00F9516D">
              <w:rPr>
                <w:i/>
                <w:iCs/>
              </w:rPr>
              <w:t>a]</w:t>
            </w:r>
          </w:p>
          <w:p w14:paraId="7589039A" w14:textId="6052612C" w:rsidR="00960D78" w:rsidRPr="00F9516D" w:rsidRDefault="00960D78" w:rsidP="008436AC">
            <w:pPr>
              <w:jc w:val="right"/>
              <w:rPr>
                <w:i/>
                <w:iCs/>
              </w:rPr>
            </w:pPr>
            <w:r w:rsidRPr="00F9516D">
              <w:rPr>
                <w:i/>
                <w:iCs/>
              </w:rPr>
              <w:t>[</w:t>
            </w:r>
            <w:r>
              <w:rPr>
                <w:i/>
                <w:iCs/>
              </w:rPr>
              <w:t>B3</w:t>
            </w:r>
            <w:r w:rsidRPr="00F9516D">
              <w:rPr>
                <w:i/>
                <w:iCs/>
              </w:rPr>
              <w:t>b]</w:t>
            </w:r>
          </w:p>
          <w:p w14:paraId="245C29E0" w14:textId="292799F8" w:rsidR="00960D78" w:rsidRDefault="00960D78" w:rsidP="008436AC">
            <w:pPr>
              <w:jc w:val="right"/>
              <w:rPr>
                <w:i/>
                <w:iCs/>
              </w:rPr>
            </w:pPr>
            <w:r>
              <w:rPr>
                <w:i/>
                <w:iCs/>
              </w:rPr>
              <w:t>[B3</w:t>
            </w:r>
            <w:r w:rsidRPr="00F9516D">
              <w:rPr>
                <w:i/>
                <w:iCs/>
              </w:rPr>
              <w:t>c]</w:t>
            </w:r>
          </w:p>
          <w:p w14:paraId="7EBF44AC" w14:textId="16EBF346" w:rsidR="00960D78" w:rsidRPr="00F9516D" w:rsidRDefault="00960D78" w:rsidP="008436AC">
            <w:pPr>
              <w:jc w:val="right"/>
              <w:rPr>
                <w:i/>
                <w:iCs/>
              </w:rPr>
            </w:pPr>
            <w:r w:rsidRPr="00F9516D">
              <w:rPr>
                <w:i/>
                <w:iCs/>
              </w:rPr>
              <w:t>[</w:t>
            </w:r>
            <w:r>
              <w:rPr>
                <w:i/>
                <w:iCs/>
              </w:rPr>
              <w:t>B3d</w:t>
            </w:r>
            <w:r w:rsidRPr="00F9516D">
              <w:rPr>
                <w:i/>
                <w:iCs/>
              </w:rPr>
              <w:t>]</w:t>
            </w:r>
          </w:p>
        </w:tc>
      </w:tr>
    </w:tbl>
    <w:p w14:paraId="2DF06FE6" w14:textId="1BDC2111" w:rsidR="00960D78" w:rsidRDefault="00960D78" w:rsidP="00960D78">
      <w:pPr>
        <w:tabs>
          <w:tab w:val="left" w:pos="1803"/>
          <w:tab w:val="center" w:pos="4153"/>
        </w:tabs>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eqs. B3a-d and continue as above. This only changes the 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t>.</w:t>
      </w:r>
    </w:p>
    <w:p w14:paraId="7C018572" w14:textId="77777777" w:rsidR="00960D78" w:rsidRDefault="00960D78" w:rsidP="00960D78">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7793B26C" w14:textId="77777777" w:rsidTr="008436AC">
        <w:tc>
          <w:tcPr>
            <w:tcW w:w="1951" w:type="dxa"/>
            <w:vAlign w:val="center"/>
          </w:tcPr>
          <w:p w14:paraId="61695DC6" w14:textId="77777777" w:rsidR="00960D78" w:rsidRPr="00F9516D" w:rsidRDefault="00960D78" w:rsidP="008436AC">
            <w:pPr>
              <w:jc w:val="right"/>
              <w:rPr>
                <w:i/>
                <w:iCs/>
              </w:rPr>
            </w:pPr>
          </w:p>
        </w:tc>
        <w:tc>
          <w:tcPr>
            <w:tcW w:w="5103" w:type="dxa"/>
            <w:vAlign w:val="center"/>
          </w:tcPr>
          <w:p w14:paraId="223F5C68" w14:textId="77777777" w:rsidR="00960D78" w:rsidRPr="00F9516D" w:rsidRDefault="00960D78"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73C8D5B3" w14:textId="2B1CA28B" w:rsidR="00960D78" w:rsidRPr="00F9516D" w:rsidRDefault="00960D78" w:rsidP="008436AC">
            <w:pPr>
              <w:jc w:val="right"/>
              <w:rPr>
                <w:i/>
                <w:iCs/>
              </w:rPr>
            </w:pPr>
            <w:r w:rsidRPr="00F9516D">
              <w:rPr>
                <w:i/>
                <w:iCs/>
              </w:rPr>
              <w:t>[</w:t>
            </w:r>
            <w:r>
              <w:rPr>
                <w:i/>
                <w:iCs/>
              </w:rPr>
              <w:t>B4</w:t>
            </w:r>
            <w:r w:rsidRPr="00F9516D">
              <w:rPr>
                <w:i/>
                <w:iCs/>
              </w:rPr>
              <w:t>a]</w:t>
            </w:r>
          </w:p>
          <w:p w14:paraId="7ABB1EA6" w14:textId="1A01F198" w:rsidR="00960D78" w:rsidRPr="00F9516D" w:rsidRDefault="00960D78" w:rsidP="008436AC">
            <w:pPr>
              <w:jc w:val="right"/>
              <w:rPr>
                <w:i/>
                <w:iCs/>
              </w:rPr>
            </w:pPr>
            <w:r w:rsidRPr="00F9516D">
              <w:rPr>
                <w:i/>
                <w:iCs/>
              </w:rPr>
              <w:t>[</w:t>
            </w:r>
            <w:r>
              <w:rPr>
                <w:i/>
                <w:iCs/>
              </w:rPr>
              <w:t>B4</w:t>
            </w:r>
            <w:r w:rsidRPr="00F9516D">
              <w:rPr>
                <w:i/>
                <w:iCs/>
              </w:rPr>
              <w:t>b</w:t>
            </w:r>
            <w:r>
              <w:rPr>
                <w:i/>
                <w:iCs/>
              </w:rPr>
              <w:t>]</w:t>
            </w:r>
          </w:p>
        </w:tc>
      </w:tr>
    </w:tbl>
    <w:p w14:paraId="039EAB1A" w14:textId="05B36832" w:rsidR="00C432BE" w:rsidRPr="00960D78" w:rsidRDefault="00960D78" w:rsidP="00960D78">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rsidR="00C432BE">
        <w:br w:type="page"/>
      </w:r>
    </w:p>
    <w:p w14:paraId="02589F39" w14:textId="447CD25A" w:rsidR="00BC14C2" w:rsidRDefault="00BC14C2" w:rsidP="00507681">
      <w:pPr>
        <w:pStyle w:val="Heading1"/>
      </w:pPr>
      <w:r>
        <w:t>References</w:t>
      </w:r>
    </w:p>
    <w:p w14:paraId="5A15AD1D" w14:textId="05695EAA" w:rsidR="004D4A11" w:rsidRPr="004D4A11" w:rsidRDefault="00BC14C2" w:rsidP="004D4A11">
      <w:pPr>
        <w:widowControl w:val="0"/>
        <w:autoSpaceDE w:val="0"/>
        <w:autoSpaceDN w:val="0"/>
        <w:adjustRightInd w:val="0"/>
        <w:spacing w:before="100" w:after="100"/>
        <w:ind w:left="480" w:hanging="480"/>
        <w:rPr>
          <w:rFonts w:ascii="Times New Roman" w:hAnsi="Times New Roman" w:cs="Times New Roman"/>
          <w:noProof/>
        </w:rPr>
      </w:pPr>
      <w:r>
        <w:fldChar w:fldCharType="begin" w:fldLock="1"/>
      </w:r>
      <w:r>
        <w:instrText xml:space="preserve">ADDIN Mendeley Bibliography CSL_BIBLIOGRAPHY </w:instrText>
      </w:r>
      <w:r>
        <w:fldChar w:fldCharType="separate"/>
      </w:r>
      <w:r w:rsidR="004D4A11" w:rsidRPr="004D4A11">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004D4A11" w:rsidRPr="004D4A11">
        <w:rPr>
          <w:rFonts w:ascii="Times New Roman" w:hAnsi="Times New Roman" w:cs="Times New Roman"/>
          <w:i/>
          <w:iCs/>
          <w:noProof/>
        </w:rPr>
        <w:t>Genetics</w:t>
      </w:r>
      <w:r w:rsidR="004D4A11" w:rsidRPr="004D4A11">
        <w:rPr>
          <w:rFonts w:ascii="Times New Roman" w:hAnsi="Times New Roman" w:cs="Times New Roman"/>
          <w:noProof/>
        </w:rPr>
        <w:t xml:space="preserve"> 196 (3) (January 7): 1–35. doi:10.1534/genetics.113.156190.</w:t>
      </w:r>
    </w:p>
    <w:p w14:paraId="0C9F13B2"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Baranyi, József. 1997. “Simple Is Good as Long as It Is Enough.” </w:t>
      </w:r>
      <w:r w:rsidRPr="004D4A11">
        <w:rPr>
          <w:rFonts w:ascii="Times New Roman" w:hAnsi="Times New Roman" w:cs="Times New Roman"/>
          <w:i/>
          <w:iCs/>
          <w:noProof/>
        </w:rPr>
        <w:t>Commentary</w:t>
      </w:r>
      <w:r w:rsidRPr="004D4A11">
        <w:rPr>
          <w:rFonts w:ascii="Times New Roman" w:hAnsi="Times New Roman" w:cs="Times New Roman"/>
          <w:noProof/>
        </w:rPr>
        <w:t xml:space="preserve"> (1996): 391–394. doi:10.1006/fmic.1996.0080.</w:t>
      </w:r>
    </w:p>
    <w:p w14:paraId="4DC34531"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Baranyi, József, and Terry a. Roberts. 1994. “A Dynamic Approach to Predicting Bacterial Growth in Food.” </w:t>
      </w:r>
      <w:r w:rsidRPr="004D4A11">
        <w:rPr>
          <w:rFonts w:ascii="Times New Roman" w:hAnsi="Times New Roman" w:cs="Times New Roman"/>
          <w:i/>
          <w:iCs/>
          <w:noProof/>
        </w:rPr>
        <w:t>International Journal of Food Microbiology</w:t>
      </w:r>
      <w:r w:rsidRPr="004D4A11">
        <w:rPr>
          <w:rFonts w:ascii="Times New Roman" w:hAnsi="Times New Roman" w:cs="Times New Roman"/>
          <w:noProof/>
        </w:rPr>
        <w:t xml:space="preserve"> 23: 277–294. doi:10.1016/0168-1605(94)90157-0.</w:t>
      </w:r>
    </w:p>
    <w:p w14:paraId="5742451D"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Bell, Graham. 2010. “Experimental Genomics of Fitness in Yeast.” </w:t>
      </w:r>
      <w:r w:rsidRPr="004D4A11">
        <w:rPr>
          <w:rFonts w:ascii="Times New Roman" w:hAnsi="Times New Roman" w:cs="Times New Roman"/>
          <w:i/>
          <w:iCs/>
          <w:noProof/>
        </w:rPr>
        <w:t>Proceedings of the Royal Society B: Biological Sciences</w:t>
      </w:r>
      <w:r w:rsidRPr="004D4A11">
        <w:rPr>
          <w:rFonts w:ascii="Times New Roman" w:hAnsi="Times New Roman" w:cs="Times New Roman"/>
          <w:noProof/>
        </w:rPr>
        <w:t xml:space="preserve"> 277 (1687) (May 22): 1459–1467. doi:10.1098/rspb.2009.2099.</w:t>
      </w:r>
    </w:p>
    <w:p w14:paraId="24623AFC"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Chevin, Luis-Miguel. 2011. “On Measuring Selection in Experimental Evolution.” </w:t>
      </w:r>
      <w:r w:rsidRPr="004D4A11">
        <w:rPr>
          <w:rFonts w:ascii="Times New Roman" w:hAnsi="Times New Roman" w:cs="Times New Roman"/>
          <w:i/>
          <w:iCs/>
          <w:noProof/>
        </w:rPr>
        <w:t>Biology Letters</w:t>
      </w:r>
      <w:r w:rsidRPr="004D4A11">
        <w:rPr>
          <w:rFonts w:ascii="Times New Roman" w:hAnsi="Times New Roman" w:cs="Times New Roman"/>
          <w:noProof/>
        </w:rPr>
        <w:t xml:space="preserve"> 7 (2) (April 23): 210–3. doi:10.1098/rsbl.2010.0580.</w:t>
      </w:r>
    </w:p>
    <w:p w14:paraId="677D9A07"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4D4A11">
        <w:rPr>
          <w:rFonts w:ascii="Times New Roman" w:hAnsi="Times New Roman" w:cs="Times New Roman"/>
          <w:i/>
          <w:iCs/>
          <w:noProof/>
        </w:rPr>
        <w:t>Methods in Ecology and Evolution</w:t>
      </w:r>
      <w:r w:rsidRPr="004D4A11">
        <w:rPr>
          <w:rFonts w:ascii="Times New Roman" w:hAnsi="Times New Roman" w:cs="Times New Roman"/>
          <w:noProof/>
        </w:rPr>
        <w:t xml:space="preserve"> 1 (3): 253–262. doi:10.1111/j.2041-210X.2010.00029.x.</w:t>
      </w:r>
    </w:p>
    <w:p w14:paraId="588AFF7E"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4D4A11">
        <w:rPr>
          <w:rFonts w:ascii="Times New Roman" w:hAnsi="Times New Roman" w:cs="Times New Roman"/>
          <w:i/>
          <w:iCs/>
          <w:noProof/>
        </w:rPr>
        <w:t>Plos One</w:t>
      </w:r>
      <w:r w:rsidRPr="004D4A11">
        <w:rPr>
          <w:rFonts w:ascii="Times New Roman" w:hAnsi="Times New Roman" w:cs="Times New Roman"/>
          <w:noProof/>
        </w:rPr>
        <w:t xml:space="preserve"> 10 (6): e0126915. doi:10.1371/journal.pone.0126915.</w:t>
      </w:r>
    </w:p>
    <w:p w14:paraId="677875C3"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Crow, James F., and Motoo Kimura. 1970. </w:t>
      </w:r>
      <w:r w:rsidRPr="004D4A11">
        <w:rPr>
          <w:rFonts w:ascii="Times New Roman" w:hAnsi="Times New Roman" w:cs="Times New Roman"/>
          <w:i/>
          <w:iCs/>
          <w:noProof/>
        </w:rPr>
        <w:t>An Introduction to Population Genetics Theory</w:t>
      </w:r>
      <w:r w:rsidRPr="004D4A11">
        <w:rPr>
          <w:rFonts w:ascii="Times New Roman" w:hAnsi="Times New Roman" w:cs="Times New Roman"/>
          <w:noProof/>
        </w:rPr>
        <w:t>. Minneapolis: Burgess Pub. Co.</w:t>
      </w:r>
    </w:p>
    <w:p w14:paraId="134AB6C0"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Dilao, Rui, and Tiago Domingos. 1999. “A General Approach to the Modelling of Trophic Chains.” </w:t>
      </w:r>
      <w:r w:rsidRPr="004D4A11">
        <w:rPr>
          <w:rFonts w:ascii="Times New Roman" w:hAnsi="Times New Roman" w:cs="Times New Roman"/>
          <w:i/>
          <w:iCs/>
          <w:noProof/>
        </w:rPr>
        <w:t>Ecological Modelling</w:t>
      </w:r>
      <w:r w:rsidRPr="004D4A11">
        <w:rPr>
          <w:rFonts w:ascii="Times New Roman" w:hAnsi="Times New Roman" w:cs="Times New Roman"/>
          <w:noProof/>
        </w:rPr>
        <w:t xml:space="preserve"> 132 (3): 20. doi:10.1016/S0304-3800(00)00272-6.</w:t>
      </w:r>
    </w:p>
    <w:p w14:paraId="34518F5C"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Gallet, Romain, Tim F Cooper, Santiago F Elena, and Thomas Lenormand. 2012a. “Measuring Selection Coefficients below 10-3: Method, Questions, and Prospects.” </w:t>
      </w:r>
      <w:r w:rsidRPr="004D4A11">
        <w:rPr>
          <w:rFonts w:ascii="Times New Roman" w:hAnsi="Times New Roman" w:cs="Times New Roman"/>
          <w:i/>
          <w:iCs/>
          <w:noProof/>
        </w:rPr>
        <w:t>Genetics</w:t>
      </w:r>
      <w:r w:rsidRPr="004D4A11">
        <w:rPr>
          <w:rFonts w:ascii="Times New Roman" w:hAnsi="Times New Roman" w:cs="Times New Roman"/>
          <w:noProof/>
        </w:rPr>
        <w:t xml:space="preserve"> 190 (1) (January): 175–86. doi:10.1534/genetics.111.133454.</w:t>
      </w:r>
    </w:p>
    <w:p w14:paraId="37F58B52"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Gallet, Romain, Tim F. Cooper, Santiago F. Elena, and Thomas Lenormand. 2012b. “Measuring Selection Coefficients below 10</w:t>
      </w:r>
      <w:r w:rsidRPr="004D4A11">
        <w:rPr>
          <w:rFonts w:ascii="Times New Roman" w:hAnsi="Times New Roman" w:cs="Times New Roman"/>
          <w:noProof/>
          <w:vertAlign w:val="superscript"/>
        </w:rPr>
        <w:t>-3</w:t>
      </w:r>
      <w:r w:rsidRPr="004D4A11">
        <w:rPr>
          <w:rFonts w:ascii="Times New Roman" w:hAnsi="Times New Roman" w:cs="Times New Roman"/>
          <w:noProof/>
        </w:rPr>
        <w:t xml:space="preserve">: Method, Questions, and Prospects.” </w:t>
      </w:r>
      <w:r w:rsidRPr="004D4A11">
        <w:rPr>
          <w:rFonts w:ascii="Times New Roman" w:hAnsi="Times New Roman" w:cs="Times New Roman"/>
          <w:i/>
          <w:iCs/>
          <w:noProof/>
        </w:rPr>
        <w:t>Genetics</w:t>
      </w:r>
      <w:r w:rsidRPr="004D4A11">
        <w:rPr>
          <w:rFonts w:ascii="Times New Roman" w:hAnsi="Times New Roman" w:cs="Times New Roman"/>
          <w:noProof/>
        </w:rPr>
        <w:t xml:space="preserve"> 190 (1) (January): 175–86. doi:10.1534/genetics.111.133454.</w:t>
      </w:r>
    </w:p>
    <w:p w14:paraId="61EEACE4"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Ge, Yongchao, and Stuart C. Sealfon. 2012. “flowPeaks: A Fast Unsupervised Clustering for Flow Cytometry Data via K-Means and Density Peak Finding.” </w:t>
      </w:r>
      <w:r w:rsidRPr="004D4A11">
        <w:rPr>
          <w:rFonts w:ascii="Times New Roman" w:hAnsi="Times New Roman" w:cs="Times New Roman"/>
          <w:i/>
          <w:iCs/>
          <w:noProof/>
        </w:rPr>
        <w:t>Bioinformatics</w:t>
      </w:r>
      <w:r w:rsidRPr="004D4A11">
        <w:rPr>
          <w:rFonts w:ascii="Times New Roman" w:hAnsi="Times New Roman" w:cs="Times New Roman"/>
          <w:noProof/>
        </w:rPr>
        <w:t xml:space="preserve"> 28 (15) (August 1): 2052–2058. doi:10.1093/bioinformatics/bts300.</w:t>
      </w:r>
    </w:p>
    <w:p w14:paraId="1C6B9A72"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Gilpin, Michael E., and Francisco J. Ayala. 1973. “Global Models of Growth and Competition.” </w:t>
      </w:r>
      <w:r w:rsidRPr="004D4A11">
        <w:rPr>
          <w:rFonts w:ascii="Times New Roman" w:hAnsi="Times New Roman" w:cs="Times New Roman"/>
          <w:i/>
          <w:iCs/>
          <w:noProof/>
        </w:rPr>
        <w:t>Proceedings of the National Academy of Sciences of the United States of America</w:t>
      </w:r>
      <w:r w:rsidRPr="004D4A11">
        <w:rPr>
          <w:rFonts w:ascii="Times New Roman" w:hAnsi="Times New Roman" w:cs="Times New Roman"/>
          <w:noProof/>
        </w:rPr>
        <w:t xml:space="preserve"> 70 (12 Pt 1-2): 3590–3593. doi:10.1073/pnas.70.12.3590.</w:t>
      </w:r>
    </w:p>
    <w:p w14:paraId="6710C54E"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Hall, Barry G., Hande Acar, Anna Nandipati, and Miriam Barlow. 2014. “Growth Rates Made Easy.” </w:t>
      </w:r>
      <w:r w:rsidRPr="004D4A11">
        <w:rPr>
          <w:rFonts w:ascii="Times New Roman" w:hAnsi="Times New Roman" w:cs="Times New Roman"/>
          <w:i/>
          <w:iCs/>
          <w:noProof/>
        </w:rPr>
        <w:t>Molecular Biology and Evolution</w:t>
      </w:r>
      <w:r w:rsidRPr="004D4A11">
        <w:rPr>
          <w:rFonts w:ascii="Times New Roman" w:hAnsi="Times New Roman" w:cs="Times New Roman"/>
          <w:noProof/>
        </w:rPr>
        <w:t xml:space="preserve"> 31 (1): 232–238. doi:10.1093/molbev/mst187.</w:t>
      </w:r>
    </w:p>
    <w:p w14:paraId="096E1C87"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4D4A11">
        <w:rPr>
          <w:rFonts w:ascii="Times New Roman" w:hAnsi="Times New Roman" w:cs="Times New Roman"/>
          <w:i/>
          <w:iCs/>
          <w:noProof/>
        </w:rPr>
        <w:t>Science</w:t>
      </w:r>
      <w:r w:rsidRPr="004D4A11">
        <w:rPr>
          <w:rFonts w:ascii="Times New Roman" w:hAnsi="Times New Roman" w:cs="Times New Roman"/>
          <w:noProof/>
        </w:rPr>
        <w:t xml:space="preserve"> 311 (5767) (March): 1615–7. doi:10.1126/science.1122469.</w:t>
      </w:r>
    </w:p>
    <w:p w14:paraId="60491CB1"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Hibbing, Michael E, Clay Fuqua, Matthew R Parsek, and S Brook Peterson. 2010. “Bacterial Competition: Surviving and Thriving in the Microbial Jungle.” </w:t>
      </w:r>
      <w:r w:rsidRPr="004D4A11">
        <w:rPr>
          <w:rFonts w:ascii="Times New Roman" w:hAnsi="Times New Roman" w:cs="Times New Roman"/>
          <w:i/>
          <w:iCs/>
          <w:noProof/>
        </w:rPr>
        <w:t>Nature Reviews. Microbiology</w:t>
      </w:r>
      <w:r w:rsidRPr="004D4A11">
        <w:rPr>
          <w:rFonts w:ascii="Times New Roman" w:hAnsi="Times New Roman" w:cs="Times New Roman"/>
          <w:noProof/>
        </w:rPr>
        <w:t xml:space="preserve"> 8 (1): 15–25. doi:10.1038/nrmicro2259.</w:t>
      </w:r>
    </w:p>
    <w:p w14:paraId="6FDE8E3C"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Hunter, John D. 2007. “Matplotlib: A 2D Graphics Environment.” </w:t>
      </w:r>
      <w:r w:rsidRPr="004D4A11">
        <w:rPr>
          <w:rFonts w:ascii="Times New Roman" w:hAnsi="Times New Roman" w:cs="Times New Roman"/>
          <w:i/>
          <w:iCs/>
          <w:noProof/>
        </w:rPr>
        <w:t>Computing in Science &amp; Engineering</w:t>
      </w:r>
      <w:r w:rsidRPr="004D4A11">
        <w:rPr>
          <w:rFonts w:ascii="Times New Roman" w:hAnsi="Times New Roman" w:cs="Times New Roman"/>
          <w:noProof/>
        </w:rPr>
        <w:t xml:space="preserve"> 9 (3): 90–95. doi:10.1109/MCSE.2007.55.</w:t>
      </w:r>
    </w:p>
    <w:p w14:paraId="48038F21"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Jones, Eric, Travis Oliphant, Pearu Peterson, and others. 2001. “SciPy: Open Source Scientific Tools for Python.” http://www.scipy.org/.</w:t>
      </w:r>
    </w:p>
    <w:p w14:paraId="4B96BE14"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Kass, Robert, and Adrian Raftery. 1995. “Bayes Factors.” </w:t>
      </w:r>
      <w:r w:rsidRPr="004D4A11">
        <w:rPr>
          <w:rFonts w:ascii="Times New Roman" w:hAnsi="Times New Roman" w:cs="Times New Roman"/>
          <w:i/>
          <w:iCs/>
          <w:noProof/>
        </w:rPr>
        <w:t>Journal of the American Statistical Association</w:t>
      </w:r>
      <w:r w:rsidRPr="004D4A11">
        <w:rPr>
          <w:rFonts w:ascii="Times New Roman" w:hAnsi="Times New Roman" w:cs="Times New Roman"/>
          <w:noProof/>
        </w:rPr>
        <w:t>: 773–795. doi:doi: 10.2307/2291091.</w:t>
      </w:r>
    </w:p>
    <w:p w14:paraId="7106DDFA"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4D4A11">
        <w:rPr>
          <w:rFonts w:ascii="Times New Roman" w:hAnsi="Times New Roman" w:cs="Times New Roman"/>
          <w:i/>
          <w:iCs/>
          <w:noProof/>
        </w:rPr>
        <w:t>Nature</w:t>
      </w:r>
      <w:r w:rsidRPr="004D4A11">
        <w:rPr>
          <w:rFonts w:ascii="Times New Roman" w:hAnsi="Times New Roman" w:cs="Times New Roman"/>
          <w:noProof/>
        </w:rPr>
        <w:t xml:space="preserve"> 519 (7542) (February 25): 181–186. doi:10.1038/nature14279.</w:t>
      </w:r>
    </w:p>
    <w:p w14:paraId="2F7EC26C"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Masel, Joanna. 2014. “Eco-Evolutionary ‘Fitness’ in 3 Dimensions: Absolute Growth, Absolute Efficiency, and Relative Competitiveness.” Populations and Evolution. </w:t>
      </w:r>
      <w:r w:rsidRPr="004D4A11">
        <w:rPr>
          <w:rFonts w:ascii="Times New Roman" w:hAnsi="Times New Roman" w:cs="Times New Roman"/>
          <w:i/>
          <w:iCs/>
          <w:noProof/>
        </w:rPr>
        <w:t>arXiv:1407.1024v3</w:t>
      </w:r>
      <w:r w:rsidRPr="004D4A11">
        <w:rPr>
          <w:rFonts w:ascii="Times New Roman" w:hAnsi="Times New Roman" w:cs="Times New Roman"/>
          <w:noProof/>
        </w:rPr>
        <w:t xml:space="preserve"> (July): 1–44.</w:t>
      </w:r>
    </w:p>
    <w:p w14:paraId="2CF573CA"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McKinney, Wes. 2010. “Data Structures for Statistical Computing in Python.” In </w:t>
      </w:r>
      <w:r w:rsidRPr="004D4A11">
        <w:rPr>
          <w:rFonts w:ascii="Times New Roman" w:hAnsi="Times New Roman" w:cs="Times New Roman"/>
          <w:i/>
          <w:iCs/>
          <w:noProof/>
        </w:rPr>
        <w:t>Proceedings of the 9th Python in Science Conference</w:t>
      </w:r>
      <w:r w:rsidRPr="004D4A11">
        <w:rPr>
          <w:rFonts w:ascii="Times New Roman" w:hAnsi="Times New Roman" w:cs="Times New Roman"/>
          <w:noProof/>
        </w:rPr>
        <w:t>, edited by Stéfan van der Walt and Jarrod Millman, 51–56.</w:t>
      </w:r>
    </w:p>
    <w:p w14:paraId="5F67DBF4"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Monod, Jacques. 1949. “The Growth of Bacterial Cultures.” </w:t>
      </w:r>
      <w:r w:rsidRPr="004D4A11">
        <w:rPr>
          <w:rFonts w:ascii="Times New Roman" w:hAnsi="Times New Roman" w:cs="Times New Roman"/>
          <w:i/>
          <w:iCs/>
          <w:noProof/>
        </w:rPr>
        <w:t>Annual Review of Microbiology</w:t>
      </w:r>
      <w:r w:rsidRPr="004D4A11">
        <w:rPr>
          <w:rFonts w:ascii="Times New Roman" w:hAnsi="Times New Roman" w:cs="Times New Roman"/>
          <w:noProof/>
        </w:rPr>
        <w:t xml:space="preserve"> 3 (1): 371–394. doi:10.1146/annurev.mi.03.100149.002103.</w:t>
      </w:r>
    </w:p>
    <w:p w14:paraId="2E6E1C19"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Newville, Matthew, Antonino Ingargiola, Till Stensitzki, and Daniel B. Allen. 2014. “LMFIT: Non-Linear Least-Square Minimization and Curve-Fitting for Python” (September 21). doi:10.5281/zenodo.11813.</w:t>
      </w:r>
    </w:p>
    <w:p w14:paraId="5138B99B"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Otto, Sarah P., and Troy Day. 2007. </w:t>
      </w:r>
      <w:r w:rsidRPr="004D4A11">
        <w:rPr>
          <w:rFonts w:ascii="Times New Roman" w:hAnsi="Times New Roman" w:cs="Times New Roman"/>
          <w:i/>
          <w:iCs/>
          <w:noProof/>
        </w:rPr>
        <w:t>A Biologist’s Guide to Mathematical Modeling in Ecology and Evolution</w:t>
      </w:r>
      <w:r w:rsidRPr="004D4A11">
        <w:rPr>
          <w:rFonts w:ascii="Times New Roman" w:hAnsi="Times New Roman" w:cs="Times New Roman"/>
          <w:noProof/>
        </w:rPr>
        <w:t>. Princeton University Press.</w:t>
      </w:r>
    </w:p>
    <w:p w14:paraId="083556F0"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Pearl, Raymond. 1927. “The Growth of Populations.” </w:t>
      </w:r>
      <w:r w:rsidRPr="004D4A11">
        <w:rPr>
          <w:rFonts w:ascii="Times New Roman" w:hAnsi="Times New Roman" w:cs="Times New Roman"/>
          <w:i/>
          <w:iCs/>
          <w:noProof/>
        </w:rPr>
        <w:t>The Quarterly Review of Biology</w:t>
      </w:r>
      <w:r w:rsidRPr="004D4A11">
        <w:rPr>
          <w:rFonts w:ascii="Times New Roman" w:hAnsi="Times New Roman" w:cs="Times New Roman"/>
          <w:noProof/>
        </w:rPr>
        <w:t xml:space="preserve"> 2 (4): 532–548.</w:t>
      </w:r>
    </w:p>
    <w:p w14:paraId="0154F0AF"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Perez, Fernando, and Brian E. Granger. 2007. “IPython: A System for Interactive Scientific Computing.” </w:t>
      </w:r>
      <w:r w:rsidRPr="004D4A11">
        <w:rPr>
          <w:rFonts w:ascii="Times New Roman" w:hAnsi="Times New Roman" w:cs="Times New Roman"/>
          <w:i/>
          <w:iCs/>
          <w:noProof/>
        </w:rPr>
        <w:t>Computing in Science &amp; Engineering</w:t>
      </w:r>
      <w:r w:rsidRPr="004D4A11">
        <w:rPr>
          <w:rFonts w:ascii="Times New Roman" w:hAnsi="Times New Roman" w:cs="Times New Roman"/>
          <w:noProof/>
        </w:rPr>
        <w:t xml:space="preserve"> 9 (3): 21–29. doi:10.1109/MCSE.2007.53.</w:t>
      </w:r>
    </w:p>
    <w:p w14:paraId="32A22598"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R Development Core Team. 2012. “R: A Language and Environment for Statistical Computing.” Vienna, Austria.</w:t>
      </w:r>
    </w:p>
    <w:p w14:paraId="1188FEA8"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Richards, F. J. 1959. “A Flexible Growth Function for Empirical Use.” </w:t>
      </w:r>
      <w:r w:rsidRPr="004D4A11">
        <w:rPr>
          <w:rFonts w:ascii="Times New Roman" w:hAnsi="Times New Roman" w:cs="Times New Roman"/>
          <w:i/>
          <w:iCs/>
          <w:noProof/>
        </w:rPr>
        <w:t>Journal of Experimental Botany</w:t>
      </w:r>
      <w:r w:rsidRPr="004D4A11">
        <w:rPr>
          <w:rFonts w:ascii="Times New Roman" w:hAnsi="Times New Roman" w:cs="Times New Roman"/>
          <w:noProof/>
        </w:rPr>
        <w:t xml:space="preserve"> 10 (2): 290–301. doi:10.1093/jxb/10.2.290.</w:t>
      </w:r>
    </w:p>
    <w:p w14:paraId="4F9E281E"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SymPy Development Team. 2014. “SymPy: Python Library for Symbolic Mathematics.”</w:t>
      </w:r>
    </w:p>
    <w:p w14:paraId="0175E81F"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van der Walt, Stéfan, S Chris Colbert, and Gaël Varoquaux. 2011. “The NumPy Array: A Structure for Efficient Numerical Computation.” </w:t>
      </w:r>
      <w:r w:rsidRPr="004D4A11">
        <w:rPr>
          <w:rFonts w:ascii="Times New Roman" w:hAnsi="Times New Roman" w:cs="Times New Roman"/>
          <w:i/>
          <w:iCs/>
          <w:noProof/>
        </w:rPr>
        <w:t>Computing in Science &amp; Engineering</w:t>
      </w:r>
      <w:r w:rsidRPr="004D4A11">
        <w:rPr>
          <w:rFonts w:ascii="Times New Roman" w:hAnsi="Times New Roman" w:cs="Times New Roman"/>
          <w:noProof/>
        </w:rPr>
        <w:t xml:space="preserve"> 13 (2) (March): 22–30. doi:10.1109/MCSE.2011.37.</w:t>
      </w:r>
    </w:p>
    <w:p w14:paraId="2356A7A2"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Van Rossum, Guido, and others. 2007. “Python Programming Language.” In </w:t>
      </w:r>
      <w:r w:rsidRPr="004D4A11">
        <w:rPr>
          <w:rFonts w:ascii="Times New Roman" w:hAnsi="Times New Roman" w:cs="Times New Roman"/>
          <w:i/>
          <w:iCs/>
          <w:noProof/>
        </w:rPr>
        <w:t>USENIX Annual Technical Conference</w:t>
      </w:r>
      <w:r w:rsidRPr="004D4A11">
        <w:rPr>
          <w:rFonts w:ascii="Times New Roman" w:hAnsi="Times New Roman" w:cs="Times New Roman"/>
          <w:noProof/>
        </w:rPr>
        <w:t>.</w:t>
      </w:r>
    </w:p>
    <w:p w14:paraId="4E69B86F"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Verhulst, Pierre-François. 1838. “Notice Sur La Loi Que La Population Suit Dans Son Accroissement. Correspondance Mathématique et Physique Publiée Par A.” </w:t>
      </w:r>
      <w:r w:rsidRPr="004D4A11">
        <w:rPr>
          <w:rFonts w:ascii="Times New Roman" w:hAnsi="Times New Roman" w:cs="Times New Roman"/>
          <w:i/>
          <w:iCs/>
          <w:noProof/>
        </w:rPr>
        <w:t>Quetelet</w:t>
      </w:r>
      <w:r w:rsidRPr="004D4A11">
        <w:rPr>
          <w:rFonts w:ascii="Times New Roman" w:hAnsi="Times New Roman" w:cs="Times New Roman"/>
          <w:noProof/>
        </w:rPr>
        <w:t xml:space="preserve"> 10: 113–121.</w:t>
      </w:r>
    </w:p>
    <w:p w14:paraId="48D563B6"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Ward, Eric J. 2008. “A Review and Comparison of Four Commonly Used Bayesian and Maximum Likelihood Model Selection Tools.” </w:t>
      </w:r>
      <w:r w:rsidRPr="004D4A11">
        <w:rPr>
          <w:rFonts w:ascii="Times New Roman" w:hAnsi="Times New Roman" w:cs="Times New Roman"/>
          <w:i/>
          <w:iCs/>
          <w:noProof/>
        </w:rPr>
        <w:t>Ecological Modelling</w:t>
      </w:r>
      <w:r w:rsidRPr="004D4A11">
        <w:rPr>
          <w:rFonts w:ascii="Times New Roman" w:hAnsi="Times New Roman" w:cs="Times New Roman"/>
          <w:noProof/>
        </w:rPr>
        <w:t xml:space="preserve"> 211 (1-2): 1–10. doi:10.1016/j.ecolmodel.2007.10.030.</w:t>
      </w:r>
    </w:p>
    <w:p w14:paraId="3D5F1622"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Waskom, Michael, Olga Botvinnik, Paul Hobson, Jordi Warmenhoven, John B Cole, Yaroslav Halchenko, Jake Vanderplas, et al. 2015. “Seaborn: v0.6.0 (June 2015).” doi:10.5281/zenodo.19108.</w:t>
      </w:r>
    </w:p>
    <w:p w14:paraId="03E0E81A"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Wiser, Michael J, and Richard E. Lenski. 2015. “A Comparison of Methods to Measure Fitness in Escherichia Coli.” </w:t>
      </w:r>
      <w:r w:rsidRPr="004D4A11">
        <w:rPr>
          <w:rFonts w:ascii="Times New Roman" w:hAnsi="Times New Roman" w:cs="Times New Roman"/>
          <w:i/>
          <w:iCs/>
          <w:noProof/>
        </w:rPr>
        <w:t>PLOS ONE</w:t>
      </w:r>
      <w:r w:rsidRPr="004D4A11">
        <w:rPr>
          <w:rFonts w:ascii="Times New Roman" w:hAnsi="Times New Roman" w:cs="Times New Roman"/>
          <w:noProof/>
        </w:rPr>
        <w:t xml:space="preserve"> 10 (5): e0126210. doi:10.1371/journal.pone.0126210.</w:t>
      </w:r>
    </w:p>
    <w:p w14:paraId="6634E770"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Yurtsev, Eugene A., Hui Xiao Chao, Manoshi S. Datta, Tatiana Artemova, and Jeff Gore. 2013. “Bacterial Cheating Drives the Population Dynamics of Cooperative Antibiotic Resistance Plasmids.” </w:t>
      </w:r>
      <w:r w:rsidRPr="004D4A11">
        <w:rPr>
          <w:rFonts w:ascii="Times New Roman" w:hAnsi="Times New Roman" w:cs="Times New Roman"/>
          <w:i/>
          <w:iCs/>
          <w:noProof/>
        </w:rPr>
        <w:t>Molecular Systems Biology</w:t>
      </w:r>
      <w:r w:rsidRPr="004D4A11">
        <w:rPr>
          <w:rFonts w:ascii="Times New Roman" w:hAnsi="Times New Roman" w:cs="Times New Roman"/>
          <w:noProof/>
        </w:rPr>
        <w:t xml:space="preserve"> 9 (683): 683. doi:10.1038/msb.2013.39.</w:t>
      </w:r>
    </w:p>
    <w:p w14:paraId="169FA428" w14:textId="77777777" w:rsidR="004D4A11" w:rsidRPr="004D4A11" w:rsidRDefault="004D4A11" w:rsidP="004D4A11">
      <w:pPr>
        <w:widowControl w:val="0"/>
        <w:autoSpaceDE w:val="0"/>
        <w:autoSpaceDN w:val="0"/>
        <w:adjustRightInd w:val="0"/>
        <w:spacing w:before="100" w:after="100"/>
        <w:ind w:left="480" w:hanging="480"/>
        <w:rPr>
          <w:rFonts w:ascii="Times New Roman" w:hAnsi="Times New Roman" w:cs="Times New Roman"/>
          <w:noProof/>
        </w:rPr>
      </w:pPr>
      <w:r w:rsidRPr="004D4A11">
        <w:rPr>
          <w:rFonts w:ascii="Times New Roman" w:hAnsi="Times New Roman" w:cs="Times New Roman"/>
          <w:noProof/>
        </w:rPr>
        <w:t xml:space="preserve">Zelcbuch, L., N. Antonovsky, A. Bar-Even, A. Levin-Karp, U. Barenholz, M. Dayagi, W. Liebermeister, et al. 2013. “Spanning High-Dimensional Expression Space Using Ribosome-Binding Site Combinatorics.” </w:t>
      </w:r>
      <w:r w:rsidRPr="004D4A11">
        <w:rPr>
          <w:rFonts w:ascii="Times New Roman" w:hAnsi="Times New Roman" w:cs="Times New Roman"/>
          <w:i/>
          <w:iCs/>
          <w:noProof/>
        </w:rPr>
        <w:t>Nucleic Acids Research</w:t>
      </w:r>
      <w:r w:rsidRPr="004D4A11">
        <w:rPr>
          <w:rFonts w:ascii="Times New Roman" w:hAnsi="Times New Roman" w:cs="Times New Roman"/>
          <w:noProof/>
        </w:rPr>
        <w:t xml:space="preserve"> 41 (9): e98–e98. doi:10.1093/nar/gkt151.</w:t>
      </w:r>
    </w:p>
    <w:p w14:paraId="1D182A15" w14:textId="38C86658" w:rsidR="00BC14C2" w:rsidRPr="00BC14C2" w:rsidRDefault="00BC14C2" w:rsidP="004D4A11">
      <w:pPr>
        <w:widowControl w:val="0"/>
        <w:autoSpaceDE w:val="0"/>
        <w:autoSpaceDN w:val="0"/>
        <w:adjustRightInd w:val="0"/>
        <w:spacing w:before="100" w:after="100"/>
        <w:ind w:left="480" w:hanging="480"/>
      </w:pPr>
      <w:r>
        <w:fldChar w:fldCharType="end"/>
      </w:r>
    </w:p>
    <w:p w14:paraId="4313237F" w14:textId="77777777" w:rsidR="006E28DC" w:rsidRDefault="006E28DC" w:rsidP="00507681"/>
    <w:sectPr w:rsidR="006E28DC" w:rsidSect="00E95165">
      <w:headerReference w:type="even" r:id="rId17"/>
      <w:headerReference w:type="default" r:id="rId18"/>
      <w:footerReference w:type="even" r:id="rId19"/>
      <w:footerReference w:type="default" r:id="rId20"/>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5B6BAF" w:rsidRDefault="005B6BAF" w:rsidP="00A362F7">
      <w:r>
        <w:separator/>
      </w:r>
    </w:p>
  </w:endnote>
  <w:endnote w:type="continuationSeparator" w:id="0">
    <w:p w14:paraId="6CFC188D" w14:textId="77777777" w:rsidR="005B6BAF" w:rsidRDefault="005B6BAF"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5B6BAF" w:rsidRDefault="005B6BAF">
        <w:pPr>
          <w:pStyle w:val="Footer"/>
          <w:jc w:val="center"/>
        </w:pPr>
        <w:r>
          <w:fldChar w:fldCharType="begin"/>
        </w:r>
        <w:r>
          <w:instrText xml:space="preserve"> PAGE   \* MERGEFORMAT </w:instrText>
        </w:r>
        <w:r>
          <w:fldChar w:fldCharType="separate"/>
        </w:r>
        <w:r w:rsidR="004D4A11">
          <w:rPr>
            <w:noProof/>
          </w:rPr>
          <w:t>24</w:t>
        </w:r>
        <w:r>
          <w:rPr>
            <w:noProof/>
          </w:rPr>
          <w:fldChar w:fldCharType="end"/>
        </w:r>
      </w:p>
    </w:sdtContent>
  </w:sdt>
  <w:p w14:paraId="04BCEBB2" w14:textId="77777777" w:rsidR="005B6BAF" w:rsidRDefault="005B6B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14:paraId="5822F1DC" w14:textId="77777777" w:rsidR="005B6BAF" w:rsidRDefault="005B6BAF" w:rsidP="00E95165">
        <w:pPr>
          <w:pStyle w:val="Footer"/>
          <w:jc w:val="center"/>
        </w:pPr>
        <w:r>
          <w:fldChar w:fldCharType="begin"/>
        </w:r>
        <w:r w:rsidRPr="00E95165">
          <w:instrText xml:space="preserve"> PAGE   \* MERGEFORMAT </w:instrText>
        </w:r>
        <w:r>
          <w:fldChar w:fldCharType="separate"/>
        </w:r>
        <w:r w:rsidR="004D4A11">
          <w:rPr>
            <w:noProof/>
          </w:rPr>
          <w:t>25</w:t>
        </w:r>
        <w:r>
          <w:rPr>
            <w:noProof/>
          </w:rPr>
          <w:fldChar w:fldCharType="end"/>
        </w:r>
      </w:p>
    </w:sdtContent>
  </w:sdt>
  <w:p w14:paraId="4FA56F78" w14:textId="77777777" w:rsidR="005B6BAF" w:rsidRDefault="005B6BAF"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5B6BAF" w:rsidRDefault="005B6BAF" w:rsidP="00A362F7">
      <w:r>
        <w:separator/>
      </w:r>
    </w:p>
  </w:footnote>
  <w:footnote w:type="continuationSeparator" w:id="0">
    <w:p w14:paraId="720B2685" w14:textId="77777777" w:rsidR="005B6BAF" w:rsidRDefault="005B6BAF"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5B6BAF" w:rsidRDefault="005B6BAF"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5B6BAF" w:rsidRDefault="005B6BAF" w:rsidP="00E95165">
    <w:pPr>
      <w:pStyle w:val="Header"/>
      <w:jc w:val="right"/>
    </w:pPr>
    <w:r>
      <w:t>Ram et al.,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DDB"/>
    <w:multiLevelType w:val="hybridMultilevel"/>
    <w:tmpl w:val="267A6E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mailMerge>
    <w:mainDocumentType w:val="email"/>
    <w:dataType w:val="textFile"/>
    <w:activeRecord w:val="-1"/>
    <w:odso/>
  </w:mailMerge>
  <w:defaultTabStop w:val="720"/>
  <w:evenAndOddHeaders/>
  <w:characterSpacingControl w:val="doNotCompress"/>
  <w:hdrShapeDefaults>
    <o:shapedefaults v:ext="edit" spidmax="1638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030DF"/>
    <w:rsid w:val="0001424B"/>
    <w:rsid w:val="00016742"/>
    <w:rsid w:val="00022994"/>
    <w:rsid w:val="00030BD1"/>
    <w:rsid w:val="000363EF"/>
    <w:rsid w:val="00044070"/>
    <w:rsid w:val="00046A28"/>
    <w:rsid w:val="00051459"/>
    <w:rsid w:val="00060445"/>
    <w:rsid w:val="00063C37"/>
    <w:rsid w:val="00077B31"/>
    <w:rsid w:val="00086EFC"/>
    <w:rsid w:val="00090EE9"/>
    <w:rsid w:val="000945FA"/>
    <w:rsid w:val="00096923"/>
    <w:rsid w:val="000A12FF"/>
    <w:rsid w:val="000A2377"/>
    <w:rsid w:val="000A33E4"/>
    <w:rsid w:val="000A6BEB"/>
    <w:rsid w:val="000D1077"/>
    <w:rsid w:val="000D74D8"/>
    <w:rsid w:val="000E1107"/>
    <w:rsid w:val="000E4439"/>
    <w:rsid w:val="000F5388"/>
    <w:rsid w:val="001375D1"/>
    <w:rsid w:val="00145FE7"/>
    <w:rsid w:val="001539BA"/>
    <w:rsid w:val="00154E23"/>
    <w:rsid w:val="00155F9E"/>
    <w:rsid w:val="00176E5B"/>
    <w:rsid w:val="001779D8"/>
    <w:rsid w:val="00181262"/>
    <w:rsid w:val="00184154"/>
    <w:rsid w:val="001935CF"/>
    <w:rsid w:val="001A77CF"/>
    <w:rsid w:val="001D0A3F"/>
    <w:rsid w:val="001D6287"/>
    <w:rsid w:val="001D731C"/>
    <w:rsid w:val="001E3E51"/>
    <w:rsid w:val="001E63B9"/>
    <w:rsid w:val="001F25C6"/>
    <w:rsid w:val="00200E78"/>
    <w:rsid w:val="002065DF"/>
    <w:rsid w:val="00212934"/>
    <w:rsid w:val="002136EB"/>
    <w:rsid w:val="002168D9"/>
    <w:rsid w:val="00223CEC"/>
    <w:rsid w:val="00231A0D"/>
    <w:rsid w:val="00232E7C"/>
    <w:rsid w:val="00241CDA"/>
    <w:rsid w:val="0025255E"/>
    <w:rsid w:val="002545FB"/>
    <w:rsid w:val="00257515"/>
    <w:rsid w:val="00266364"/>
    <w:rsid w:val="00292016"/>
    <w:rsid w:val="002B2CF9"/>
    <w:rsid w:val="002B4BAE"/>
    <w:rsid w:val="002D1BDB"/>
    <w:rsid w:val="002D32B9"/>
    <w:rsid w:val="002D33FF"/>
    <w:rsid w:val="002D3423"/>
    <w:rsid w:val="002D475F"/>
    <w:rsid w:val="003202F1"/>
    <w:rsid w:val="00321D10"/>
    <w:rsid w:val="00322C2A"/>
    <w:rsid w:val="003272F9"/>
    <w:rsid w:val="003363E0"/>
    <w:rsid w:val="00350EA0"/>
    <w:rsid w:val="003512A0"/>
    <w:rsid w:val="00353E9F"/>
    <w:rsid w:val="003578D2"/>
    <w:rsid w:val="00363107"/>
    <w:rsid w:val="00363F78"/>
    <w:rsid w:val="00381281"/>
    <w:rsid w:val="00387A5F"/>
    <w:rsid w:val="003D0164"/>
    <w:rsid w:val="003E7D70"/>
    <w:rsid w:val="00406968"/>
    <w:rsid w:val="00412582"/>
    <w:rsid w:val="00425869"/>
    <w:rsid w:val="0044050E"/>
    <w:rsid w:val="00443E6C"/>
    <w:rsid w:val="00451F50"/>
    <w:rsid w:val="00452F39"/>
    <w:rsid w:val="00464BA0"/>
    <w:rsid w:val="004762FF"/>
    <w:rsid w:val="004A72EC"/>
    <w:rsid w:val="004C26D4"/>
    <w:rsid w:val="004D4A11"/>
    <w:rsid w:val="004E67C2"/>
    <w:rsid w:val="004F41E2"/>
    <w:rsid w:val="004F69EA"/>
    <w:rsid w:val="00503DBB"/>
    <w:rsid w:val="00507681"/>
    <w:rsid w:val="00520F09"/>
    <w:rsid w:val="005226B0"/>
    <w:rsid w:val="005302A1"/>
    <w:rsid w:val="0053290E"/>
    <w:rsid w:val="00541F23"/>
    <w:rsid w:val="00542096"/>
    <w:rsid w:val="00547A93"/>
    <w:rsid w:val="00547C93"/>
    <w:rsid w:val="00551D58"/>
    <w:rsid w:val="00555009"/>
    <w:rsid w:val="00563F73"/>
    <w:rsid w:val="00565349"/>
    <w:rsid w:val="00567223"/>
    <w:rsid w:val="00574E06"/>
    <w:rsid w:val="00575946"/>
    <w:rsid w:val="005816A6"/>
    <w:rsid w:val="005B6BAF"/>
    <w:rsid w:val="005B79A5"/>
    <w:rsid w:val="005C2E39"/>
    <w:rsid w:val="005D3157"/>
    <w:rsid w:val="005D40CB"/>
    <w:rsid w:val="005D602E"/>
    <w:rsid w:val="005F02B4"/>
    <w:rsid w:val="005F1042"/>
    <w:rsid w:val="00604C25"/>
    <w:rsid w:val="006147AD"/>
    <w:rsid w:val="006161B0"/>
    <w:rsid w:val="00634747"/>
    <w:rsid w:val="00634C7E"/>
    <w:rsid w:val="00655054"/>
    <w:rsid w:val="00670FC1"/>
    <w:rsid w:val="006714D6"/>
    <w:rsid w:val="006748D6"/>
    <w:rsid w:val="00675E28"/>
    <w:rsid w:val="006775F0"/>
    <w:rsid w:val="00677B67"/>
    <w:rsid w:val="006A4640"/>
    <w:rsid w:val="006C212D"/>
    <w:rsid w:val="006C370B"/>
    <w:rsid w:val="006E28DC"/>
    <w:rsid w:val="006F0C9C"/>
    <w:rsid w:val="00700A20"/>
    <w:rsid w:val="00700FD5"/>
    <w:rsid w:val="00715DA6"/>
    <w:rsid w:val="00720CF6"/>
    <w:rsid w:val="00736DBC"/>
    <w:rsid w:val="00737483"/>
    <w:rsid w:val="00747E78"/>
    <w:rsid w:val="00754346"/>
    <w:rsid w:val="00755D4D"/>
    <w:rsid w:val="00756197"/>
    <w:rsid w:val="007626A1"/>
    <w:rsid w:val="00765CD6"/>
    <w:rsid w:val="00766DFC"/>
    <w:rsid w:val="00771D41"/>
    <w:rsid w:val="00783B79"/>
    <w:rsid w:val="00787034"/>
    <w:rsid w:val="007917E5"/>
    <w:rsid w:val="00797787"/>
    <w:rsid w:val="007A5D05"/>
    <w:rsid w:val="007B695D"/>
    <w:rsid w:val="007C0F87"/>
    <w:rsid w:val="007E461D"/>
    <w:rsid w:val="007E465E"/>
    <w:rsid w:val="007F2D48"/>
    <w:rsid w:val="00811C45"/>
    <w:rsid w:val="00814C7A"/>
    <w:rsid w:val="008200D3"/>
    <w:rsid w:val="00837DFB"/>
    <w:rsid w:val="00840031"/>
    <w:rsid w:val="008404BC"/>
    <w:rsid w:val="008436AC"/>
    <w:rsid w:val="008445BE"/>
    <w:rsid w:val="00865920"/>
    <w:rsid w:val="00872AE7"/>
    <w:rsid w:val="00895982"/>
    <w:rsid w:val="008C3E22"/>
    <w:rsid w:val="008D29A3"/>
    <w:rsid w:val="008E0BEA"/>
    <w:rsid w:val="008F295D"/>
    <w:rsid w:val="008F3527"/>
    <w:rsid w:val="009050CE"/>
    <w:rsid w:val="009172CF"/>
    <w:rsid w:val="00920F1D"/>
    <w:rsid w:val="0093181D"/>
    <w:rsid w:val="00954602"/>
    <w:rsid w:val="00960D78"/>
    <w:rsid w:val="00966DD5"/>
    <w:rsid w:val="00970E9E"/>
    <w:rsid w:val="0097184D"/>
    <w:rsid w:val="009776CA"/>
    <w:rsid w:val="00984152"/>
    <w:rsid w:val="00995D06"/>
    <w:rsid w:val="00997352"/>
    <w:rsid w:val="009B2A6B"/>
    <w:rsid w:val="009C1B7D"/>
    <w:rsid w:val="009C4366"/>
    <w:rsid w:val="009D1000"/>
    <w:rsid w:val="00A00EBA"/>
    <w:rsid w:val="00A01BA9"/>
    <w:rsid w:val="00A13AB5"/>
    <w:rsid w:val="00A26E97"/>
    <w:rsid w:val="00A362F7"/>
    <w:rsid w:val="00A37B5D"/>
    <w:rsid w:val="00A40DE2"/>
    <w:rsid w:val="00A4145D"/>
    <w:rsid w:val="00A415D4"/>
    <w:rsid w:val="00A4385B"/>
    <w:rsid w:val="00A558C7"/>
    <w:rsid w:val="00A64172"/>
    <w:rsid w:val="00A72762"/>
    <w:rsid w:val="00A87CA6"/>
    <w:rsid w:val="00A91311"/>
    <w:rsid w:val="00A94C84"/>
    <w:rsid w:val="00AB3A96"/>
    <w:rsid w:val="00AB4A66"/>
    <w:rsid w:val="00AB6F03"/>
    <w:rsid w:val="00AC7A5E"/>
    <w:rsid w:val="00AD6A92"/>
    <w:rsid w:val="00AF7F41"/>
    <w:rsid w:val="00B12AFC"/>
    <w:rsid w:val="00B1304F"/>
    <w:rsid w:val="00B14E47"/>
    <w:rsid w:val="00B37B5A"/>
    <w:rsid w:val="00B551CC"/>
    <w:rsid w:val="00B66E46"/>
    <w:rsid w:val="00B745FB"/>
    <w:rsid w:val="00B830DD"/>
    <w:rsid w:val="00B947CD"/>
    <w:rsid w:val="00B95F3E"/>
    <w:rsid w:val="00BB16DB"/>
    <w:rsid w:val="00BB3C26"/>
    <w:rsid w:val="00BB7C4F"/>
    <w:rsid w:val="00BC14C2"/>
    <w:rsid w:val="00BD50D7"/>
    <w:rsid w:val="00BF4347"/>
    <w:rsid w:val="00C01BD5"/>
    <w:rsid w:val="00C027C6"/>
    <w:rsid w:val="00C05ED5"/>
    <w:rsid w:val="00C4070E"/>
    <w:rsid w:val="00C432BE"/>
    <w:rsid w:val="00C640AA"/>
    <w:rsid w:val="00C77C23"/>
    <w:rsid w:val="00C95EA3"/>
    <w:rsid w:val="00C97988"/>
    <w:rsid w:val="00CB2929"/>
    <w:rsid w:val="00CB34CC"/>
    <w:rsid w:val="00CC51DD"/>
    <w:rsid w:val="00CD3999"/>
    <w:rsid w:val="00CE2595"/>
    <w:rsid w:val="00D14C66"/>
    <w:rsid w:val="00D17DC9"/>
    <w:rsid w:val="00D220AB"/>
    <w:rsid w:val="00D271A1"/>
    <w:rsid w:val="00D31092"/>
    <w:rsid w:val="00D35A20"/>
    <w:rsid w:val="00D36EDC"/>
    <w:rsid w:val="00D372D0"/>
    <w:rsid w:val="00D373CC"/>
    <w:rsid w:val="00D42D4C"/>
    <w:rsid w:val="00D44992"/>
    <w:rsid w:val="00D46522"/>
    <w:rsid w:val="00D77AD4"/>
    <w:rsid w:val="00DA15C0"/>
    <w:rsid w:val="00DA4024"/>
    <w:rsid w:val="00DD72E5"/>
    <w:rsid w:val="00E14ACF"/>
    <w:rsid w:val="00E22922"/>
    <w:rsid w:val="00E33F77"/>
    <w:rsid w:val="00E36AEA"/>
    <w:rsid w:val="00E429B2"/>
    <w:rsid w:val="00E50794"/>
    <w:rsid w:val="00E61648"/>
    <w:rsid w:val="00E61B9A"/>
    <w:rsid w:val="00E74D07"/>
    <w:rsid w:val="00E77F4F"/>
    <w:rsid w:val="00E842FC"/>
    <w:rsid w:val="00E90C5B"/>
    <w:rsid w:val="00E95165"/>
    <w:rsid w:val="00EB198A"/>
    <w:rsid w:val="00EB59A8"/>
    <w:rsid w:val="00EB6B87"/>
    <w:rsid w:val="00EB7652"/>
    <w:rsid w:val="00ED1853"/>
    <w:rsid w:val="00F045DF"/>
    <w:rsid w:val="00F06513"/>
    <w:rsid w:val="00F06897"/>
    <w:rsid w:val="00F121DF"/>
    <w:rsid w:val="00F1445E"/>
    <w:rsid w:val="00F23E09"/>
    <w:rsid w:val="00F378C2"/>
    <w:rsid w:val="00F51148"/>
    <w:rsid w:val="00F54779"/>
    <w:rsid w:val="00F5531A"/>
    <w:rsid w:val="00F6227A"/>
    <w:rsid w:val="00F649AD"/>
    <w:rsid w:val="00F70C02"/>
    <w:rsid w:val="00F80CD3"/>
    <w:rsid w:val="00F91B2F"/>
    <w:rsid w:val="00F9516D"/>
    <w:rsid w:val="00FB4568"/>
    <w:rsid w:val="00FC0D75"/>
    <w:rsid w:val="00FC26A3"/>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6"/>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529558823">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urveball.yoavram.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yoavram/curvebal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curveball.yoavram.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curveball.yoavram.com" TargetMode="External"/><Relationship Id="rId14" Type="http://schemas.openxmlformats.org/officeDocument/2006/relationships/hyperlink" Target="https://github.com/yoavram/curvebal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2.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376"/>
    <w:rsid w:val="00266376"/>
    <w:rsid w:val="00BA5920"/>
    <w:rsid w:val="00E46C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92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9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SIST02.XSL" StyleName="SIST02"/>
</file>

<file path=customXml/item2.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239CB321-FA1D-4C54-81A8-ACA9DBFC02E6}">
  <ds:schemaRefs>
    <ds:schemaRef ds:uri="http://schemas.openxmlformats.org/officeDocument/2006/bibliography"/>
  </ds:schemaRefs>
</ds:datastoreItem>
</file>

<file path=customXml/itemProps2.xml><?xml version="1.0" encoding="utf-8"?>
<ds:datastoreItem xmlns:ds="http://schemas.openxmlformats.org/officeDocument/2006/customXml" ds:itemID="{3A97245F-5B89-49ED-A962-EF110B583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2937</TotalTime>
  <Pages>25</Pages>
  <Words>26776</Words>
  <Characters>133884</Characters>
  <Application>Microsoft Office Word</Application>
  <DocSecurity>0</DocSecurity>
  <Lines>1115</Lines>
  <Paragraphs>320</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160340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Yoav Ram</dc:creator>
  <cp:lastModifiedBy>Yoav Ram</cp:lastModifiedBy>
  <cp:revision>36</cp:revision>
  <cp:lastPrinted>2015-07-23T12:55:00Z</cp:lastPrinted>
  <dcterms:created xsi:type="dcterms:W3CDTF">2016-01-04T10:32:00Z</dcterms:created>
  <dcterms:modified xsi:type="dcterms:W3CDTF">2016-01-06T19:14:00Z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Recent Style Id 0_1">
    <vt:lpwstr>http://www.zotero.org/styles/annual-reviews-without-titles</vt:lpwstr>
  </property>
  <property fmtid="{D5CDD505-2E9C-101B-9397-08002B2CF9AE}" pid="5" name="Mendeley Recent Style Name 0_1">
    <vt:lpwstr>Annual Reviews (sorted by order of appearance, without titles)</vt:lpwstr>
  </property>
  <property fmtid="{D5CDD505-2E9C-101B-9397-08002B2CF9AE}" pid="6" name="Mendeley Recent Style Id 1_1">
    <vt:lpwstr>http://www.zotero.org/styles/bmc-evolutionary-biology</vt:lpwstr>
  </property>
  <property fmtid="{D5CDD505-2E9C-101B-9397-08002B2CF9AE}" pid="7" name="Mendeley Recent Style Name 1_1">
    <vt:lpwstr>BMC Evolutionary Biology</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http://www.zotero.org/styles/elsevier-without-titles</vt:lpwstr>
  </property>
  <property fmtid="{D5CDD505-2E9C-101B-9397-08002B2CF9AE}" pid="11" name="Mendeley Recent Style Name 3_1">
    <vt:lpwstr>Elsevier (numeric, without titles)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http://www.zotero.org/styles/nature</vt:lpwstr>
  </property>
  <property fmtid="{D5CDD505-2E9C-101B-9397-08002B2CF9AE}" pid="15" name="Mendeley Recent Style Name 5_1">
    <vt:lpwstr>Nature</vt:lpwstr>
  </property>
  <property fmtid="{D5CDD505-2E9C-101B-9397-08002B2CF9AE}" pid="16" name="Mendeley Recent Style Id 6_1">
    <vt:lpwstr>http://www.zotero.org/styles/proceedings-of-the-royal-society-b</vt:lpwstr>
  </property>
  <property fmtid="{D5CDD505-2E9C-101B-9397-08002B2CF9AE}" pid="17" name="Mendeley Recent Style Name 6_1">
    <vt:lpwstr>Proceedings of the Royal Society B</vt:lpwstr>
  </property>
  <property fmtid="{D5CDD505-2E9C-101B-9397-08002B2CF9AE}" pid="18" name="Mendeley Recent Style Id 7_1">
    <vt:lpwstr>http://www.zotero.org/styles/plos</vt:lpwstr>
  </property>
  <property fmtid="{D5CDD505-2E9C-101B-9397-08002B2CF9AE}" pid="19" name="Mendeley Recent Style Name 7_1">
    <vt:lpwstr>Public Library of Science</vt:lpwstr>
  </property>
  <property fmtid="{D5CDD505-2E9C-101B-9397-08002B2CF9AE}" pid="20" name="Mendeley Recent Style Id 8_1">
    <vt:lpwstr>http://www.zotero.org/styles/science</vt:lpwstr>
  </property>
  <property fmtid="{D5CDD505-2E9C-101B-9397-08002B2CF9AE}" pid="21" name="Mendeley Recent Style Name 8_1">
    <vt:lpwstr>Science</vt:lpwstr>
  </property>
  <property fmtid="{D5CDD505-2E9C-101B-9397-08002B2CF9AE}" pid="22" name="Mendeley Recent Style Id 9_1">
    <vt:lpwstr>http://www.zotero.org/styles/science-without-titles</vt:lpwstr>
  </property>
  <property fmtid="{D5CDD505-2E9C-101B-9397-08002B2CF9AE}" pid="23" name="Mendeley Recent Style Name 9_1">
    <vt:lpwstr>Science (without titles)</vt:lpwstr>
  </property>
  <property fmtid="{D5CDD505-2E9C-101B-9397-08002B2CF9AE}" pid="24" name="Mendeley Citation Style_1">
    <vt:lpwstr>http://www.zotero.org/styles/chicago-author-date</vt:lpwstr>
  </property>
</Properties>
</file>