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36E35123" w:rsidR="0093181D" w:rsidRPr="00D373CC" w:rsidRDefault="00670FC1" w:rsidP="003D4106">
      <w:pPr>
        <w:pStyle w:val="Title"/>
        <w:rPr>
          <w:sz w:val="44"/>
          <w:szCs w:val="44"/>
        </w:rPr>
      </w:pPr>
      <w:r w:rsidRPr="00D373CC">
        <w:rPr>
          <w:sz w:val="44"/>
          <w:szCs w:val="44"/>
        </w:rPr>
        <w:softHyphen/>
      </w:r>
      <w:r w:rsidR="00541F23" w:rsidRPr="00D373CC">
        <w:rPr>
          <w:sz w:val="44"/>
          <w:szCs w:val="44"/>
        </w:rPr>
        <w:t xml:space="preserve">Predicting </w:t>
      </w:r>
      <w:r w:rsidR="003D4106">
        <w:rPr>
          <w:sz w:val="44"/>
          <w:szCs w:val="44"/>
        </w:rPr>
        <w:t>growth in a mixed culture</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233267F2"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7911B2">
        <w:rPr>
          <w:noProof/>
        </w:rPr>
        <w:t>April 7,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5965F3DD" w:rsidR="00030BD1" w:rsidRPr="006775F0" w:rsidRDefault="009B2A6B" w:rsidP="00497237">
      <w:r>
        <w:t xml:space="preserve">Measuring </w:t>
      </w:r>
      <w:r w:rsidR="00030BD1">
        <w:t xml:space="preserve">microbial growth in a mixed culture </w:t>
      </w:r>
      <w:r w:rsidR="00497237">
        <w:t xml:space="preserve">is laborious and expensive, especially in non-model organisms, as it requires </w:t>
      </w:r>
      <w:r w:rsidR="00030BD1">
        <w:t xml:space="preserve">the insertion or identification of unique </w:t>
      </w:r>
      <w:r w:rsidR="00497237">
        <w:t xml:space="preserve">genotypic or phenotypic markers. </w:t>
      </w:r>
      <w:r w:rsidR="006775F0">
        <w:t xml:space="preserve">We have developed </w:t>
      </w:r>
      <w:r w:rsidR="006775F0">
        <w:rPr>
          <w:i/>
          <w:iCs/>
        </w:rPr>
        <w:t>Curveball</w:t>
      </w:r>
      <w:r w:rsidR="006775F0">
        <w:t xml:space="preserve"> (</w:t>
      </w:r>
      <w:hyperlink r:id="rId9" w:history="1">
        <w:r w:rsidR="006775F0" w:rsidRPr="006456E2">
          <w:rPr>
            <w:rStyle w:val="Hyperlink"/>
          </w:rPr>
          <w:t>http://curveball.yoavram.com</w:t>
        </w:r>
      </w:hyperlink>
      <w:r w:rsidR="00030BD1">
        <w:t xml:space="preserve">), a new method for predicting </w:t>
      </w:r>
      <w:r w:rsidR="00443E6C">
        <w:t>growth in</w:t>
      </w:r>
      <w:r w:rsidR="00497237">
        <w:t xml:space="preserve"> a</w:t>
      </w:r>
      <w:r w:rsidR="00443E6C">
        <w:t xml:space="preserve"> mixed culture </w:t>
      </w:r>
      <w:r w:rsidR="00030BD1">
        <w:t xml:space="preserve">from growth curve data using a </w:t>
      </w:r>
      <w:r w:rsidR="00497237">
        <w:t>well-known</w:t>
      </w:r>
      <w:r w:rsidR="00030BD1">
        <w:t xml:space="preserve">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w:t>
      </w:r>
      <w:r w:rsidR="00030BD1">
        <w:t xml:space="preserve">Our method </w:t>
      </w:r>
      <w:r w:rsidR="00497237">
        <w:t>does not</w:t>
      </w:r>
      <w:r w:rsidR="00030BD1" w:rsidRPr="00FD5DB1">
        <w:t xml:space="preserve">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w:t>
      </w:r>
      <w:r w:rsidR="00497237">
        <w:t>predicting</w:t>
      </w:r>
      <w:r w:rsidR="00443E6C">
        <w:t xml:space="preserve"> growth in </w:t>
      </w:r>
      <w:r w:rsidR="00497237">
        <w:t xml:space="preserve">a </w:t>
      </w:r>
      <w:r w:rsidR="00443E6C">
        <w:t xml:space="preserve">mixed culture and inferring relative </w:t>
      </w:r>
      <w:r w:rsidR="00030BD1">
        <w:t>fitness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w:t>
      </w:r>
      <w:r w:rsidR="00497237">
        <w:t>.</w:t>
      </w:r>
      <w:r w:rsidR="00443E6C">
        <w:t xml:space="preserve"> </w:t>
      </w:r>
      <w:r w:rsidR="00497237">
        <w:t xml:space="preserve">Therefore, our research </w:t>
      </w:r>
      <w:r w:rsidR="00443E6C">
        <w:t>contributes to the</w:t>
      </w:r>
      <w:r w:rsidR="00497237">
        <w:t xml:space="preserve"> important</w:t>
      </w:r>
      <w:r w:rsidR="00443E6C">
        <w:t xml:space="preserv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7A67AD83" w:rsidR="00D17DC9" w:rsidRDefault="00D17DC9" w:rsidP="00494804">
      <w:r>
        <w:t xml:space="preserve">A key issue in </w:t>
      </w:r>
      <w:r w:rsidR="005B6BAF">
        <w:t xml:space="preserve">microbial ecology and </w:t>
      </w:r>
      <w:r>
        <w:t xml:space="preserve">evolutionary biology </w:t>
      </w:r>
      <w:proofErr w:type="gramStart"/>
      <w:r w:rsidR="00494804">
        <w:t>is</w:t>
      </w:r>
      <w:r>
        <w:t xml:space="preserve"> understanding</w:t>
      </w:r>
      <w:proofErr w:type="gramEnd"/>
      <w:r>
        <w:t xml:space="preserve"> </w:t>
      </w:r>
      <w:r w:rsidR="005B6BAF">
        <w:t xml:space="preserve">the </w:t>
      </w:r>
      <w:r w:rsidR="00494804">
        <w:t>differences</w:t>
      </w:r>
      <w:r w:rsidR="005B6BAF">
        <w:t xml:space="preserve"> between growth in</w:t>
      </w:r>
      <w:r w:rsidR="00494804">
        <w:t xml:space="preserve"> a</w:t>
      </w:r>
      <w:r w:rsidR="005B6BAF">
        <w:t xml:space="preserve"> monoculture and </w:t>
      </w:r>
      <w:r w:rsidR="00494804">
        <w:t xml:space="preserve">a </w:t>
      </w:r>
      <w:r w:rsidR="005B6BAF">
        <w:t xml:space="preserve">mixed culture. Such differences have a crucial impact </w:t>
      </w:r>
      <w:r w:rsidR="00494804">
        <w:t xml:space="preserve">on microbial fitness and on the </w:t>
      </w:r>
      <w:r w:rsidR="005B6BAF">
        <w:t>composition of microbial populations and communities</w:t>
      </w:r>
      <w:r>
        <w:t>. The advent of high-throughput experiments and omics data in microbiology yields information in unprecedented amount and detail. However, development of models</w:t>
      </w:r>
      <w:r w:rsidR="00494804">
        <w:t xml:space="preserve"> and methods</w:t>
      </w:r>
      <w:r>
        <w:t xml:space="preserve"> for meaningful biological interpretation of this information </w:t>
      </w:r>
      <w:r w:rsidR="005B6BAF">
        <w:t>is ongoing.</w:t>
      </w:r>
    </w:p>
    <w:p w14:paraId="0ABF797E" w14:textId="600C34D9" w:rsidR="003E7D70" w:rsidRPr="003E7D70" w:rsidRDefault="00BE3E51" w:rsidP="00BE3E51">
      <w:pPr>
        <w:pStyle w:val="Heading2"/>
      </w:pPr>
      <w:r>
        <w:t>Monoculture g</w:t>
      </w:r>
      <w:r w:rsidR="003E7D70" w:rsidRPr="003E7D70">
        <w:t>rowth curves</w:t>
      </w:r>
    </w:p>
    <w:p w14:paraId="6EA498B5" w14:textId="1794C027" w:rsidR="00677B67" w:rsidRDefault="001539BA" w:rsidP="00BE3E5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w:t>
      </w:r>
      <w:r w:rsidR="00D070BB">
        <w:t>period</w:t>
      </w:r>
      <w:r w:rsidR="009B2A6B">
        <w:t xml:space="preserv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 xml:space="preserve">taking the log of </w:t>
      </w:r>
      <w:r>
        <w:t>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E3E51">
        <w:t>the</w:t>
      </w:r>
      <w:r w:rsidR="009B2A6B">
        <w:t xml:space="preserve"> </w:t>
      </w:r>
      <w:r w:rsidR="00677B67">
        <w:t xml:space="preserve">standard </w:t>
      </w:r>
      <w:r w:rsidR="00BE3E51">
        <w:t>measure of</w:t>
      </w:r>
      <w:r w:rsidR="00BB16DB">
        <w:t xml:space="preserve">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BE3E51">
        <w:t xml:space="preserve"> </w:t>
      </w:r>
      <w:r w:rsidR="00BE3E51">
        <w:fldChar w:fldCharType="begin" w:fldLock="1"/>
      </w:r>
      <w:r w:rsidR="00024E3E">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00BE3E51">
        <w:fldChar w:fldCharType="separate"/>
      </w:r>
      <w:r w:rsidR="00BE3E51" w:rsidRPr="00BE3E51">
        <w:rPr>
          <w:noProof/>
        </w:rPr>
        <w:t>(Wahl and Zhu 2015)</w:t>
      </w:r>
      <w:r w:rsidR="00BE3E51">
        <w:fldChar w:fldCharType="end"/>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6E4BA7B4" w:rsidR="003E7D70" w:rsidRDefault="00BE3E51" w:rsidP="00BE3E51">
      <w:pPr>
        <w:pStyle w:val="Heading2"/>
      </w:pPr>
      <w:r>
        <w:t>Mixed cultures and c</w:t>
      </w:r>
      <w:r w:rsidR="003E7D70" w:rsidRPr="003E7D70">
        <w:t>ompetition experiments</w:t>
      </w:r>
    </w:p>
    <w:p w14:paraId="37EC2E19" w14:textId="1B745672" w:rsidR="003E7D70" w:rsidRDefault="00BE3E51" w:rsidP="00616794">
      <w:r>
        <w:t>C</w:t>
      </w:r>
      <w:r w:rsidRPr="003E7D70">
        <w:t>ompetition experiments</w:t>
      </w:r>
      <w:r>
        <w:t xml:space="preserve"> are used by evolutionary biologists to infer relative fitness in a manner that accounts for all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t>, for example,</w:t>
      </w:r>
      <w:r w:rsidR="00AC7A5E">
        <w:t xml:space="preserve"> by plating assays that distinguish the strains using </w:t>
      </w:r>
      <w:r w:rsidR="006C212D">
        <w:t>phenotypic</w:t>
      </w:r>
      <w:r w:rsidR="00AC7A5E">
        <w:t xml:space="preserve"> 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w:t>
      </w:r>
      <w:r>
        <w:t>R</w:t>
      </w:r>
      <w:r w:rsidR="00AC7A5E">
        <w:t xml:space="preserve">ecently, </w:t>
      </w:r>
      <w:r w:rsidR="006161B0">
        <w:t>flow cytometry</w:t>
      </w:r>
      <w:r w:rsidR="00675E28">
        <w:t xml:space="preserve"> </w:t>
      </w:r>
      <w:r w:rsidR="00AC7A5E">
        <w:t>has been used with fluorescently marked cells</w:t>
      </w:r>
      <w:r w:rsidR="005F1042">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16794">
        <w:t xml:space="preserve"> </w:t>
      </w:r>
      <w:r w:rsidR="00AC7A5E">
        <w:t>and</w:t>
      </w:r>
      <w:r w:rsidR="00675E28">
        <w:t xml:space="preserve"> deep </w:t>
      </w:r>
      <w:r w:rsidR="00675E28">
        <w:lastRenderedPageBreak/>
        <w:t>sequencing</w:t>
      </w:r>
      <w:r w:rsidR="00AC7A5E">
        <w:t xml:space="preserve"> read counts</w:t>
      </w:r>
      <w:r>
        <w:t xml:space="preserve">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rsidR="00AC7A5E">
        <w:t xml:space="preserve"> have been used to determine the frequencies of different </w:t>
      </w:r>
      <w:r>
        <w:t xml:space="preserve">strains or genotypes </w:t>
      </w:r>
      <w:r w:rsidR="00AC7A5E">
        <w:t xml:space="preserve">in the </w:t>
      </w:r>
      <w:r>
        <w:t xml:space="preserve">mixed culture.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t xml:space="preserve"> can</w:t>
      </w:r>
      <w:r w:rsidR="00677B67">
        <w:t xml:space="preserve"> </w:t>
      </w:r>
      <w:r w:rsidR="00551D58">
        <w:t>infer</w:t>
      </w:r>
      <w:r w:rsidR="006161B0">
        <w:t xml:space="preserve"> relative</w:t>
      </w:r>
      <w:r w:rsidR="00677B67">
        <w:t xml:space="preserve"> fitness</w:t>
      </w:r>
      <w:r w:rsidR="00D220AB">
        <w:t xml:space="preserve"> with high precision</w:t>
      </w:r>
      <w:r w:rsidR="00616794" w:rsidRP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rsidR="00551D58">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w:t>
      </w:r>
      <w:r>
        <w:t>development</w:t>
      </w:r>
      <w:r w:rsidR="00677B67">
        <w:t xml:space="preserve"> genetic or phenotypic </w:t>
      </w:r>
      <w:r>
        <w:t xml:space="preserve">assays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w:t>
      </w:r>
      <w:r>
        <w:t xml:space="preserve"> Moreover, such assays are sometimes impossible in non-model organisms. </w:t>
      </w:r>
      <w:r w:rsidR="00920F1D">
        <w:t>Therefore</w:t>
      </w:r>
      <w:r w:rsidR="00FC0D75">
        <w:t xml:space="preserve">, many investigators </w:t>
      </w:r>
      <w:r w:rsidR="00AC7A5E">
        <w:t xml:space="preserve">prefer to </w:t>
      </w:r>
      <w:r w:rsidR="00FC0D75">
        <w:t>use proxies of fitness such as growth rates.</w:t>
      </w:r>
    </w:p>
    <w:p w14:paraId="0A447EA3" w14:textId="31259CAD" w:rsidR="0044050E" w:rsidRDefault="0044050E" w:rsidP="00BE3E5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 xml:space="preserve">a descriptive and predictive framework for estimating growth traits from growth dynamics, predicting </w:t>
      </w:r>
      <w:r w:rsidR="00BE3E51">
        <w:t xml:space="preserve">growth in a mixed culture, </w:t>
      </w:r>
      <w:r w:rsidR="00D17DC9">
        <w:t xml:space="preserve">and inferring relative fitness. </w:t>
      </w:r>
    </w:p>
    <w:p w14:paraId="4EC11D9F" w14:textId="1D36A5B7" w:rsidR="00FC0D75" w:rsidRDefault="000D1077" w:rsidP="00507681">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0"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0"/>
      <w:r>
        <w:rPr>
          <w:color w:val="auto"/>
        </w:rPr>
        <w:t>.</w:t>
      </w:r>
      <w:proofErr w:type="gramEnd"/>
      <w:r>
        <w:rPr>
          <w:color w:val="auto"/>
        </w:rPr>
        <w:t xml:space="preserve"> </w:t>
      </w:r>
      <w:proofErr w:type="gramStart"/>
      <w:r>
        <w:rPr>
          <w:color w:val="auto"/>
        </w:rPr>
        <w:t>Growth curve data from t</w:t>
      </w:r>
      <w:r w:rsidR="00757BCF">
        <w:rPr>
          <w:color w:val="auto"/>
        </w:rPr>
        <w:t>hree</w:t>
      </w:r>
      <w:r>
        <w:rPr>
          <w:color w:val="auto"/>
        </w:rPr>
        <w:t xml:space="preserve"> experiments with </w:t>
      </w:r>
      <w:r>
        <w:rPr>
          <w:i/>
          <w:iCs/>
          <w:color w:val="auto"/>
        </w:rPr>
        <w:t>E. coli</w:t>
      </w:r>
      <w:r>
        <w:rPr>
          <w:color w:val="auto"/>
        </w:rPr>
        <w:t>.</w:t>
      </w:r>
      <w:proofErr w:type="gramEnd"/>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165C3B07" w:rsidR="00765CD6" w:rsidRDefault="00765CD6" w:rsidP="00DE21FB">
      <w:r>
        <w:t xml:space="preserve">The </w:t>
      </w:r>
      <w:proofErr w:type="spellStart"/>
      <w:r>
        <w:t>Baranyi</w:t>
      </w:r>
      <w:proofErr w:type="spellEnd"/>
      <w:r>
        <w:t>-</w:t>
      </w:r>
      <w:r w:rsidR="00984152">
        <w:t xml:space="preserve">Roberts </w:t>
      </w:r>
      <w:r>
        <w:t xml:space="preserve">model </w:t>
      </w:r>
      <w:r w:rsidR="00A4145D">
        <w:t>describes the growth of a cell popul</w:t>
      </w:r>
      <w:r w:rsidR="00DE21FB">
        <w:t>ation initially adjusting to growth conditions and then growing on a limiting resource. The growth initially accelerates as the cells adjust to growth conditions, then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0962E5"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4272D624" w:rsidR="00EB7652" w:rsidRDefault="00EB7652" w:rsidP="00200E78">
      <w:r w:rsidRPr="00DE21FB">
        <w:rPr>
          <w:highlight w:val="lightGray"/>
        </w:rPr>
        <w:t xml:space="preserve">The term </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p>
    <w:p w14:paraId="03E4527E" w14:textId="633D4AC4" w:rsidR="00EB7652" w:rsidRDefault="00EB7652" w:rsidP="00DE21FB">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rsidRPr="00F6643A">
        <w:rPr>
          <w:highlight w:val="lightGray"/>
        </w:rPr>
        <w:t>W</w:t>
      </w:r>
      <w:r w:rsidR="00060445" w:rsidRPr="00F6643A">
        <w:rPr>
          <w:highlight w:val="lightGray"/>
        </w:rPr>
        <w:t xml:space="preserve">e </w:t>
      </w:r>
      <w:r w:rsidRPr="00F6643A">
        <w:rPr>
          <w:highlight w:val="lightGray"/>
        </w:rPr>
        <w:t xml:space="preserve">use </w:t>
      </w:r>
      <w:r w:rsidR="00464BA0" w:rsidRPr="00F6643A">
        <w:rPr>
          <w:highlight w:val="lightGray"/>
        </w:rPr>
        <w:t>six</w:t>
      </w:r>
      <w:r w:rsidR="00060445" w:rsidRPr="00F6643A">
        <w:rPr>
          <w:highlight w:val="lightGray"/>
        </w:rPr>
        <w:t xml:space="preserve"> </w:t>
      </w:r>
      <w:r w:rsidR="00966DD5" w:rsidRPr="00F6643A">
        <w:rPr>
          <w:highlight w:val="lightGray"/>
        </w:rPr>
        <w:t>forms</w:t>
      </w:r>
      <w:r w:rsidR="00060445" w:rsidRPr="00F6643A">
        <w:rPr>
          <w:highlight w:val="lightGray"/>
        </w:rPr>
        <w:t xml:space="preserve"> of the </w:t>
      </w:r>
      <w:proofErr w:type="spellStart"/>
      <w:r w:rsidR="00060445" w:rsidRPr="00F6643A">
        <w:rPr>
          <w:highlight w:val="lightGray"/>
        </w:rPr>
        <w:t>Baranyi</w:t>
      </w:r>
      <w:proofErr w:type="spellEnd"/>
      <w:r w:rsidR="00060445" w:rsidRPr="00F6643A">
        <w:rPr>
          <w:highlight w:val="lightGray"/>
        </w:rPr>
        <w:t>-Roberts model</w:t>
      </w:r>
      <w:r w:rsidR="00F70C02" w:rsidRPr="00F6643A">
        <w:rPr>
          <w:highlight w:val="lightGray"/>
        </w:rPr>
        <w:t xml:space="preserve"> (Table 1)</w:t>
      </w:r>
      <w:r w:rsidR="00060445" w:rsidRPr="00F6643A">
        <w:rPr>
          <w:highlight w:val="lightGray"/>
        </w:rPr>
        <w:t xml:space="preserve">. The full </w:t>
      </w:r>
      <w:r w:rsidRPr="00F6643A">
        <w:rPr>
          <w:highlight w:val="lightGray"/>
        </w:rPr>
        <w:t>model</w:t>
      </w:r>
      <w:r w:rsidR="00060445" w:rsidRPr="00F6643A">
        <w:rPr>
          <w:highlight w:val="lightGray"/>
        </w:rPr>
        <w:t xml:space="preserve"> is described by eq. 2 and has six parameters. </w:t>
      </w:r>
      <w:r w:rsidR="00966DD5" w:rsidRPr="00F6643A">
        <w:rPr>
          <w:highlight w:val="lightGray"/>
        </w:rPr>
        <w:t>A five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model</w:t>
      </w:r>
      <w:r w:rsidR="00060445" w:rsidRPr="00F6643A">
        <w:rPr>
          <w:highlight w:val="lightGray"/>
        </w:rPr>
        <w:t xml:space="preserve"> </w:t>
      </w:r>
      <w:proofErr w:type="gramStart"/>
      <w:r w:rsidR="00966DD5" w:rsidRPr="00F6643A">
        <w:rPr>
          <w:highlight w:val="lightGray"/>
        </w:rPr>
        <w:t xml:space="preserve">has </w:t>
      </w:r>
      <w:proofErr w:type="gramEnd"/>
      <m:oMath>
        <m:r>
          <w:rPr>
            <w:rFonts w:ascii="Cambria Math" w:hAnsi="Cambria Math"/>
            <w:highlight w:val="lightGray"/>
          </w:rPr>
          <m:t>ν=1</m:t>
        </m:r>
      </m:oMath>
      <w:r w:rsidR="00060445" w:rsidRPr="00F6643A">
        <w:rPr>
          <w:highlight w:val="lightGray"/>
        </w:rPr>
        <w:t xml:space="preserve">, as in the </w:t>
      </w:r>
      <w:r w:rsidR="00B66E46" w:rsidRPr="00F6643A">
        <w:rPr>
          <w:highlight w:val="lightGray"/>
        </w:rPr>
        <w:t>standard</w:t>
      </w:r>
      <w:r w:rsidR="00060445" w:rsidRPr="00F6643A">
        <w:rPr>
          <w:highlight w:val="lightGray"/>
        </w:rPr>
        <w:t xml:space="preserve"> logistic model</w:t>
      </w:r>
      <w:r w:rsidR="00B66E46" w:rsidRPr="00F6643A">
        <w:rPr>
          <w:highlight w:val="lightGray"/>
        </w:rPr>
        <w:t>.</w:t>
      </w:r>
      <w:r w:rsidR="00464BA0" w:rsidRPr="00F6643A">
        <w:rPr>
          <w:highlight w:val="lightGray"/>
        </w:rPr>
        <w:t xml:space="preserve"> Another five parameter form has both rate parameters set to the same value (</w:t>
      </w:r>
      <m:oMath>
        <m:r>
          <w:rPr>
            <w:rFonts w:ascii="Cambria Math" w:hAnsi="Cambria Math"/>
            <w:highlight w:val="lightGray"/>
          </w:rPr>
          <m:t>m=r</m:t>
        </m:r>
      </m:oMath>
      <w:r w:rsidR="00464BA0" w:rsidRPr="00F6643A">
        <w:rPr>
          <w:highlight w:val="lightGray"/>
        </w:rPr>
        <w:t xml:space="preserve">), which can make the fitting procedure more stable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 xml:space="preserve">. A four parameter form has both of the previous reductions, setting </w:t>
      </w:r>
      <m:oMath>
        <m:r>
          <w:rPr>
            <w:rFonts w:ascii="Cambria Math" w:hAnsi="Cambria Math"/>
            <w:highlight w:val="lightGray"/>
          </w:rPr>
          <m:t>m=r</m:t>
        </m:r>
      </m:oMath>
      <w:r w:rsidR="00464BA0" w:rsidRPr="00F6643A">
        <w:rPr>
          <w:highlight w:val="lightGray"/>
        </w:rPr>
        <w:t xml:space="preserve"> and </w:t>
      </w:r>
      <m:oMath>
        <m:r>
          <w:rPr>
            <w:rFonts w:ascii="Cambria Math" w:hAnsi="Cambria Math"/>
            <w:highlight w:val="lightGray"/>
          </w:rPr>
          <m:t>ν=1</m:t>
        </m:r>
      </m:oMath>
      <w:r w:rsidR="00464BA0" w:rsidRPr="00F6643A">
        <w:rPr>
          <w:highlight w:val="lightGray"/>
        </w:rPr>
        <w:t xml:space="preserve"> </w:t>
      </w:r>
      <w:r w:rsidR="00464BA0" w:rsidRPr="00F6643A">
        <w:rPr>
          <w:highlight w:val="lightGray"/>
        </w:rPr>
        <w:fldChar w:fldCharType="begin" w:fldLock="1"/>
      </w:r>
      <w:r w:rsidR="00464BA0" w:rsidRPr="00F6643A">
        <w:rPr>
          <w:highlight w:val="lightGray"/>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(Baranyi 1997)</w:t>
      </w:r>
      <w:r w:rsidR="00464BA0" w:rsidRPr="00F6643A">
        <w:rPr>
          <w:highlight w:val="lightGray"/>
        </w:rPr>
        <w:fldChar w:fldCharType="end"/>
      </w:r>
      <w:r w:rsidR="00464BA0" w:rsidRPr="00F6643A">
        <w:rPr>
          <w:highlight w:val="lightGray"/>
        </w:rPr>
        <w:t>.</w:t>
      </w:r>
      <w:r w:rsidR="00B66E46" w:rsidRPr="00F6643A">
        <w:rPr>
          <w:highlight w:val="lightGray"/>
        </w:rPr>
        <w:t xml:space="preserve"> </w:t>
      </w:r>
      <w:r w:rsidR="00966DD5" w:rsidRPr="00F6643A">
        <w:rPr>
          <w:highlight w:val="lightGray"/>
        </w:rPr>
        <w:t>A</w:t>
      </w:r>
      <w:r w:rsidR="00464BA0" w:rsidRPr="00F6643A">
        <w:rPr>
          <w:highlight w:val="lightGray"/>
        </w:rPr>
        <w:t>nother</w:t>
      </w:r>
      <w:r w:rsidR="00966DD5" w:rsidRPr="00F6643A">
        <w:rPr>
          <w:highlight w:val="lightGray"/>
        </w:rPr>
        <w:t xml:space="preserve"> four parameter form</w:t>
      </w:r>
      <w:r w:rsidR="00060445" w:rsidRPr="00F6643A">
        <w:rPr>
          <w:highlight w:val="lightGray"/>
        </w:rPr>
        <w:t xml:space="preserve"> </w:t>
      </w:r>
      <w:r w:rsidR="00966DD5" w:rsidRPr="00F6643A">
        <w:rPr>
          <w:highlight w:val="lightGray"/>
        </w:rPr>
        <w:t>of</w:t>
      </w:r>
      <w:r w:rsidR="00060445" w:rsidRPr="00F6643A">
        <w:rPr>
          <w:highlight w:val="lightGray"/>
        </w:rPr>
        <w:t xml:space="preserve"> the </w:t>
      </w:r>
      <w:r w:rsidRPr="00F6643A">
        <w:rPr>
          <w:highlight w:val="lightGray"/>
        </w:rPr>
        <w:t>mode</w:t>
      </w:r>
      <w:r w:rsidR="00BB3C26" w:rsidRPr="00F6643A">
        <w:rPr>
          <w:highlight w:val="lightGray"/>
        </w:rPr>
        <w:t>l</w:t>
      </w:r>
      <w:r w:rsidR="00060445" w:rsidRPr="00F6643A">
        <w:rPr>
          <w:highlight w:val="lightGray"/>
        </w:rPr>
        <w:t xml:space="preserve"> </w:t>
      </w:r>
      <w:r w:rsidR="00966DD5" w:rsidRPr="00F6643A">
        <w:rPr>
          <w:highlight w:val="lightGray"/>
        </w:rPr>
        <w:t xml:space="preserve">has no </w:t>
      </w:r>
      <w:r w:rsidR="00060445" w:rsidRPr="00F6643A">
        <w:rPr>
          <w:highlight w:val="lightGray"/>
        </w:rPr>
        <w:t>lag phase,</w:t>
      </w:r>
      <w:r w:rsidR="00BB3C26" w:rsidRPr="00F6643A">
        <w:rPr>
          <w:highlight w:val="lightGray"/>
        </w:rPr>
        <w:t xml:space="preserve"> </w:t>
      </w:r>
      <w:proofErr w:type="gramStart"/>
      <w:r w:rsidR="00966DD5" w:rsidRPr="00F6643A">
        <w:rPr>
          <w:highlight w:val="lightGray"/>
        </w:rPr>
        <w:t xml:space="preserve">with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r>
          <m:rPr>
            <m:sty m:val="p"/>
          </m:rPr>
          <w:rPr>
            <w:rFonts w:ascii="Cambria Math" w:hAnsi="Cambria Math"/>
            <w:highlight w:val="lightGray"/>
          </w:rPr>
          <m:t>⇒</m:t>
        </m:r>
        <m:r>
          <w:rPr>
            <w:rFonts w:ascii="Cambria Math" w:hAnsi="Cambria Math"/>
            <w:highlight w:val="lightGray"/>
          </w:rPr>
          <m:t>A</m:t>
        </m:r>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≡t</m:t>
        </m:r>
      </m:oMath>
      <w:r w:rsidR="00060445" w:rsidRPr="00F6643A">
        <w:rPr>
          <w:highlight w:val="lightGray"/>
        </w:rPr>
        <w:t>. This is also known as the Richards model</w:t>
      </w:r>
      <w:r w:rsidR="00FE04E0" w:rsidRPr="00F6643A">
        <w:rPr>
          <w:highlight w:val="lightGray"/>
        </w:rPr>
        <w:t xml:space="preserve"> </w:t>
      </w:r>
      <w:r w:rsidR="00FE04E0" w:rsidRPr="00F6643A">
        <w:rPr>
          <w:highlight w:val="lightGray"/>
        </w:rPr>
        <w:fldChar w:fldCharType="begin" w:fldLock="1"/>
      </w:r>
      <w:r w:rsidR="0044050E" w:rsidRPr="00F6643A">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F6643A">
        <w:rPr>
          <w:highlight w:val="lightGray"/>
        </w:rPr>
        <w:fldChar w:fldCharType="separate"/>
      </w:r>
      <w:r w:rsidR="00FE04E0" w:rsidRPr="00F6643A">
        <w:rPr>
          <w:noProof/>
          <w:highlight w:val="lightGray"/>
        </w:rPr>
        <w:t>(Richards 1959)</w:t>
      </w:r>
      <w:r w:rsidR="00FE04E0" w:rsidRPr="00F6643A">
        <w:rPr>
          <w:highlight w:val="lightGray"/>
        </w:rPr>
        <w:fldChar w:fldCharType="end"/>
      </w:r>
      <w:r w:rsidR="00464BA0" w:rsidRPr="00F6643A">
        <w:rPr>
          <w:highlight w:val="lightGray"/>
        </w:rPr>
        <w:t xml:space="preserve">, the </w:t>
      </w:r>
      <m:oMath>
        <m:r>
          <w:rPr>
            <w:rFonts w:ascii="Cambria Math" w:hAnsi="Cambria Math"/>
            <w:highlight w:val="lightGray"/>
          </w:rPr>
          <m:t>θ</m:t>
        </m:r>
      </m:oMath>
      <w:r w:rsidR="00464BA0" w:rsidRPr="00F6643A">
        <w:rPr>
          <w:highlight w:val="lightGray"/>
        </w:rPr>
        <w:t xml:space="preserve">-logistic model </w:t>
      </w:r>
      <w:r w:rsidR="00464BA0" w:rsidRPr="00F6643A">
        <w:rPr>
          <w:highlight w:val="lightGray"/>
        </w:rPr>
        <w:fldChar w:fldCharType="begin" w:fldLock="1"/>
      </w:r>
      <w:r w:rsidR="00464BA0" w:rsidRPr="00F6643A">
        <w:rPr>
          <w:highlight w:val="lightGray"/>
        </w:rPr>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(Gilpin and Ayala 1973)</w:t>
      </w:r>
      <w:r w:rsidR="00464BA0" w:rsidRPr="00F6643A">
        <w:rPr>
          <w:highlight w:val="lightGray"/>
        </w:rPr>
        <w:fldChar w:fldCharType="end"/>
      </w:r>
      <w:r w:rsidR="00464BA0" w:rsidRPr="00F6643A">
        <w:rPr>
          <w:highlight w:val="lightGray"/>
        </w:rPr>
        <w:t>, or the generalized logistic model (see Wikipedia)</w:t>
      </w:r>
      <w:r w:rsidR="00060445" w:rsidRPr="00F6643A">
        <w:rPr>
          <w:highlight w:val="lightGray"/>
        </w:rPr>
        <w:t xml:space="preserve">. This </w:t>
      </w:r>
      <w:r w:rsidR="00966DD5" w:rsidRPr="00F6643A">
        <w:rPr>
          <w:highlight w:val="lightGray"/>
        </w:rPr>
        <w:t xml:space="preserve">form of the </w:t>
      </w:r>
      <w:r w:rsidRPr="00F6643A">
        <w:rPr>
          <w:highlight w:val="lightGray"/>
        </w:rPr>
        <w:t xml:space="preserve">model </w:t>
      </w:r>
      <w:r w:rsidR="00060445" w:rsidRPr="00F6643A">
        <w:rPr>
          <w:highlight w:val="lightGray"/>
        </w:rPr>
        <w:t xml:space="preserve">is useful in cases </w:t>
      </w:r>
      <w:r w:rsidR="00060445" w:rsidRPr="00F6643A">
        <w:rPr>
          <w:highlight w:val="lightGray"/>
        </w:rPr>
        <w:lastRenderedPageBreak/>
        <w:t>where t</w:t>
      </w:r>
      <w:r w:rsidR="00984152" w:rsidRPr="00F6643A">
        <w:rPr>
          <w:highlight w:val="lightGray"/>
        </w:rPr>
        <w:t xml:space="preserve">here is no observed lag phase: </w:t>
      </w:r>
      <w:r w:rsidR="00060445" w:rsidRPr="00F6643A">
        <w:rPr>
          <w:highlight w:val="lightGray"/>
        </w:rPr>
        <w:t xml:space="preserve">either because the </w:t>
      </w:r>
      <w:r w:rsidR="00B551CC" w:rsidRPr="00F6643A">
        <w:rPr>
          <w:highlight w:val="lightGray"/>
        </w:rPr>
        <w:t>population</w:t>
      </w:r>
      <w:r w:rsidR="00060445" w:rsidRPr="00F6643A">
        <w:rPr>
          <w:highlight w:val="lightGray"/>
        </w:rPr>
        <w:t xml:space="preserve"> adjusts very rapidly or because </w:t>
      </w:r>
      <w:r w:rsidR="00B551CC" w:rsidRPr="00F6643A">
        <w:rPr>
          <w:highlight w:val="lightGray"/>
        </w:rPr>
        <w:t>it</w:t>
      </w:r>
      <w:r w:rsidR="00060445" w:rsidRPr="00F6643A">
        <w:rPr>
          <w:highlight w:val="lightGray"/>
        </w:rPr>
        <w:t xml:space="preserve"> </w:t>
      </w:r>
      <w:r w:rsidR="00984152" w:rsidRPr="00F6643A">
        <w:rPr>
          <w:highlight w:val="lightGray"/>
        </w:rPr>
        <w:t xml:space="preserve">is already </w:t>
      </w:r>
      <w:r w:rsidR="00060445" w:rsidRPr="00F6643A">
        <w:rPr>
          <w:highlight w:val="lightGray"/>
        </w:rPr>
        <w:t>adjusted prior to the growth experiment</w:t>
      </w:r>
      <w:r w:rsidR="00984152" w:rsidRPr="00F6643A">
        <w:rPr>
          <w:highlight w:val="lightGray"/>
        </w:rPr>
        <w:t>, usually</w:t>
      </w:r>
      <w:r w:rsidR="00060445" w:rsidRPr="00F6643A">
        <w:rPr>
          <w:highlight w:val="lightGray"/>
        </w:rPr>
        <w:t xml:space="preserve"> by priming it in fresh media</w:t>
      </w:r>
      <w:r w:rsidR="00984152" w:rsidRPr="00F6643A">
        <w:rPr>
          <w:highlight w:val="lightGray"/>
        </w:rPr>
        <w:t xml:space="preserve"> before the experiment</w:t>
      </w:r>
      <w:r w:rsidR="00060445" w:rsidRPr="00F6643A">
        <w:rPr>
          <w:highlight w:val="lightGray"/>
        </w:rPr>
        <w:t xml:space="preserve">. The </w:t>
      </w:r>
      <w:r w:rsidR="00A4145D" w:rsidRPr="00F6643A">
        <w:rPr>
          <w:highlight w:val="lightGray"/>
        </w:rPr>
        <w:t>last</w:t>
      </w:r>
      <w:r w:rsidR="00464BA0" w:rsidRPr="00F6643A">
        <w:rPr>
          <w:highlight w:val="lightGray"/>
        </w:rPr>
        <w:t xml:space="preserve"> </w:t>
      </w:r>
      <w:r w:rsidR="00966DD5" w:rsidRPr="00F6643A">
        <w:rPr>
          <w:highlight w:val="lightGray"/>
        </w:rPr>
        <w:t>form i</w:t>
      </w:r>
      <w:r w:rsidR="00B551CC" w:rsidRPr="00F6643A">
        <w:rPr>
          <w:highlight w:val="lightGray"/>
        </w:rPr>
        <w:t>s</w:t>
      </w:r>
      <w:r w:rsidR="00966DD5" w:rsidRPr="00F6643A">
        <w:rPr>
          <w:highlight w:val="lightGray"/>
        </w:rPr>
        <w:t xml:space="preserve"> the </w:t>
      </w:r>
      <w:r w:rsidR="00551D58" w:rsidRPr="00F6643A">
        <w:rPr>
          <w:highlight w:val="lightGray"/>
        </w:rPr>
        <w:t>standard</w:t>
      </w:r>
      <w:r w:rsidR="00966DD5" w:rsidRPr="00F6643A">
        <w:rPr>
          <w:highlight w:val="lightGray"/>
        </w:rPr>
        <w:t xml:space="preserve"> logistic model</w:t>
      </w:r>
      <w:r w:rsidR="00060445" w:rsidRPr="00F6643A">
        <w:rPr>
          <w:highlight w:val="lightGray"/>
        </w:rPr>
        <w:t xml:space="preserve">, in which </w:t>
      </w:r>
      <m:oMath>
        <m:r>
          <w:rPr>
            <w:rFonts w:ascii="Cambria Math" w:hAnsi="Cambria Math"/>
            <w:highlight w:val="lightGray"/>
          </w:rPr>
          <m:t>ν=1</m:t>
        </m:r>
      </m:oMath>
      <w:r w:rsidR="00060445" w:rsidRPr="00F6643A">
        <w:rPr>
          <w:highlight w:val="lightGray"/>
        </w:rPr>
        <w:t xml:space="preserve"> </w:t>
      </w:r>
      <w:proofErr w:type="gramStart"/>
      <w:r w:rsidR="00060445" w:rsidRPr="00F6643A">
        <w:rPr>
          <w:highlight w:val="lightGray"/>
        </w:rPr>
        <w:t xml:space="preserve">and </w:t>
      </w:r>
      <w:proofErr w:type="gramEnd"/>
      <m:oMath>
        <m:f>
          <m:fPr>
            <m:type m:val="lin"/>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m</m:t>
            </m:r>
          </m:den>
        </m:f>
        <m:r>
          <w:rPr>
            <w:rFonts w:ascii="Cambria Math" w:hAnsi="Cambria Math"/>
            <w:highlight w:val="lightGray"/>
          </w:rPr>
          <m:t>=0</m:t>
        </m:r>
      </m:oMath>
      <w:r w:rsidR="00966DD5" w:rsidRPr="00F6643A">
        <w:rPr>
          <w:highlight w:val="lightGray"/>
        </w:rPr>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0962E5"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0962E5"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0962E5"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0962E5"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0962E5"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0962E5"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0962E5"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0962E5"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110A8C4" w:rsidR="008404BC" w:rsidRDefault="008404BC" w:rsidP="008404BC">
      <w:pPr>
        <w:pStyle w:val="Caption"/>
        <w:rPr>
          <w:b w:val="0"/>
          <w:bCs w:val="0"/>
          <w:color w:val="auto"/>
        </w:rPr>
      </w:pPr>
      <w:proofErr w:type="gramStart"/>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w:t>
      </w:r>
      <w:proofErr w:type="gramEnd"/>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F6643A" w:rsidRDefault="005F02B4" w:rsidP="00F70C02">
      <w:pPr>
        <w:rPr>
          <w:highlight w:val="lightGray"/>
        </w:rPr>
      </w:pPr>
      <w:r>
        <w:t xml:space="preserve">We fit </w:t>
      </w:r>
      <w:r w:rsidRPr="00F6643A">
        <w:rPr>
          <w:highlight w:val="lightGray"/>
        </w:rPr>
        <w:t xml:space="preserve">all </w:t>
      </w:r>
      <w:r w:rsidR="00464BA0" w:rsidRPr="00F6643A">
        <w:rPr>
          <w:highlight w:val="lightGray"/>
        </w:rPr>
        <w:t>six</w:t>
      </w:r>
      <w:r w:rsidRPr="00F6643A">
        <w:rPr>
          <w:highlight w:val="lightGray"/>
        </w:rPr>
        <w:t xml:space="preserve"> model</w:t>
      </w:r>
      <w:r w:rsidR="00966DD5" w:rsidRPr="00F6643A">
        <w:rPr>
          <w:highlight w:val="lightGray"/>
        </w:rPr>
        <w:t xml:space="preserve"> form</w:t>
      </w:r>
      <w:r w:rsidRPr="00F6643A">
        <w:rPr>
          <w:highlight w:val="lightGray"/>
        </w:rPr>
        <w:t>s</w:t>
      </w:r>
      <w:r>
        <w:t xml:space="preserve">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w:t>
      </w:r>
      <w:r w:rsidRPr="00F6643A">
        <w:rPr>
          <w:highlight w:val="lightGray"/>
        </w:rPr>
        <w:t>We then calculate the Bayesian Information C</w:t>
      </w:r>
      <w:r w:rsidR="00984152" w:rsidRPr="00F6643A">
        <w:rPr>
          <w:highlight w:val="lightGray"/>
        </w:rPr>
        <w:t>riteria (BIC) of each model fit</w:t>
      </w:r>
      <w:r w:rsidR="00F06897" w:rsidRPr="00F6643A">
        <w:rPr>
          <w:highlight w:val="lightGray"/>
        </w:rPr>
        <w:t>:</w:t>
      </w:r>
    </w:p>
    <w:p w14:paraId="3E45556E" w14:textId="77777777" w:rsidR="005F02B4" w:rsidRPr="00F6643A" w:rsidRDefault="00984152" w:rsidP="00507681">
      <w:pPr>
        <w:jc w:val="center"/>
        <w:rPr>
          <w:highlight w:val="lightGray"/>
        </w:rPr>
      </w:pPr>
      <m:oMath>
        <m:r>
          <w:rPr>
            <w:rFonts w:ascii="Cambria Math" w:hAnsi="Cambria Math"/>
            <w:highlight w:val="lightGray"/>
          </w:rPr>
          <m:t>BIC=n</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d>
              <m:dPr>
                <m:ctrlPr>
                  <w:rPr>
                    <w:rFonts w:ascii="Cambria Math" w:hAnsi="Cambria Math"/>
                    <w:highlight w:val="lightGray"/>
                  </w:rPr>
                </m:ctrlPr>
              </m:dPr>
              <m:e>
                <m:f>
                  <m:fPr>
                    <m:ctrlPr>
                      <w:rPr>
                        <w:rFonts w:ascii="Cambria Math" w:hAnsi="Cambria Math"/>
                        <w:highlight w:val="lightGray"/>
                      </w:rPr>
                    </m:ctrlPr>
                  </m:fPr>
                  <m:num>
                    <m:nary>
                      <m:naryPr>
                        <m:chr m:val="∑"/>
                        <m:limLoc m:val="undOvr"/>
                        <m:ctrlPr>
                          <w:rPr>
                            <w:rFonts w:ascii="Cambria Math" w:hAnsi="Cambria Math"/>
                            <w:highlight w:val="lightGray"/>
                          </w:rPr>
                        </m:ctrlPr>
                      </m:naryPr>
                      <m:sub>
                        <m:r>
                          <w:rPr>
                            <w:rFonts w:ascii="Cambria Math" w:hAnsi="Cambria Math"/>
                            <w:highlight w:val="lightGray"/>
                          </w:rPr>
                          <m:t>i</m:t>
                        </m:r>
                        <m:r>
                          <m:rPr>
                            <m:sty m:val="p"/>
                          </m:rPr>
                          <w:rPr>
                            <w:rFonts w:ascii="Cambria Math" w:hAnsi="Cambria Math"/>
                            <w:highlight w:val="lightGray"/>
                          </w:rPr>
                          <m:t>=1</m:t>
                        </m:r>
                      </m:sub>
                      <m:sup>
                        <m:r>
                          <w:rPr>
                            <w:rFonts w:ascii="Cambria Math" w:hAnsi="Cambria Math"/>
                            <w:highlight w:val="lightGray"/>
                          </w:rPr>
                          <m:t>n</m:t>
                        </m:r>
                      </m:sup>
                      <m:e>
                        <m:sSup>
                          <m:sSupPr>
                            <m:ctrlPr>
                              <w:rPr>
                                <w:rFonts w:ascii="Cambria Math" w:hAnsi="Cambria Math"/>
                                <w:highlight w:val="lightGray"/>
                              </w:rPr>
                            </m:ctrlPr>
                          </m:sSupPr>
                          <m:e>
                            <m:d>
                              <m:dPr>
                                <m:ctrlPr>
                                  <w:rPr>
                                    <w:rFonts w:ascii="Cambria Math" w:hAnsi="Cambria Math"/>
                                    <w:highlight w:val="lightGray"/>
                                  </w:rPr>
                                </m:ctrlPr>
                              </m:dPr>
                              <m:e>
                                <m:r>
                                  <w:rPr>
                                    <w:rFonts w:ascii="Cambria Math" w:hAnsi="Cambria Math"/>
                                    <w:highlight w:val="lightGray"/>
                                  </w:rPr>
                                  <m:t>N</m:t>
                                </m:r>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r>
                                  <m:rPr>
                                    <m:sty m:val="p"/>
                                  </m:rPr>
                                  <w:rPr>
                                    <w:rFonts w:ascii="Cambria Math" w:hAnsi="Cambria Math"/>
                                    <w:highlight w:val="lightGray"/>
                                  </w:rPr>
                                  <m:t>-</m:t>
                                </m:r>
                                <m:acc>
                                  <m:accPr>
                                    <m:ctrlPr>
                                      <w:rPr>
                                        <w:rFonts w:ascii="Cambria Math" w:hAnsi="Cambria Math"/>
                                        <w:highlight w:val="lightGray"/>
                                      </w:rPr>
                                    </m:ctrlPr>
                                  </m:accPr>
                                  <m:e>
                                    <m:r>
                                      <w:rPr>
                                        <w:rFonts w:ascii="Cambria Math" w:hAnsi="Cambria Math"/>
                                        <w:highlight w:val="lightGray"/>
                                      </w:rPr>
                                      <m:t>N</m:t>
                                    </m:r>
                                  </m:e>
                                </m:acc>
                                <m:d>
                                  <m:dPr>
                                    <m:ctrlPr>
                                      <w:rPr>
                                        <w:rFonts w:ascii="Cambria Math" w:hAnsi="Cambria Math"/>
                                        <w:highlight w:val="lightGray"/>
                                      </w:rPr>
                                    </m:ctrlPr>
                                  </m:dPr>
                                  <m:e>
                                    <m:sSub>
                                      <m:sSubPr>
                                        <m:ctrlPr>
                                          <w:rPr>
                                            <w:rFonts w:ascii="Cambria Math" w:hAnsi="Cambria Math"/>
                                            <w:highlight w:val="lightGray"/>
                                          </w:rPr>
                                        </m:ctrlPr>
                                      </m:sSubPr>
                                      <m:e>
                                        <m:r>
                                          <w:rPr>
                                            <w:rFonts w:ascii="Cambria Math" w:hAnsi="Cambria Math"/>
                                            <w:highlight w:val="lightGray"/>
                                          </w:rPr>
                                          <m:t>t</m:t>
                                        </m:r>
                                      </m:e>
                                      <m:sub>
                                        <m:r>
                                          <w:rPr>
                                            <w:rFonts w:ascii="Cambria Math" w:hAnsi="Cambria Math"/>
                                            <w:highlight w:val="lightGray"/>
                                          </w:rPr>
                                          <m:t>i</m:t>
                                        </m:r>
                                      </m:sub>
                                    </m:sSub>
                                  </m:e>
                                </m:d>
                              </m:e>
                            </m:d>
                          </m:e>
                          <m:sup>
                            <m:r>
                              <m:rPr>
                                <m:sty m:val="p"/>
                              </m:rPr>
                              <w:rPr>
                                <w:rFonts w:ascii="Cambria Math" w:hAnsi="Cambria Math"/>
                                <w:highlight w:val="lightGray"/>
                              </w:rPr>
                              <m:t>2</m:t>
                            </m:r>
                          </m:sup>
                        </m:sSup>
                      </m:e>
                    </m:nary>
                  </m:num>
                  <m:den>
                    <m:r>
                      <w:rPr>
                        <w:rFonts w:ascii="Cambria Math" w:hAnsi="Cambria Math"/>
                        <w:highlight w:val="lightGray"/>
                      </w:rPr>
                      <m:t>n</m:t>
                    </m:r>
                  </m:den>
                </m:f>
              </m:e>
            </m:d>
          </m:e>
        </m:func>
        <m:r>
          <m:rPr>
            <m:sty m:val="p"/>
          </m:rPr>
          <w:rPr>
            <w:rFonts w:ascii="Cambria Math" w:hAnsi="Cambria Math"/>
            <w:highlight w:val="lightGray"/>
          </w:rPr>
          <m:t>+</m:t>
        </m:r>
        <m:r>
          <w:rPr>
            <w:rFonts w:ascii="Cambria Math" w:hAnsi="Cambria Math"/>
            <w:highlight w:val="lightGray"/>
          </w:rPr>
          <m:t>k</m:t>
        </m:r>
        <m:r>
          <m:rPr>
            <m:sty m:val="p"/>
          </m:rPr>
          <w:rPr>
            <w:rFonts w:ascii="Cambria Math" w:hAnsi="Cambria Math"/>
            <w:highlight w:val="lightGray"/>
          </w:rPr>
          <m:t>⋅</m:t>
        </m:r>
        <m:func>
          <m:funcPr>
            <m:ctrlPr>
              <w:rPr>
                <w:rFonts w:ascii="Cambria Math" w:hAnsi="Cambria Math"/>
                <w:highlight w:val="lightGray"/>
              </w:rPr>
            </m:ctrlPr>
          </m:funcPr>
          <m:fName>
            <m:r>
              <m:rPr>
                <m:sty m:val="p"/>
              </m:rPr>
              <w:rPr>
                <w:rFonts w:ascii="Cambria Math" w:hAnsi="Cambria Math"/>
                <w:highlight w:val="lightGray"/>
              </w:rPr>
              <m:t>log</m:t>
            </m:r>
          </m:fName>
          <m:e>
            <m:r>
              <w:rPr>
                <w:rFonts w:ascii="Cambria Math" w:hAnsi="Cambria Math"/>
                <w:highlight w:val="lightGray"/>
              </w:rPr>
              <m:t>n</m:t>
            </m:r>
          </m:e>
        </m:func>
      </m:oMath>
      <w:r w:rsidR="005F02B4" w:rsidRPr="00F6643A">
        <w:rPr>
          <w:highlight w:val="lightGray"/>
        </w:rPr>
        <w:t>,</w:t>
      </w:r>
    </w:p>
    <w:p w14:paraId="04EB3F0C" w14:textId="708ECFFD" w:rsidR="005F02B4" w:rsidRDefault="005F02B4" w:rsidP="00507681">
      <w:r w:rsidRPr="00F6643A">
        <w:rPr>
          <w:highlight w:val="lightGray"/>
        </w:rPr>
        <w:t xml:space="preserve">where </w:t>
      </w:r>
      <m:oMath>
        <m:r>
          <w:rPr>
            <w:rFonts w:ascii="Cambria Math" w:hAnsi="Cambria Math"/>
            <w:highlight w:val="lightGray"/>
          </w:rPr>
          <m:t>k</m:t>
        </m:r>
      </m:oMath>
      <w:r w:rsidRPr="00F6643A">
        <w:rPr>
          <w:highlight w:val="lightGray"/>
        </w:rPr>
        <w:t xml:space="preserve"> is the number </w:t>
      </w:r>
      <w:r w:rsidR="00464BA0" w:rsidRPr="00F6643A">
        <w:rPr>
          <w:highlight w:val="lightGray"/>
        </w:rPr>
        <w:t>model</w:t>
      </w:r>
      <w:r w:rsidRPr="00F6643A">
        <w:rPr>
          <w:highlight w:val="lightGray"/>
        </w:rPr>
        <w:t xml:space="preserve"> parameters, </w:t>
      </w:r>
      <m:oMath>
        <m:r>
          <w:rPr>
            <w:rFonts w:ascii="Cambria Math" w:hAnsi="Cambria Math"/>
            <w:highlight w:val="lightGray"/>
          </w:rPr>
          <m:t>n</m:t>
        </m:r>
      </m:oMath>
      <w:r w:rsidRPr="00F6643A">
        <w:rPr>
          <w:highlight w:val="lightGray"/>
        </w:rPr>
        <w:t xml:space="preserve"> is the number of </w:t>
      </w:r>
      <w:r w:rsidR="00464BA0" w:rsidRPr="00F6643A">
        <w:rPr>
          <w:highlight w:val="lightGray"/>
        </w:rPr>
        <w:t xml:space="preserve">data </w:t>
      </w:r>
      <w:r w:rsidRPr="00F6643A">
        <w:rPr>
          <w:highlight w:val="lightGray"/>
        </w:rPr>
        <w:t>points</w:t>
      </w:r>
      <w:r w:rsidR="00464BA0" w:rsidRPr="00F6643A">
        <w:rPr>
          <w:highlight w:val="lightGray"/>
        </w:rPr>
        <w:t>,</w:t>
      </w:r>
      <w:r w:rsidRPr="00F6643A">
        <w:rPr>
          <w:highlight w:val="lightGray"/>
        </w:rPr>
        <w:t xml:space="preserve">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00464BA0" w:rsidRPr="00F6643A">
        <w:rPr>
          <w:highlight w:val="lightGray"/>
        </w:rPr>
        <w:t xml:space="preserve"> are the time points</w:t>
      </w:r>
      <w:r w:rsidRPr="00F6643A">
        <w:rPr>
          <w:highlight w:val="lightGray"/>
        </w:rPr>
        <w:t xml:space="preserve">, </w:t>
      </w:r>
      <m:oMath>
        <m:r>
          <w:rPr>
            <w:rFonts w:ascii="Cambria Math" w:hAnsi="Cambria Math"/>
            <w:highlight w:val="lightGray"/>
          </w:rPr>
          <m:t>N</m:t>
        </m:r>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oMath>
      <w:r w:rsidRPr="00F6643A">
        <w:rPr>
          <w:highlight w:val="lightGray"/>
        </w:rPr>
        <w:t xml:space="preserve"> is the </w:t>
      </w:r>
      <w:r w:rsidR="00464BA0" w:rsidRPr="00F6643A">
        <w:rPr>
          <w:highlight w:val="lightGray"/>
        </w:rPr>
        <w:t xml:space="preserve">optical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and </w:t>
      </w:r>
      <m:oMath>
        <m:acc>
          <m:accPr>
            <m:ctrlPr>
              <w:rPr>
                <w:rFonts w:ascii="Cambria Math" w:hAnsi="Cambria Math"/>
                <w:i/>
                <w:highlight w:val="lightGray"/>
              </w:rPr>
            </m:ctrlPr>
          </m:accPr>
          <m:e>
            <m:r>
              <w:rPr>
                <w:rFonts w:ascii="Cambria Math" w:hAnsi="Cambria Math"/>
                <w:highlight w:val="lightGray"/>
              </w:rPr>
              <m:t>N</m:t>
            </m:r>
          </m:e>
        </m:acc>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e>
        </m:d>
        <m:r>
          <w:rPr>
            <w:rFonts w:ascii="Cambria Math" w:hAnsi="Cambria Math"/>
            <w:highlight w:val="lightGray"/>
          </w:rPr>
          <m:t xml:space="preserve"> </m:t>
        </m:r>
      </m:oMath>
      <w:r w:rsidRPr="00F6643A">
        <w:rPr>
          <w:highlight w:val="lightGray"/>
        </w:rPr>
        <w:t xml:space="preserve">is the expected </w:t>
      </w:r>
      <w:r w:rsidR="003D0164" w:rsidRPr="00F6643A">
        <w:rPr>
          <w:highlight w:val="lightGray"/>
        </w:rPr>
        <w:t>density</w:t>
      </w:r>
      <w:r w:rsidRPr="00F6643A">
        <w:rPr>
          <w:highlight w:val="lightGray"/>
        </w:rPr>
        <w:t xml:space="preserve"> at time point </w:t>
      </w:r>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i</m:t>
            </m:r>
          </m:sub>
        </m:sSub>
      </m:oMath>
      <w:r w:rsidRPr="00F6643A">
        <w:rPr>
          <w:highlight w:val="lightGray"/>
        </w:rPr>
        <w:t xml:space="preserve"> according to the model.</w:t>
      </w:r>
      <w:r w:rsidR="00154E23" w:rsidRPr="00F6643A">
        <w:rPr>
          <w:highlight w:val="lightGray"/>
        </w:rPr>
        <w:t xml:space="preserve"> We select the model </w:t>
      </w:r>
      <w:r w:rsidR="00966DD5" w:rsidRPr="00F6643A">
        <w:rPr>
          <w:highlight w:val="lightGray"/>
        </w:rPr>
        <w:t xml:space="preserve">form </w:t>
      </w:r>
      <w:r w:rsidR="00154E23" w:rsidRPr="00F6643A">
        <w:rPr>
          <w:highlight w:val="lightGray"/>
        </w:rPr>
        <w:t>with the lowest BIC</w:t>
      </w:r>
      <w:r w:rsidR="00464BA0" w:rsidRPr="00F6643A">
        <w:rPr>
          <w:highlight w:val="lightGray"/>
        </w:rPr>
        <w:t xml:space="preserve"> </w:t>
      </w:r>
      <w:r w:rsidR="00464BA0" w:rsidRPr="00F6643A">
        <w:rPr>
          <w:highlight w:val="lightGray"/>
        </w:rPr>
        <w:fldChar w:fldCharType="begin" w:fldLock="1"/>
      </w:r>
      <w:r w:rsidR="00D44992" w:rsidRPr="00F6643A">
        <w:rPr>
          <w:highlight w:val="lightGray"/>
        </w:rPr>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F6643A">
        <w:rPr>
          <w:highlight w:val="lightGray"/>
        </w:rPr>
        <w:fldChar w:fldCharType="separate"/>
      </w:r>
      <w:r w:rsidR="00464BA0" w:rsidRPr="00F6643A">
        <w:rPr>
          <w:noProof/>
          <w:highlight w:val="lightGray"/>
        </w:rPr>
        <w:t>(Kass and Raftery 1995; Ward 2008)</w:t>
      </w:r>
      <w:r w:rsidR="00464BA0" w:rsidRPr="00F6643A">
        <w:rPr>
          <w:highlight w:val="lightGray"/>
        </w:rPr>
        <w:fldChar w:fldCharType="end"/>
      </w:r>
      <w:r w:rsidR="00154E23" w:rsidRPr="00F6643A">
        <w:rPr>
          <w:highlight w:val="lightGray"/>
        </w:rPr>
        <w:t>.</w:t>
      </w:r>
    </w:p>
    <w:p w14:paraId="202C6CCE" w14:textId="11AA1605" w:rsidR="00154E23" w:rsidRDefault="00C05ED5" w:rsidP="00937B87">
      <w:r>
        <w:lastRenderedPageBreak/>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1"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1"/>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B176A3" w14:paraId="3F902697" w14:textId="77777777" w:rsidTr="0024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A3DAC2" w14:textId="77777777" w:rsidR="00B176A3" w:rsidRPr="00B176A3" w:rsidRDefault="00B176A3" w:rsidP="00997352">
            <w:pPr>
              <w:ind w:firstLine="0"/>
              <w:jc w:val="center"/>
              <w:rPr>
                <w:sz w:val="18"/>
                <w:szCs w:val="18"/>
              </w:rPr>
            </w:pPr>
          </w:p>
        </w:tc>
        <w:tc>
          <w:tcPr>
            <w:tcW w:w="2403" w:type="dxa"/>
            <w:gridSpan w:val="2"/>
          </w:tcPr>
          <w:p w14:paraId="46BA5DAF" w14:textId="68AC897A"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47E5D720" w14:textId="3E230043" w:rsidR="00B176A3" w:rsidRPr="00B176A3" w:rsidRDefault="00B176A3" w:rsidP="008E60E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1DE847DE" w14:textId="5FCDD63E"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bookmarkStart w:id="2" w:name="_GoBack"/>
            <w:bookmarkEnd w:id="2"/>
            <w:r>
              <w:rPr>
                <w:sz w:val="18"/>
                <w:szCs w:val="18"/>
              </w:rPr>
              <w:t>Experiment C</w:t>
            </w:r>
          </w:p>
        </w:tc>
      </w:tr>
      <w:tr w:rsidR="00B176A3" w14:paraId="3C45AC95" w14:textId="301C8C66"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0BE19E" w14:textId="6A7972FC" w:rsidR="00B176A3" w:rsidRDefault="00B176A3" w:rsidP="00997352">
            <w:pPr>
              <w:ind w:firstLine="0"/>
              <w:jc w:val="center"/>
              <w:rPr>
                <w:sz w:val="18"/>
                <w:szCs w:val="18"/>
              </w:rPr>
            </w:pPr>
            <w:r>
              <w:rPr>
                <w:sz w:val="18"/>
                <w:szCs w:val="18"/>
              </w:rPr>
              <w:t>Strain</w:t>
            </w:r>
          </w:p>
          <w:p w14:paraId="0203180C" w14:textId="3B05D998" w:rsidR="00B176A3" w:rsidRPr="00B176A3" w:rsidRDefault="00B176A3" w:rsidP="00997352">
            <w:pPr>
              <w:ind w:firstLine="0"/>
              <w:jc w:val="center"/>
              <w:rPr>
                <w:sz w:val="18"/>
                <w:szCs w:val="18"/>
              </w:rPr>
            </w:pPr>
            <w:r w:rsidRPr="00B176A3">
              <w:rPr>
                <w:sz w:val="18"/>
                <w:szCs w:val="18"/>
              </w:rPr>
              <w:t>Parameter</w:t>
            </w:r>
          </w:p>
        </w:tc>
        <w:tc>
          <w:tcPr>
            <w:tcW w:w="1175" w:type="dxa"/>
          </w:tcPr>
          <w:p w14:paraId="4BBE23AE" w14:textId="63EE5ADB"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586BA134" w14:textId="61F361DD" w:rsidR="00B176A3" w:rsidRPr="00B176A3" w:rsidRDefault="00B176A3" w:rsidP="00B176A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34143450" w14:textId="7CCDEAA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0627B489" w14:textId="453A7904"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2BC350BC" w14:textId="5AE5E005"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3C424EB8" w14:textId="2813FA6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B176A3" w14:paraId="242B60E5" w14:textId="6F02CB51" w:rsidTr="00B176A3">
        <w:tc>
          <w:tcPr>
            <w:cnfStyle w:val="001000000000" w:firstRow="0" w:lastRow="0" w:firstColumn="1" w:lastColumn="0" w:oddVBand="0" w:evenVBand="0" w:oddHBand="0" w:evenHBand="0" w:firstRowFirstColumn="0" w:firstRowLastColumn="0" w:lastRowFirstColumn="0" w:lastRowLastColumn="0"/>
            <w:tcW w:w="1134" w:type="dxa"/>
          </w:tcPr>
          <w:p w14:paraId="57FAAE8A" w14:textId="1F37AFD6" w:rsidR="00B176A3" w:rsidRPr="00B176A3" w:rsidRDefault="00B176A3"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14:paraId="4706B8E0" w14:textId="61723D5F"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14:paraId="67EF53EC" w14:textId="33FBA24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14:paraId="637369D0" w14:textId="7473976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14:paraId="5DAF2BAC" w14:textId="0A0AEA74"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14:paraId="49E320F4" w14:textId="045F66B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14:paraId="6EC88224" w14:textId="3EC15B6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B176A3" w14:paraId="496164D8" w14:textId="5CB42A38"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F30EAE3" w14:textId="4F7F4E25"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tcPr>
          <w:p w14:paraId="02AFDB10" w14:textId="76A962C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14:paraId="2F73AB10" w14:textId="578D387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14:paraId="03764BC7" w14:textId="1184AF6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14:paraId="6C45B5EE" w14:textId="5FD1246D"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14:paraId="63B762DF" w14:textId="5AF38E5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14:paraId="29C845F6" w14:textId="1ADC7B0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B176A3" w14:paraId="24C25DCB" w14:textId="3DA123C9" w:rsidTr="00B176A3">
        <w:tc>
          <w:tcPr>
            <w:cnfStyle w:val="001000000000" w:firstRow="0" w:lastRow="0" w:firstColumn="1" w:lastColumn="0" w:oddVBand="0" w:evenVBand="0" w:oddHBand="0" w:evenHBand="0" w:firstRowFirstColumn="0" w:firstRowLastColumn="0" w:lastRowFirstColumn="0" w:lastRowLastColumn="0"/>
            <w:tcW w:w="1134" w:type="dxa"/>
          </w:tcPr>
          <w:p w14:paraId="38669633" w14:textId="45DB647E"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tcPr>
          <w:p w14:paraId="529CF34D" w14:textId="168DBD47"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0.265±0.026</w:t>
            </w:r>
          </w:p>
        </w:tc>
        <w:tc>
          <w:tcPr>
            <w:tcW w:w="1228" w:type="dxa"/>
          </w:tcPr>
          <w:p w14:paraId="6A2EA377" w14:textId="28DD0E7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14:paraId="1A420BE9" w14:textId="7F001184" w:rsidR="00B176A3" w:rsidRPr="00B176A3" w:rsidRDefault="00B176A3" w:rsidP="007F2D4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14:paraId="72CFB0E6" w14:textId="22E9B45C"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14:paraId="27D14731" w14:textId="0551798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310</w:t>
            </w:r>
            <w:r w:rsidRPr="00B176A3">
              <w:rPr>
                <w:sz w:val="18"/>
                <w:szCs w:val="18"/>
              </w:rPr>
              <w:t>±</w:t>
            </w:r>
            <w:r w:rsidRPr="00B176A3">
              <w:rPr>
                <w:sz w:val="18"/>
                <w:szCs w:val="18"/>
              </w:rPr>
              <w:t>2910</w:t>
            </w:r>
          </w:p>
        </w:tc>
        <w:tc>
          <w:tcPr>
            <w:tcW w:w="1125" w:type="dxa"/>
          </w:tcPr>
          <w:p w14:paraId="7F4164A8" w14:textId="176871A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highlight w:val="red"/>
              </w:rPr>
              <w:t>51.25</w:t>
            </w:r>
            <w:r w:rsidRPr="00B176A3">
              <w:rPr>
                <w:sz w:val="18"/>
                <w:szCs w:val="18"/>
                <w:highlight w:val="red"/>
              </w:rPr>
              <w:t>±</w:t>
            </w:r>
            <w:r w:rsidRPr="00B176A3">
              <w:rPr>
                <w:sz w:val="18"/>
                <w:szCs w:val="18"/>
                <w:highlight w:val="red"/>
              </w:rPr>
              <w:t>216</w:t>
            </w:r>
          </w:p>
        </w:tc>
      </w:tr>
      <w:tr w:rsidR="00B176A3" w14:paraId="451EF5B9" w14:textId="536DEBA7"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950059" w14:textId="17ED7DF2"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tcPr>
          <w:p w14:paraId="223B3ABD" w14:textId="6E3BD15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14:paraId="5549276C" w14:textId="66495560" w:rsidR="00B176A3" w:rsidRPr="00B176A3" w:rsidRDefault="00B176A3" w:rsidP="007F2D4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727A2E00" w14:textId="40EA579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14:paraId="5443B90C" w14:textId="4E61112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14:paraId="2E7CF140" w14:textId="21AFF7C0"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71E74B36" w14:textId="1CDC7FF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0.055</w:t>
            </w:r>
            <w:r w:rsidRPr="00B176A3">
              <w:rPr>
                <w:sz w:val="18"/>
                <w:szCs w:val="18"/>
              </w:rPr>
              <w:t>±</w:t>
            </w:r>
            <w:r w:rsidRPr="00B176A3">
              <w:rPr>
                <w:sz w:val="18"/>
                <w:szCs w:val="18"/>
              </w:rPr>
              <w:t>1.01</w:t>
            </w:r>
          </w:p>
        </w:tc>
      </w:tr>
      <w:tr w:rsidR="00B176A3" w14:paraId="362096E8" w14:textId="13739576" w:rsidTr="00B176A3">
        <w:tc>
          <w:tcPr>
            <w:cnfStyle w:val="001000000000" w:firstRow="0" w:lastRow="0" w:firstColumn="1" w:lastColumn="0" w:oddVBand="0" w:evenVBand="0" w:oddHBand="0" w:evenHBand="0" w:firstRowFirstColumn="0" w:firstRowLastColumn="0" w:lastRowFirstColumn="0" w:lastRowLastColumn="0"/>
            <w:tcW w:w="1134" w:type="dxa"/>
          </w:tcPr>
          <w:p w14:paraId="4FC5976B" w14:textId="5093DB8B" w:rsidR="00B176A3" w:rsidRPr="00B176A3" w:rsidRDefault="00B176A3" w:rsidP="00997352">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Pr>
          <w:p w14:paraId="6A4EBC36" w14:textId="67B88035" w:rsidR="00B176A3" w:rsidRPr="00B176A3" w:rsidRDefault="00B176A3" w:rsidP="008E60E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Pr>
          <w:p w14:paraId="69974360" w14:textId="5AF0A2A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Pr>
          <w:p w14:paraId="6B0098F5" w14:textId="265D394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Pr>
          <w:p w14:paraId="10F8DC1A" w14:textId="77A2345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Pr>
          <w:p w14:paraId="53F24ACD" w14:textId="25782C0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0.001</w:t>
            </w:r>
            <w:r w:rsidRPr="00B176A3">
              <w:rPr>
                <w:sz w:val="18"/>
                <w:szCs w:val="18"/>
              </w:rPr>
              <w:t>±</w:t>
            </w:r>
            <w:r w:rsidRPr="00B176A3">
              <w:rPr>
                <w:sz w:val="18"/>
                <w:szCs w:val="18"/>
              </w:rPr>
              <w:t>0.091</w:t>
            </w:r>
          </w:p>
        </w:tc>
        <w:tc>
          <w:tcPr>
            <w:tcW w:w="1125" w:type="dxa"/>
          </w:tcPr>
          <w:p w14:paraId="363ECA3C" w14:textId="5225E2F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sz w:val="18"/>
                <w:szCs w:val="18"/>
              </w:rPr>
              <w:t>0.141</w:t>
            </w:r>
            <w:r w:rsidRPr="00B176A3">
              <w:rPr>
                <w:sz w:val="18"/>
                <w:szCs w:val="18"/>
              </w:rPr>
              <w:t>±</w:t>
            </w:r>
            <w:r w:rsidRPr="00B176A3">
              <w:rPr>
                <w:sz w:val="18"/>
                <w:szCs w:val="18"/>
                <w:highlight w:val="red"/>
              </w:rPr>
              <w:t>2.651</w:t>
            </w:r>
          </w:p>
        </w:tc>
      </w:tr>
      <w:tr w:rsidR="00B176A3" w14:paraId="64C90D8B" w14:textId="40EE906C"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1B4A045F" w14:textId="49A7AA20"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tcPr>
          <w:p w14:paraId="01966BEF" w14:textId="2F13DE45"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Pr>
          <w:p w14:paraId="02B764E1" w14:textId="3270942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Pr>
          <w:p w14:paraId="50A5AFEE" w14:textId="616B978F"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Pr>
          <w:p w14:paraId="7F5B1888" w14:textId="24BE12CB"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Pr>
          <w:p w14:paraId="751A48D4" w14:textId="62244A23"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0.176</w:t>
            </w:r>
            <w:r w:rsidRPr="00B176A3">
              <w:rPr>
                <w:sz w:val="18"/>
                <w:szCs w:val="18"/>
              </w:rPr>
              <w:t>±</w:t>
            </w:r>
            <w:r w:rsidRPr="00B176A3">
              <w:rPr>
                <w:sz w:val="18"/>
                <w:szCs w:val="18"/>
              </w:rPr>
              <w:t>0.029</w:t>
            </w:r>
          </w:p>
        </w:tc>
        <w:tc>
          <w:tcPr>
            <w:tcW w:w="1125" w:type="dxa"/>
          </w:tcPr>
          <w:p w14:paraId="554AF7F8" w14:textId="128145CC"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sz w:val="18"/>
                <w:szCs w:val="18"/>
              </w:rPr>
              <w:t>0.094</w:t>
            </w:r>
            <w:r w:rsidRPr="00B176A3">
              <w:rPr>
                <w:sz w:val="18"/>
                <w:szCs w:val="18"/>
              </w:rPr>
              <w:t>±</w:t>
            </w:r>
            <w:r w:rsidRPr="00B176A3">
              <w:rPr>
                <w:sz w:val="18"/>
                <w:szCs w:val="18"/>
                <w:highlight w:val="red"/>
              </w:rPr>
              <w:t>0.417</w:t>
            </w:r>
          </w:p>
        </w:tc>
      </w:tr>
      <w:tr w:rsidR="00B176A3" w14:paraId="691A4645" w14:textId="4D26FB61" w:rsidTr="00B176A3">
        <w:tc>
          <w:tcPr>
            <w:cnfStyle w:val="001000000000" w:firstRow="0" w:lastRow="0" w:firstColumn="1" w:lastColumn="0" w:oddVBand="0" w:evenVBand="0" w:oddHBand="0" w:evenHBand="0" w:firstRowFirstColumn="0" w:firstRowLastColumn="0" w:lastRowFirstColumn="0" w:lastRowLastColumn="0"/>
            <w:tcW w:w="1134" w:type="dxa"/>
          </w:tcPr>
          <w:p w14:paraId="66E146F3" w14:textId="05598D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μ</m:t>
                </m:r>
              </m:oMath>
            </m:oMathPara>
          </w:p>
        </w:tc>
        <w:tc>
          <w:tcPr>
            <w:tcW w:w="1175" w:type="dxa"/>
          </w:tcPr>
          <w:p w14:paraId="6B6BC406" w14:textId="253D1AED"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228" w:type="dxa"/>
          </w:tcPr>
          <w:p w14:paraId="204BFBAA" w14:textId="3FFEA69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228" w:type="dxa"/>
          </w:tcPr>
          <w:p w14:paraId="1E026860" w14:textId="194ACA9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228" w:type="dxa"/>
          </w:tcPr>
          <w:p w14:paraId="5D6AE684" w14:textId="654A9EF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25" w:type="dxa"/>
          </w:tcPr>
          <w:p w14:paraId="316F82EF" w14:textId="39D74EA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25" w:type="dxa"/>
          </w:tcPr>
          <w:p w14:paraId="01C84B37" w14:textId="132D1816"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B176A3" w14:paraId="5DE5D1C3" w14:textId="251A7561"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AFED169" w14:textId="1883E2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λ</m:t>
                </m:r>
              </m:oMath>
            </m:oMathPara>
          </w:p>
        </w:tc>
        <w:tc>
          <w:tcPr>
            <w:tcW w:w="1175" w:type="dxa"/>
          </w:tcPr>
          <w:p w14:paraId="6CB462FD" w14:textId="56FCC5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3.93</w:t>
            </w:r>
          </w:p>
        </w:tc>
        <w:tc>
          <w:tcPr>
            <w:tcW w:w="1228" w:type="dxa"/>
          </w:tcPr>
          <w:p w14:paraId="5F466670" w14:textId="52B468B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1.578</w:t>
            </w:r>
          </w:p>
        </w:tc>
        <w:tc>
          <w:tcPr>
            <w:tcW w:w="1228" w:type="dxa"/>
          </w:tcPr>
          <w:p w14:paraId="2AD4D17F" w14:textId="3A3A4098"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0.004</w:t>
            </w:r>
          </w:p>
        </w:tc>
        <w:tc>
          <w:tcPr>
            <w:tcW w:w="1228" w:type="dxa"/>
          </w:tcPr>
          <w:p w14:paraId="4175C3D0" w14:textId="67CCE0C2"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0.016</w:t>
            </w:r>
          </w:p>
        </w:tc>
        <w:tc>
          <w:tcPr>
            <w:tcW w:w="1125" w:type="dxa"/>
          </w:tcPr>
          <w:p w14:paraId="57017AA5" w14:textId="13F0AD17"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0.705</w:t>
            </w:r>
          </w:p>
        </w:tc>
        <w:tc>
          <w:tcPr>
            <w:tcW w:w="1125" w:type="dxa"/>
          </w:tcPr>
          <w:p w14:paraId="49891A03" w14:textId="4401B778" w:rsidR="00B176A3" w:rsidRPr="00B176A3" w:rsidRDefault="00B176A3" w:rsidP="00F6643A">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0.032</w:t>
            </w:r>
          </w:p>
        </w:tc>
      </w:tr>
    </w:tbl>
    <w:p w14:paraId="7383547C" w14:textId="7534148F" w:rsidR="00997352" w:rsidRPr="007F2D48" w:rsidRDefault="00F6643A" w:rsidP="00B176A3">
      <w:pPr>
        <w:pStyle w:val="Caption"/>
        <w:rPr>
          <w:b w:val="0"/>
          <w:bCs w:val="0"/>
          <w:color w:val="auto"/>
        </w:rPr>
      </w:pPr>
      <w:bookmarkStart w:id="3" w:name="_Ref447619046"/>
      <w:proofErr w:type="gramStart"/>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3"/>
      <w:r w:rsidR="007F2D48">
        <w:rPr>
          <w:color w:val="auto"/>
        </w:rPr>
        <w:t>.</w:t>
      </w:r>
      <w:proofErr w:type="gramEnd"/>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w:t>
      </w:r>
      <w:r w:rsidR="00B176A3">
        <w:rPr>
          <w:b w:val="0"/>
          <w:bCs w:val="0"/>
          <w:color w:val="auto"/>
        </w:rPr>
        <w:t xml:space="preserve">fixed </w:t>
      </w:r>
      <w:r w:rsidR="007F2D48">
        <w:rPr>
          <w:b w:val="0"/>
          <w:bCs w:val="0"/>
          <w:color w:val="auto"/>
        </w:rPr>
        <w:t xml:space="preserve">parameter </w:t>
      </w:r>
      <w:r w:rsidR="00B176A3">
        <w:rPr>
          <w:b w:val="0"/>
          <w:bCs w:val="0"/>
          <w:color w:val="auto"/>
        </w:rPr>
        <w:t>value</w:t>
      </w:r>
      <w:r w:rsidR="007F2D48">
        <w:rPr>
          <w:b w:val="0"/>
          <w:bCs w:val="0"/>
          <w:color w:val="auto"/>
        </w:rPr>
        <w:t xml:space="preserve">. – denotes cases where the </w:t>
      </w:r>
      <w:r w:rsidR="00B176A3">
        <w:rPr>
          <w:b w:val="0"/>
          <w:bCs w:val="0"/>
          <w:color w:val="auto"/>
        </w:rPr>
        <w:t xml:space="preserve">best </w:t>
      </w:r>
      <w:r w:rsidR="007F2D48">
        <w:rPr>
          <w:b w:val="0"/>
          <w:bCs w:val="0"/>
          <w:color w:val="auto"/>
        </w:rPr>
        <w:t xml:space="preserve">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w:rPr>
            <w:rFonts w:ascii="Cambria Math" w:hAnsi="Cambria Math"/>
            <w:color w:val="auto"/>
          </w:rPr>
          <m:t>v</m:t>
        </m:r>
      </m:oMath>
      <w:r w:rsidR="007F2D48" w:rsidRPr="008404BC">
        <w:rPr>
          <w:b w:val="0"/>
          <w:bCs w:val="0"/>
          <w:color w:val="auto"/>
        </w:rPr>
        <w:t xml:space="preserve"> is the physiological adjustment rate</w:t>
      </w:r>
      <w:r w:rsidR="008E60E6">
        <w:rPr>
          <w:b w:val="0"/>
          <w:bCs w:val="0"/>
          <w:color w:val="auto"/>
        </w:rPr>
        <w:t xml:space="preserve">; </w:t>
      </w:r>
      <m:oMath>
        <m:r>
          <m:rPr>
            <m:sty m:val="bi"/>
          </m:rPr>
          <w:rPr>
            <w:rFonts w:ascii="Cambria Math" w:hAnsi="Cambria Math"/>
            <w:color w:val="auto"/>
          </w:rPr>
          <m:t>μ</m:t>
        </m:r>
      </m:oMath>
      <w:r w:rsidR="008E60E6">
        <w:rPr>
          <w:b w:val="0"/>
          <w:bCs w:val="0"/>
          <w:color w:val="auto"/>
        </w:rPr>
        <w:t xml:space="preserve"> is the maximum specific growth rate; </w:t>
      </w:r>
      <m:oMath>
        <m:r>
          <m:rPr>
            <m:sty m:val="bi"/>
          </m:rPr>
          <w:rPr>
            <w:rFonts w:ascii="Cambria Math" w:hAnsi="Cambria Math"/>
            <w:color w:val="auto"/>
          </w:rPr>
          <m:t>λ</m:t>
        </m:r>
      </m:oMath>
      <w:r w:rsidR="008E60E6">
        <w:rPr>
          <w:b w:val="0"/>
          <w:bCs w:val="0"/>
          <w:color w:val="auto"/>
        </w:rPr>
        <w:t xml:space="preserve"> is the lag duration</w:t>
      </w:r>
      <w:r w:rsidR="00B176A3">
        <w:rPr>
          <w:b w:val="0"/>
          <w:bCs w:val="0"/>
          <w:color w:val="auto"/>
        </w:rPr>
        <w:t>.</w:t>
      </w:r>
    </w:p>
    <w:p w14:paraId="70FD87B0" w14:textId="00BB61E1" w:rsidR="00464BA0" w:rsidRDefault="00464BA0" w:rsidP="00507681">
      <w:pPr>
        <w:pStyle w:val="Heading2"/>
      </w:pPr>
      <w:r>
        <w:lastRenderedPageBreak/>
        <w:t>Competition model</w:t>
      </w:r>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0962E5"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0962E5" w:rsidP="00937B87">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proofErr w:type="gramStart"/>
      <w:r>
        <w:t>competed</w:t>
      </w:r>
      <w:proofErr w:type="gramEnd"/>
      <w:r>
        <w:t xml:space="preserve"> DH5α-GFP vs. TG1-RFP; in set 2 we competed JM109-GFP with MG1655-</w:t>
      </w:r>
      <w:r w:rsidR="00E6397D" w:rsidRPr="00E6397D">
        <w:t>Δ</w:t>
      </w:r>
      <w:r w:rsidR="008404BC">
        <w:t>fnr</w:t>
      </w:r>
      <w:r w:rsidR="00E6397D">
        <w:t>-</w:t>
      </w:r>
      <w:r w:rsidRPr="008404BC">
        <w:t>RFP</w:t>
      </w:r>
      <w:r>
        <w:t xml:space="preserve">. </w:t>
      </w:r>
    </w:p>
    <w:p w14:paraId="7076F3E1" w14:textId="50011ADB" w:rsidR="00634C7E" w:rsidRDefault="00634C7E" w:rsidP="004C1B7B">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29C73517" w:rsidR="00634C7E" w:rsidRPr="00634C7E" w:rsidRDefault="002168D9" w:rsidP="00E21DD0">
      <w:r>
        <w:t xml:space="preserve">We compare our model prediction with the </w:t>
      </w:r>
      <w:r w:rsidRPr="00E21DD0">
        <w:t xml:space="preserve">exponential model which is commonly used in the literature to estimate </w:t>
      </w:r>
      <w:r w:rsidR="007911B2" w:rsidRPr="00E21DD0">
        <w:t>growth rates</w:t>
      </w:r>
      <w:r w:rsidRPr="00E21DD0">
        <w:t xml:space="preserve"> from growth curve</w:t>
      </w:r>
      <w:r w:rsidR="007911B2" w:rsidRPr="00E21DD0">
        <w:t xml:space="preserve"> data </w:t>
      </w:r>
      <w:r w:rsidR="007911B2" w:rsidRPr="00E21DD0">
        <w:fldChar w:fldCharType="begin" w:fldLock="1"/>
      </w:r>
      <w:r w:rsidR="007911B2" w:rsidRPr="00E21DD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 "properties" : { "noteIndex" : 0 }, "schema" : "https://github.com/citation-style-language/schema/raw/master/csl-citation.json" }</w:instrText>
      </w:r>
      <w:r w:rsidR="007911B2" w:rsidRPr="00E21DD0">
        <w:fldChar w:fldCharType="separate"/>
      </w:r>
      <w:r w:rsidR="007911B2" w:rsidRPr="00E21DD0">
        <w:rPr>
          <w:noProof/>
        </w:rPr>
        <w:t>(for example, see Hall et al. 2014)</w:t>
      </w:r>
      <w:r w:rsidR="007911B2" w:rsidRPr="00E21DD0">
        <w:fldChar w:fldCharType="end"/>
      </w:r>
      <w:r w:rsidR="007911B2" w:rsidRPr="00E21DD0">
        <w:t xml:space="preserve">: </w:t>
      </w:r>
      <w:r w:rsidRPr="00E21DD0">
        <w:t>the inflection point – point of maximum growth rate - is found</w:t>
      </w:r>
      <w:r w:rsidR="00E21DD0" w:rsidRPr="00E21DD0">
        <w:t>,</w:t>
      </w:r>
      <w:r w:rsidR="007911B2" w:rsidRPr="00E21DD0">
        <w:t xml:space="preserve"> </w:t>
      </w:r>
      <w:r w:rsidR="00E21DD0" w:rsidRPr="00E21DD0">
        <w:t xml:space="preserve">and the growth rate is estimated from the slope of a linear regression between </w:t>
      </w:r>
      <w:proofErr w:type="spellStart"/>
      <w:r w:rsidR="00E21DD0" w:rsidRPr="00E21DD0">
        <w:rPr>
          <w:i/>
          <w:iCs/>
        </w:rPr>
        <w:t>logN</w:t>
      </w:r>
      <w:proofErr w:type="spellEnd"/>
      <w:r w:rsidR="00E21DD0" w:rsidRPr="00E21DD0">
        <w:t xml:space="preserve"> and time around the inflection point</w:t>
      </w:r>
      <w:r w:rsidR="00E21DD0">
        <w:t xml:space="preserve"> (</w:t>
      </w:r>
      <w:r w:rsidR="00E21DD0">
        <w:rPr>
          <w:highlight w:val="yellow"/>
        </w:rPr>
        <w:fldChar w:fldCharType="begin"/>
      </w:r>
      <w:r w:rsidR="00E21DD0">
        <w:instrText xml:space="preserve"> REF _Ref447793087 \h </w:instrText>
      </w:r>
      <w:r w:rsidR="00E21DD0">
        <w:rPr>
          <w:highlight w:val="yellow"/>
        </w:rPr>
      </w:r>
      <w:r w:rsidR="00E21DD0">
        <w:rPr>
          <w:highlight w:val="yellow"/>
        </w:rPr>
        <w:fldChar w:fldCharType="separate"/>
      </w:r>
      <w:r w:rsidR="00E21DD0" w:rsidRPr="000962E5">
        <w:t>Figure S2</w:t>
      </w:r>
      <w:r w:rsidR="00E21DD0">
        <w:rPr>
          <w:highlight w:val="yellow"/>
        </w:rPr>
        <w:fldChar w:fldCharType="end"/>
      </w:r>
      <w:r w:rsidR="00E21DD0">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E21DD0">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4897CF4D" w:rsidR="00212934" w:rsidRPr="00212934" w:rsidRDefault="00755D4D" w:rsidP="00E21DD0">
      <w:pPr>
        <w:pStyle w:val="Caption"/>
        <w:rPr>
          <w:b w:val="0"/>
          <w:bCs w:val="0"/>
          <w:color w:val="auto"/>
          <w:sz w:val="20"/>
          <w:szCs w:val="20"/>
        </w:rPr>
      </w:pPr>
      <w:bookmarkStart w:id="4"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4"/>
      <w:r>
        <w:rPr>
          <w:color w:val="auto"/>
        </w:rPr>
        <w:t>.</w:t>
      </w:r>
      <w:proofErr w:type="gramEnd"/>
      <w:r w:rsidR="002D33FF" w:rsidRPr="00503DBB">
        <w:rPr>
          <w:color w:val="auto"/>
          <w:sz w:val="20"/>
          <w:szCs w:val="20"/>
        </w:rPr>
        <w:t xml:space="preserve"> </w:t>
      </w:r>
      <w:proofErr w:type="gramStart"/>
      <w:r w:rsidR="00212934" w:rsidRPr="00755D4D">
        <w:rPr>
          <w:color w:val="auto"/>
        </w:rPr>
        <w:t xml:space="preserve">Predicting </w:t>
      </w:r>
      <w:r w:rsidR="00AC6080">
        <w:rPr>
          <w:color w:val="auto"/>
        </w:rPr>
        <w:t>growth in a mixed culture</w:t>
      </w:r>
      <w:r w:rsidR="008C3E22" w:rsidRPr="00755D4D">
        <w:rPr>
          <w:color w:val="auto"/>
        </w:rPr>
        <w:t>.</w:t>
      </w:r>
      <w:proofErr w:type="gramEnd"/>
      <w:r w:rsidR="00212934" w:rsidRPr="00755D4D">
        <w:rPr>
          <w:color w:val="auto"/>
        </w:rPr>
        <w:t xml:space="preserve"> </w:t>
      </w:r>
      <w:proofErr w:type="gramStart"/>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culture.</w:t>
      </w:r>
      <w:proofErr w:type="gramEnd"/>
      <w:r w:rsidR="00212934">
        <w:rPr>
          <w:b w:val="0"/>
          <w:bCs w:val="0"/>
          <w:color w:val="auto"/>
        </w:rPr>
        <w:t xml:space="preserv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he green and red dashed lines represent the competition model prediction for each strain.</w:t>
      </w:r>
      <w:r w:rsidR="00AC6080">
        <w:rPr>
          <w:b w:val="0"/>
          <w:bCs w:val="0"/>
          <w:color w:val="auto"/>
        </w:rPr>
        <w:t xml:space="preserve"> The black line represents the </w:t>
      </w:r>
      <w:r w:rsidR="00AC6080" w:rsidRPr="00E21DD0">
        <w:rPr>
          <w:b w:val="0"/>
          <w:bCs w:val="0"/>
          <w:color w:val="auto"/>
        </w:rPr>
        <w:t>exponential model prediction</w:t>
      </w:r>
      <w:r w:rsidR="00E21DD0">
        <w:rPr>
          <w:b w:val="0"/>
          <w:bCs w:val="0"/>
          <w:color w:val="auto"/>
        </w:rPr>
        <w:t xml:space="preserve"> </w:t>
      </w:r>
      <w:r w:rsidR="00E21DD0" w:rsidRPr="00E21DD0">
        <w:rPr>
          <w:b w:val="0"/>
          <w:bCs w:val="0"/>
          <w:color w:val="auto"/>
        </w:rPr>
        <w:t>(</w:t>
      </w:r>
      <w:r w:rsidR="00E21DD0">
        <w:rPr>
          <w:b w:val="0"/>
          <w:bCs w:val="0"/>
          <w:color w:val="auto"/>
        </w:rPr>
        <w:t xml:space="preserve">see </w:t>
      </w:r>
      <w:r w:rsidR="00E21DD0" w:rsidRPr="00E21DD0">
        <w:rPr>
          <w:b w:val="0"/>
          <w:bCs w:val="0"/>
          <w:color w:val="auto"/>
        </w:rPr>
        <w:fldChar w:fldCharType="begin"/>
      </w:r>
      <w:r w:rsidR="00E21DD0" w:rsidRPr="00E21DD0">
        <w:rPr>
          <w:b w:val="0"/>
          <w:bCs w:val="0"/>
          <w:color w:val="auto"/>
        </w:rPr>
        <w:instrText xml:space="preserve"> REF _Ref447793087 \h </w:instrText>
      </w:r>
      <w:r w:rsidR="00E21DD0" w:rsidRPr="00E21DD0">
        <w:rPr>
          <w:b w:val="0"/>
          <w:bCs w:val="0"/>
          <w:color w:val="auto"/>
        </w:rPr>
      </w:r>
      <w:r w:rsidR="00E21DD0" w:rsidRPr="00E21DD0">
        <w:rPr>
          <w:b w:val="0"/>
          <w:bCs w:val="0"/>
          <w:color w:val="auto"/>
        </w:rPr>
        <w:instrText xml:space="preserve"> \* MERGEFORMAT </w:instrText>
      </w:r>
      <w:r w:rsidR="00E21DD0" w:rsidRPr="00E21DD0">
        <w:rPr>
          <w:b w:val="0"/>
          <w:bCs w:val="0"/>
          <w:color w:val="auto"/>
        </w:rPr>
        <w:fldChar w:fldCharType="separate"/>
      </w:r>
      <w:r w:rsidR="00E21DD0" w:rsidRPr="00E21DD0">
        <w:rPr>
          <w:b w:val="0"/>
          <w:bCs w:val="0"/>
          <w:color w:val="auto"/>
        </w:rPr>
        <w:t>Figure S2</w:t>
      </w:r>
      <w:r w:rsidR="00E21DD0" w:rsidRPr="00E21DD0">
        <w:rPr>
          <w:b w:val="0"/>
          <w:bCs w:val="0"/>
          <w:color w:val="auto"/>
        </w:rPr>
        <w:fldChar w:fldCharType="end"/>
      </w:r>
      <w:r w:rsidR="00E21DD0" w:rsidRPr="00E21DD0">
        <w:rPr>
          <w:b w:val="0"/>
          <w:bCs w:val="0"/>
          <w:color w:val="auto"/>
        </w:rPr>
        <w:t>)</w:t>
      </w:r>
      <w:r w:rsidR="00AC6080">
        <w:rPr>
          <w:b w:val="0"/>
          <w:bCs w:val="0"/>
          <w:color w:val="auto"/>
        </w:rPr>
        <w:t>.</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w:t>
      </w:r>
      <w:r w:rsidR="00212934" w:rsidRPr="00E21DD0">
        <w:rPr>
          <w:b w:val="0"/>
          <w:bCs w:val="0"/>
          <w:color w:val="auto"/>
        </w:rPr>
        <w:t xml:space="preserve">are the exponential model prediction. Error bars show mean values ± standard deviation. </w:t>
      </w:r>
      <w:r w:rsidR="00381281" w:rsidRPr="00E21DD0">
        <w:rPr>
          <w:b w:val="0"/>
          <w:bCs w:val="0"/>
          <w:color w:val="auto"/>
        </w:rPr>
        <w:t>Mean residual squared errors</w:t>
      </w:r>
      <w:r w:rsidR="00E21DD0" w:rsidRPr="00E21DD0">
        <w:rPr>
          <w:b w:val="0"/>
          <w:bCs w:val="0"/>
          <w:color w:val="auto"/>
        </w:rPr>
        <w:t xml:space="preserve"> –</w:t>
      </w:r>
      <w:r w:rsidR="00381281" w:rsidRPr="00E21DD0">
        <w:rPr>
          <w:b w:val="0"/>
          <w:bCs w:val="0"/>
          <w:color w:val="auto"/>
        </w:rPr>
        <w:t xml:space="preserve"> A</w:t>
      </w:r>
      <w:r w:rsidR="00E21DD0" w:rsidRPr="00E21DD0">
        <w:rPr>
          <w:b w:val="0"/>
          <w:bCs w:val="0"/>
          <w:color w:val="auto"/>
        </w:rPr>
        <w:t>: 1.3·10</w:t>
      </w:r>
      <w:r w:rsidR="00E21DD0" w:rsidRPr="00E21DD0">
        <w:rPr>
          <w:b w:val="0"/>
          <w:bCs w:val="0"/>
          <w:color w:val="auto"/>
          <w:vertAlign w:val="superscript"/>
        </w:rPr>
        <w:t>-4</w:t>
      </w:r>
      <w:r w:rsidR="00E21DD0" w:rsidRPr="00E21DD0">
        <w:rPr>
          <w:b w:val="0"/>
          <w:bCs w:val="0"/>
          <w:color w:val="auto"/>
        </w:rPr>
        <w:t>;</w:t>
      </w:r>
      <w:r w:rsidR="00381281" w:rsidRPr="00E21DD0">
        <w:rPr>
          <w:b w:val="0"/>
          <w:bCs w:val="0"/>
          <w:color w:val="auto"/>
        </w:rPr>
        <w:t xml:space="preserve"> </w:t>
      </w:r>
      <w:r w:rsidR="00E21DD0" w:rsidRPr="00E21DD0">
        <w:rPr>
          <w:b w:val="0"/>
          <w:bCs w:val="0"/>
          <w:color w:val="auto"/>
        </w:rPr>
        <w:t>B:</w:t>
      </w:r>
      <w:r w:rsidR="00381281" w:rsidRPr="00E21DD0">
        <w:rPr>
          <w:b w:val="0"/>
          <w:bCs w:val="0"/>
          <w:color w:val="auto"/>
        </w:rPr>
        <w:t xml:space="preserve"> </w:t>
      </w:r>
      <w:r w:rsidR="00E21DD0" w:rsidRPr="00E21DD0">
        <w:rPr>
          <w:b w:val="0"/>
          <w:bCs w:val="0"/>
          <w:color w:val="auto"/>
        </w:rPr>
        <w:t>1·10</w:t>
      </w:r>
      <w:r w:rsidR="00E21DD0" w:rsidRPr="00E21DD0">
        <w:rPr>
          <w:b w:val="0"/>
          <w:bCs w:val="0"/>
          <w:color w:val="auto"/>
          <w:vertAlign w:val="superscript"/>
        </w:rPr>
        <w:t>-4</w:t>
      </w:r>
      <w:r w:rsidR="00E21DD0" w:rsidRPr="00E21DD0">
        <w:rPr>
          <w:b w:val="0"/>
          <w:bCs w:val="0"/>
          <w:color w:val="auto"/>
        </w:rPr>
        <w:t>; C: 6.5·10</w:t>
      </w:r>
      <w:r w:rsidR="00E21DD0" w:rsidRPr="00E21DD0">
        <w:rPr>
          <w:b w:val="0"/>
          <w:bCs w:val="0"/>
          <w:color w:val="auto"/>
          <w:vertAlign w:val="superscript"/>
        </w:rPr>
        <w:t>-5</w:t>
      </w:r>
      <w:r w:rsidR="00381281" w:rsidRPr="00E21DD0">
        <w:rPr>
          <w:b w:val="0"/>
          <w:bCs w:val="0"/>
          <w:color w:val="auto"/>
        </w:rPr>
        <w:t>. Estima</w:t>
      </w:r>
      <w:r w:rsidR="00AC6080" w:rsidRPr="00E21DD0">
        <w:rPr>
          <w:b w:val="0"/>
          <w:bCs w:val="0"/>
          <w:color w:val="auto"/>
        </w:rPr>
        <w:t xml:space="preserve">ted competition coefficients - </w:t>
      </w:r>
      <w:r w:rsidR="00E21DD0" w:rsidRPr="00E21DD0">
        <w:rPr>
          <w:b w:val="0"/>
          <w:bCs w:val="0"/>
          <w:color w:val="auto"/>
        </w:rPr>
        <w:t>D</w:t>
      </w:r>
      <w:r w:rsidR="00AC6080" w:rsidRPr="00E21DD0">
        <w:rPr>
          <w:b w:val="0"/>
          <w:bCs w:val="0"/>
          <w:color w:val="auto"/>
        </w:rPr>
        <w:t>:</w:t>
      </w:r>
      <w:r w:rsidR="00381281" w:rsidRPr="00E21DD0">
        <w:rPr>
          <w:b w:val="0"/>
          <w:bCs w:val="0"/>
          <w:color w:val="auto"/>
        </w:rPr>
        <w:t xml:space="preserve"> a</w:t>
      </w:r>
      <w:r w:rsidR="00381281" w:rsidRPr="00E21DD0">
        <w:rPr>
          <w:b w:val="0"/>
          <w:bCs w:val="0"/>
          <w:color w:val="auto"/>
          <w:vertAlign w:val="subscript"/>
        </w:rPr>
        <w:t>1</w:t>
      </w:r>
      <w:r w:rsidR="00381281" w:rsidRPr="00E21DD0">
        <w:rPr>
          <w:b w:val="0"/>
          <w:bCs w:val="0"/>
          <w:color w:val="auto"/>
        </w:rPr>
        <w:t>=10,</w:t>
      </w:r>
      <w:r w:rsidR="00AC6080"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2</w:t>
      </w:r>
      <w:r w:rsidR="00381281" w:rsidRPr="00E21DD0">
        <w:rPr>
          <w:b w:val="0"/>
          <w:bCs w:val="0"/>
          <w:color w:val="auto"/>
        </w:rPr>
        <w:t>=0.</w:t>
      </w:r>
      <w:r w:rsidR="00E21DD0" w:rsidRPr="00E21DD0">
        <w:rPr>
          <w:b w:val="0"/>
          <w:bCs w:val="0"/>
          <w:color w:val="auto"/>
        </w:rPr>
        <w:t>7</w:t>
      </w:r>
      <w:r w:rsidR="00381281" w:rsidRPr="00E21DD0">
        <w:rPr>
          <w:b w:val="0"/>
          <w:bCs w:val="0"/>
          <w:color w:val="auto"/>
        </w:rPr>
        <w:t>7;</w:t>
      </w:r>
      <w:r w:rsidR="00212934" w:rsidRPr="00E21DD0">
        <w:rPr>
          <w:b w:val="0"/>
          <w:bCs w:val="0"/>
          <w:color w:val="auto"/>
        </w:rPr>
        <w:t xml:space="preserve"> </w:t>
      </w:r>
      <w:r w:rsidR="00E21DD0" w:rsidRPr="00E21DD0">
        <w:rPr>
          <w:b w:val="0"/>
          <w:bCs w:val="0"/>
          <w:color w:val="auto"/>
        </w:rPr>
        <w:t>E</w:t>
      </w:r>
      <w:r w:rsidR="00AC6080" w:rsidRPr="00E21DD0">
        <w:rPr>
          <w:b w:val="0"/>
          <w:bCs w:val="0"/>
          <w:color w:val="auto"/>
        </w:rPr>
        <w:t>:</w:t>
      </w:r>
      <w:r w:rsidR="00212934"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1</w:t>
      </w:r>
      <w:r w:rsidR="00381281" w:rsidRPr="00E21DD0">
        <w:rPr>
          <w:b w:val="0"/>
          <w:bCs w:val="0"/>
          <w:color w:val="auto"/>
        </w:rPr>
        <w:t>=3.7, a</w:t>
      </w:r>
      <w:r w:rsidR="00381281" w:rsidRPr="00E21DD0">
        <w:rPr>
          <w:b w:val="0"/>
          <w:bCs w:val="0"/>
          <w:color w:val="auto"/>
          <w:vertAlign w:val="subscript"/>
        </w:rPr>
        <w:t>2</w:t>
      </w:r>
      <w:r w:rsidR="00381281" w:rsidRPr="00E21DD0">
        <w:rPr>
          <w:b w:val="0"/>
          <w:bCs w:val="0"/>
          <w:color w:val="auto"/>
        </w:rPr>
        <w:t>=2</w:t>
      </w:r>
      <w:r w:rsidR="00E21DD0" w:rsidRPr="00E21DD0">
        <w:rPr>
          <w:b w:val="0"/>
          <w:bCs w:val="0"/>
          <w:color w:val="auto"/>
        </w:rPr>
        <w:t>; F: a</w:t>
      </w:r>
      <w:r w:rsidR="00E21DD0" w:rsidRPr="00E21DD0">
        <w:rPr>
          <w:b w:val="0"/>
          <w:bCs w:val="0"/>
          <w:color w:val="auto"/>
          <w:vertAlign w:val="subscript"/>
        </w:rPr>
        <w:t>1</w:t>
      </w:r>
      <w:r w:rsidR="00E21DD0" w:rsidRPr="00E21DD0">
        <w:rPr>
          <w:b w:val="0"/>
          <w:bCs w:val="0"/>
          <w:color w:val="auto"/>
        </w:rPr>
        <w:t>=0.11, a</w:t>
      </w:r>
      <w:r w:rsidR="00E21DD0" w:rsidRPr="00E21DD0">
        <w:rPr>
          <w:b w:val="0"/>
          <w:bCs w:val="0"/>
          <w:color w:val="auto"/>
          <w:vertAlign w:val="subscript"/>
        </w:rPr>
        <w:t>2</w:t>
      </w:r>
      <w:r w:rsidR="00E21DD0" w:rsidRPr="00E21DD0">
        <w:rPr>
          <w:b w:val="0"/>
          <w:bCs w:val="0"/>
          <w:color w:val="auto"/>
        </w:rPr>
        <w:t>=0.53</w:t>
      </w:r>
      <w:r w:rsidR="00381281" w:rsidRPr="00E21DD0">
        <w:rPr>
          <w:b w:val="0"/>
          <w:bCs w:val="0"/>
          <w:color w:val="auto"/>
        </w:rPr>
        <w:t>.</w:t>
      </w:r>
      <w:r w:rsidR="007E1EC0">
        <w:rPr>
          <w:b w:val="0"/>
          <w:bCs w:val="0"/>
          <w:color w:val="auto"/>
        </w:rPr>
        <w:t xml:space="preserve"> </w:t>
      </w:r>
      <w:r w:rsidR="007E1EC0" w:rsidRPr="00E21DD0">
        <w:rPr>
          <w:b w:val="0"/>
          <w:bCs w:val="0"/>
          <w:color w:val="auto"/>
          <w:highlight w:val="yellow"/>
        </w:rPr>
        <w:t>Inferred selection coefficients: …</w:t>
      </w:r>
    </w:p>
    <w:p w14:paraId="1BFDFE5C" w14:textId="19F1B9E6" w:rsidR="002D33FF" w:rsidRDefault="002D33FF" w:rsidP="00507681">
      <w:r>
        <w:br w:type="page"/>
      </w:r>
    </w:p>
    <w:p w14:paraId="2D753749" w14:textId="77AF674C" w:rsidR="003578D2" w:rsidRPr="00E21DD0" w:rsidRDefault="008F3527" w:rsidP="00507681">
      <w:pPr>
        <w:pStyle w:val="Heading2"/>
        <w:rPr>
          <w:highlight w:val="yellow"/>
        </w:rPr>
      </w:pPr>
      <w:r w:rsidRPr="00E21DD0">
        <w:rPr>
          <w:highlight w:val="yellow"/>
        </w:rPr>
        <w:lastRenderedPageBreak/>
        <w:t>Fitness</w:t>
      </w:r>
      <w:r w:rsidR="00542096" w:rsidRPr="00E21DD0">
        <w:rPr>
          <w:highlight w:val="yellow"/>
        </w:rPr>
        <w:t xml:space="preserve"> </w:t>
      </w:r>
      <w:r w:rsidR="006E28DC" w:rsidRPr="00E21DD0">
        <w:rPr>
          <w:highlight w:val="yellow"/>
        </w:rPr>
        <w:t>inference</w:t>
      </w:r>
    </w:p>
    <w:p w14:paraId="7E901878" w14:textId="53E22410" w:rsidR="002D475F" w:rsidRPr="00E21DD0" w:rsidRDefault="002D475F" w:rsidP="007E1EC0">
      <w:pPr>
        <w:rPr>
          <w:highlight w:val="yellow"/>
        </w:rPr>
      </w:pPr>
      <w:r w:rsidRPr="00E21DD0">
        <w:rPr>
          <w:highlight w:val="yellow"/>
        </w:rPr>
        <w:t xml:space="preserve">The best way to </w:t>
      </w:r>
      <w:r w:rsidR="00AC6080" w:rsidRPr="00E21DD0">
        <w:rPr>
          <w:highlight w:val="yellow"/>
        </w:rPr>
        <w:t>infer the</w:t>
      </w:r>
      <w:r w:rsidRPr="00E21DD0">
        <w:rPr>
          <w:highlight w:val="yellow"/>
        </w:rPr>
        <w:t xml:space="preserve"> relative fitness of two strains is by performing pairwise competition assays: growing </w:t>
      </w:r>
      <w:r w:rsidR="007E1EC0" w:rsidRPr="00E21DD0">
        <w:rPr>
          <w:highlight w:val="yellow"/>
        </w:rPr>
        <w:t>both strains</w:t>
      </w:r>
      <w:r w:rsidRPr="00E21DD0">
        <w:rPr>
          <w:highlight w:val="yellow"/>
        </w:rPr>
        <w:t xml:space="preserve"> in</w:t>
      </w:r>
      <w:r w:rsidR="007E1EC0" w:rsidRPr="00E21DD0">
        <w:rPr>
          <w:highlight w:val="yellow"/>
        </w:rPr>
        <w:t xml:space="preserve"> a</w:t>
      </w:r>
      <w:r w:rsidRPr="00E21DD0">
        <w:rPr>
          <w:highlight w:val="yellow"/>
        </w:rPr>
        <w:t xml:space="preserve"> mixed culture and measuring the change in their frequencies over time. </w:t>
      </w:r>
      <w:r w:rsidR="007E1EC0" w:rsidRPr="00E21DD0">
        <w:rPr>
          <w:highlight w:val="yellow"/>
        </w:rPr>
        <w:t xml:space="preserve">Using our method, </w:t>
      </w:r>
      <w:r w:rsidRPr="00E21DD0">
        <w:rPr>
          <w:highlight w:val="yellow"/>
        </w:rPr>
        <w:t xml:space="preserve">this </w:t>
      </w:r>
      <w:r w:rsidR="007E1EC0" w:rsidRPr="00E21DD0">
        <w:rPr>
          <w:highlight w:val="yellow"/>
        </w:rPr>
        <w:t xml:space="preserve">can be done </w:t>
      </w:r>
      <w:r w:rsidRPr="00E21DD0">
        <w:rPr>
          <w:highlight w:val="yellow"/>
        </w:rPr>
        <w:t>by simply measuring densities in mono- and mixed culture</w:t>
      </w:r>
      <w:r w:rsidR="007E1EC0" w:rsidRPr="00E21DD0">
        <w:rPr>
          <w:highlight w:val="yellow"/>
        </w:rPr>
        <w:t>s</w:t>
      </w:r>
      <w:r w:rsidRPr="00E21DD0">
        <w:rPr>
          <w:highlight w:val="yellow"/>
        </w:rPr>
        <w:t>, without requiring direct me</w:t>
      </w:r>
      <w:r w:rsidR="007E1EC0" w:rsidRPr="00E21DD0">
        <w:rPr>
          <w:highlight w:val="yellow"/>
        </w:rPr>
        <w:t>asurement of strain frequencies.</w:t>
      </w:r>
      <w:r w:rsidRPr="00E21DD0">
        <w:rPr>
          <w:highlight w:val="yellow"/>
        </w:rPr>
        <w:t xml:space="preserve"> </w:t>
      </w:r>
    </w:p>
    <w:p w14:paraId="04D6C044" w14:textId="03642F26" w:rsidR="00895982" w:rsidRPr="00E21DD0" w:rsidRDefault="008F3527" w:rsidP="002D475F">
      <w:pPr>
        <w:rPr>
          <w:highlight w:val="yellow"/>
        </w:rPr>
      </w:pPr>
      <w:r w:rsidRPr="00E21DD0">
        <w:rPr>
          <w:highlight w:val="yellow"/>
        </w:rPr>
        <w:t>A</w:t>
      </w:r>
      <w:r w:rsidR="00895982" w:rsidRPr="00E21DD0">
        <w:rPr>
          <w:highlight w:val="yellow"/>
        </w:rPr>
        <w:t xml:space="preserve"> common method for estimating relative fitness or selection coefficients from pairwise competition results is </w:t>
      </w:r>
      <w:r w:rsidR="00895982" w:rsidRPr="00E21DD0">
        <w:rPr>
          <w:highlight w:val="yellow"/>
        </w:rPr>
        <w:fldChar w:fldCharType="begin" w:fldLock="1"/>
      </w:r>
      <w:r w:rsidR="00BF7152" w:rsidRPr="00E21DD0">
        <w:rPr>
          <w:highlight w:val="yellow"/>
        </w:rP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rsidRPr="00E21DD0">
        <w:rPr>
          <w:highlight w:val="yellow"/>
        </w:rPr>
        <w:fldChar w:fldCharType="separate"/>
      </w:r>
      <w:r w:rsidR="00895982" w:rsidRPr="00E21DD0">
        <w:rPr>
          <w:noProof/>
          <w:highlight w:val="yellow"/>
        </w:rPr>
        <w:t>(Wiser and Lenski 2015)</w:t>
      </w:r>
      <w:r w:rsidR="00895982" w:rsidRPr="00E21DD0">
        <w:rPr>
          <w:highlight w:val="yellow"/>
        </w:rPr>
        <w:fldChar w:fldCharType="end"/>
      </w:r>
      <w:r w:rsidR="00895982" w:rsidRPr="00E21DD0">
        <w:rPr>
          <w:highlight w:val="yellow"/>
        </w:rPr>
        <w:t>:</w:t>
      </w:r>
    </w:p>
    <w:p w14:paraId="3D9AB4E3" w14:textId="3D8E7341" w:rsidR="00895982" w:rsidRPr="00E21DD0" w:rsidRDefault="000962E5" w:rsidP="00507681">
      <w:pPr>
        <w:jc w:val="right"/>
        <w:rPr>
          <w:highlight w:val="yellow"/>
        </w:rPr>
      </w:pPr>
      <m:oMath>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1</m:t>
            </m:r>
          </m:sub>
        </m:sSub>
        <m:r>
          <w:rPr>
            <w:rFonts w:ascii="Cambria Math" w:hAnsi="Cambria Math"/>
            <w:highlight w:val="yellow"/>
          </w:rPr>
          <m:t>=</m:t>
        </m:r>
        <m:f>
          <m:fPr>
            <m:type m:val="lin"/>
            <m:ctrlPr>
              <w:rPr>
                <w:rFonts w:ascii="Cambria Math" w:hAnsi="Cambria Math"/>
                <w:i/>
                <w:highlight w:val="yellow"/>
              </w:rPr>
            </m:ctrlPr>
          </m:fPr>
          <m:num>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T</m:t>
                            </m:r>
                          </m:e>
                        </m:d>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0</m:t>
                            </m:r>
                          </m:e>
                        </m:d>
                      </m:den>
                    </m:f>
                  </m:e>
                </m:d>
              </m:e>
            </m:func>
          </m:num>
          <m:den>
            <m:func>
              <m:funcPr>
                <m:ctrlPr>
                  <w:rPr>
                    <w:rFonts w:ascii="Cambria Math" w:hAnsi="Cambria Math"/>
                    <w:i/>
                    <w:highlight w:val="yellow"/>
                  </w:rPr>
                </m:ctrlPr>
              </m:funcPr>
              <m:fName>
                <m:r>
                  <m:rPr>
                    <m:sty m:val="p"/>
                  </m:rPr>
                  <w:rPr>
                    <w:rFonts w:ascii="Cambria Math" w:hAnsi="Cambria Math"/>
                    <w:highlight w:val="yellow"/>
                  </w:rPr>
                  <m:t>log</m:t>
                </m:r>
              </m:fName>
              <m:e>
                <m:d>
                  <m:dPr>
                    <m:ctrlPr>
                      <w:rPr>
                        <w:rFonts w:ascii="Cambria Math" w:hAnsi="Cambria Math"/>
                        <w:i/>
                        <w:highlight w:val="yellow"/>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(T)</m:t>
                        </m:r>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0</m:t>
                            </m:r>
                          </m:e>
                        </m:d>
                      </m:den>
                    </m:f>
                  </m:e>
                </m:d>
              </m:e>
            </m:func>
          </m:den>
        </m:f>
        <m:r>
          <w:rPr>
            <w:rFonts w:ascii="Cambria Math" w:hAnsi="Cambria Math"/>
            <w:highlight w:val="yellow"/>
          </w:rPr>
          <m:t>,</m:t>
        </m:r>
      </m:oMath>
      <w:r w:rsidR="00895982" w:rsidRPr="00E21DD0">
        <w:rPr>
          <w:highlight w:val="yellow"/>
        </w:rPr>
        <w:t xml:space="preserve">                                         (4)</w:t>
      </w:r>
    </w:p>
    <w:p w14:paraId="731A4D8A" w14:textId="00E23AE6" w:rsidR="00406968" w:rsidRDefault="00895982" w:rsidP="007E1EC0">
      <w:pPr>
        <w:ind w:firstLine="0"/>
        <w:rPr>
          <w:rFonts w:asciiTheme="minorHAnsi" w:hAnsiTheme="minorHAnsi"/>
        </w:rPr>
      </w:pPr>
      <w:proofErr w:type="gramStart"/>
      <w:r w:rsidRPr="00E21DD0">
        <w:rPr>
          <w:highlight w:val="yellow"/>
        </w:rPr>
        <w:t>where</w:t>
      </w:r>
      <w:proofErr w:type="gramEnd"/>
      <w:r w:rsidRPr="00E21DD0">
        <w:rPr>
          <w:highlight w:val="yellow"/>
        </w:rPr>
        <w:t xml:space="preserve">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(t)</m:t>
        </m:r>
      </m:oMath>
      <w:r w:rsidRPr="00E21DD0">
        <w:rPr>
          <w:highlight w:val="yellow"/>
        </w:rPr>
        <w:t xml:space="preserve"> and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(t)</m:t>
        </m:r>
      </m:oMath>
      <w:r w:rsidRPr="00E21DD0">
        <w:rPr>
          <w:highlight w:val="yellow"/>
        </w:rPr>
        <w:t xml:space="preserve"> are the densities of the strains and </w:t>
      </w:r>
      <m:oMath>
        <m:r>
          <w:rPr>
            <w:rFonts w:ascii="Cambria Math" w:hAnsi="Cambria Math"/>
            <w:highlight w:val="yellow"/>
          </w:rPr>
          <m:t>T</m:t>
        </m:r>
      </m:oMath>
      <w:r w:rsidRPr="00E21DD0">
        <w:rPr>
          <w:highlight w:val="yellow"/>
        </w:rPr>
        <w:t xml:space="preserve"> is </w:t>
      </w:r>
      <w:r w:rsidR="007E1EC0" w:rsidRPr="00E21DD0">
        <w:rPr>
          <w:highlight w:val="yellow"/>
        </w:rPr>
        <w:t>the total experiment time</w:t>
      </w:r>
      <w:r w:rsidRPr="00E21DD0">
        <w:rPr>
          <w:highlight w:val="yellow"/>
        </w:rPr>
        <w:t>, usually chosen to be 24 hours.</w:t>
      </w:r>
      <w:r w:rsidR="001D731C" w:rsidRPr="00E21DD0">
        <w:rPr>
          <w:highlight w:val="yellow"/>
        </w:rPr>
        <w:t xml:space="preserve"> Eq. 4 can be applied to the predicted </w:t>
      </w:r>
      <w:r w:rsidR="007E1EC0" w:rsidRPr="00E21DD0">
        <w:rPr>
          <w:highlight w:val="yellow"/>
        </w:rPr>
        <w:t xml:space="preserve">mixed culture growth </w:t>
      </w:r>
      <w:r w:rsidR="001D731C" w:rsidRPr="00E21DD0">
        <w:rPr>
          <w:highlight w:val="yellow"/>
        </w:rPr>
        <w:t xml:space="preserve">to infer the </w:t>
      </w:r>
      <w:r w:rsidR="002D475F" w:rsidRPr="00E21DD0">
        <w:rPr>
          <w:highlight w:val="yellow"/>
        </w:rPr>
        <w:t>relative fitness</w:t>
      </w:r>
      <w:r w:rsidR="007E1EC0" w:rsidRPr="00E21DD0">
        <w:rPr>
          <w:highlight w:val="yellow"/>
        </w:rPr>
        <w:t xml:space="preserve"> of the strain of interest (</w:t>
      </w:r>
      <w:r w:rsidR="007E1EC0" w:rsidRPr="00E21DD0">
        <w:rPr>
          <w:highlight w:val="yellow"/>
        </w:rPr>
        <w:fldChar w:fldCharType="begin"/>
      </w:r>
      <w:r w:rsidR="007E1EC0" w:rsidRPr="00E21DD0">
        <w:rPr>
          <w:highlight w:val="yellow"/>
        </w:rPr>
        <w:instrText xml:space="preserve"> REF _Ref439853356 \h </w:instrText>
      </w:r>
      <w:r w:rsidR="007E1EC0" w:rsidRPr="00E21DD0">
        <w:rPr>
          <w:highlight w:val="yellow"/>
        </w:rPr>
      </w:r>
      <w:r w:rsidR="00E21DD0">
        <w:rPr>
          <w:highlight w:val="yellow"/>
        </w:rPr>
        <w:instrText xml:space="preserve"> \* MERGEFORMAT </w:instrText>
      </w:r>
      <w:r w:rsidR="007E1EC0" w:rsidRPr="00E21DD0">
        <w:rPr>
          <w:highlight w:val="yellow"/>
        </w:rPr>
        <w:fldChar w:fldCharType="separate"/>
      </w:r>
      <w:r w:rsidR="007E1EC0" w:rsidRPr="00E21DD0">
        <w:rPr>
          <w:highlight w:val="yellow"/>
        </w:rPr>
        <w:t xml:space="preserve">Figure </w:t>
      </w:r>
      <w:r w:rsidR="007E1EC0" w:rsidRPr="00E21DD0">
        <w:rPr>
          <w:noProof/>
          <w:highlight w:val="yellow"/>
        </w:rPr>
        <w:t>3</w:t>
      </w:r>
      <w:r w:rsidR="007E1EC0" w:rsidRPr="00E21DD0">
        <w:rPr>
          <w:highlight w:val="yellow"/>
        </w:rPr>
        <w:fldChar w:fldCharType="end"/>
      </w:r>
      <w:r w:rsidR="007E1EC0" w:rsidRPr="00E21DD0">
        <w:rPr>
          <w:highlight w:val="yellow"/>
        </w:rPr>
        <w:t>D-F)</w:t>
      </w:r>
      <w:r w:rsidR="001D731C" w:rsidRPr="00E21DD0">
        <w:rPr>
          <w:highlight w:val="yellow"/>
        </w:rPr>
        <w:t>.</w:t>
      </w:r>
    </w:p>
    <w:p w14:paraId="531DA89C" w14:textId="77777777" w:rsidR="00406968" w:rsidRDefault="00406968" w:rsidP="00507681">
      <w:pPr>
        <w:pStyle w:val="Heading1"/>
      </w:pPr>
      <w:r>
        <w:t>Discussion</w:t>
      </w:r>
    </w:p>
    <w:p w14:paraId="4DF1C785" w14:textId="77777777" w:rsidR="00DC0889" w:rsidRDefault="00024E3E" w:rsidP="00024E3E">
      <w:r>
        <w:t>O</w:t>
      </w:r>
      <w:r w:rsidR="00494804">
        <w:t xml:space="preserve">ver </w:t>
      </w:r>
      <w:r>
        <w:t>the last c</w:t>
      </w:r>
      <w:r w:rsidR="00494804">
        <w:t xml:space="preserve">entury, important discoveries have been made by studying growth in monoculture </w:t>
      </w:r>
      <w:r>
        <w:t>with</w:t>
      </w:r>
      <w:r w:rsidR="00494804">
        <w:t xml:space="preserve"> 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F8015DA" w:rsidR="00494804" w:rsidRDefault="00494804" w:rsidP="00024E3E">
      <w:r>
        <w:t xml:space="preserve"> 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6827B87D"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xml:space="preserve">, without measuring frequencies of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t xml:space="preserve">We have released an open-source software package called </w:t>
      </w:r>
      <w:r w:rsidRPr="000A6BEB">
        <w:rPr>
          <w:i/>
          <w:iCs/>
        </w:rPr>
        <w:t>Curveball</w:t>
      </w:r>
      <w:r w:rsidRPr="000A6BEB">
        <w:t xml:space="preserve"> </w:t>
      </w:r>
      <w:r>
        <w:t>which implements our method (</w:t>
      </w:r>
      <w:hyperlink r:id="rId13" w:history="1">
        <w:r w:rsidRPr="006456E2">
          <w:rPr>
            <w:rStyle w:val="Hyperlink"/>
          </w:rPr>
          <w:t>http://curveball.yoavram.com</w:t>
        </w:r>
      </w:hyperlink>
      <w:r>
        <w:t xml:space="preserve"> and </w:t>
      </w:r>
      <w:hyperlink r:id="rId14"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D32DBE8" w:rsidR="00DC0889" w:rsidRDefault="00250A68" w:rsidP="00616794">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61679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616794" w:rsidRPr="00616794">
        <w:rPr>
          <w:noProof/>
        </w:rPr>
        <w:t>(Concepción-Acevedo et al. 2015; Wiser and Lenski 2015; Hegreness et al. 2006; Gallet et al. 2012)</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77777777" w:rsidR="00DC0889" w:rsidRDefault="00DC0889" w:rsidP="00DC0889">
      <w:r>
        <w:t>Current methods for estimation of fitness from growth curves use the growth rate as a proxy of fitness. The growth rate and other proxies of fitness have several disadvantages: (</w:t>
      </w:r>
      <w:proofErr w:type="spellStart"/>
      <w:r>
        <w:t>i</w:t>
      </w:r>
      <w:proofErr w:type="spellEnd"/>
      <w:r>
        <w:t xml:space="preserve">) they can't 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can't be used as parameters in standard population genetics models that test hypotheses and predict evolutionary dynamics. </w:t>
      </w:r>
    </w:p>
    <w:p w14:paraId="135822C2" w14:textId="77777777" w:rsidR="00DC0889" w:rsidRDefault="00DC0889" w:rsidP="00DC0889">
      <w:r>
        <w:t xml:space="preserve">In contrast, our method integrates several growth phases into the fitness estimation, and 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24E4BCEB" w:rsidR="005226B0" w:rsidRDefault="000A6BEB" w:rsidP="00DC0889">
      <w:r w:rsidRPr="000A6BEB">
        <w:t xml:space="preserve">By providing researchers with a simple yet powerful method to estimate and interpret fitness, </w:t>
      </w:r>
      <w:r>
        <w:t>we hope our research</w:t>
      </w:r>
      <w:r w:rsidRPr="000A6BEB">
        <w:t xml:space="preserve"> will help to standardize the way fitness is measured and reported and improve communication between empirical and theoretical evolutionary biologists and ecologists.</w:t>
      </w:r>
    </w:p>
    <w:p w14:paraId="004BD330" w14:textId="2AB9F59D" w:rsidR="00406968" w:rsidRDefault="005226B0" w:rsidP="00DC0889">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5" w:name="_Ref439853427"/>
      <w:r>
        <w:t xml:space="preserve">Materials and </w:t>
      </w:r>
      <w:r w:rsidR="00051459">
        <w:t>Methods</w:t>
      </w:r>
      <w:bookmarkEnd w:id="5"/>
    </w:p>
    <w:p w14:paraId="53E1A465" w14:textId="6CAAD9A5" w:rsidR="00F80CD3" w:rsidRDefault="00F80CD3" w:rsidP="0087587D">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and in </w:t>
      </w:r>
      <w:r w:rsidR="00272B10" w:rsidRPr="00086EFC">
        <w:rPr>
          <w:highlight w:val="yellow"/>
        </w:rPr>
        <w:t xml:space="preserve">Fig. </w:t>
      </w:r>
      <w:proofErr w:type="gramStart"/>
      <w:r w:rsidR="00272B10" w:rsidRPr="00086EFC">
        <w:rPr>
          <w:highlight w:val="yellow"/>
        </w:rPr>
        <w:t>SX</w:t>
      </w:r>
      <w:r w:rsidR="00863AA2">
        <w:t>.</w:t>
      </w:r>
      <w:proofErr w:type="gramEnd"/>
      <w:r w:rsidR="00863AA2">
        <w:t xml:space="preserve"> All 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proofErr w:type="gramStart"/>
      <w:r w:rsidR="00863AA2" w:rsidRPr="00086EFC">
        <w:t xml:space="preserve">34 </w:t>
      </w:r>
      <w:proofErr w:type="spellStart"/>
      <w:r w:rsidR="00863AA2" w:rsidRPr="00086EFC">
        <w:t>μg</w:t>
      </w:r>
      <w:proofErr w:type="spellEnd"/>
      <w:r w:rsidR="00863AA2" w:rsidRPr="00086EFC">
        <w:t xml:space="preserve">/mL </w:t>
      </w:r>
      <w:r w:rsidR="00863AA2">
        <w:t>chloramphenicol</w:t>
      </w:r>
      <w:proofErr w:type="gramEnd"/>
      <w:r w:rsidR="00863AA2">
        <w:t>.</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EE2832B" w:rsidR="00863AA2" w:rsidRDefault="001F25C6" w:rsidP="00E20AC7">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 xml:space="preserve">C with shaking. Saturated overnight cultures were diluted into fresh media so that the OD will be 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77777777" w:rsidR="00863AA2" w:rsidRDefault="00863AA2" w:rsidP="00863AA2">
      <w:pPr>
        <w:pStyle w:val="ListParagraph"/>
        <w:numPr>
          <w:ilvl w:val="0"/>
          <w:numId w:val="1"/>
        </w:numPr>
      </w:pPr>
      <w:r>
        <w:t>36-48 wells containing a monoculture of a GFP-labeled strain</w:t>
      </w:r>
    </w:p>
    <w:p w14:paraId="53353803" w14:textId="77777777" w:rsidR="00863AA2" w:rsidRDefault="00863AA2" w:rsidP="00863AA2">
      <w:pPr>
        <w:pStyle w:val="ListParagraph"/>
        <w:numPr>
          <w:ilvl w:val="0"/>
          <w:numId w:val="1"/>
        </w:numPr>
      </w:pPr>
      <w:r>
        <w:t>34-46 wells containing a monoculture of a RFP-labeled strain</w:t>
      </w:r>
    </w:p>
    <w:p w14:paraId="3BB2B26B" w14:textId="77777777" w:rsidR="00863AA2" w:rsidRDefault="00863AA2" w:rsidP="00863AA2">
      <w:pPr>
        <w:pStyle w:val="ListParagraph"/>
        <w:numPr>
          <w:ilvl w:val="0"/>
          <w:numId w:val="1"/>
        </w:numPr>
      </w:pPr>
      <w:r>
        <w:t>48-72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6E91AE15" w:rsidR="00863AA2" w:rsidRDefault="00863AA2" w:rsidP="00E20AC7">
      <w:pPr>
        <w:ind w:firstLine="0"/>
        <w:rPr>
          <w:vertAlign w:val="subscript"/>
        </w:rPr>
      </w:pPr>
      <w:r>
        <w:t xml:space="preserve"> The cultures were grown at 30</w:t>
      </w:r>
      <w:r>
        <w:rPr>
          <w:rFonts w:ascii="Arial" w:hAnsi="Arial" w:cs="Arial"/>
        </w:rPr>
        <w:t>°</w:t>
      </w:r>
      <w:r>
        <w:t>C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11AF0EDC" w:rsidR="00863AA2" w:rsidRDefault="00863AA2" w:rsidP="00616794">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w:t>
      </w:r>
      <w:r w:rsidR="00A77CB8">
        <w:t xml:space="preserve">eliminate "double" event (events detected as both "green" and "red" due to high cell density) and noise </w:t>
      </w:r>
      <w:r>
        <w:t>in the cell sorter</w:t>
      </w:r>
      <w:r w:rsid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21AAF333" w:rsidR="00751B77" w:rsidRDefault="001E36D9" w:rsidP="00E20AC7">
      <w:proofErr w:type="gramStart"/>
      <w:r>
        <w:rPr>
          <w:b/>
          <w:bCs/>
        </w:rPr>
        <w:t xml:space="preserve">Data </w:t>
      </w:r>
      <w:r w:rsidR="00E90C5B" w:rsidRPr="00863AA2">
        <w:rPr>
          <w:b/>
          <w:bCs/>
        </w:rPr>
        <w:t>analysis</w:t>
      </w:r>
      <w:r w:rsidR="00863AA2" w:rsidRPr="00863AA2">
        <w:rPr>
          <w:b/>
          <w:bCs/>
        </w:rPr>
        <w:t>.</w:t>
      </w:r>
      <w:proofErr w:type="gramEnd"/>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616794">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"(Ste\u0301fan van der Walt, Colbert, and Varoquaux 2011)" }, "properties" : { "noteIndex" : 0 }, "schema" : "https://github.com/citation-style-language/schema/raw/master/csl-citation.json" }</w:instrText>
      </w:r>
      <w:r w:rsidR="00751B77">
        <w:fldChar w:fldCharType="separate"/>
      </w:r>
      <w:r w:rsidR="00616794" w:rsidRPr="00616794">
        <w:rPr>
          <w:noProof/>
        </w:rPr>
        <w:t>(Stéfan 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28682E1F" w:rsidR="00863AA2" w:rsidRPr="00814C7A" w:rsidRDefault="00751B77" w:rsidP="00E20AC7">
      <w:proofErr w:type="gramStart"/>
      <w:r>
        <w:rPr>
          <w:b/>
          <w:bCs/>
        </w:rPr>
        <w:t>C</w:t>
      </w:r>
      <w:r w:rsidRPr="00751B77">
        <w:rPr>
          <w:b/>
          <w:bCs/>
        </w:rPr>
        <w:t>ode</w:t>
      </w:r>
      <w:r w:rsidR="00DA403F">
        <w:rPr>
          <w:b/>
          <w:bCs/>
        </w:rPr>
        <w:t xml:space="preserve"> </w:t>
      </w:r>
      <w:r w:rsidRPr="00751B77">
        <w:rPr>
          <w:b/>
          <w:bCs/>
        </w:rPr>
        <w:t>availability</w:t>
      </w:r>
      <w:r>
        <w:t>.</w:t>
      </w:r>
      <w:proofErr w:type="gramEnd"/>
      <w:r w:rsidRPr="00751B77">
        <w:t xml:space="preserve"> </w:t>
      </w:r>
      <w:r>
        <w:t xml:space="preserve">Source code is available at </w:t>
      </w:r>
      <w:hyperlink r:id="rId15" w:history="1">
        <w:r w:rsidRPr="006456E2">
          <w:rPr>
            <w:rStyle w:val="Hyperlink"/>
          </w:rPr>
          <w:t>https://github.com/yoavram/curveball</w:t>
        </w:r>
      </w:hyperlink>
      <w:r>
        <w:t xml:space="preserve"> . </w:t>
      </w:r>
      <w:r w:rsidR="00863AA2">
        <w:t xml:space="preserve">See </w:t>
      </w:r>
      <w:hyperlink r:id="rId16" w:history="1">
        <w:r w:rsidR="00863AA2" w:rsidRPr="006456E2">
          <w:rPr>
            <w:rStyle w:val="Hyperlink"/>
          </w:rPr>
          <w:t>http://curveball.yoavram.com</w:t>
        </w:r>
      </w:hyperlink>
      <w:r>
        <w:t xml:space="preserve"> </w:t>
      </w:r>
      <w:r w:rsidR="00E20AC7">
        <w:t xml:space="preserve">for an installation guide, </w:t>
      </w:r>
      <w:r w:rsidR="00863AA2">
        <w:t>tutorial</w:t>
      </w:r>
      <w:r w:rsidR="00E20AC7">
        <w:t>, and documentation</w:t>
      </w:r>
      <w:r w:rsidR="00863AA2">
        <w:t>.</w:t>
      </w:r>
      <w:r>
        <w:t xml:space="preserve"> </w:t>
      </w:r>
    </w:p>
    <w:p w14:paraId="5347B278" w14:textId="60AB3AD9" w:rsidR="00863AA2" w:rsidRDefault="00272B10" w:rsidP="00E20AC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or at </w:t>
      </w:r>
      <w:hyperlink r:id="rId17" w:history="1">
        <w:r w:rsidR="00863AA2" w:rsidRPr="00733015">
          <w:rPr>
            <w:rStyle w:val="Hyperlink"/>
          </w:rPr>
          <w:t>https://github.com/yoavram/curveball_ms/blob/master/supp.ipynb</w:t>
        </w:r>
      </w:hyperlink>
      <w:r w:rsidR="00863AA2">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t>Appendices</w:t>
      </w:r>
    </w:p>
    <w:p w14:paraId="392D3E96" w14:textId="4EB0FFA2" w:rsidR="00960D78" w:rsidRDefault="00960D78" w:rsidP="00960D78">
      <w:pPr>
        <w:pStyle w:val="Heading2"/>
      </w:pPr>
      <w:r>
        <w:t>Appendix A: Monoculture model</w:t>
      </w:r>
    </w:p>
    <w:p w14:paraId="17C6D8C3" w14:textId="627066F5" w:rsidR="00960D78" w:rsidRDefault="00960D78" w:rsidP="00960D78">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r w:rsidRPr="00E20AC7">
        <w:rPr>
          <w:highlight w:val="yellow"/>
        </w:rPr>
        <w:t xml:space="preserve">Because cells intake resources via their surface, we denote </w:t>
      </w:r>
      <m:oMath>
        <m:r>
          <w:rPr>
            <w:rFonts w:ascii="Cambria Math" w:hAnsi="Cambria Math"/>
            <w:highlight w:val="yellow"/>
          </w:rPr>
          <m:t>Y=</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ν</m:t>
            </m:r>
          </m:sup>
        </m:sSup>
      </m:oMath>
      <w:r w:rsidRPr="00E20AC7">
        <w:rPr>
          <w:highlight w:val="yellow"/>
        </w:rPr>
        <w:t xml:space="preserve"> to be the total surface of the cells, in total area per unit of volume. The parameter </w:t>
      </w:r>
      <m:oMath>
        <m:r>
          <w:rPr>
            <w:rFonts w:ascii="Cambria Math" w:hAnsi="Cambria Math"/>
            <w:highlight w:val="yellow"/>
          </w:rPr>
          <m:t>ν</m:t>
        </m:r>
      </m:oMath>
      <w:r w:rsidRPr="00E20AC7">
        <w:rPr>
          <w:highlight w:val="yellow"/>
        </w:rPr>
        <w:t xml:space="preserve"> can be considered the surface</w:t>
      </w:r>
      <w:proofErr w:type="gramStart"/>
      <w:r w:rsidRPr="00E20AC7">
        <w:rPr>
          <w:highlight w:val="yellow"/>
        </w:rPr>
        <w:t>:mass</w:t>
      </w:r>
      <w:proofErr w:type="gramEnd"/>
      <w:r w:rsidRPr="00E20AC7">
        <w:rPr>
          <w:highlight w:val="yellow"/>
        </w:rPr>
        <w:t xml:space="preserve"> ratio for all cells; for a single, spheroid cell, this would be 2/3 [?].</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0962E5"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 xml:space="preserve">However, we are interested in cell mass, rather than </w:t>
      </w:r>
      <w:r w:rsidRPr="00E20AC7">
        <w:rPr>
          <w:highlight w:val="yellow"/>
        </w:rPr>
        <w:t>cell surface</w:t>
      </w:r>
      <w:r>
        <w:t>:</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0962E5"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0962E5"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0962E5"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0962E5"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0962E5"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0962E5"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0962E5"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0962E5"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621E94">
        <w:rPr>
          <w:highlight w:val="yellow"/>
        </w:rPr>
        <w:t>Baranyi</w:t>
      </w:r>
      <w:proofErr w:type="spellEnd"/>
      <w:r w:rsidRPr="00621E94">
        <w:rPr>
          <w:highlight w:val="yellow"/>
        </w:rPr>
        <w:t xml:space="preserve"> and Roberts suggested to fix </w:t>
      </w:r>
      <m:oMath>
        <m:r>
          <w:rPr>
            <w:rFonts w:ascii="Cambria Math" w:hAnsi="Cambria Math"/>
            <w:highlight w:val="yellow"/>
          </w:rPr>
          <m:t>v=r</m:t>
        </m:r>
      </m:oMath>
      <w:r w:rsidRPr="00621E94">
        <w:rPr>
          <w:highlight w:val="yellow"/>
        </w:rPr>
        <w:t xml:space="preserve"> to avoid instability of the fitting procedure </w:t>
      </w:r>
      <w:r w:rsidRPr="00621E94">
        <w:rPr>
          <w:highlight w:val="yellow"/>
        </w:rPr>
        <w:fldChar w:fldCharType="begin" w:fldLock="1"/>
      </w:r>
      <w:r w:rsidRPr="00621E94">
        <w:rPr>
          <w:highlight w:val="yellow"/>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621E94">
        <w:rPr>
          <w:highlight w:val="yellow"/>
        </w:rPr>
        <w:fldChar w:fldCharType="separate"/>
      </w:r>
      <w:r w:rsidRPr="00621E94">
        <w:rPr>
          <w:noProof/>
          <w:highlight w:val="yellow"/>
        </w:rPr>
        <w:t>(Baranyi 1997; Clark et al. 2010)</w:t>
      </w:r>
      <w:r w:rsidRPr="00621E94">
        <w:rPr>
          <w:highlight w:val="yellow"/>
        </w:rPr>
        <w:fldChar w:fldCharType="end"/>
      </w:r>
      <w:r w:rsidRPr="00621E94">
        <w:rPr>
          <w:highlight w:val="yellow"/>
        </w:rPr>
        <w:t>.</w:t>
      </w:r>
    </w:p>
    <w:p w14:paraId="4A8445E6" w14:textId="774BCFE7" w:rsidR="00960D78" w:rsidRDefault="00960D78" w:rsidP="00960D78">
      <w:pPr>
        <w:pStyle w:val="Heading2"/>
      </w:pPr>
      <w:bookmarkStart w:id="6" w:name="_Ref439853477"/>
      <w:r>
        <w:t>Appendix B: Mixed culture model</w:t>
      </w:r>
      <w:bookmarkEnd w:id="6"/>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0962E5"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0962E5"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0962E5"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0962E5"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199B47EA" w14:textId="53AD88EE" w:rsidR="007911B2" w:rsidRPr="007911B2" w:rsidRDefault="00BC14C2" w:rsidP="007911B2">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7911B2" w:rsidRPr="007911B2">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7911B2" w:rsidRPr="007911B2">
        <w:rPr>
          <w:rFonts w:ascii="Times New Roman" w:hAnsi="Times New Roman" w:cs="Times New Roman"/>
          <w:i/>
          <w:iCs/>
          <w:noProof/>
        </w:rPr>
        <w:t>Genetics</w:t>
      </w:r>
      <w:r w:rsidR="007911B2" w:rsidRPr="007911B2">
        <w:rPr>
          <w:rFonts w:ascii="Times New Roman" w:hAnsi="Times New Roman" w:cs="Times New Roman"/>
          <w:noProof/>
        </w:rPr>
        <w:t xml:space="preserve"> 196 (3) (January 7): 1–35. doi:10.1534/genetics.113.156190.</w:t>
      </w:r>
    </w:p>
    <w:p w14:paraId="75228BCF"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Baranyi, József. 1997. “Simple Is Good as Long as It Is Enough.” </w:t>
      </w:r>
      <w:r w:rsidRPr="007911B2">
        <w:rPr>
          <w:rFonts w:ascii="Times New Roman" w:hAnsi="Times New Roman" w:cs="Times New Roman"/>
          <w:i/>
          <w:iCs/>
          <w:noProof/>
        </w:rPr>
        <w:t>Commentary</w:t>
      </w:r>
      <w:r w:rsidRPr="007911B2">
        <w:rPr>
          <w:rFonts w:ascii="Times New Roman" w:hAnsi="Times New Roman" w:cs="Times New Roman"/>
          <w:noProof/>
        </w:rPr>
        <w:t xml:space="preserve"> (1996): 391–394. doi:10.1006/fmic.1996.0080.</w:t>
      </w:r>
    </w:p>
    <w:p w14:paraId="495A800E"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Baranyi, József, and Terry a. Roberts. 1994. “A Dynamic Approach to Predicting Bacterial Growth in Food.” </w:t>
      </w:r>
      <w:r w:rsidRPr="007911B2">
        <w:rPr>
          <w:rFonts w:ascii="Times New Roman" w:hAnsi="Times New Roman" w:cs="Times New Roman"/>
          <w:i/>
          <w:iCs/>
          <w:noProof/>
        </w:rPr>
        <w:t>International Journal of Food Microbiology</w:t>
      </w:r>
      <w:r w:rsidRPr="007911B2">
        <w:rPr>
          <w:rFonts w:ascii="Times New Roman" w:hAnsi="Times New Roman" w:cs="Times New Roman"/>
          <w:noProof/>
        </w:rPr>
        <w:t xml:space="preserve"> 23: 277–294. doi:10.1016/0168-1605(94)90157-0.</w:t>
      </w:r>
    </w:p>
    <w:p w14:paraId="2FEF7CA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Bell, Graham. 2010. “Experimental Genomics of Fitness in Yeast.” </w:t>
      </w:r>
      <w:r w:rsidRPr="007911B2">
        <w:rPr>
          <w:rFonts w:ascii="Times New Roman" w:hAnsi="Times New Roman" w:cs="Times New Roman"/>
          <w:i/>
          <w:iCs/>
          <w:noProof/>
        </w:rPr>
        <w:t>Proceedings of the Royal Society B: Biological Sciences</w:t>
      </w:r>
      <w:r w:rsidRPr="007911B2">
        <w:rPr>
          <w:rFonts w:ascii="Times New Roman" w:hAnsi="Times New Roman" w:cs="Times New Roman"/>
          <w:noProof/>
        </w:rPr>
        <w:t xml:space="preserve"> 277 (1687) (May 22): 1459–1467. doi:10.1098/rspb.2009.2099.</w:t>
      </w:r>
    </w:p>
    <w:p w14:paraId="118E6EF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Chevin, Luis-Miguel. 2011. “On Measuring Selection in Experimental Evolution.” </w:t>
      </w:r>
      <w:r w:rsidRPr="007911B2">
        <w:rPr>
          <w:rFonts w:ascii="Times New Roman" w:hAnsi="Times New Roman" w:cs="Times New Roman"/>
          <w:i/>
          <w:iCs/>
          <w:noProof/>
        </w:rPr>
        <w:t>Biology Letters</w:t>
      </w:r>
      <w:r w:rsidRPr="007911B2">
        <w:rPr>
          <w:rFonts w:ascii="Times New Roman" w:hAnsi="Times New Roman" w:cs="Times New Roman"/>
          <w:noProof/>
        </w:rPr>
        <w:t xml:space="preserve"> 7 (2) (April 23): 210–3. doi:10.1098/rsbl.2010.0580.</w:t>
      </w:r>
    </w:p>
    <w:p w14:paraId="204387BF"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7911B2">
        <w:rPr>
          <w:rFonts w:ascii="Times New Roman" w:hAnsi="Times New Roman" w:cs="Times New Roman"/>
          <w:i/>
          <w:iCs/>
          <w:noProof/>
        </w:rPr>
        <w:t>Methods in Ecology and Evolution</w:t>
      </w:r>
      <w:r w:rsidRPr="007911B2">
        <w:rPr>
          <w:rFonts w:ascii="Times New Roman" w:hAnsi="Times New Roman" w:cs="Times New Roman"/>
          <w:noProof/>
        </w:rPr>
        <w:t xml:space="preserve"> 1 (3): 253–262. doi:10.1111/j.2041-210X.2010.00029.x.</w:t>
      </w:r>
    </w:p>
    <w:p w14:paraId="59BB5C9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7911B2">
        <w:rPr>
          <w:rFonts w:ascii="Times New Roman" w:hAnsi="Times New Roman" w:cs="Times New Roman"/>
          <w:i/>
          <w:iCs/>
          <w:noProof/>
        </w:rPr>
        <w:t>Plos One</w:t>
      </w:r>
      <w:r w:rsidRPr="007911B2">
        <w:rPr>
          <w:rFonts w:ascii="Times New Roman" w:hAnsi="Times New Roman" w:cs="Times New Roman"/>
          <w:noProof/>
        </w:rPr>
        <w:t xml:space="preserve"> 10 (6): e0126915. doi:10.1371/journal.pone.0126915.</w:t>
      </w:r>
    </w:p>
    <w:p w14:paraId="03DBDB2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Crow, James F., and Motoo Kimura. 1970. </w:t>
      </w:r>
      <w:r w:rsidRPr="007911B2">
        <w:rPr>
          <w:rFonts w:ascii="Times New Roman" w:hAnsi="Times New Roman" w:cs="Times New Roman"/>
          <w:i/>
          <w:iCs/>
          <w:noProof/>
        </w:rPr>
        <w:t>An Introduction to Population Genetics Theory</w:t>
      </w:r>
      <w:r w:rsidRPr="007911B2">
        <w:rPr>
          <w:rFonts w:ascii="Times New Roman" w:hAnsi="Times New Roman" w:cs="Times New Roman"/>
          <w:noProof/>
        </w:rPr>
        <w:t>. Minneapolis: Burgess Pub. Co.</w:t>
      </w:r>
    </w:p>
    <w:p w14:paraId="2473604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Dilao, Rui, and Tiago Domingos. 1999. “A General Approach to the Modelling of Trophic Chains.” </w:t>
      </w:r>
      <w:r w:rsidRPr="007911B2">
        <w:rPr>
          <w:rFonts w:ascii="Times New Roman" w:hAnsi="Times New Roman" w:cs="Times New Roman"/>
          <w:i/>
          <w:iCs/>
          <w:noProof/>
        </w:rPr>
        <w:t>Ecological Modelling</w:t>
      </w:r>
      <w:r w:rsidRPr="007911B2">
        <w:rPr>
          <w:rFonts w:ascii="Times New Roman" w:hAnsi="Times New Roman" w:cs="Times New Roman"/>
          <w:noProof/>
        </w:rPr>
        <w:t xml:space="preserve"> 132 (3): 20. doi:10.1016/S0304-3800(00)00272-6.</w:t>
      </w:r>
    </w:p>
    <w:p w14:paraId="79406577"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Gallet, Romain, Tim F. Cooper, Santiago F. Elena, and Thomas Lenormand. 2012. “Measuring Selection Coefficients below 10</w:t>
      </w:r>
      <w:r w:rsidRPr="007911B2">
        <w:rPr>
          <w:rFonts w:ascii="Times New Roman" w:hAnsi="Times New Roman" w:cs="Times New Roman"/>
          <w:noProof/>
          <w:vertAlign w:val="superscript"/>
        </w:rPr>
        <w:t>-3</w:t>
      </w:r>
      <w:r w:rsidRPr="007911B2">
        <w:rPr>
          <w:rFonts w:ascii="Times New Roman" w:hAnsi="Times New Roman" w:cs="Times New Roman"/>
          <w:noProof/>
        </w:rPr>
        <w:t xml:space="preserve">: Method, Questions, and Prospects.” </w:t>
      </w:r>
      <w:r w:rsidRPr="007911B2">
        <w:rPr>
          <w:rFonts w:ascii="Times New Roman" w:hAnsi="Times New Roman" w:cs="Times New Roman"/>
          <w:i/>
          <w:iCs/>
          <w:noProof/>
        </w:rPr>
        <w:t>Genetics</w:t>
      </w:r>
      <w:r w:rsidRPr="007911B2">
        <w:rPr>
          <w:rFonts w:ascii="Times New Roman" w:hAnsi="Times New Roman" w:cs="Times New Roman"/>
          <w:noProof/>
        </w:rPr>
        <w:t xml:space="preserve"> 190 (1) (January): 175–86. doi:10.1534/genetics.111.133454.</w:t>
      </w:r>
    </w:p>
    <w:p w14:paraId="36818DDA"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Ge, Yongchao, and Stuart C. Sealfon. 2012. “flowPeaks: A Fast Unsupervised Clustering for Flow Cytometry Data via K-Means and Density Peak Finding.” </w:t>
      </w:r>
      <w:r w:rsidRPr="007911B2">
        <w:rPr>
          <w:rFonts w:ascii="Times New Roman" w:hAnsi="Times New Roman" w:cs="Times New Roman"/>
          <w:i/>
          <w:iCs/>
          <w:noProof/>
        </w:rPr>
        <w:t>Bioinformatics</w:t>
      </w:r>
      <w:r w:rsidRPr="007911B2">
        <w:rPr>
          <w:rFonts w:ascii="Times New Roman" w:hAnsi="Times New Roman" w:cs="Times New Roman"/>
          <w:noProof/>
        </w:rPr>
        <w:t xml:space="preserve"> 28 (15) (August 1): 2052–2058. doi:10.1093/bioinformatics/bts300.</w:t>
      </w:r>
    </w:p>
    <w:p w14:paraId="232BB532"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Gilpin, Michael E., and Francisco J. Ayala. 1973. “Global Models of Growth and Competition.” </w:t>
      </w:r>
      <w:r w:rsidRPr="007911B2">
        <w:rPr>
          <w:rFonts w:ascii="Times New Roman" w:hAnsi="Times New Roman" w:cs="Times New Roman"/>
          <w:i/>
          <w:iCs/>
          <w:noProof/>
        </w:rPr>
        <w:t>Proceedings of the National Academy of Sciences of the United States of America</w:t>
      </w:r>
      <w:r w:rsidRPr="007911B2">
        <w:rPr>
          <w:rFonts w:ascii="Times New Roman" w:hAnsi="Times New Roman" w:cs="Times New Roman"/>
          <w:noProof/>
        </w:rPr>
        <w:t xml:space="preserve"> 70 (12 Pt 1-2): 3590–3593. doi:10.1073/pnas.70.12.3590.</w:t>
      </w:r>
    </w:p>
    <w:p w14:paraId="5ED30033"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Gopalsamy, K. 1986. “Convergence in a Resource-Based Competition System.” </w:t>
      </w:r>
      <w:r w:rsidRPr="007911B2">
        <w:rPr>
          <w:rFonts w:ascii="Times New Roman" w:hAnsi="Times New Roman" w:cs="Times New Roman"/>
          <w:i/>
          <w:iCs/>
          <w:noProof/>
        </w:rPr>
        <w:t>Bulletin of Mathematical Biology</w:t>
      </w:r>
      <w:r w:rsidRPr="007911B2">
        <w:rPr>
          <w:rFonts w:ascii="Times New Roman" w:hAnsi="Times New Roman" w:cs="Times New Roman"/>
          <w:noProof/>
        </w:rPr>
        <w:t xml:space="preserve"> 48 (5-6): 681–699. doi:10.1016/S0092-8240(86)90014-5.</w:t>
      </w:r>
    </w:p>
    <w:p w14:paraId="5FBB97D7"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Hall, Barry G., Hande Acar, Anna Nandipati, and Miriam Barlow. 2014. “Growth Rates Made Easy.” </w:t>
      </w:r>
      <w:r w:rsidRPr="007911B2">
        <w:rPr>
          <w:rFonts w:ascii="Times New Roman" w:hAnsi="Times New Roman" w:cs="Times New Roman"/>
          <w:i/>
          <w:iCs/>
          <w:noProof/>
        </w:rPr>
        <w:t>Molecular Biology and Evolution</w:t>
      </w:r>
      <w:r w:rsidRPr="007911B2">
        <w:rPr>
          <w:rFonts w:ascii="Times New Roman" w:hAnsi="Times New Roman" w:cs="Times New Roman"/>
          <w:noProof/>
        </w:rPr>
        <w:t xml:space="preserve"> 31 (1): 232–238. doi:10.1093/molbev/mst187.</w:t>
      </w:r>
    </w:p>
    <w:p w14:paraId="3ABD01DA"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7911B2">
        <w:rPr>
          <w:rFonts w:ascii="Times New Roman" w:hAnsi="Times New Roman" w:cs="Times New Roman"/>
          <w:i/>
          <w:iCs/>
          <w:noProof/>
        </w:rPr>
        <w:t>Science</w:t>
      </w:r>
      <w:r w:rsidRPr="007911B2">
        <w:rPr>
          <w:rFonts w:ascii="Times New Roman" w:hAnsi="Times New Roman" w:cs="Times New Roman"/>
          <w:noProof/>
        </w:rPr>
        <w:t xml:space="preserve"> 311 (5767) (March): 1615–7. doi:10.1126/science.1122469.</w:t>
      </w:r>
    </w:p>
    <w:p w14:paraId="7FFCCD80"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Hibbing, Michael E, Clay Fuqua, Matthew R Parsek, and S Brook Peterson. 2010. “Bacterial Competition: Surviving and Thriving in the Microbial Jungle.” </w:t>
      </w:r>
      <w:r w:rsidRPr="007911B2">
        <w:rPr>
          <w:rFonts w:ascii="Times New Roman" w:hAnsi="Times New Roman" w:cs="Times New Roman"/>
          <w:i/>
          <w:iCs/>
          <w:noProof/>
        </w:rPr>
        <w:t>Nature Reviews. Microbiology</w:t>
      </w:r>
      <w:r w:rsidRPr="007911B2">
        <w:rPr>
          <w:rFonts w:ascii="Times New Roman" w:hAnsi="Times New Roman" w:cs="Times New Roman"/>
          <w:noProof/>
        </w:rPr>
        <w:t xml:space="preserve"> 8 (1): 15–25. doi:10.1038/nrmicro2259.</w:t>
      </w:r>
    </w:p>
    <w:p w14:paraId="2064A86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Hunter, John D. 2007. “Matplotlib: A 2D Graphics Environment.” </w:t>
      </w:r>
      <w:r w:rsidRPr="007911B2">
        <w:rPr>
          <w:rFonts w:ascii="Times New Roman" w:hAnsi="Times New Roman" w:cs="Times New Roman"/>
          <w:i/>
          <w:iCs/>
          <w:noProof/>
        </w:rPr>
        <w:t>Computing in Science &amp; Engineering</w:t>
      </w:r>
      <w:r w:rsidRPr="007911B2">
        <w:rPr>
          <w:rFonts w:ascii="Times New Roman" w:hAnsi="Times New Roman" w:cs="Times New Roman"/>
          <w:noProof/>
        </w:rPr>
        <w:t xml:space="preserve"> 9 (3): 90–95. doi:10.1109/MCSE.2007.55.</w:t>
      </w:r>
    </w:p>
    <w:p w14:paraId="509C54E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Jones, Eric, Travis Oliphant, Pearu Peterson, and others. 2001. “SciPy: Open Source Scientific Tools for Python.” http://www.scipy.org/.</w:t>
      </w:r>
    </w:p>
    <w:p w14:paraId="1871D638"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Kass, Robert, and Adrian Raftery. 1995. “Bayes Factors.” </w:t>
      </w:r>
      <w:r w:rsidRPr="007911B2">
        <w:rPr>
          <w:rFonts w:ascii="Times New Roman" w:hAnsi="Times New Roman" w:cs="Times New Roman"/>
          <w:i/>
          <w:iCs/>
          <w:noProof/>
        </w:rPr>
        <w:t>Journal of the American Statistical Association</w:t>
      </w:r>
      <w:r w:rsidRPr="007911B2">
        <w:rPr>
          <w:rFonts w:ascii="Times New Roman" w:hAnsi="Times New Roman" w:cs="Times New Roman"/>
          <w:noProof/>
        </w:rPr>
        <w:t>: 773–795. doi:doi: 10.2307/2291091.</w:t>
      </w:r>
    </w:p>
    <w:p w14:paraId="6233F3F0"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7911B2">
        <w:rPr>
          <w:rFonts w:ascii="Times New Roman" w:hAnsi="Times New Roman" w:cs="Times New Roman"/>
          <w:i/>
          <w:iCs/>
          <w:noProof/>
        </w:rPr>
        <w:t>Nature</w:t>
      </w:r>
      <w:r w:rsidRPr="007911B2">
        <w:rPr>
          <w:rFonts w:ascii="Times New Roman" w:hAnsi="Times New Roman" w:cs="Times New Roman"/>
          <w:noProof/>
        </w:rPr>
        <w:t xml:space="preserve"> 519 (7542) (February 25): 181–186. doi:10.1038/nature14279.</w:t>
      </w:r>
    </w:p>
    <w:p w14:paraId="7E2236F8"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Masel, Joanna. 2014. “Eco-Evolutionary ‘fitness’ in 3 Dimensions: Absolute Growth, Absolute Efficiency, and Relative Competitiveness.” Populations and Evolution. </w:t>
      </w:r>
      <w:r w:rsidRPr="007911B2">
        <w:rPr>
          <w:rFonts w:ascii="Times New Roman" w:hAnsi="Times New Roman" w:cs="Times New Roman"/>
          <w:i/>
          <w:iCs/>
          <w:noProof/>
        </w:rPr>
        <w:t>arXiv:1407.1024v3</w:t>
      </w:r>
      <w:r w:rsidRPr="007911B2">
        <w:rPr>
          <w:rFonts w:ascii="Times New Roman" w:hAnsi="Times New Roman" w:cs="Times New Roman"/>
          <w:noProof/>
        </w:rPr>
        <w:t xml:space="preserve"> (July): 1–44.</w:t>
      </w:r>
    </w:p>
    <w:p w14:paraId="01A3C0CF"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McKinney, Wes. 2010. “Data Structures for Statistical Computing in Python.” In </w:t>
      </w:r>
      <w:r w:rsidRPr="007911B2">
        <w:rPr>
          <w:rFonts w:ascii="Times New Roman" w:hAnsi="Times New Roman" w:cs="Times New Roman"/>
          <w:i/>
          <w:iCs/>
          <w:noProof/>
        </w:rPr>
        <w:t>Proceedings of the 9th Python in Science Conference</w:t>
      </w:r>
      <w:r w:rsidRPr="007911B2">
        <w:rPr>
          <w:rFonts w:ascii="Times New Roman" w:hAnsi="Times New Roman" w:cs="Times New Roman"/>
          <w:noProof/>
        </w:rPr>
        <w:t>, edited by Stéfan van der Walt and Jarrod Millman, 51–56.</w:t>
      </w:r>
    </w:p>
    <w:p w14:paraId="02286A4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Monod, Jacques. 1949. “The Growth of Bacterial Cultures.” </w:t>
      </w:r>
      <w:r w:rsidRPr="007911B2">
        <w:rPr>
          <w:rFonts w:ascii="Times New Roman" w:hAnsi="Times New Roman" w:cs="Times New Roman"/>
          <w:i/>
          <w:iCs/>
          <w:noProof/>
        </w:rPr>
        <w:t>Annual Review of Microbiology</w:t>
      </w:r>
      <w:r w:rsidRPr="007911B2">
        <w:rPr>
          <w:rFonts w:ascii="Times New Roman" w:hAnsi="Times New Roman" w:cs="Times New Roman"/>
          <w:noProof/>
        </w:rPr>
        <w:t xml:space="preserve"> 3 (1): 371–394. doi:10.1146/annurev.mi.03.100149.002103.</w:t>
      </w:r>
    </w:p>
    <w:p w14:paraId="63826F5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1DF6A633"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Otto, Sarah P., and Troy Day. 2007. </w:t>
      </w:r>
      <w:r w:rsidRPr="007911B2">
        <w:rPr>
          <w:rFonts w:ascii="Times New Roman" w:hAnsi="Times New Roman" w:cs="Times New Roman"/>
          <w:i/>
          <w:iCs/>
          <w:noProof/>
        </w:rPr>
        <w:t>A Biologist’s Guide to Mathematical Modeling in Ecology and Evolution</w:t>
      </w:r>
      <w:r w:rsidRPr="007911B2">
        <w:rPr>
          <w:rFonts w:ascii="Times New Roman" w:hAnsi="Times New Roman" w:cs="Times New Roman"/>
          <w:noProof/>
        </w:rPr>
        <w:t>. Princeton University Press.</w:t>
      </w:r>
    </w:p>
    <w:p w14:paraId="1A52BD3C"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Pearl, Raymond. 1927. “The Growth of Populations.” </w:t>
      </w:r>
      <w:r w:rsidRPr="007911B2">
        <w:rPr>
          <w:rFonts w:ascii="Times New Roman" w:hAnsi="Times New Roman" w:cs="Times New Roman"/>
          <w:i/>
          <w:iCs/>
          <w:noProof/>
        </w:rPr>
        <w:t>The Quarterly Review of Biology</w:t>
      </w:r>
      <w:r w:rsidRPr="007911B2">
        <w:rPr>
          <w:rFonts w:ascii="Times New Roman" w:hAnsi="Times New Roman" w:cs="Times New Roman"/>
          <w:noProof/>
        </w:rPr>
        <w:t xml:space="preserve"> 2 (4): 532–548.</w:t>
      </w:r>
    </w:p>
    <w:p w14:paraId="73325DF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Pedregosa, F, G Varoquaux, A Gramfort, V Michel, B Thirion, O Grisel, M Blondel, et al. 2011. “Scikit-Learn: Machine Learning in {P}ython.” </w:t>
      </w:r>
      <w:r w:rsidRPr="007911B2">
        <w:rPr>
          <w:rFonts w:ascii="Times New Roman" w:hAnsi="Times New Roman" w:cs="Times New Roman"/>
          <w:i/>
          <w:iCs/>
          <w:noProof/>
        </w:rPr>
        <w:t>Journal of Machine Learning Research</w:t>
      </w:r>
      <w:r w:rsidRPr="007911B2">
        <w:rPr>
          <w:rFonts w:ascii="Times New Roman" w:hAnsi="Times New Roman" w:cs="Times New Roman"/>
          <w:noProof/>
        </w:rPr>
        <w:t xml:space="preserve"> 12: 2825–2830.</w:t>
      </w:r>
    </w:p>
    <w:p w14:paraId="6E4ADAC3"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Perez, Fernando, and Brian E. Granger. 2007. “IPython: A System for Interactive Scientific Computing.” </w:t>
      </w:r>
      <w:r w:rsidRPr="007911B2">
        <w:rPr>
          <w:rFonts w:ascii="Times New Roman" w:hAnsi="Times New Roman" w:cs="Times New Roman"/>
          <w:i/>
          <w:iCs/>
          <w:noProof/>
        </w:rPr>
        <w:t>Computing in Science &amp; Engineering</w:t>
      </w:r>
      <w:r w:rsidRPr="007911B2">
        <w:rPr>
          <w:rFonts w:ascii="Times New Roman" w:hAnsi="Times New Roman" w:cs="Times New Roman"/>
          <w:noProof/>
        </w:rPr>
        <w:t xml:space="preserve"> 9 (3): 21–29. doi:10.1109/MCSE.2007.53.</w:t>
      </w:r>
    </w:p>
    <w:p w14:paraId="48B7608D"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R Development Core Team. 2012. “R: A Language and Environment for Statistical Computing.” Vienna, Austria.</w:t>
      </w:r>
    </w:p>
    <w:p w14:paraId="3DFFE8D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Richards, F. J. 1959. “A Flexible Growth Function for Empirical Use.” </w:t>
      </w:r>
      <w:r w:rsidRPr="007911B2">
        <w:rPr>
          <w:rFonts w:ascii="Times New Roman" w:hAnsi="Times New Roman" w:cs="Times New Roman"/>
          <w:i/>
          <w:iCs/>
          <w:noProof/>
        </w:rPr>
        <w:t>Journal of Experimental Botany</w:t>
      </w:r>
      <w:r w:rsidRPr="007911B2">
        <w:rPr>
          <w:rFonts w:ascii="Times New Roman" w:hAnsi="Times New Roman" w:cs="Times New Roman"/>
          <w:noProof/>
        </w:rPr>
        <w:t xml:space="preserve"> 10 (2): 290–301. doi:10.1093/jxb/10.2.290.</w:t>
      </w:r>
    </w:p>
    <w:p w14:paraId="1D94AEB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SymPy Development Team. 2014. “SymPy: Python Library for Symbolic Mathematics.”</w:t>
      </w:r>
    </w:p>
    <w:p w14:paraId="6BFE785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van der Walt, Stéfan, S Chris Colbert, and Gaël Varoquaux. 2011. “The NumPy Array: A Structure for Efficient Numerical Computation.” </w:t>
      </w:r>
      <w:r w:rsidRPr="007911B2">
        <w:rPr>
          <w:rFonts w:ascii="Times New Roman" w:hAnsi="Times New Roman" w:cs="Times New Roman"/>
          <w:i/>
          <w:iCs/>
          <w:noProof/>
        </w:rPr>
        <w:t>Computing in Science &amp; Engineering</w:t>
      </w:r>
      <w:r w:rsidRPr="007911B2">
        <w:rPr>
          <w:rFonts w:ascii="Times New Roman" w:hAnsi="Times New Roman" w:cs="Times New Roman"/>
          <w:noProof/>
        </w:rPr>
        <w:t xml:space="preserve"> 13 (2) (March): 22–30. doi:10.1109/MCSE.2011.37.</w:t>
      </w:r>
    </w:p>
    <w:p w14:paraId="1C5AA83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Van Rossum, Guido, and others. 2007. “Python Programming Language.” In </w:t>
      </w:r>
      <w:r w:rsidRPr="007911B2">
        <w:rPr>
          <w:rFonts w:ascii="Times New Roman" w:hAnsi="Times New Roman" w:cs="Times New Roman"/>
          <w:i/>
          <w:iCs/>
          <w:noProof/>
        </w:rPr>
        <w:t>USENIX Annual Technical Conference</w:t>
      </w:r>
      <w:r w:rsidRPr="007911B2">
        <w:rPr>
          <w:rFonts w:ascii="Times New Roman" w:hAnsi="Times New Roman" w:cs="Times New Roman"/>
          <w:noProof/>
        </w:rPr>
        <w:t>.</w:t>
      </w:r>
    </w:p>
    <w:p w14:paraId="5CF462A7"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Verhulst, Pierre-François. 1838. “Notice Sur La Loi Que La Population Suit Dans Son Accroissement. Correspondance Mathématique et Physique Publiée Par A.” </w:t>
      </w:r>
      <w:r w:rsidRPr="007911B2">
        <w:rPr>
          <w:rFonts w:ascii="Times New Roman" w:hAnsi="Times New Roman" w:cs="Times New Roman"/>
          <w:i/>
          <w:iCs/>
          <w:noProof/>
        </w:rPr>
        <w:t>Quetelet</w:t>
      </w:r>
      <w:r w:rsidRPr="007911B2">
        <w:rPr>
          <w:rFonts w:ascii="Times New Roman" w:hAnsi="Times New Roman" w:cs="Times New Roman"/>
          <w:noProof/>
        </w:rPr>
        <w:t xml:space="preserve"> 10: 113–121.</w:t>
      </w:r>
    </w:p>
    <w:p w14:paraId="2679999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Wahl, Lindi M, and Anna Dai Zhu. 2015. “Survival Probability of Beneficial Mutations in Bacterial Batch Culture.” </w:t>
      </w:r>
      <w:r w:rsidRPr="007911B2">
        <w:rPr>
          <w:rFonts w:ascii="Times New Roman" w:hAnsi="Times New Roman" w:cs="Times New Roman"/>
          <w:i/>
          <w:iCs/>
          <w:noProof/>
        </w:rPr>
        <w:t>Genetics</w:t>
      </w:r>
      <w:r w:rsidRPr="007911B2">
        <w:rPr>
          <w:rFonts w:ascii="Times New Roman" w:hAnsi="Times New Roman" w:cs="Times New Roman"/>
          <w:noProof/>
        </w:rPr>
        <w:t xml:space="preserve"> 200 (1): 309–20. doi:10.1534/genetics.114.172890.</w:t>
      </w:r>
    </w:p>
    <w:p w14:paraId="2206893B"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Ward, Eric J. 2008. “A Review and Comparison of Four Commonly Used Bayesian and Maximum Likelihood Model Selection Tools.” </w:t>
      </w:r>
      <w:r w:rsidRPr="007911B2">
        <w:rPr>
          <w:rFonts w:ascii="Times New Roman" w:hAnsi="Times New Roman" w:cs="Times New Roman"/>
          <w:i/>
          <w:iCs/>
          <w:noProof/>
        </w:rPr>
        <w:t>Ecological Modelling</w:t>
      </w:r>
      <w:r w:rsidRPr="007911B2">
        <w:rPr>
          <w:rFonts w:ascii="Times New Roman" w:hAnsi="Times New Roman" w:cs="Times New Roman"/>
          <w:noProof/>
        </w:rPr>
        <w:t xml:space="preserve"> 211 (1-2): 1–10. doi:10.1016/j.ecolmodel.2007.10.030.</w:t>
      </w:r>
    </w:p>
    <w:p w14:paraId="6FCB5F91"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Waskom, Michael, Olga Botvinnik, Paul Hobson, Jordi Warmenhoven, John B Cole, Yaroslav Halchenko, Jake Vanderplas, et al. 2015. “Seaborn: v0.6.0 (June 2015).” doi:10.5281/zenodo.19108.</w:t>
      </w:r>
    </w:p>
    <w:p w14:paraId="681E344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Wiser, Michael J, and Richard E. Lenski. 2015. “A Comparison of Methods to Measure Fitness in </w:t>
      </w:r>
      <w:r w:rsidRPr="007911B2">
        <w:rPr>
          <w:rFonts w:ascii="Times New Roman" w:hAnsi="Times New Roman" w:cs="Times New Roman"/>
          <w:i/>
          <w:iCs/>
          <w:noProof/>
        </w:rPr>
        <w:t>Escherichia Coli</w:t>
      </w:r>
      <w:r w:rsidRPr="007911B2">
        <w:rPr>
          <w:rFonts w:ascii="Times New Roman" w:hAnsi="Times New Roman" w:cs="Times New Roman"/>
          <w:noProof/>
        </w:rPr>
        <w:t xml:space="preserve">.” </w:t>
      </w:r>
      <w:r w:rsidRPr="007911B2">
        <w:rPr>
          <w:rFonts w:ascii="Times New Roman" w:hAnsi="Times New Roman" w:cs="Times New Roman"/>
          <w:i/>
          <w:iCs/>
          <w:noProof/>
        </w:rPr>
        <w:t>PLOS ONE</w:t>
      </w:r>
      <w:r w:rsidRPr="007911B2">
        <w:rPr>
          <w:rFonts w:ascii="Times New Roman" w:hAnsi="Times New Roman" w:cs="Times New Roman"/>
          <w:noProof/>
        </w:rPr>
        <w:t xml:space="preserve"> 10 (5): e0126210. doi:10.1371/journal.pone.0126210.</w:t>
      </w:r>
    </w:p>
    <w:p w14:paraId="69C8C309"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7911B2">
        <w:rPr>
          <w:rFonts w:ascii="Times New Roman" w:hAnsi="Times New Roman" w:cs="Times New Roman"/>
          <w:i/>
          <w:iCs/>
          <w:noProof/>
        </w:rPr>
        <w:t>Molecular Systems Biology</w:t>
      </w:r>
      <w:r w:rsidRPr="007911B2">
        <w:rPr>
          <w:rFonts w:ascii="Times New Roman" w:hAnsi="Times New Roman" w:cs="Times New Roman"/>
          <w:noProof/>
        </w:rPr>
        <w:t xml:space="preserve"> 9 (683): 683. doi:10.1038/msb.2013.39.</w:t>
      </w:r>
    </w:p>
    <w:p w14:paraId="55EF2D66" w14:textId="77777777" w:rsidR="007911B2" w:rsidRPr="007911B2" w:rsidRDefault="007911B2" w:rsidP="007911B2">
      <w:pPr>
        <w:widowControl w:val="0"/>
        <w:autoSpaceDE w:val="0"/>
        <w:autoSpaceDN w:val="0"/>
        <w:adjustRightInd w:val="0"/>
        <w:spacing w:before="100" w:after="100"/>
        <w:ind w:left="480" w:hanging="480"/>
        <w:rPr>
          <w:rFonts w:ascii="Times New Roman" w:hAnsi="Times New Roman" w:cs="Times New Roman"/>
          <w:noProof/>
        </w:rPr>
      </w:pPr>
      <w:r w:rsidRPr="007911B2">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7911B2">
        <w:rPr>
          <w:rFonts w:ascii="Times New Roman" w:hAnsi="Times New Roman" w:cs="Times New Roman"/>
          <w:i/>
          <w:iCs/>
          <w:noProof/>
        </w:rPr>
        <w:t>Nucleic Acids Research</w:t>
      </w:r>
      <w:r w:rsidRPr="007911B2">
        <w:rPr>
          <w:rFonts w:ascii="Times New Roman" w:hAnsi="Times New Roman" w:cs="Times New Roman"/>
          <w:noProof/>
        </w:rPr>
        <w:t xml:space="preserve"> 41 (9): e98–e98. doi:10.1093/nar/gkt151.</w:t>
      </w:r>
    </w:p>
    <w:p w14:paraId="1D182A15" w14:textId="7156AAE6" w:rsidR="00BC14C2" w:rsidRPr="00BC14C2" w:rsidRDefault="00BC14C2" w:rsidP="007911B2">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Default="0087587D" w:rsidP="00DD46FD">
      <w:pPr>
        <w:pStyle w:val="Caption"/>
        <w:jc w:val="center"/>
        <w:rPr>
          <w:b w:val="0"/>
          <w:bCs w:val="0"/>
          <w:color w:val="auto"/>
        </w:rPr>
      </w:pPr>
      <w:bookmarkStart w:id="7"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0962E5">
        <w:rPr>
          <w:noProof/>
          <w:color w:val="auto"/>
        </w:rPr>
        <w:t>1</w:t>
      </w:r>
      <w:r w:rsidRPr="0087587D">
        <w:rPr>
          <w:color w:val="auto"/>
        </w:rPr>
        <w:fldChar w:fldCharType="end"/>
      </w:r>
      <w:bookmarkEnd w:id="7"/>
      <w:r>
        <w:rPr>
          <w:color w:val="auto"/>
        </w:rPr>
        <w:t>.</w:t>
      </w:r>
      <w:r w:rsidR="00DD46FD">
        <w:rPr>
          <w:color w:val="auto"/>
        </w:rPr>
        <w:t xml:space="preserve"> </w:t>
      </w:r>
      <w:proofErr w:type="gramStart"/>
      <w:r w:rsidR="00DD46FD">
        <w:rPr>
          <w:color w:val="auto"/>
        </w:rPr>
        <w:t>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proofErr w:type="gramEnd"/>
      <w:r w:rsidR="00DD46FD" w:rsidRPr="00DD46FD">
        <w:rPr>
          <w:color w:val="auto"/>
        </w:rPr>
        <w:t xml:space="preserve"> </w:t>
      </w:r>
      <w:proofErr w:type="gramStart"/>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proofErr w:type="gramEnd"/>
    </w:p>
    <w:p w14:paraId="3EBF3879" w14:textId="77777777" w:rsidR="000962E5" w:rsidRDefault="000962E5" w:rsidP="000962E5"/>
    <w:p w14:paraId="6F6A0411" w14:textId="5FF70051" w:rsidR="000962E5" w:rsidRDefault="00866426" w:rsidP="000962E5">
      <w:pPr>
        <w:keepNext/>
      </w:pPr>
      <w:r>
        <w:rPr>
          <w:noProof/>
        </w:rPr>
        <w:drawing>
          <wp:inline distT="0" distB="0" distL="0" distR="0" wp14:anchorId="204A1013" wp14:editId="5E7C41D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14:paraId="48E655BE" w14:textId="2521D415" w:rsidR="000962E5" w:rsidRPr="00866426" w:rsidRDefault="000962E5" w:rsidP="00866426">
      <w:pPr>
        <w:pStyle w:val="Caption"/>
        <w:rPr>
          <w:b w:val="0"/>
          <w:bCs w:val="0"/>
          <w:color w:val="auto"/>
        </w:rPr>
      </w:pPr>
      <w:bookmarkStart w:id="8" w:name="_Ref447793087"/>
      <w:r w:rsidRPr="000962E5">
        <w:rPr>
          <w:color w:val="auto"/>
        </w:rPr>
        <w:t>Figure S</w:t>
      </w:r>
      <w:r w:rsidRPr="000962E5">
        <w:rPr>
          <w:color w:val="auto"/>
        </w:rPr>
        <w:fldChar w:fldCharType="begin"/>
      </w:r>
      <w:r w:rsidRPr="000962E5">
        <w:rPr>
          <w:color w:val="auto"/>
        </w:rPr>
        <w:instrText xml:space="preserve"> SEQ Figure_S \* ARABIC </w:instrText>
      </w:r>
      <w:r w:rsidRPr="000962E5">
        <w:rPr>
          <w:color w:val="auto"/>
        </w:rPr>
        <w:fldChar w:fldCharType="separate"/>
      </w:r>
      <w:r w:rsidRPr="000962E5">
        <w:rPr>
          <w:color w:val="auto"/>
        </w:rPr>
        <w:t>2</w:t>
      </w:r>
      <w:r w:rsidRPr="000962E5">
        <w:rPr>
          <w:color w:val="auto"/>
        </w:rPr>
        <w:fldChar w:fldCharType="end"/>
      </w:r>
      <w:bookmarkEnd w:id="8"/>
      <w:r>
        <w:rPr>
          <w:color w:val="auto"/>
        </w:rPr>
        <w:t xml:space="preserve">. </w:t>
      </w:r>
      <w:proofErr w:type="gramStart"/>
      <w:r>
        <w:rPr>
          <w:color w:val="auto"/>
        </w:rPr>
        <w:t>Illustration of the exponential model fitting procedure.</w:t>
      </w:r>
      <w:proofErr w:type="gramEnd"/>
      <w:r>
        <w:rPr>
          <w:b w:val="0"/>
          <w:bCs w:val="0"/>
          <w:color w:val="auto"/>
        </w:rPr>
        <w:t xml:space="preserve"> The growth rate is calculated as the derivative of a polynomial function fitted to the mean of the data</w:t>
      </w:r>
      <w:r w:rsidR="00866426">
        <w:rPr>
          <w:b w:val="0"/>
          <w:bCs w:val="0"/>
          <w:color w:val="auto"/>
        </w:rPr>
        <w:t xml:space="preserve"> </w:t>
      </w:r>
      <w:proofErr w:type="gramStart"/>
      <w:r w:rsidR="00866426">
        <w:rPr>
          <w:b w:val="0"/>
          <w:bCs w:val="0"/>
          <w:i/>
          <w:iCs/>
          <w:color w:val="auto"/>
        </w:rPr>
        <w:t>N(</w:t>
      </w:r>
      <w:proofErr w:type="gramEnd"/>
      <w:r w:rsidR="00866426">
        <w:rPr>
          <w:b w:val="0"/>
          <w:bCs w:val="0"/>
          <w:i/>
          <w:iCs/>
          <w:color w:val="auto"/>
        </w:rPr>
        <w:t>t)</w:t>
      </w:r>
      <w:r>
        <w:rPr>
          <w:b w:val="0"/>
          <w:bCs w:val="0"/>
          <w:color w:val="auto"/>
        </w:rPr>
        <w:t xml:space="preserve">. The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 The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 and a line </w:t>
      </w:r>
      <w:proofErr w:type="spellStart"/>
      <w:r w:rsidR="00866426">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w:t>
      </w:r>
      <w:r w:rsidR="00866426">
        <w:rPr>
          <w:b w:val="0"/>
          <w:bCs w:val="0"/>
          <w:color w:val="auto"/>
        </w:rPr>
        <w:t xml:space="preserve"> log of the </w:t>
      </w:r>
      <w:r>
        <w:rPr>
          <w:b w:val="0"/>
          <w:bCs w:val="0"/>
          <w:color w:val="auto"/>
        </w:rPr>
        <w:t>mean of the data</w:t>
      </w:r>
      <w:r w:rsidR="00866426">
        <w:rPr>
          <w:b w:val="0"/>
          <w:bCs w:val="0"/>
          <w:color w:val="auto"/>
        </w:rPr>
        <w:t xml:space="preserve"> </w:t>
      </w:r>
      <w:proofErr w:type="gramStart"/>
      <w:r w:rsidR="00866426">
        <w:rPr>
          <w:b w:val="0"/>
          <w:bCs w:val="0"/>
          <w:i/>
          <w:iCs/>
          <w:color w:val="auto"/>
        </w:rPr>
        <w:t>log(</w:t>
      </w:r>
      <w:proofErr w:type="gramEnd"/>
      <w:r w:rsidR="00866426">
        <w:rPr>
          <w:b w:val="0"/>
          <w:bCs w:val="0"/>
          <w:i/>
          <w:iCs/>
          <w:color w:val="auto"/>
        </w:rPr>
        <w:t>N(t))</w:t>
      </w:r>
      <w:r>
        <w:rPr>
          <w:b w:val="0"/>
          <w:bCs w:val="0"/>
          <w:color w:val="auto"/>
        </w:rPr>
        <w:t xml:space="preserve"> at these time points.</w:t>
      </w:r>
      <w:r w:rsidR="00866426">
        <w:rPr>
          <w:b w:val="0"/>
          <w:bCs w:val="0"/>
          <w:color w:val="auto"/>
        </w:rPr>
        <w:t xml:space="preserve"> The slope and the intercept are interpreted as the initial density </w:t>
      </w:r>
      <w:r w:rsidR="00866426">
        <w:rPr>
          <w:b w:val="0"/>
          <w:bCs w:val="0"/>
          <w:i/>
          <w:iCs/>
          <w:color w:val="auto"/>
        </w:rPr>
        <w:t>N</w:t>
      </w:r>
      <w:r w:rsidR="00866426">
        <w:rPr>
          <w:b w:val="0"/>
          <w:bCs w:val="0"/>
          <w:i/>
          <w:iCs/>
          <w:color w:val="auto"/>
          <w:vertAlign w:val="subscript"/>
        </w:rPr>
        <w:t>0</w:t>
      </w:r>
      <w:r w:rsidR="00866426">
        <w:rPr>
          <w:b w:val="0"/>
          <w:bCs w:val="0"/>
          <w:i/>
          <w:iCs/>
          <w:color w:val="auto"/>
        </w:rPr>
        <w:t>=</w:t>
      </w:r>
      <w:proofErr w:type="spellStart"/>
      <w:proofErr w:type="gramStart"/>
      <w:r w:rsidR="00866426">
        <w:rPr>
          <w:b w:val="0"/>
          <w:bCs w:val="0"/>
          <w:i/>
          <w:iCs/>
          <w:color w:val="auto"/>
        </w:rPr>
        <w:t>e</w:t>
      </w:r>
      <w:r w:rsidR="00866426">
        <w:rPr>
          <w:b w:val="0"/>
          <w:bCs w:val="0"/>
          <w:i/>
          <w:iCs/>
          <w:color w:val="auto"/>
          <w:vertAlign w:val="superscript"/>
        </w:rPr>
        <w:t>b</w:t>
      </w:r>
      <w:proofErr w:type="spellEnd"/>
      <w:r>
        <w:rPr>
          <w:b w:val="0"/>
          <w:bCs w:val="0"/>
          <w:color w:val="auto"/>
        </w:rPr>
        <w:t xml:space="preserve"> </w:t>
      </w:r>
      <w:r w:rsidR="00866426">
        <w:rPr>
          <w:b w:val="0"/>
          <w:bCs w:val="0"/>
          <w:color w:val="auto"/>
        </w:rPr>
        <w:t xml:space="preserve"> and</w:t>
      </w:r>
      <w:proofErr w:type="gramEnd"/>
      <w:r w:rsidR="00866426">
        <w:rPr>
          <w:b w:val="0"/>
          <w:bCs w:val="0"/>
          <w:color w:val="auto"/>
        </w:rPr>
        <w:t xml:space="preserve"> the growth rate </w:t>
      </w:r>
      <w:r w:rsidR="00866426">
        <w:rPr>
          <w:b w:val="0"/>
          <w:bCs w:val="0"/>
          <w:i/>
          <w:iCs/>
          <w:color w:val="auto"/>
        </w:rPr>
        <w:t>r=a</w:t>
      </w:r>
      <w:r w:rsidR="00866426">
        <w:rPr>
          <w:b w:val="0"/>
          <w:bCs w:val="0"/>
          <w:color w:val="auto"/>
        </w:rPr>
        <w:t xml:space="preserve"> in an exponential growth model </w:t>
      </w:r>
      <w:r w:rsidR="00866426">
        <w:rPr>
          <w:b w:val="0"/>
          <w:bCs w:val="0"/>
          <w:i/>
          <w:iCs/>
          <w:color w:val="auto"/>
        </w:rPr>
        <w:t>N(t)=N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color w:val="auto"/>
        </w:rPr>
        <w:t xml:space="preserve"> </w:t>
      </w:r>
      <w:r>
        <w:rPr>
          <w:color w:val="auto"/>
        </w:rPr>
        <w:t>(A)</w:t>
      </w:r>
      <w:r w:rsidR="00866426">
        <w:rPr>
          <w:color w:val="auto"/>
        </w:rPr>
        <w:t xml:space="preserve"> </w:t>
      </w:r>
      <w:r w:rsidR="00866426" w:rsidRPr="00866426">
        <w:rPr>
          <w:b w:val="0"/>
          <w:bCs w:val="0"/>
          <w:color w:val="auto"/>
        </w:rPr>
        <w:t xml:space="preserve">The </w:t>
      </w:r>
      <w:r w:rsidR="00866426">
        <w:rPr>
          <w:b w:val="0"/>
          <w:bCs w:val="0"/>
          <w:color w:val="auto"/>
        </w:rPr>
        <w:t>g</w:t>
      </w:r>
      <w:r>
        <w:rPr>
          <w:b w:val="0"/>
          <w:bCs w:val="0"/>
          <w:color w:val="auto"/>
        </w:rPr>
        <w:t>reen markers</w:t>
      </w:r>
      <w:r w:rsidR="00866426">
        <w:rPr>
          <w:b w:val="0"/>
          <w:bCs w:val="0"/>
          <w:color w:val="auto"/>
        </w:rPr>
        <w:t xml:space="preserve"> represent </w:t>
      </w:r>
      <w:r w:rsidR="00866426">
        <w:rPr>
          <w:b w:val="0"/>
          <w:bCs w:val="0"/>
          <w:i/>
          <w:iCs/>
          <w:color w:val="auto"/>
        </w:rPr>
        <w:t xml:space="preserve">N(t) </w:t>
      </w:r>
      <w:r w:rsidR="00866426">
        <w:rPr>
          <w:b w:val="0"/>
          <w:bCs w:val="0"/>
          <w:color w:val="auto"/>
        </w:rPr>
        <w:t xml:space="preserve">the mean density in </w:t>
      </w:r>
      <w:r>
        <w:rPr>
          <w:b w:val="0"/>
          <w:bCs w:val="0"/>
          <w:color w:val="auto"/>
        </w:rPr>
        <w:t xml:space="preserve">30+ growth curves. </w:t>
      </w:r>
      <w:r w:rsidR="00866426">
        <w:rPr>
          <w:b w:val="0"/>
          <w:bCs w:val="0"/>
          <w:color w:val="auto"/>
        </w:rPr>
        <w:t xml:space="preserve">The dashed black line represents the exponential model </w:t>
      </w:r>
      <w:r w:rsidR="00866426">
        <w:rPr>
          <w:b w:val="0"/>
          <w:bCs w:val="0"/>
          <w:i/>
          <w:iCs/>
          <w:color w:val="auto"/>
        </w:rPr>
        <w: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b w:val="0"/>
          <w:bCs w:val="0"/>
          <w:color w:val="auto"/>
        </w:rPr>
        <w:t xml:space="preserve"> fitted to the data, with </w:t>
      </w:r>
      <w:r w:rsidR="00866426">
        <w:rPr>
          <w:b w:val="0"/>
          <w:bCs w:val="0"/>
          <w:i/>
          <w:iCs/>
          <w:color w:val="auto"/>
        </w:rPr>
        <w:t>N</w:t>
      </w:r>
      <w:r w:rsidR="00866426">
        <w:rPr>
          <w:b w:val="0"/>
          <w:bCs w:val="0"/>
          <w:i/>
          <w:iCs/>
          <w:color w:val="auto"/>
          <w:vertAlign w:val="subscript"/>
        </w:rPr>
        <w:t>0</w:t>
      </w:r>
      <w:r w:rsidR="00866426">
        <w:rPr>
          <w:b w:val="0"/>
          <w:bCs w:val="0"/>
          <w:i/>
          <w:iCs/>
          <w:color w:val="auto"/>
        </w:rPr>
        <w:t xml:space="preserve">=0.058 </w:t>
      </w:r>
      <w:r w:rsidR="00866426">
        <w:rPr>
          <w:b w:val="0"/>
          <w:bCs w:val="0"/>
          <w:color w:val="auto"/>
        </w:rPr>
        <w:t xml:space="preserve">and </w:t>
      </w:r>
      <w:r w:rsidR="00866426">
        <w:rPr>
          <w:b w:val="0"/>
          <w:bCs w:val="0"/>
          <w:i/>
          <w:iCs/>
          <w:color w:val="auto"/>
        </w:rPr>
        <w:t>r=0.27</w:t>
      </w:r>
      <w:r w:rsidR="00866426">
        <w:rPr>
          <w:b w:val="0"/>
          <w:bCs w:val="0"/>
          <w:color w:val="auto"/>
        </w:rPr>
        <w:t xml:space="preserve">.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w:t>
      </w:r>
      <w:r w:rsidR="00866426">
        <w:rPr>
          <w:color w:val="auto"/>
        </w:rPr>
        <w:t xml:space="preserve">(B) </w:t>
      </w:r>
      <w:r w:rsidR="00866426">
        <w:rPr>
          <w:b w:val="0"/>
          <w:bCs w:val="0"/>
          <w:color w:val="auto"/>
        </w:rPr>
        <w:t xml:space="preserve">The green solid line shows </w:t>
      </w:r>
      <w:proofErr w:type="spellStart"/>
      <w:r w:rsidR="00866426">
        <w:rPr>
          <w:b w:val="0"/>
          <w:bCs w:val="0"/>
          <w:i/>
          <w:iCs/>
          <w:color w:val="auto"/>
        </w:rPr>
        <w:t>dN</w:t>
      </w:r>
      <w:proofErr w:type="spellEnd"/>
      <w:r w:rsidR="00866426">
        <w:rPr>
          <w:b w:val="0"/>
          <w:bCs w:val="0"/>
          <w:i/>
          <w:iCs/>
          <w:color w:val="auto"/>
        </w:rPr>
        <w:t>/</w:t>
      </w:r>
      <w:proofErr w:type="spellStart"/>
      <w:r w:rsidR="00866426">
        <w:rPr>
          <w:b w:val="0"/>
          <w:bCs w:val="0"/>
          <w:i/>
          <w:iCs/>
          <w:color w:val="auto"/>
        </w:rPr>
        <w:t>dt</w:t>
      </w:r>
      <w:proofErr w:type="spellEnd"/>
      <w:r w:rsidR="00866426">
        <w:rPr>
          <w:b w:val="0"/>
          <w:bCs w:val="0"/>
          <w:i/>
          <w:iCs/>
          <w:color w:val="auto"/>
        </w:rPr>
        <w:t xml:space="preserve"> </w:t>
      </w:r>
      <w:r w:rsidR="00866426">
        <w:rPr>
          <w:b w:val="0"/>
          <w:bCs w:val="0"/>
          <w:color w:val="auto"/>
        </w:rPr>
        <w:t xml:space="preserve">the derivative of the mean density.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Data in this figure corresponds to the green growth curves from </w:t>
      </w:r>
      <w:r w:rsidR="00866426" w:rsidRPr="00866426">
        <w:rPr>
          <w:b w:val="0"/>
          <w:bCs w:val="0"/>
          <w:color w:val="auto"/>
        </w:rPr>
        <w:fldChar w:fldCharType="begin"/>
      </w:r>
      <w:r w:rsidR="00866426" w:rsidRPr="00866426">
        <w:rPr>
          <w:b w:val="0"/>
          <w:bCs w:val="0"/>
          <w:color w:val="auto"/>
        </w:rPr>
        <w:instrText xml:space="preserve"> REF _Ref439852115 \h </w:instrText>
      </w:r>
      <w:r w:rsidR="00866426" w:rsidRPr="00866426">
        <w:rPr>
          <w:b w:val="0"/>
          <w:bCs w:val="0"/>
          <w:color w:val="auto"/>
        </w:rPr>
      </w:r>
      <w:r w:rsidR="00866426" w:rsidRPr="00866426">
        <w:rPr>
          <w:b w:val="0"/>
          <w:bCs w:val="0"/>
          <w:color w:val="auto"/>
        </w:rPr>
        <w:instrText xml:space="preserve"> \* MERGEFORMAT </w:instrText>
      </w:r>
      <w:r w:rsidR="00866426" w:rsidRPr="00866426">
        <w:rPr>
          <w:b w:val="0"/>
          <w:bCs w:val="0"/>
          <w:color w:val="auto"/>
        </w:rPr>
        <w:fldChar w:fldCharType="separate"/>
      </w:r>
      <w:r w:rsidR="00866426" w:rsidRPr="00866426">
        <w:rPr>
          <w:b w:val="0"/>
          <w:bCs w:val="0"/>
          <w:color w:val="auto"/>
        </w:rPr>
        <w:t xml:space="preserve">Figure </w:t>
      </w:r>
      <w:r w:rsidR="00866426" w:rsidRPr="00866426">
        <w:rPr>
          <w:b w:val="0"/>
          <w:bCs w:val="0"/>
          <w:noProof/>
          <w:color w:val="auto"/>
        </w:rPr>
        <w:t>1</w:t>
      </w:r>
      <w:r w:rsidR="00866426" w:rsidRPr="00866426">
        <w:rPr>
          <w:b w:val="0"/>
          <w:bCs w:val="0"/>
          <w:color w:val="auto"/>
        </w:rPr>
        <w:fldChar w:fldCharType="end"/>
      </w:r>
      <w:r w:rsidR="00866426" w:rsidRPr="00866426">
        <w:rPr>
          <w:b w:val="0"/>
          <w:bCs w:val="0"/>
          <w:color w:val="auto"/>
        </w:rPr>
        <w:t>A.</w:t>
      </w:r>
    </w:p>
    <w:sectPr w:rsidR="000962E5" w:rsidRPr="00866426" w:rsidSect="00E95165">
      <w:headerReference w:type="even" r:id="rId20"/>
      <w:headerReference w:type="default" r:id="rId21"/>
      <w:footerReference w:type="even" r:id="rId22"/>
      <w:footerReference w:type="default" r:id="rId2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8E60E6" w:rsidRDefault="008E60E6" w:rsidP="00A362F7">
      <w:r>
        <w:separator/>
      </w:r>
    </w:p>
  </w:endnote>
  <w:endnote w:type="continuationSeparator" w:id="0">
    <w:p w14:paraId="6CFC188D" w14:textId="77777777" w:rsidR="008E60E6" w:rsidRDefault="008E60E6"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8E60E6" w:rsidRDefault="008E60E6">
        <w:pPr>
          <w:pStyle w:val="Footer"/>
          <w:jc w:val="center"/>
        </w:pPr>
        <w:r>
          <w:fldChar w:fldCharType="begin"/>
        </w:r>
        <w:r>
          <w:instrText xml:space="preserve"> PAGE   \* MERGEFORMAT </w:instrText>
        </w:r>
        <w:r>
          <w:fldChar w:fldCharType="separate"/>
        </w:r>
        <w:r w:rsidR="00B176A3">
          <w:rPr>
            <w:noProof/>
          </w:rPr>
          <w:t>10</w:t>
        </w:r>
        <w:r>
          <w:rPr>
            <w:noProof/>
          </w:rPr>
          <w:fldChar w:fldCharType="end"/>
        </w:r>
      </w:p>
    </w:sdtContent>
  </w:sdt>
  <w:p w14:paraId="04BCEBB2" w14:textId="77777777" w:rsidR="008E60E6" w:rsidRDefault="008E60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8E60E6" w:rsidRDefault="008E60E6" w:rsidP="00E95165">
        <w:pPr>
          <w:pStyle w:val="Footer"/>
          <w:jc w:val="center"/>
        </w:pPr>
        <w:r>
          <w:fldChar w:fldCharType="begin"/>
        </w:r>
        <w:r w:rsidRPr="00E95165">
          <w:instrText xml:space="preserve"> PAGE   \* MERGEFORMAT </w:instrText>
        </w:r>
        <w:r>
          <w:fldChar w:fldCharType="separate"/>
        </w:r>
        <w:r w:rsidR="00B176A3">
          <w:rPr>
            <w:noProof/>
          </w:rPr>
          <w:t>9</w:t>
        </w:r>
        <w:r>
          <w:rPr>
            <w:noProof/>
          </w:rPr>
          <w:fldChar w:fldCharType="end"/>
        </w:r>
      </w:p>
    </w:sdtContent>
  </w:sdt>
  <w:p w14:paraId="4FA56F78" w14:textId="77777777" w:rsidR="008E60E6" w:rsidRDefault="008E60E6"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8E60E6" w:rsidRDefault="008E60E6" w:rsidP="00A362F7">
      <w:r>
        <w:separator/>
      </w:r>
    </w:p>
  </w:footnote>
  <w:footnote w:type="continuationSeparator" w:id="0">
    <w:p w14:paraId="720B2685" w14:textId="77777777" w:rsidR="008E60E6" w:rsidRDefault="008E60E6"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8E60E6" w:rsidRDefault="008E60E6"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8E60E6" w:rsidRDefault="008E60E6"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24E3E"/>
    <w:rsid w:val="00030BD1"/>
    <w:rsid w:val="000363EF"/>
    <w:rsid w:val="00044070"/>
    <w:rsid w:val="00046A28"/>
    <w:rsid w:val="00051459"/>
    <w:rsid w:val="00052DE4"/>
    <w:rsid w:val="00060445"/>
    <w:rsid w:val="00063C37"/>
    <w:rsid w:val="00077B31"/>
    <w:rsid w:val="000863A1"/>
    <w:rsid w:val="00086EFC"/>
    <w:rsid w:val="00090EE9"/>
    <w:rsid w:val="00091D78"/>
    <w:rsid w:val="000945FA"/>
    <w:rsid w:val="000962E5"/>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41CDA"/>
    <w:rsid w:val="00250A68"/>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7469A"/>
    <w:rsid w:val="00381281"/>
    <w:rsid w:val="003859D1"/>
    <w:rsid w:val="00387A5F"/>
    <w:rsid w:val="003A5E65"/>
    <w:rsid w:val="003D0164"/>
    <w:rsid w:val="003D4106"/>
    <w:rsid w:val="003E2667"/>
    <w:rsid w:val="003E7D70"/>
    <w:rsid w:val="00406968"/>
    <w:rsid w:val="00412582"/>
    <w:rsid w:val="00425869"/>
    <w:rsid w:val="0044050E"/>
    <w:rsid w:val="00443E6C"/>
    <w:rsid w:val="00451F50"/>
    <w:rsid w:val="00452F39"/>
    <w:rsid w:val="00464BA0"/>
    <w:rsid w:val="004762FF"/>
    <w:rsid w:val="00494804"/>
    <w:rsid w:val="00497237"/>
    <w:rsid w:val="004A72EC"/>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816A6"/>
    <w:rsid w:val="005B6BAF"/>
    <w:rsid w:val="005B79A5"/>
    <w:rsid w:val="005C2E39"/>
    <w:rsid w:val="005D3157"/>
    <w:rsid w:val="005D40CB"/>
    <w:rsid w:val="005D602E"/>
    <w:rsid w:val="005D6B55"/>
    <w:rsid w:val="005F02B4"/>
    <w:rsid w:val="005F1042"/>
    <w:rsid w:val="00604C25"/>
    <w:rsid w:val="006147AD"/>
    <w:rsid w:val="006161B0"/>
    <w:rsid w:val="00616794"/>
    <w:rsid w:val="00621E94"/>
    <w:rsid w:val="00634747"/>
    <w:rsid w:val="00634C7E"/>
    <w:rsid w:val="00655054"/>
    <w:rsid w:val="00670FC1"/>
    <w:rsid w:val="006714D6"/>
    <w:rsid w:val="006748D6"/>
    <w:rsid w:val="00675E28"/>
    <w:rsid w:val="006775F0"/>
    <w:rsid w:val="00677B67"/>
    <w:rsid w:val="006A4640"/>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3E5B"/>
    <w:rsid w:val="00754346"/>
    <w:rsid w:val="00755D4D"/>
    <w:rsid w:val="00756197"/>
    <w:rsid w:val="00757BCF"/>
    <w:rsid w:val="007626A1"/>
    <w:rsid w:val="00765CD6"/>
    <w:rsid w:val="00766DFC"/>
    <w:rsid w:val="00771D41"/>
    <w:rsid w:val="00783B79"/>
    <w:rsid w:val="00787034"/>
    <w:rsid w:val="007911B2"/>
    <w:rsid w:val="007917E5"/>
    <w:rsid w:val="00797787"/>
    <w:rsid w:val="007A5D05"/>
    <w:rsid w:val="007B695D"/>
    <w:rsid w:val="007C0F87"/>
    <w:rsid w:val="007E1EC0"/>
    <w:rsid w:val="007E461D"/>
    <w:rsid w:val="007E465E"/>
    <w:rsid w:val="007F2D48"/>
    <w:rsid w:val="00811C45"/>
    <w:rsid w:val="00814C7A"/>
    <w:rsid w:val="008200D3"/>
    <w:rsid w:val="00837DFB"/>
    <w:rsid w:val="00840031"/>
    <w:rsid w:val="008404BC"/>
    <w:rsid w:val="008436AC"/>
    <w:rsid w:val="008445BE"/>
    <w:rsid w:val="00863AA2"/>
    <w:rsid w:val="00865920"/>
    <w:rsid w:val="00866426"/>
    <w:rsid w:val="00872AE7"/>
    <w:rsid w:val="0087587D"/>
    <w:rsid w:val="00895982"/>
    <w:rsid w:val="008C3E22"/>
    <w:rsid w:val="008D29A3"/>
    <w:rsid w:val="008E0BEA"/>
    <w:rsid w:val="008E60E6"/>
    <w:rsid w:val="008F295D"/>
    <w:rsid w:val="008F3527"/>
    <w:rsid w:val="009050CE"/>
    <w:rsid w:val="009172CF"/>
    <w:rsid w:val="00920F1D"/>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77CB8"/>
    <w:rsid w:val="00A87CA6"/>
    <w:rsid w:val="00A91311"/>
    <w:rsid w:val="00A94C84"/>
    <w:rsid w:val="00AB3A96"/>
    <w:rsid w:val="00AB4A66"/>
    <w:rsid w:val="00AB6F03"/>
    <w:rsid w:val="00AC6080"/>
    <w:rsid w:val="00AC7A5E"/>
    <w:rsid w:val="00AD6A92"/>
    <w:rsid w:val="00AF00B8"/>
    <w:rsid w:val="00AF7F41"/>
    <w:rsid w:val="00B12AFC"/>
    <w:rsid w:val="00B1304F"/>
    <w:rsid w:val="00B14E47"/>
    <w:rsid w:val="00B176A3"/>
    <w:rsid w:val="00B37B5A"/>
    <w:rsid w:val="00B551CC"/>
    <w:rsid w:val="00B66E46"/>
    <w:rsid w:val="00B745FB"/>
    <w:rsid w:val="00B830DD"/>
    <w:rsid w:val="00B947CD"/>
    <w:rsid w:val="00B95F3E"/>
    <w:rsid w:val="00BB16DB"/>
    <w:rsid w:val="00BB3C26"/>
    <w:rsid w:val="00BB7C4F"/>
    <w:rsid w:val="00BC14C2"/>
    <w:rsid w:val="00BD50D7"/>
    <w:rsid w:val="00BE3E51"/>
    <w:rsid w:val="00BF4347"/>
    <w:rsid w:val="00BF7152"/>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042EE"/>
    <w:rsid w:val="00D070BB"/>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A403F"/>
    <w:rsid w:val="00DC0889"/>
    <w:rsid w:val="00DC7D96"/>
    <w:rsid w:val="00DD46FD"/>
    <w:rsid w:val="00DD72E5"/>
    <w:rsid w:val="00DE21FB"/>
    <w:rsid w:val="00E14ACF"/>
    <w:rsid w:val="00E20AC7"/>
    <w:rsid w:val="00E21DD0"/>
    <w:rsid w:val="00E22922"/>
    <w:rsid w:val="00E33F77"/>
    <w:rsid w:val="00E36AEA"/>
    <w:rsid w:val="00E429B2"/>
    <w:rsid w:val="00E50794"/>
    <w:rsid w:val="00E61648"/>
    <w:rsid w:val="00E61B9A"/>
    <w:rsid w:val="00E6397D"/>
    <w:rsid w:val="00E74D07"/>
    <w:rsid w:val="00E77F4F"/>
    <w:rsid w:val="00E842FC"/>
    <w:rsid w:val="00E90C5B"/>
    <w:rsid w:val="00E95165"/>
    <w:rsid w:val="00EB198A"/>
    <w:rsid w:val="00EB59A8"/>
    <w:rsid w:val="00EB6B87"/>
    <w:rsid w:val="00EB7652"/>
    <w:rsid w:val="00EC66C4"/>
    <w:rsid w:val="00ED1853"/>
    <w:rsid w:val="00EF17AB"/>
    <w:rsid w:val="00F045DF"/>
    <w:rsid w:val="00F06513"/>
    <w:rsid w:val="00F06897"/>
    <w:rsid w:val="00F121DF"/>
    <w:rsid w:val="00F1445E"/>
    <w:rsid w:val="00F17F9C"/>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rveball.yoavram.co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yoavram/curveball_ms/blob/master/supp.ipynb"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A7"/>
    <w:rsid w:val="007571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1A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1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3193685-C587-48E1-B243-E6373D84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TotalTime>
  <Pages>27</Pages>
  <Words>27273</Words>
  <Characters>136368</Characters>
  <Application>Microsoft Office Word</Application>
  <DocSecurity>0</DocSecurity>
  <Lines>1136</Lines>
  <Paragraphs>326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83</cp:revision>
  <cp:lastPrinted>2015-07-23T12:55:00Z</cp:lastPrinted>
  <dcterms:created xsi:type="dcterms:W3CDTF">2016-01-04T10:32:00Z</dcterms:created>
  <dcterms:modified xsi:type="dcterms:W3CDTF">2016-04-07T09:58:00Z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