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D373CC" w:rsidRDefault="00670FC1" w:rsidP="0097184D">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 xml:space="preserve">s </w:t>
      </w:r>
      <w:r w:rsidR="00541F23" w:rsidRPr="00D373CC">
        <w:rPr>
          <w:sz w:val="44"/>
          <w:szCs w:val="44"/>
        </w:rPr>
        <w:t>from growth curves</w:t>
      </w:r>
    </w:p>
    <w:p w14:paraId="476FD698" w14:textId="77777777" w:rsidR="00563F73" w:rsidRPr="00E95165" w:rsidRDefault="00563F73" w:rsidP="00634747"/>
    <w:p w14:paraId="28885133" w14:textId="77777777" w:rsidR="00E95165" w:rsidRDefault="00563F73" w:rsidP="00837DFB">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1EEE6284" w:rsidR="00563F73" w:rsidRDefault="00563F73" w:rsidP="00756197">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4762FF">
      <w:pPr>
        <w:jc w:val="center"/>
      </w:pPr>
      <w:r>
        <w:fldChar w:fldCharType="begin"/>
      </w:r>
      <w:r>
        <w:instrText xml:space="preserve"> DATE \@ "MMMM d, yyyy" </w:instrText>
      </w:r>
      <w:r>
        <w:fldChar w:fldCharType="separate"/>
      </w:r>
      <w:r w:rsidR="00D220AB">
        <w:rPr>
          <w:noProof/>
        </w:rPr>
        <w:t>December 30, 2015</w:t>
      </w:r>
      <w:r>
        <w:fldChar w:fldCharType="end"/>
      </w:r>
    </w:p>
    <w:p w14:paraId="5651D961" w14:textId="77777777" w:rsidR="00A01BA9" w:rsidRDefault="00A01BA9" w:rsidP="00A01BA9"/>
    <w:p w14:paraId="1D0D4FAF" w14:textId="77777777" w:rsidR="00E95165" w:rsidRDefault="00E95165" w:rsidP="00A01BA9"/>
    <w:p w14:paraId="22B6A034" w14:textId="77777777" w:rsidR="00A01BA9" w:rsidRPr="00E95165" w:rsidRDefault="00A01BA9" w:rsidP="00675E28">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675E28">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700FD5">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A362F7"/>
    <w:p w14:paraId="3F33E333" w14:textId="1CD17CD9" w:rsidR="006161B0" w:rsidRDefault="004762FF" w:rsidP="004F69EA">
      <w:r w:rsidRPr="004762FF">
        <w:rPr>
          <w:b/>
          <w:bCs/>
        </w:rPr>
        <w:t>Keywords:</w:t>
      </w:r>
      <w:r>
        <w:t xml:space="preserve"> mathematical model, </w:t>
      </w:r>
      <w:r w:rsidR="00954602">
        <w:t>fitness, selection</w:t>
      </w:r>
      <w:r w:rsidR="004F69EA">
        <w:t xml:space="preserve"> coefficient</w:t>
      </w:r>
      <w:r w:rsidR="00954602">
        <w:t>, experimental evolution</w:t>
      </w:r>
    </w:p>
    <w:p w14:paraId="449FF298" w14:textId="77777777" w:rsidR="006161B0" w:rsidRDefault="006161B0" w:rsidP="00A362F7"/>
    <w:p w14:paraId="472A8D9B" w14:textId="77777777" w:rsidR="006161B0" w:rsidRDefault="006161B0" w:rsidP="006161B0">
      <w:pPr>
        <w:pStyle w:val="Heading1"/>
      </w:pPr>
      <w:r>
        <w:t>Abstract</w:t>
      </w:r>
    </w:p>
    <w:p w14:paraId="46874BB9" w14:textId="1B144A25" w:rsidR="006161B0" w:rsidRDefault="009B2A6B" w:rsidP="00D220AB">
      <w:r>
        <w:t>Measuring relative fitness</w:t>
      </w:r>
      <w:r w:rsidR="00D220AB">
        <w:t xml:space="preserve"> in microbes</w:t>
      </w:r>
      <w:r>
        <w:t xml:space="preserve"> </w:t>
      </w:r>
      <w:r w:rsidR="00D220AB">
        <w:t xml:space="preserve">from </w:t>
      </w:r>
      <w:r>
        <w:t>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w:t>
      </w:r>
      <w:r w:rsidR="00D220AB">
        <w:t>microbiologists</w:t>
      </w:r>
      <w:r w:rsidR="006161B0">
        <w:t xml:space="preserve"> </w:t>
      </w:r>
      <w:r w:rsidR="00D220AB">
        <w:t xml:space="preserve">use </w:t>
      </w:r>
      <w:r w:rsidR="00D220AB" w:rsidRPr="00D220AB">
        <w:t>growth curve experiments</w:t>
      </w:r>
      <w:r w:rsidR="00D220AB">
        <w:t xml:space="preserve"> in liquid culture</w:t>
      </w:r>
      <w:r w:rsidR="00D220AB" w:rsidRPr="00D220AB">
        <w:t xml:space="preserve"> </w:t>
      </w:r>
      <w:r w:rsidR="00D220AB">
        <w:t xml:space="preserve">to </w:t>
      </w:r>
      <w:r w:rsidR="00F54779">
        <w:t>estimate fitness from</w:t>
      </w:r>
      <w:r w:rsidR="006161B0">
        <w:t xml:space="preserve"> </w:t>
      </w:r>
      <w:r w:rsidR="00A4385B">
        <w:t xml:space="preserve">the maximum </w:t>
      </w:r>
      <w:r w:rsidR="00675E28">
        <w:t xml:space="preserve">growth </w:t>
      </w:r>
      <w:r w:rsidR="00D220AB">
        <w:t>rate during the exponential growth phase</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w:t>
      </w:r>
      <w:r w:rsidR="00D220AB">
        <w:t xml:space="preserve">with </w:t>
      </w:r>
      <w:r>
        <w:t xml:space="preserve">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rsidR="00E33F77">
        <w:t>from</w:t>
      </w:r>
      <w:r>
        <w:t xml:space="preserve"> </w:t>
      </w:r>
      <w:r w:rsidR="00920F1D">
        <w:t>growth curves</w:t>
      </w:r>
      <w:r w:rsidR="00D220AB">
        <w:t xml:space="preserve"> data using growth and competition models</w:t>
      </w:r>
      <w:r w:rsidR="00995D06">
        <w:t>.</w:t>
      </w:r>
      <w:r w:rsidR="00F06513">
        <w:t xml:space="preserve"> </w:t>
      </w:r>
    </w:p>
    <w:p w14:paraId="4F70DEEF" w14:textId="77777777" w:rsidR="00563F73" w:rsidRDefault="00563F73" w:rsidP="00A362F7">
      <w:r>
        <w:br w:type="page"/>
      </w:r>
    </w:p>
    <w:p w14:paraId="382551CA" w14:textId="77777777" w:rsidR="00563F73" w:rsidRPr="00A362F7" w:rsidRDefault="00563F73" w:rsidP="00A362F7">
      <w:pPr>
        <w:pStyle w:val="Heading1"/>
      </w:pPr>
      <w:r w:rsidRPr="00A362F7">
        <w:lastRenderedPageBreak/>
        <w:t>Introduction</w:t>
      </w:r>
    </w:p>
    <w:p w14:paraId="0ABF797E" w14:textId="77777777" w:rsidR="003E7D70" w:rsidRPr="003E7D70" w:rsidRDefault="003E7D70" w:rsidP="003E7D70">
      <w:pPr>
        <w:pStyle w:val="Heading2"/>
      </w:pPr>
      <w:r w:rsidRPr="003E7D70">
        <w:t>Growth curves</w:t>
      </w:r>
    </w:p>
    <w:p w14:paraId="6EA498B5" w14:textId="746D2C9A" w:rsidR="00677B67" w:rsidRDefault="001539BA" w:rsidP="00D220AB">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range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3E7D70">
      <w:pPr>
        <w:pStyle w:val="Heading2"/>
      </w:pPr>
      <w:r>
        <w:t>C</w:t>
      </w:r>
      <w:r w:rsidR="003E7D70" w:rsidRPr="003E7D70">
        <w:t>ompetition experiments</w:t>
      </w:r>
    </w:p>
    <w:p w14:paraId="37EC2E19" w14:textId="5758BD71" w:rsidR="003E7D70" w:rsidRDefault="00551D58" w:rsidP="00D220AB">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44050E">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5F1042">
        <w:fldChar w:fldCharType="separate"/>
      </w:r>
      <w:r w:rsidR="005F1042" w:rsidRPr="006161B0">
        <w:rPr>
          <w:noProof/>
        </w:rPr>
        <w:t>(Gallet et al. 2012)</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574E06">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CC51DD" w:rsidRPr="00CC51DD">
        <w:rPr>
          <w:noProof/>
        </w:rPr>
        <w:t>(Bank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rsidR="00677B67">
        <w:t xml:space="preserve"> </w:t>
      </w:r>
      <w:r>
        <w:t>infer</w:t>
      </w:r>
      <w:r w:rsidR="006161B0">
        <w:t xml:space="preserve"> relative</w:t>
      </w:r>
      <w:r w:rsidR="00677B67">
        <w:t xml:space="preserve"> fitness</w:t>
      </w:r>
      <w:r w:rsidR="00D220AB">
        <w:t xml:space="preserve"> with high precision </w:t>
      </w:r>
      <w:r w:rsidR="00D220AB">
        <w:fldChar w:fldCharType="begin" w:fldLock="1"/>
      </w:r>
      <w:r w:rsidR="00464BA0">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D220AB">
        <w:fldChar w:fldCharType="separate"/>
      </w:r>
      <w:r w:rsidR="00D220AB" w:rsidRPr="00D220AB">
        <w:rPr>
          <w:noProof/>
        </w:rPr>
        <w:t>(Gallet et al. 2012)</w:t>
      </w:r>
      <w:r w:rsidR="00D220AB">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requiring the construction and assaying of genetic or phenotypic markers</w:t>
      </w:r>
      <w:r w:rsidR="003D0164">
        <w:t xml:space="preserve"> </w:t>
      </w:r>
      <w:r w:rsidR="00677B67">
        <w:lastRenderedPageBreak/>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0A447EA3" w14:textId="1CF150F3" w:rsidR="0044050E" w:rsidRDefault="0044050E" w:rsidP="00D220AB">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a descriptive and predictive framework for </w:t>
      </w:r>
      <w:r>
        <w:rPr>
          <w:lang w:bidi="ar-SA"/>
        </w:rPr>
        <w:t>estimating</w:t>
      </w:r>
      <w:r w:rsidRPr="00BE2CB3">
        <w:rPr>
          <w:lang w:bidi="ar-SA"/>
        </w:rPr>
        <w:t xml:space="preserve"> </w:t>
      </w:r>
      <w:r>
        <w:rPr>
          <w:lang w:bidi="ar-SA"/>
        </w:rPr>
        <w:t>growth</w:t>
      </w:r>
      <w:r w:rsidRPr="00BE2CB3">
        <w:rPr>
          <w:lang w:bidi="ar-SA"/>
        </w:rPr>
        <w:t xml:space="preserve"> </w:t>
      </w:r>
      <w:r w:rsidR="00D220AB">
        <w:rPr>
          <w:lang w:bidi="ar-SA"/>
        </w:rPr>
        <w:t xml:space="preserve">parameters </w:t>
      </w:r>
      <w:r>
        <w:rPr>
          <w:lang w:bidi="ar-SA"/>
        </w:rPr>
        <w:t xml:space="preserve">from growth </w:t>
      </w:r>
      <w:r w:rsidR="00D220AB">
        <w:rPr>
          <w:lang w:bidi="ar-SA"/>
        </w:rPr>
        <w:t>curves</w:t>
      </w:r>
      <w:r>
        <w:rPr>
          <w:lang w:bidi="ar-SA"/>
        </w:rPr>
        <w:t xml:space="preserve">, </w:t>
      </w:r>
      <w:r w:rsidRPr="00BE2CB3">
        <w:rPr>
          <w:lang w:bidi="ar-SA"/>
        </w:rPr>
        <w:t>predi</w:t>
      </w:r>
      <w:r>
        <w:rPr>
          <w:lang w:bidi="ar-SA"/>
        </w:rPr>
        <w:t xml:space="preserve">cting competition results, and inferring </w:t>
      </w:r>
      <w:r w:rsidR="00D220AB">
        <w:rPr>
          <w:lang w:bidi="ar-SA"/>
        </w:rPr>
        <w:t xml:space="preserve">relative </w:t>
      </w:r>
      <w:r>
        <w:rPr>
          <w:lang w:bidi="ar-SA"/>
        </w:rPr>
        <w:t>fitness</w:t>
      </w:r>
      <w:r w:rsidRPr="00BE2CB3">
        <w:rPr>
          <w:lang w:bidi="ar-SA"/>
        </w:rPr>
        <w:t>.</w:t>
      </w:r>
      <w:r>
        <w:rPr>
          <w:lang w:bidi="ar-SA"/>
        </w:rPr>
        <w:t xml:space="preserve"> </w:t>
      </w:r>
    </w:p>
    <w:p w14:paraId="4EC11D9F" w14:textId="1D36A5B7" w:rsidR="00FC0D75" w:rsidRDefault="000D1077" w:rsidP="00A362F7">
      <w:pPr>
        <w:pStyle w:val="Heading1"/>
      </w:pPr>
      <w:r>
        <w:t>Results</w:t>
      </w:r>
      <w:r w:rsidR="00FC0D75">
        <w:t xml:space="preserve"> </w:t>
      </w:r>
    </w:p>
    <w:p w14:paraId="619A2F8E" w14:textId="257F903B" w:rsidR="00060445" w:rsidRDefault="00B12AFC" w:rsidP="0044050E">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the results of competition </w:t>
      </w:r>
      <w:r w:rsidR="00077B31">
        <w:t>experiments</w:t>
      </w:r>
      <w:r w:rsidR="00765CD6">
        <w:t xml:space="preserve">, and </w:t>
      </w:r>
      <w:proofErr w:type="gramStart"/>
      <w:r w:rsidR="0044050E">
        <w:t>(iv</w:t>
      </w:r>
      <w:r w:rsidR="003202F1">
        <w:t xml:space="preserve">) </w:t>
      </w:r>
      <w:r w:rsidR="00077B31">
        <w:t>estimating</w:t>
      </w:r>
      <w:proofErr w:type="gramEnd"/>
      <w:r w:rsidR="00765CD6">
        <w:t xml:space="preserve"> </w:t>
      </w:r>
      <w:r w:rsidR="0044050E">
        <w:t xml:space="preserve">fitness </w:t>
      </w:r>
      <w:r w:rsidR="00765CD6">
        <w:t>from the</w:t>
      </w:r>
      <w:r w:rsidR="00865920">
        <w:t xml:space="preserve"> predicted competition results.</w:t>
      </w:r>
    </w:p>
    <w:p w14:paraId="731F4FC5" w14:textId="29CCE69A" w:rsidR="00060445" w:rsidRPr="00A362F7" w:rsidRDefault="00060445" w:rsidP="003E7D70">
      <w:pPr>
        <w:pStyle w:val="Heading2"/>
      </w:pPr>
      <w:r w:rsidRPr="00A362F7">
        <w:t>Growth model</w:t>
      </w:r>
      <w:r w:rsidR="003202F1">
        <w:t>s</w:t>
      </w:r>
    </w:p>
    <w:p w14:paraId="13443C12" w14:textId="730A4496" w:rsidR="00765CD6" w:rsidRDefault="00765CD6" w:rsidP="009050CE">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xml:space="preserve">– we use an extension of the </w:t>
      </w:r>
      <w:r w:rsidR="009050CE">
        <w:t>standard</w:t>
      </w:r>
      <w:r>
        <w:t xml:space="preserv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7C21401A" w:rsidR="00765CD6" w:rsidRDefault="00765CD6" w:rsidP="00CC51DD">
      <w:r>
        <w:t xml:space="preserve">The </w:t>
      </w:r>
      <w:proofErr w:type="spellStart"/>
      <w:r>
        <w:t>Baranyi</w:t>
      </w:r>
      <w:proofErr w:type="spellEnd"/>
      <w:r>
        <w:t>-</w:t>
      </w:r>
      <w:r w:rsidR="00984152">
        <w:t xml:space="preserve">Roberts </w:t>
      </w:r>
      <w:r>
        <w:t>model is defined 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966DD5"/>
    <w:p w14:paraId="089F7244" w14:textId="77777777" w:rsidR="00765CD6" w:rsidRDefault="00D220AB" w:rsidP="00F54779">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F54779">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7909F9C1" w:rsidR="00EB7652" w:rsidRDefault="00EB7652" w:rsidP="00F54779">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v</m:t>
                </m:r>
                <m:r>
                  <w:rPr>
                    <w:rFonts w:ascii="Cambria Math" w:hAnsi="Cambria Math"/>
                  </w:rPr>
                  <m:t>t</m:t>
                </m:r>
              </m:sup>
            </m:sSup>
          </m:den>
        </m:f>
      </m:oMath>
      <w:r>
        <w:t xml:space="preserve">                          </w:t>
      </w:r>
      <w:r w:rsidR="00F54779">
        <w:t xml:space="preserve"> </w:t>
      </w:r>
      <w:r>
        <w:t xml:space="preserve">                         (1c)</w:t>
      </w:r>
    </w:p>
    <w:p w14:paraId="54335713" w14:textId="77777777" w:rsidR="00B551CC" w:rsidRDefault="00B551CC" w:rsidP="00A362F7">
      <w:pPr>
        <w:ind w:firstLine="0"/>
      </w:pPr>
    </w:p>
    <w:p w14:paraId="50A0698A" w14:textId="32EDCEE6" w:rsidR="00EB7652" w:rsidRDefault="00EB7652" w:rsidP="003202F1">
      <w:pPr>
        <w:ind w:firstLine="0"/>
      </w:pPr>
      <w:proofErr w:type="gramStart"/>
      <w:r>
        <w:t>where</w:t>
      </w:r>
      <w:proofErr w:type="gramEnd"/>
      <w:r>
        <w:t xml:space="preserv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3202F1">
        <w:t xml:space="preserve"> in low density (see Appendix A) </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the </w:t>
      </w:r>
      <w:r w:rsidR="003202F1" w:rsidRPr="003202F1">
        <w:rPr>
          <w:iCs/>
        </w:rPr>
        <w:t>specific increase in log growth rate</w:t>
      </w:r>
      <w:r w:rsidR="003202F1">
        <w:t xml:space="preserve"> (see Appendix A). </w:t>
      </w:r>
      <w:r w:rsidR="00CC51DD">
        <w:t>For a derivation of eq. 1 from first principles, see Appendix A.</w:t>
      </w:r>
    </w:p>
    <w:p w14:paraId="34FDB3B7" w14:textId="3B6ABA6A" w:rsidR="00EB7652" w:rsidRDefault="00EB7652" w:rsidP="003202F1">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 xml:space="preserve">the growth of the population as it </w:t>
      </w:r>
      <w:r w:rsidR="003202F1">
        <w:t>approaches</w:t>
      </w:r>
      <w:r>
        <w:t xml:space="preserve"> the maximum </w:t>
      </w:r>
      <w:proofErr w:type="gramStart"/>
      <w:r>
        <w:t>density</w:t>
      </w:r>
      <w:r w:rsidR="00551D58">
        <w:t xml:space="preserve"> </w:t>
      </w:r>
      <w:proofErr w:type="gramEnd"/>
      <m:oMath>
        <m:r>
          <w:rPr>
            <w:rFonts w:ascii="Cambria Math" w:hAnsi="Cambria Math"/>
          </w:rPr>
          <m:t>K</m:t>
        </m:r>
      </m:oMath>
      <w:r>
        <w:t xml:space="preserve">. When the </w:t>
      </w:r>
      <w:r w:rsidR="003202F1" w:rsidRPr="003202F1">
        <w:rPr>
          <w:iCs/>
        </w:rPr>
        <w:t>specific increase in log growth rate</w:t>
      </w:r>
      <w:r w:rsidR="009050CE">
        <w:t xml:space="preserve"> </w:t>
      </w:r>
      <m:oMath>
        <m:r>
          <w:rPr>
            <w:rFonts w:ascii="Cambria Math" w:hAnsi="Cambria Math"/>
          </w:rPr>
          <m:t>ν</m:t>
        </m:r>
      </m:oMath>
      <w:r w:rsidR="00966DD5">
        <w:t xml:space="preserve"> is </w:t>
      </w:r>
      <w:r w:rsidR="009050CE">
        <w:t>unity</w:t>
      </w:r>
      <w:r>
        <w:t xml:space="preserve"> </w:t>
      </w:r>
      <w:r w:rsidR="00966DD5">
        <w:t>(</w:t>
      </w:r>
      <m:oMath>
        <m:r>
          <w:rPr>
            <w:rFonts w:ascii="Cambria Math" w:hAnsi="Cambria Math"/>
          </w:rPr>
          <m:t>ν=1</m:t>
        </m:r>
      </m:oMath>
      <w:r w:rsidR="00966DD5">
        <w:t>)</w:t>
      </w:r>
      <w:r>
        <w:t>, the deceleratio</w:t>
      </w:r>
      <w:r w:rsidR="00984152">
        <w:t xml:space="preserve">n is the same as in the </w:t>
      </w:r>
      <w:r w:rsidR="009050CE">
        <w:t>standard</w:t>
      </w:r>
      <w:r>
        <w:t xml:space="preserve"> logistic </w:t>
      </w:r>
      <w:r>
        <w:lastRenderedPageBreak/>
        <w:t xml:space="preserve">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003202F1">
        <w:t xml:space="preserve"> </w:t>
      </w:r>
      <w:r>
        <w:t xml:space="preserve">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0&lt;ν&lt;1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W=N,A=K,\u03bd=m-1,k=r\u22c5\u03bd)",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m:rPr>
            <m:sty m:val="p"/>
          </m:rPr>
          <w:rPr>
            <w:rFonts w:ascii="Cambria Math" w:hAnsi="Cambria Math"/>
            <w:noProof/>
          </w:rPr>
          <m:t>W=N,A=K,ν=m-1,k=r⋅ν</m:t>
        </m:r>
      </m:oMath>
      <w:r w:rsidR="009050CE" w:rsidRPr="009050CE">
        <w:rPr>
          <w:noProof/>
        </w:rPr>
        <w:t>)</w:t>
      </w:r>
      <w:r w:rsidR="009050CE">
        <w:fldChar w:fldCharType="end"/>
      </w:r>
      <w:r w:rsidR="003D0164">
        <w:t>.</w:t>
      </w:r>
    </w:p>
    <w:p w14:paraId="03E4527E" w14:textId="00BE4B80" w:rsidR="00EB7652" w:rsidRDefault="00EB7652" w:rsidP="003202F1">
      <w:r>
        <w:t xml:space="preserve">The adjustment function </w:t>
      </w:r>
      <m:oMath>
        <m:r>
          <w:rPr>
            <w:rFonts w:ascii="Cambria Math" w:hAnsi="Cambria Math"/>
          </w:rPr>
          <m:t>α(t)</m:t>
        </m:r>
      </m:oMath>
      <w:r>
        <w:t xml:space="preserve"> describe</w:t>
      </w:r>
      <w:r w:rsidR="003202F1">
        <w:t>s</w:t>
      </w:r>
      <w:r>
        <w:t xml:space="preserve"> the </w:t>
      </w:r>
      <w:r w:rsidR="003202F1">
        <w:t xml:space="preserve">fraction of the population (between 0 and 1) that is adjusted for </w:t>
      </w:r>
      <w:r w:rsidR="009050CE">
        <w:t>growth</w:t>
      </w:r>
      <w:r w:rsidR="003202F1">
        <w:t xml:space="preserve"> at </w:t>
      </w:r>
      <w:proofErr w:type="gramStart"/>
      <w:r w:rsidR="003202F1">
        <w:t xml:space="preserve">time </w:t>
      </w:r>
      <w:proofErr w:type="gramEnd"/>
      <m:oMath>
        <m:r>
          <w:rPr>
            <w:rFonts w:ascii="Cambria Math" w:hAnsi="Cambria Math"/>
          </w:rPr>
          <m:t>t</m:t>
        </m:r>
      </m:oMath>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984152">
        <w:t xml:space="preserve">populations that are </w:t>
      </w:r>
      <w:r w:rsidR="00406968">
        <w:t>adjusted to stationary phase must now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v</m:t>
        </m:r>
      </m:oMath>
      <w:r w:rsidR="00406968">
        <w:t xml:space="preserve"> is the rate in which this molecule is accumulated</w:t>
      </w:r>
      <w:r w:rsidR="00B551CC">
        <w:t xml:space="preserve"> in the cell</w:t>
      </w:r>
      <w:r w:rsidR="00406968">
        <w:t>.</w:t>
      </w:r>
    </w:p>
    <w:p w14:paraId="693D6B89" w14:textId="31797A7A" w:rsidR="00406968" w:rsidRDefault="00406968" w:rsidP="003202F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A362F7"/>
    <w:p w14:paraId="3C326C31" w14:textId="77777777" w:rsidR="00406968" w:rsidRDefault="00406968" w:rsidP="00F54779">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152D2DA4" w:rsidR="00406968" w:rsidRDefault="00406968" w:rsidP="00551D5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v</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v</m:t>
                        </m:r>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966DD5"/>
    <w:p w14:paraId="51D46DBD" w14:textId="26C93D6C" w:rsidR="00551D58" w:rsidRDefault="00551D58" w:rsidP="00551D58">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p>
    <w:p w14:paraId="2A6969CE" w14:textId="0ADD8381" w:rsidR="00060445" w:rsidRDefault="005F02B4" w:rsidP="00464BA0">
      <w:r>
        <w:t>W</w:t>
      </w:r>
      <w:r w:rsidR="00060445">
        <w:t xml:space="preserve">e </w:t>
      </w:r>
      <w:r>
        <w:t xml:space="preserve">use </w:t>
      </w:r>
      <w:r w:rsidR="00464BA0">
        <w:t>six</w:t>
      </w:r>
      <w:r w:rsidR="00060445">
        <w:t xml:space="preserve">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proofErr w:type="gramStart"/>
      <w:r w:rsidR="00966DD5">
        <w:t xml:space="preserve">has </w:t>
      </w:r>
      <w:proofErr w:type="gramEnd"/>
      <m:oMath>
        <m:r>
          <w:rPr>
            <w:rFonts w:ascii="Cambria Math" w:hAnsi="Cambria Math"/>
          </w:rPr>
          <m:t>ν</m:t>
        </m:r>
        <m:r>
          <w:rPr>
            <w:rFonts w:ascii="Cambria Math" w:hAnsi="Cambria Math"/>
          </w:rPr>
          <m:t>=1</m:t>
        </m:r>
      </m:oMath>
      <w:r w:rsidR="00060445">
        <w:t xml:space="preserve">, as in the </w:t>
      </w:r>
      <w:r w:rsidR="00B66E46">
        <w:t>standard</w:t>
      </w:r>
      <w:r w:rsidR="00060445">
        <w:t xml:space="preserve"> logistic model</w:t>
      </w:r>
      <w:r w:rsidR="00B66E46">
        <w:t>.</w:t>
      </w:r>
      <w:r w:rsidR="00464BA0">
        <w:t xml:space="preserve"> Another five parameter form has both rate parameters set to the same value (</w:t>
      </w:r>
      <m:oMath>
        <m:r>
          <w:rPr>
            <w:rFonts w:ascii="Cambria Math" w:hAnsi="Cambria Math"/>
          </w:rPr>
          <m:t>v=r</m:t>
        </m:r>
      </m:oMath>
      <w:r w:rsidR="00464BA0">
        <w:t xml:space="preserve">), which can make the fitting procedure more stable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 xml:space="preserve">. A four parameter form has both of the previous reductions, setting </w:t>
      </w:r>
      <m:oMath>
        <m:r>
          <w:rPr>
            <w:rFonts w:ascii="Cambria Math" w:hAnsi="Cambria Math"/>
          </w:rPr>
          <m:t>v=r</m:t>
        </m:r>
      </m:oMath>
      <w:r w:rsidR="00464BA0">
        <w:t xml:space="preserve"> and </w:t>
      </w:r>
      <m:oMath>
        <m:r>
          <w:rPr>
            <w:rFonts w:ascii="Cambria Math" w:hAnsi="Cambria Math"/>
          </w:rPr>
          <m:t>ν=1</m:t>
        </m:r>
      </m:oMath>
      <w:r w:rsidR="00464BA0">
        <w:t xml:space="preserv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w:t>
      </w:r>
      <w:r w:rsidR="00B66E46">
        <w:t xml:space="preserve"> </w:t>
      </w:r>
      <w:r w:rsidR="00966DD5">
        <w:t>A</w:t>
      </w:r>
      <w:r w:rsidR="00464BA0">
        <w:t>nother</w:t>
      </w:r>
      <w:r w:rsidR="00966DD5">
        <w:t xml:space="preserve">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r w:rsidR="00966DD5">
        <w:t xml:space="preserve">with </w:t>
      </w:r>
      <m:oMath>
        <m:f>
          <m:fPr>
            <m:type m:val="lin"/>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464BA0">
        <w:t xml:space="preserve">, the </w:t>
      </w:r>
      <m:oMath>
        <m:r>
          <w:rPr>
            <w:rFonts w:ascii="Cambria Math" w:hAnsi="Cambria Math"/>
          </w:rPr>
          <m:t>θ</m:t>
        </m:r>
      </m:oMath>
      <w:r w:rsidR="00464BA0">
        <w:t xml:space="preserve">-logistic model </w:t>
      </w:r>
      <w:r w:rsidR="00464BA0">
        <w:fldChar w:fldCharType="begin" w:fldLock="1"/>
      </w:r>
      <w:r w:rsidR="00464BA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fldChar w:fldCharType="separate"/>
      </w:r>
      <w:r w:rsidR="00464BA0" w:rsidRPr="00464BA0">
        <w:rPr>
          <w:noProof/>
        </w:rPr>
        <w:t>(Gilpin and Ayala 1973)</w:t>
      </w:r>
      <w:r w:rsidR="00464BA0">
        <w:fldChar w:fldCharType="end"/>
      </w:r>
      <w:r w:rsidR="00464BA0">
        <w:t xml:space="preserve">, or the generalized logistic model </w:t>
      </w:r>
      <w:r w:rsidR="00464BA0">
        <w:lastRenderedPageBreak/>
        <w:t>(see Wikipedia)</w:t>
      </w:r>
      <w:r w:rsidR="00060445">
        <w:t xml:space="preserve">.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464BA0">
        <w:t xml:space="preserve">fifth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=0</m:t>
        </m:r>
      </m:oMath>
      <w:r w:rsidR="00966DD5">
        <w:t>.</w:t>
      </w:r>
    </w:p>
    <w:p w14:paraId="272B256D" w14:textId="77777777" w:rsidR="005F02B4" w:rsidRDefault="005F02B4" w:rsidP="00A362F7">
      <w:pPr>
        <w:pStyle w:val="Heading2"/>
      </w:pPr>
      <w:r>
        <w:t>Model fitting and selection</w:t>
      </w:r>
    </w:p>
    <w:p w14:paraId="3D47950C" w14:textId="72ACDD41" w:rsidR="005F02B4" w:rsidRDefault="005F02B4" w:rsidP="00464BA0">
      <w:r>
        <w:t xml:space="preserve">We fit all </w:t>
      </w:r>
      <w:r w:rsidR="00464BA0">
        <w:t>six</w:t>
      </w:r>
      <w:r>
        <w:t xml:space="preserve"> model</w:t>
      </w:r>
      <w:r w:rsidR="00966DD5">
        <w:t xml:space="preserve"> form</w:t>
      </w:r>
      <w:r>
        <w:t xml:space="preserve">s to the growth curve </w:t>
      </w:r>
      <w:r w:rsidR="00464BA0">
        <w:t xml:space="preserve">data </w:t>
      </w:r>
      <w:r>
        <w:t>of each strain</w:t>
      </w:r>
      <w:r w:rsidR="00B37B5A">
        <w:t xml:space="preserve"> </w:t>
      </w:r>
      <w:r w:rsidR="00F06897">
        <w:t>using</w:t>
      </w:r>
      <w:r w:rsidR="00464BA0">
        <w:t xml:space="preserve"> the </w:t>
      </w:r>
      <w:proofErr w:type="spellStart"/>
      <w:r w:rsidR="00464BA0">
        <w:rPr>
          <w:i/>
          <w:iCs/>
        </w:rPr>
        <w:t>leastsq</w:t>
      </w:r>
      <w:proofErr w:type="spellEnd"/>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xml:space="preserve">. The standard deviation at each time point is used </w:t>
      </w:r>
      <w:r w:rsidR="00FE6FFB">
        <w:t xml:space="preserve">to </w:t>
      </w:r>
      <w:r>
        <w:t xml:space="preserve">weight the </w:t>
      </w:r>
      <w:r w:rsidR="00F06897">
        <w:t xml:space="preserve">curve fitting </w:t>
      </w:r>
      <w:r>
        <w:t xml:space="preserve">so that time points with lower variance are more heavily weighted and therefore </w:t>
      </w:r>
      <w:r w:rsidR="00984152">
        <w:t>better</w:t>
      </w:r>
      <w:r>
        <w:t xml:space="preserve"> fitted. </w:t>
      </w:r>
    </w:p>
    <w:p w14:paraId="7E2DCE03" w14:textId="4354AB6E" w:rsidR="005F02B4" w:rsidRDefault="005F02B4" w:rsidP="00F06897">
      <w:r>
        <w:t>We then calculate the Bayesian Information C</w:t>
      </w:r>
      <w:r w:rsidR="00984152">
        <w:t>riteria (BIC) of each model fit</w:t>
      </w:r>
      <w:r w:rsidR="00F06897">
        <w:t>:</w:t>
      </w:r>
    </w:p>
    <w:p w14:paraId="3E45556E" w14:textId="77777777" w:rsidR="005F02B4" w:rsidRDefault="00984152" w:rsidP="00A362F7">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455A61E5" w:rsidR="005F02B4" w:rsidRDefault="005F02B4" w:rsidP="00464BA0">
      <w:pPr>
        <w:ind w:firstLine="0"/>
      </w:pPr>
      <w:proofErr w:type="gramStart"/>
      <w:r>
        <w:t>where</w:t>
      </w:r>
      <w:proofErr w:type="gramEnd"/>
      <w:r>
        <w:t xml:space="preserve"> </w:t>
      </w:r>
      <m:oMath>
        <m:r>
          <w:rPr>
            <w:rFonts w:ascii="Cambria Math" w:hAnsi="Cambria Math"/>
          </w:rPr>
          <m:t>k</m:t>
        </m:r>
      </m:oMath>
      <w:r>
        <w:t xml:space="preserve"> is the number </w:t>
      </w:r>
      <w:r w:rsidR="00464BA0">
        <w:t>model</w:t>
      </w:r>
      <w:r>
        <w:t xml:space="preserve"> parameters, </w:t>
      </w:r>
      <m:oMath>
        <m:r>
          <w:rPr>
            <w:rFonts w:ascii="Cambria Math" w:hAnsi="Cambria Math"/>
          </w:rPr>
          <m:t>n</m:t>
        </m:r>
      </m:oMath>
      <w:r>
        <w:t xml:space="preserve"> is the number of </w:t>
      </w:r>
      <w:r w:rsidR="00464BA0">
        <w:t xml:space="preserve">data </w:t>
      </w:r>
      <w:r>
        <w:t>points</w:t>
      </w:r>
      <w:r w:rsidR="00464BA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t xml:space="preserve"> are the time points</w:t>
      </w: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w:t>
      </w:r>
      <w:r w:rsidR="00464BA0">
        <w:t xml:space="preserve">optical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r w:rsidR="00464BA0">
        <w:t xml:space="preserve"> </w:t>
      </w:r>
      <w:r w:rsidR="00464BA0">
        <w:fldChar w:fldCharType="begin" w:fldLock="1"/>
      </w:r>
      <w:r w:rsidR="00464BA0">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 "properties" : { "noteIndex" : 0 }, "schema" : "https://github.com/citation-style-language/schema/raw/master/csl-citation.json" }</w:instrText>
      </w:r>
      <w:r w:rsidR="00464BA0">
        <w:fldChar w:fldCharType="separate"/>
      </w:r>
      <w:r w:rsidR="00464BA0" w:rsidRPr="00464BA0">
        <w:rPr>
          <w:noProof/>
        </w:rPr>
        <w:t>(Kass and Raftery 1995; Ward 2008)</w:t>
      </w:r>
      <w:r w:rsidR="00464BA0">
        <w:fldChar w:fldCharType="end"/>
      </w:r>
      <w:r w:rsidR="00154E23">
        <w:t>.</w:t>
      </w:r>
    </w:p>
    <w:p w14:paraId="202C6CCE" w14:textId="1A02EF24"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rsidR="00E74D07">
        <w:t xml:space="preserve"> (</w:t>
      </w:r>
      <w:r w:rsidR="00E74D07" w:rsidRPr="008F3527">
        <w:rPr>
          <w:highlight w:val="yellow"/>
        </w:rPr>
        <w:t>Fig. 1B</w:t>
      </w:r>
      <w:r w:rsidR="00E74D07">
        <w:t>)</w:t>
      </w:r>
      <w:r>
        <w:t>.</w:t>
      </w:r>
    </w:p>
    <w:p w14:paraId="70FD87B0" w14:textId="00BB61E1" w:rsidR="00464BA0" w:rsidRDefault="00464BA0" w:rsidP="00464BA0">
      <w:pPr>
        <w:pStyle w:val="Heading2"/>
      </w:pPr>
      <w:r>
        <w:t>Competition model</w:t>
      </w:r>
    </w:p>
    <w:p w14:paraId="18A511A7" w14:textId="739D6A95" w:rsidR="005F02B4" w:rsidRDefault="00412582" w:rsidP="00412582">
      <w:r>
        <w:t xml:space="preserve">We model competitions by integrating the </w:t>
      </w:r>
      <w:proofErr w:type="spellStart"/>
      <w:r>
        <w:t>Lotka-Volterra</w:t>
      </w:r>
      <w:proofErr w:type="spellEnd"/>
      <w:r>
        <w:t xml:space="preserve"> competition model [REF] into our growth model from eq. 1</w:t>
      </w:r>
      <w:r w:rsidR="00FB4568">
        <w:t xml:space="preserve"> (see Appendix B for more details)</w:t>
      </w:r>
      <w:r w:rsidR="00C05ED5">
        <w:t>:</w:t>
      </w:r>
    </w:p>
    <w:p w14:paraId="0FA2FC80" w14:textId="73894E01" w:rsidR="00C05ED5" w:rsidRDefault="00D220AB" w:rsidP="00F06897">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r>
              <w:rPr>
                <w:rFonts w:ascii="Cambria Math" w:hAnsi="Cambria Math"/>
              </w:rPr>
              <m:t xml:space="preserve"> </m:t>
            </m:r>
          </m:e>
        </m:d>
      </m:oMath>
      <w:r w:rsidR="00C05ED5">
        <w:t xml:space="preserve">                                           (3a)</w:t>
      </w:r>
    </w:p>
    <w:p w14:paraId="7ABD8341" w14:textId="067BCB1F" w:rsidR="00C05ED5" w:rsidRDefault="00D220AB" w:rsidP="00F06897">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e>
        </m:d>
      </m:oMath>
      <w:r w:rsidR="00C05ED5">
        <w:t xml:space="preserve">                                           (3b)</w:t>
      </w:r>
    </w:p>
    <w:p w14:paraId="53613CC3" w14:textId="7F9E1958" w:rsidR="00C05ED5" w:rsidRDefault="00D220AB" w:rsidP="00E77F4F">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sup>
            </m:sSup>
          </m:den>
        </m:f>
      </m:oMath>
      <w:r w:rsidR="00C05ED5">
        <w:t xml:space="preserve">                             </w:t>
      </w:r>
      <w:r w:rsidR="00E77F4F">
        <w:t xml:space="preserve">            </w:t>
      </w:r>
      <w:r w:rsidR="00C05ED5">
        <w:t xml:space="preserve">                        (3c)</w:t>
      </w:r>
    </w:p>
    <w:p w14:paraId="2B59FECE" w14:textId="77777777" w:rsidR="00FB4568" w:rsidRDefault="00D220AB" w:rsidP="00FB4568">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FB4568">
        <w:t>.</w:t>
      </w:r>
      <w:r w:rsidR="00C05ED5">
        <w:t xml:space="preserve">                                      </w:t>
      </w:r>
      <w:r w:rsidR="00E77F4F">
        <w:t xml:space="preserve">      </w:t>
      </w:r>
      <w:r w:rsidR="00C05ED5">
        <w:t xml:space="preserve">                  </w:t>
      </w:r>
      <w:r w:rsidR="00FB4568">
        <w:t xml:space="preserve">     (3d)</w:t>
      </w:r>
    </w:p>
    <w:p w14:paraId="40D60065" w14:textId="3487F474" w:rsidR="00FB4568" w:rsidRDefault="00D220AB" w:rsidP="008F3527">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from the model fitting procedure.</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B4568">
        <w:t xml:space="preserve"> </w:t>
      </w:r>
      <w:proofErr w:type="gramStart"/>
      <w:r w:rsidR="00FB4568">
        <w:t>are</w:t>
      </w:r>
      <w:proofErr w:type="gramEnd"/>
      <w:r w:rsidR="00FB4568">
        <w:t xml:space="preserve"> competition coefficients which </w:t>
      </w:r>
      <w:r w:rsidR="00FB4568" w:rsidRPr="00FB4568">
        <w:rPr>
          <w:highlight w:val="yellow"/>
        </w:rPr>
        <w:t xml:space="preserve">represent strain </w:t>
      </w:r>
      <w:r w:rsidR="00FB4568" w:rsidRPr="00FB4568">
        <w:rPr>
          <w:i/>
          <w:iCs/>
          <w:highlight w:val="yellow"/>
        </w:rPr>
        <w:t>i</w:t>
      </w:r>
      <w:r w:rsidR="00FB4568" w:rsidRPr="00FB4568">
        <w:rPr>
          <w:highlight w:val="yellow"/>
        </w:rPr>
        <w:t>'s ratio between the intra- and inter-strain competition</w:t>
      </w:r>
      <w:r w:rsidR="00FB4568">
        <w:t xml:space="preserve">. </w:t>
      </w:r>
      <w:r w:rsidR="008F3527">
        <w:t>The competition mode</w:t>
      </w:r>
      <w:r w:rsidR="008F3527" w:rsidRPr="00895982">
        <w:t xml:space="preserve">l explicitly assumes that interactions between the strains </w:t>
      </w:r>
      <w:r w:rsidR="008F3527">
        <w:t xml:space="preserve">are solely due </w:t>
      </w:r>
      <w:r w:rsidR="008F3527" w:rsidRPr="00895982">
        <w:t xml:space="preserve">to </w:t>
      </w:r>
      <w:r w:rsidR="008F3527" w:rsidRPr="008F3527">
        <w:t>resource competition</w:t>
      </w:r>
      <w:r w:rsidR="008F3527" w:rsidRPr="00895982">
        <w:t>. Therefore, all</w:t>
      </w:r>
      <w:r w:rsidR="008F3527">
        <w:t xml:space="preserve"> </w:t>
      </w:r>
      <w:r w:rsidR="008F3527" w:rsidRPr="00895982">
        <w:t>interactions are described by the deceleration of the growth rate of each strain in response to growth of the other strain</w:t>
      </w:r>
      <w:r w:rsidR="008F3527">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8F3527">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8F3527">
        <w:t xml:space="preserve"> (see Appendix B).</w:t>
      </w:r>
    </w:p>
    <w:p w14:paraId="44A4379B" w14:textId="2C94AB2B" w:rsidR="00FB4568" w:rsidRDefault="00FB4568" w:rsidP="00353E9F">
      <w:r>
        <w:t>Eq. 3 is fitted to the growth curve of a mixed culture of both strains, in which the combined OD of both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fit is </w:t>
      </w:r>
      <w:r w:rsidR="00353E9F">
        <w:t>performed</w:t>
      </w:r>
      <w:r>
        <w:t xml:space="preserve"> to minimize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and the OD from the mixed culture</w:t>
      </w:r>
      <w:r w:rsidR="00353E9F">
        <w:t xml:space="preserve"> (</w:t>
      </w:r>
      <w:r w:rsidR="00353E9F" w:rsidRPr="008F3527">
        <w:rPr>
          <w:highlight w:val="yellow"/>
        </w:rPr>
        <w:t>Fig. X</w:t>
      </w:r>
      <w:r w:rsidR="00353E9F">
        <w:t>)</w:t>
      </w:r>
      <w:r>
        <w:t>.</w:t>
      </w:r>
    </w:p>
    <w:p w14:paraId="2C0CE35C" w14:textId="78A3522E" w:rsidR="00353E9F" w:rsidRDefault="00353E9F" w:rsidP="00353E9F">
      <w:pPr>
        <w:pStyle w:val="Heading2"/>
      </w:pPr>
      <w:r>
        <w:t>Competition prediction</w:t>
      </w:r>
    </w:p>
    <w:p w14:paraId="3F886ACF" w14:textId="55B99C48" w:rsidR="003578D2" w:rsidRDefault="00353E9F" w:rsidP="008F3527">
      <w:r>
        <w:t>Once all growth and competition parameters have been estimated, e</w:t>
      </w:r>
      <w:r w:rsidR="00FB4568">
        <w:t xml:space="preserve">q. 3 </w:t>
      </w:r>
      <w:r w:rsidR="003578D2">
        <w:t>is solved</w:t>
      </w:r>
      <w:r>
        <w:t xml:space="preserve"> by numerical integration</w:t>
      </w:r>
      <w:r w:rsidR="008F3527">
        <w:t xml:space="preserve">, providing a prediction for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This predicts</w:t>
      </w:r>
      <w:r w:rsidR="003578D2">
        <w:t xml:space="preserve"> </w:t>
      </w:r>
      <w:r w:rsidR="00984152">
        <w:t xml:space="preserve">of </w:t>
      </w:r>
      <w:r w:rsidR="003578D2">
        <w:t xml:space="preserve">the </w:t>
      </w:r>
      <w:r w:rsidR="00FB4568">
        <w:t>frequenc</w:t>
      </w:r>
      <w:r w:rsidR="008F3527">
        <w:t>y</w:t>
      </w:r>
      <w:r w:rsidR="00FB4568">
        <w:t xml:space="preserve"> of each strain over time</w:t>
      </w:r>
      <w:r w:rsidR="008F352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FB4568">
        <w:t xml:space="preserve"> during a </w:t>
      </w:r>
      <w:r w:rsidR="003578D2">
        <w:t xml:space="preserve">competition </w:t>
      </w:r>
      <w:r w:rsidR="00FB4568">
        <w:t xml:space="preserve">experiment </w:t>
      </w:r>
      <w:r w:rsidR="00E74D07">
        <w:t>(</w:t>
      </w:r>
      <w:r w:rsidR="00E74D07" w:rsidRPr="008F3527">
        <w:rPr>
          <w:highlight w:val="yellow"/>
        </w:rPr>
        <w:t>Fig. 1C</w:t>
      </w:r>
      <w:r w:rsidR="00E74D07">
        <w:t>)</w:t>
      </w:r>
      <w:r w:rsidR="008F3527">
        <w:t>.</w:t>
      </w:r>
    </w:p>
    <w:p w14:paraId="7CBDE4C3" w14:textId="77777777" w:rsidR="002D33FF" w:rsidRDefault="002D33FF" w:rsidP="007B695D"/>
    <w:p w14:paraId="7A13CA16" w14:textId="77777777" w:rsidR="002D33FF" w:rsidRDefault="002D33FF" w:rsidP="002D33FF">
      <w:pPr>
        <w:jc w:val="center"/>
      </w:pPr>
      <w:r>
        <w:rPr>
          <w:noProof/>
        </w:rPr>
        <w:drawing>
          <wp:inline distT="0" distB="0" distL="0" distR="0" wp14:anchorId="083E16F8" wp14:editId="5103CD8F">
            <wp:extent cx="5266690" cy="4213860"/>
            <wp:effectExtent l="0" t="0" r="0" b="0"/>
            <wp:docPr id="1" name="Picture 1"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combi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4213860"/>
                    </a:xfrm>
                    <a:prstGeom prst="rect">
                      <a:avLst/>
                    </a:prstGeom>
                    <a:noFill/>
                    <a:ln>
                      <a:noFill/>
                    </a:ln>
                  </pic:spPr>
                </pic:pic>
              </a:graphicData>
            </a:graphic>
          </wp:inline>
        </w:drawing>
      </w:r>
    </w:p>
    <w:p w14:paraId="643CB6CF" w14:textId="77777777" w:rsidR="002D33FF" w:rsidRDefault="002D33FF" w:rsidP="002D33FF">
      <w:pPr>
        <w:pStyle w:val="Caption"/>
        <w:jc w:val="center"/>
        <w:rPr>
          <w:b w:val="0"/>
          <w:bCs w:val="0"/>
        </w:rPr>
      </w:pPr>
      <w:proofErr w:type="gramStart"/>
      <w:r w:rsidRPr="00503DBB">
        <w:rPr>
          <w:color w:val="auto"/>
          <w:sz w:val="20"/>
          <w:szCs w:val="20"/>
        </w:rPr>
        <w:t xml:space="preserve">Figure </w:t>
      </w:r>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00756197">
        <w:rPr>
          <w:noProof/>
          <w:color w:val="auto"/>
          <w:sz w:val="20"/>
          <w:szCs w:val="20"/>
        </w:rPr>
        <w:t>1</w:t>
      </w:r>
      <w:r w:rsidRPr="00503DBB">
        <w:rPr>
          <w:color w:val="auto"/>
          <w:sz w:val="20"/>
          <w:szCs w:val="20"/>
        </w:rPr>
        <w:fldChar w:fldCharType="end"/>
      </w:r>
      <w:r>
        <w:rPr>
          <w:color w:val="auto"/>
          <w:sz w:val="20"/>
          <w:szCs w:val="20"/>
        </w:rPr>
        <w:t>.</w:t>
      </w:r>
      <w:proofErr w:type="gramEnd"/>
      <w:r>
        <w:rPr>
          <w:color w:val="auto"/>
          <w:sz w:val="20"/>
          <w:szCs w:val="20"/>
        </w:rPr>
        <w:t xml:space="preserve"> Example of the method applied on growth curves of two </w:t>
      </w:r>
      <w:r w:rsidRPr="006714D6">
        <w:rPr>
          <w:i/>
          <w:iCs/>
          <w:color w:val="auto"/>
          <w:sz w:val="20"/>
          <w:szCs w:val="20"/>
        </w:rPr>
        <w:t xml:space="preserve">Escherichia coli </w:t>
      </w:r>
      <w:r w:rsidRPr="006714D6">
        <w:rPr>
          <w:color w:val="auto"/>
          <w:sz w:val="20"/>
          <w:szCs w:val="20"/>
        </w:rPr>
        <w:t>strains</w:t>
      </w:r>
      <w:r>
        <w:rPr>
          <w:color w:val="auto"/>
          <w:sz w:val="20"/>
          <w:szCs w:val="20"/>
        </w:rPr>
        <w:t xml:space="preserve"> (A) </w:t>
      </w:r>
      <w:r w:rsidRPr="00B14E47">
        <w:rPr>
          <w:b w:val="0"/>
          <w:bCs w:val="0"/>
          <w:color w:val="auto"/>
          <w:sz w:val="20"/>
          <w:szCs w:val="20"/>
        </w:rPr>
        <w:t>Growth curves</w:t>
      </w:r>
      <w:r>
        <w:rPr>
          <w:b w:val="0"/>
          <w:bCs w:val="0"/>
          <w:color w:val="auto"/>
          <w:sz w:val="20"/>
          <w:szCs w:val="20"/>
        </w:rPr>
        <w:t xml:space="preserve"> data</w:t>
      </w:r>
      <w:r w:rsidRPr="00B14E47">
        <w:rPr>
          <w:b w:val="0"/>
          <w:bCs w:val="0"/>
          <w:color w:val="auto"/>
          <w:sz w:val="20"/>
          <w:szCs w:val="20"/>
        </w:rPr>
        <w:t xml:space="preserve"> </w:t>
      </w:r>
      <w:r>
        <w:rPr>
          <w:b w:val="0"/>
          <w:bCs w:val="0"/>
          <w:color w:val="auto"/>
          <w:sz w:val="20"/>
          <w:szCs w:val="20"/>
        </w:rPr>
        <w:t>of MG1655 in orange (top lines) and DH12S in purple (bottom lines)</w:t>
      </w:r>
      <w:r w:rsidRPr="00B14E47">
        <w:rPr>
          <w:b w:val="0"/>
          <w:bCs w:val="0"/>
          <w:color w:val="auto"/>
          <w:sz w:val="20"/>
          <w:szCs w:val="20"/>
        </w:rPr>
        <w:t>. Each line</w:t>
      </w:r>
      <w:r>
        <w:rPr>
          <w:b w:val="0"/>
          <w:bCs w:val="0"/>
          <w:color w:val="auto"/>
          <w:sz w:val="20"/>
          <w:szCs w:val="20"/>
        </w:rPr>
        <w:t xml:space="preserve"> (12 per strain)</w:t>
      </w:r>
      <w:r w:rsidRPr="00B14E47">
        <w:rPr>
          <w:b w:val="0"/>
          <w:bCs w:val="0"/>
          <w:color w:val="auto"/>
          <w:sz w:val="20"/>
          <w:szCs w:val="20"/>
        </w:rPr>
        <w:t xml:space="preserv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fro</w:t>
      </w:r>
      <w:r>
        <w:rPr>
          <w:b w:val="0"/>
          <w:bCs w:val="0"/>
          <w:color w:val="auto"/>
          <w:sz w:val="20"/>
          <w:szCs w:val="20"/>
        </w:rPr>
        <w:t xml:space="preserve">m a single well in a 96-well microplate (Costar), taken every 10 minutes. Cells of either strain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 100 µl LB with 50 mg/ml Kanamycin and 34 mg/ml Chloramphenicol 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Pr>
          <w:b w:val="0"/>
          <w:bCs w:val="0"/>
          <w:color w:val="auto"/>
          <w:sz w:val="20"/>
          <w:szCs w:val="20"/>
        </w:rPr>
        <w:t>Solid line: model fit; markers and error bars: mean and standard deviation of OD</w:t>
      </w:r>
      <w:r w:rsidRPr="00B14E47">
        <w:rPr>
          <w:b w:val="0"/>
          <w:bCs w:val="0"/>
          <w:color w:val="auto"/>
          <w:sz w:val="20"/>
          <w:szCs w:val="20"/>
          <w:vertAlign w:val="subscript"/>
        </w:rPr>
        <w:t>595</w:t>
      </w:r>
      <w:r>
        <w:rPr>
          <w:b w:val="0"/>
          <w:bCs w:val="0"/>
          <w:color w:val="auto"/>
          <w:sz w:val="20"/>
          <w:szCs w:val="20"/>
        </w:rPr>
        <w:t xml:space="preserve"> measurements from 12 wells per strain. Fitted parameters for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for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 xml:space="preserve">=0.772, lag duration=1.691, maximum growth rate=0.279. Note that the maximum </w:t>
      </w:r>
      <w:r>
        <w:rPr>
          <w:b w:val="0"/>
          <w:bCs w:val="0"/>
          <w:color w:val="auto"/>
          <w:sz w:val="20"/>
          <w:szCs w:val="20"/>
        </w:rPr>
        <w:lastRenderedPageBreak/>
        <w:t xml:space="preserve">growth rate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b"/>
                  </m:rPr>
                  <w:rPr>
                    <w:rFonts w:ascii="Cambria Math" w:hAnsi="Cambria Math"/>
                    <w:color w:val="auto"/>
                    <w:sz w:val="20"/>
                    <w:szCs w:val="20"/>
                  </w:rPr>
                  <m:t>max</m:t>
                </m:r>
              </m:fName>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dN</m:t>
                    </m:r>
                  </m:num>
                  <m:den>
                    <m:r>
                      <m:rPr>
                        <m:sty m:val="bi"/>
                      </m:rPr>
                      <w:rPr>
                        <w:rFonts w:ascii="Cambria Math" w:hAnsi="Cambria Math"/>
                        <w:color w:val="auto"/>
                        <w:sz w:val="20"/>
                        <w:szCs w:val="20"/>
                      </w:rPr>
                      <m:t>dt</m:t>
                    </m:r>
                  </m:den>
                </m:f>
              </m:e>
            </m:func>
          </m:e>
        </m:d>
      </m:oMath>
      <w:r w:rsidRPr="00231A0D">
        <w:rPr>
          <w:b w:val="0"/>
          <w:bCs w:val="0"/>
          <w:color w:val="auto"/>
          <w:sz w:val="20"/>
          <w:szCs w:val="20"/>
        </w:rPr>
        <w:t xml:space="preserve"> is</w:t>
      </w:r>
      <w:r>
        <w:rPr>
          <w:b w:val="0"/>
          <w:bCs w:val="0"/>
          <w:color w:val="auto"/>
          <w:sz w:val="20"/>
          <w:szCs w:val="20"/>
        </w:rPr>
        <w:t xml:space="preserve">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 calculated by solving eq. 3. Initial OD of both strains was set to 0.067, half of the average estimated </w:t>
      </w:r>
      <w:r>
        <w:rPr>
          <w:b w:val="0"/>
          <w:bCs w:val="0"/>
          <w:i/>
          <w:iCs/>
          <w:color w:val="auto"/>
          <w:sz w:val="20"/>
          <w:szCs w:val="20"/>
        </w:rPr>
        <w:t>N</w:t>
      </w:r>
      <w:r>
        <w:rPr>
          <w:b w:val="0"/>
          <w:bCs w:val="0"/>
          <w:i/>
          <w:iCs/>
          <w:color w:val="auto"/>
          <w:sz w:val="20"/>
          <w:szCs w:val="20"/>
          <w:vertAlign w:val="subscript"/>
        </w:rPr>
        <w:t>0</w:t>
      </w:r>
      <w:r>
        <w:rPr>
          <w:b w:val="0"/>
          <w:bCs w:val="0"/>
          <w:color w:val="auto"/>
          <w:sz w:val="20"/>
          <w:szCs w:val="20"/>
        </w:rPr>
        <w:t xml:space="preserve"> in both strains. </w:t>
      </w:r>
      <w:r>
        <w:rPr>
          <w:color w:val="auto"/>
          <w:sz w:val="20"/>
          <w:szCs w:val="20"/>
        </w:rPr>
        <w:t>(D)</w:t>
      </w:r>
      <w:r>
        <w:rPr>
          <w:b w:val="0"/>
          <w:bCs w:val="0"/>
          <w:color w:val="auto"/>
          <w:sz w:val="20"/>
          <w:szCs w:val="20"/>
        </w:rPr>
        <w:t xml:space="preserve"> The frequency of MG1655 during the predicted competitions (dashed line). The estimated selection coefficient is </w:t>
      </w:r>
      <w:r>
        <w:rPr>
          <w:b w:val="0"/>
          <w:bCs w:val="0"/>
          <w:i/>
          <w:iCs/>
          <w:color w:val="auto"/>
          <w:sz w:val="20"/>
          <w:szCs w:val="20"/>
        </w:rPr>
        <w:t>s</w:t>
      </w:r>
      <w:r>
        <w:rPr>
          <w:b w:val="0"/>
          <w:bCs w:val="0"/>
          <w:color w:val="auto"/>
          <w:sz w:val="20"/>
          <w:szCs w:val="20"/>
        </w:rPr>
        <w:t xml:space="preserve">~0.186, calculated with eq. 4 and </w:t>
      </w:r>
      <w:r>
        <w:rPr>
          <w:b w:val="0"/>
          <w:bCs w:val="0"/>
          <w:i/>
          <w:iCs/>
          <w:color w:val="auto"/>
          <w:sz w:val="20"/>
          <w:szCs w:val="20"/>
        </w:rPr>
        <w:t>t</w:t>
      </w:r>
      <w:r>
        <w:rPr>
          <w:b w:val="0"/>
          <w:bCs w:val="0"/>
          <w:color w:val="auto"/>
          <w:sz w:val="20"/>
          <w:szCs w:val="20"/>
        </w:rPr>
        <w:t xml:space="preserve">=12. Note that the frequency of MG1655 initially declines slightly due to a longer lag phase, but then increases due to faster growth and a higher maximum density. Calculating the selection coefficient from the maximum growth rates would have yielded </w:t>
      </w:r>
      <w:r>
        <w:rPr>
          <w:b w:val="0"/>
          <w:bCs w:val="0"/>
          <w:i/>
          <w:iCs/>
          <w:color w:val="auto"/>
          <w:sz w:val="20"/>
          <w:szCs w:val="20"/>
        </w:rPr>
        <w:t>s</w:t>
      </w:r>
      <w:r>
        <w:rPr>
          <w:b w:val="0"/>
          <w:bCs w:val="0"/>
          <w:color w:val="auto"/>
          <w:sz w:val="20"/>
          <w:szCs w:val="20"/>
        </w:rPr>
        <w:t xml:space="preserve">~0.192 </w:t>
      </w:r>
      <w:r>
        <w:rPr>
          <w:b w:val="0"/>
          <w:bCs w:val="0"/>
          <w:color w:val="auto"/>
          <w:sz w:val="20"/>
          <w:szCs w:val="20"/>
        </w:rPr>
        <w:fldChar w:fldCharType="begin" w:fldLock="1"/>
      </w:r>
      <w:r>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Pr>
          <w:b w:val="0"/>
          <w:bCs w:val="0"/>
          <w:color w:val="auto"/>
          <w:sz w:val="20"/>
          <w:szCs w:val="20"/>
        </w:rPr>
        <w:fldChar w:fldCharType="separate"/>
      </w:r>
      <w:r w:rsidRPr="00DD72E5">
        <w:rPr>
          <w:b w:val="0"/>
          <w:bCs w:val="0"/>
          <w:noProof/>
          <w:color w:val="auto"/>
          <w:sz w:val="20"/>
          <w:szCs w:val="20"/>
        </w:rPr>
        <w:t>(Chevin 2011, eq. 2.3)</w:t>
      </w:r>
      <w:r>
        <w:rPr>
          <w:b w:val="0"/>
          <w:bCs w:val="0"/>
          <w:color w:val="auto"/>
          <w:sz w:val="20"/>
          <w:szCs w:val="20"/>
        </w:rPr>
        <w:fldChar w:fldCharType="end"/>
      </w:r>
      <w:r>
        <w:rPr>
          <w:b w:val="0"/>
          <w:bCs w:val="0"/>
        </w:rPr>
        <w:t>.</w:t>
      </w:r>
    </w:p>
    <w:p w14:paraId="1BFDFE5C" w14:textId="19F1B9E6" w:rsidR="002D33FF" w:rsidRDefault="002D33FF">
      <w:pPr>
        <w:spacing w:line="240" w:lineRule="auto"/>
        <w:ind w:firstLine="0"/>
      </w:pPr>
      <w:r>
        <w:br w:type="page"/>
      </w:r>
    </w:p>
    <w:p w14:paraId="2D753749" w14:textId="77AF674C" w:rsidR="003578D2" w:rsidRDefault="008F3527" w:rsidP="008F3527">
      <w:pPr>
        <w:pStyle w:val="Heading2"/>
      </w:pPr>
      <w:r>
        <w:t>Fitness</w:t>
      </w:r>
      <w:r w:rsidR="00542096" w:rsidRPr="00A362F7">
        <w:t xml:space="preserve"> </w:t>
      </w:r>
      <w:r w:rsidR="006E28DC" w:rsidRPr="00A362F7">
        <w:t>inference</w:t>
      </w:r>
    </w:p>
    <w:p w14:paraId="04D6C044" w14:textId="6071AAD8" w:rsidR="00895982" w:rsidRDefault="008F3527" w:rsidP="00895982">
      <w:r>
        <w:t>A</w:t>
      </w:r>
      <w:r w:rsidR="00895982">
        <w:t xml:space="preserve"> common method for estimating relative fitness or selection coefficients from pairwise competition results is </w:t>
      </w:r>
      <w:r w:rsidR="0089598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53862DC" w:rsidR="00895982" w:rsidRDefault="008F3527" w:rsidP="008F3527">
      <w:pPr>
        <w:jc w:val="right"/>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895982">
        <w:t xml:space="preserve">                                         (4)</w:t>
      </w:r>
    </w:p>
    <w:p w14:paraId="731A4D8A" w14:textId="333EC9CB" w:rsidR="00406968" w:rsidRDefault="00895982" w:rsidP="001D731C">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selection coefficient of the strain of interest (</w:t>
      </w:r>
      <w:r w:rsidR="001D731C" w:rsidRPr="008F3527">
        <w:rPr>
          <w:highlight w:val="yellow"/>
        </w:rPr>
        <w:t>Fig. 1D</w:t>
      </w:r>
      <w:r w:rsidR="001D731C">
        <w:t>).</w:t>
      </w:r>
    </w:p>
    <w:p w14:paraId="531DA89C" w14:textId="77777777" w:rsidR="00406968" w:rsidRDefault="00406968" w:rsidP="00A362F7">
      <w:pPr>
        <w:pStyle w:val="Heading1"/>
      </w:pPr>
      <w:r>
        <w:t>Discussion</w:t>
      </w:r>
    </w:p>
    <w:p w14:paraId="567E758A" w14:textId="37DB91C7" w:rsidR="005226B0" w:rsidRDefault="00E95165" w:rsidP="008F3527">
      <w:r>
        <w:t xml:space="preserve">We present a </w:t>
      </w:r>
      <w:r w:rsidR="005226B0">
        <w:t xml:space="preserve">new computational </w:t>
      </w:r>
      <w:r>
        <w:t>method to predict the results of competition</w:t>
      </w:r>
      <w:r w:rsidR="007A5D05">
        <w:t>s between two strains</w:t>
      </w:r>
      <w:r>
        <w:t xml:space="preserve"> </w:t>
      </w:r>
      <w:r w:rsidR="007A5D05">
        <w:t xml:space="preserve">from the </w:t>
      </w:r>
      <w:r>
        <w:t xml:space="preserve">growth curves </w:t>
      </w:r>
      <w:r w:rsidR="008F3527">
        <w:t>of mono- and mixed cultures</w:t>
      </w:r>
      <w:r>
        <w:t>.</w:t>
      </w:r>
      <w:r w:rsidR="005226B0">
        <w:t xml:space="preserve"> This method </w:t>
      </w:r>
      <w:r w:rsidR="00096923">
        <w:t xml:space="preserve">should </w:t>
      </w:r>
      <w:r w:rsidR="005226B0">
        <w:t>be useful</w:t>
      </w:r>
      <w:r w:rsidR="00145FE7">
        <w:t>,</w:t>
      </w:r>
      <w:r w:rsidR="005226B0">
        <w:t xml:space="preserve"> because growth curve </w:t>
      </w:r>
      <w:r w:rsidR="006147AD">
        <w:t>experiments</w:t>
      </w:r>
      <w:r w:rsidR="008F3527">
        <w:t>, in which only optical density is measured,</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8F3527">
        <w:t>, in which the cell frequency or count of each strain in measured</w:t>
      </w:r>
      <w:r w:rsidR="00044070">
        <w:t xml:space="preserve"> </w:t>
      </w:r>
      <w:r w:rsidR="00044070">
        <w:fldChar w:fldCharType="begin" w:fldLock="1"/>
      </w:r>
      <w:r w:rsidR="0044050E">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Escherichia coli",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rsidR="005226B0">
        <w:t xml:space="preserve">. As automatic 96-well microplate readers become more and </w:t>
      </w:r>
      <w:r w:rsidR="00096923">
        <w:t xml:space="preserve">more </w:t>
      </w:r>
      <w:r w:rsidR="006147AD">
        <w:t>common</w:t>
      </w:r>
      <w:r w:rsidR="00096923">
        <w:t xml:space="preserve"> in microbiology</w:t>
      </w:r>
      <w:r w:rsidR="005226B0">
        <w:t xml:space="preserve"> labs,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p>
    <w:p w14:paraId="4C7003BA" w14:textId="71B6AD7B" w:rsidR="00920F1D" w:rsidRDefault="00920F1D" w:rsidP="008F3527">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r w:rsidR="00E14ACF" w:rsidRPr="00E14ACF">
        <w:t xml:space="preserve">they </w:t>
      </w:r>
      <w:r w:rsidR="008F3527">
        <w:t xml:space="preserve">depend on </w:t>
      </w:r>
      <w:r w:rsidR="00E14ACF" w:rsidRPr="00E14ACF">
        <w:t>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w:t>
      </w:r>
      <w:r w:rsidR="008F3527">
        <w:t xml:space="preserve">and competition </w:t>
      </w:r>
      <w:r>
        <w:t>model can be extended to include other phases and factors of growth, such as biphasic growth</w:t>
      </w:r>
      <w:r w:rsidR="007E465E">
        <w:t xml:space="preserve"> and cell death.</w:t>
      </w:r>
    </w:p>
    <w:p w14:paraId="004BD330" w14:textId="735323EC" w:rsidR="00406968" w:rsidRDefault="005226B0" w:rsidP="005B79A5">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5B79A5">
        <w:t xml:space="preserve">(eq. 1) </w:t>
      </w:r>
      <w:r w:rsidR="00406968">
        <w:t xml:space="preserve">and a closed form </w:t>
      </w:r>
      <w:r w:rsidR="00B947CD">
        <w:t xml:space="preserve">analytical </w:t>
      </w:r>
      <w:r w:rsidR="00406968">
        <w:t>solution</w:t>
      </w:r>
      <w:r w:rsidR="005B79A5">
        <w:t xml:space="preserve"> (eq. 2)</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w:t>
      </w:r>
      <w:r w:rsidR="00D46522">
        <w:t xml:space="preserve"> the</w:t>
      </w:r>
      <w:r w:rsidR="00406968">
        <w:t xml:space="preserve"> growth curve data</w:t>
      </w:r>
      <w:r w:rsidR="00D46522">
        <w:t>,</w:t>
      </w:r>
      <w:r>
        <w:t xml:space="preserve"> while</w:t>
      </w:r>
      <w:r w:rsidR="00406968">
        <w:t xml:space="preserve"> the differential equation is used to predict the competition</w:t>
      </w:r>
      <w:r w:rsidR="00096923">
        <w:t xml:space="preserve"> dynamic</w:t>
      </w:r>
      <w:r w:rsidR="00406968">
        <w:t>s.</w:t>
      </w:r>
    </w:p>
    <w:p w14:paraId="77F17907" w14:textId="38F230E2" w:rsidR="00E95165" w:rsidRPr="00555009" w:rsidRDefault="00E95165" w:rsidP="00555009">
      <w:r w:rsidRPr="008F3527">
        <w:rPr>
          <w:highlight w:val="yellow"/>
        </w:rPr>
        <w:t>Our method assumes that the two strains interact</w:t>
      </w:r>
      <w:r w:rsidR="006147AD" w:rsidRPr="008F3527">
        <w:rPr>
          <w:highlight w:val="yellow"/>
        </w:rPr>
        <w:t xml:space="preserve"> solely</w:t>
      </w:r>
      <w:r w:rsidRPr="008F3527">
        <w:rPr>
          <w:highlight w:val="yellow"/>
        </w:rPr>
        <w:t xml:space="preserve"> via resource competition</w:t>
      </w:r>
      <w:r w:rsidR="00451F50" w:rsidRPr="008F3527">
        <w:rPr>
          <w:highlight w:val="yellow"/>
        </w:rPr>
        <w:t>; that is, only through</w:t>
      </w:r>
      <w:r w:rsidR="008D29A3" w:rsidRPr="008F3527">
        <w:rPr>
          <w:highlight w:val="yellow"/>
        </w:rPr>
        <w:t xml:space="preserve"> the </w:t>
      </w:r>
      <w:proofErr w:type="gramStart"/>
      <w:r w:rsidR="008D29A3" w:rsidRPr="008F3527">
        <w:rPr>
          <w:highlight w:val="yellow"/>
        </w:rPr>
        <w:t>factor</w:t>
      </w:r>
      <w:r w:rsidR="00451F50" w:rsidRPr="008F3527">
        <w:rPr>
          <w:highlight w:val="yellow"/>
        </w:rPr>
        <w:t xml:space="preserve"> </w:t>
      </w:r>
      <w:proofErr w:type="gramEnd"/>
      <m:oMath>
        <m:d>
          <m:dPr>
            <m:ctrlPr>
              <w:rPr>
                <w:rFonts w:ascii="Cambria Math" w:hAnsi="Cambria Math"/>
                <w:i/>
                <w:highlight w:val="yellow"/>
              </w:rPr>
            </m:ctrlPr>
          </m:dPr>
          <m:e>
            <m:r>
              <w:rPr>
                <w:rFonts w:ascii="Cambria Math" w:hAnsi="Cambria Math"/>
                <w:highlight w:val="yellow"/>
              </w:rPr>
              <m:t>1-</m:t>
            </m:r>
            <m:f>
              <m:fPr>
                <m:type m:val="lin"/>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1</m:t>
                    </m:r>
                  </m:sub>
                </m:sSub>
              </m:den>
            </m:f>
            <m:r>
              <w:rPr>
                <w:rFonts w:ascii="Cambria Math" w:hAnsi="Cambria Math"/>
                <w:highlight w:val="yellow"/>
              </w:rPr>
              <m:t>+</m:t>
            </m:r>
            <m:f>
              <m:fPr>
                <m:type m:val="lin"/>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num>
              <m:den>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2</m:t>
                    </m:r>
                  </m:sub>
                </m:sSub>
              </m:den>
            </m:f>
          </m:e>
        </m:d>
      </m:oMath>
      <w:r w:rsidR="00451F50" w:rsidRPr="008F3527">
        <w:rPr>
          <w:highlight w:val="yellow"/>
        </w:rPr>
        <w:t xml:space="preserve">. </w:t>
      </w:r>
      <w:r w:rsidR="00096923" w:rsidRPr="008F3527">
        <w:rPr>
          <w:highlight w:val="yellow"/>
        </w:rPr>
        <w:t xml:space="preserve">If the </w:t>
      </w:r>
      <w:r w:rsidR="00451F50" w:rsidRPr="008F3527">
        <w:rPr>
          <w:highlight w:val="yellow"/>
        </w:rPr>
        <w:t>investigators know or suspect that additional interactions exist (</w:t>
      </w:r>
      <w:r w:rsidR="00451F50" w:rsidRPr="008F3527">
        <w:rPr>
          <w:i/>
          <w:iCs/>
          <w:highlight w:val="yellow"/>
        </w:rPr>
        <w:t>i.e.</w:t>
      </w:r>
      <w:r w:rsidR="00451F50" w:rsidRPr="008F3527">
        <w:rPr>
          <w:highlight w:val="yellow"/>
        </w:rPr>
        <w:t xml:space="preserve">, density-dependent interactions such as social or sexual selection, mutualism, and interference), our model can serve as a null hypothesis: the results of competition </w:t>
      </w:r>
      <w:r w:rsidR="006147AD" w:rsidRPr="008F3527">
        <w:rPr>
          <w:highlight w:val="yellow"/>
        </w:rPr>
        <w:t>experiments</w:t>
      </w:r>
      <w:r w:rsidR="00451F50" w:rsidRPr="008F3527">
        <w:rPr>
          <w:highlight w:val="yellow"/>
        </w:rPr>
        <w:t xml:space="preserve"> can be compared to model predictions and a</w:t>
      </w:r>
      <w:r w:rsidR="00096923" w:rsidRPr="008F3527">
        <w:rPr>
          <w:highlight w:val="yellow"/>
        </w:rPr>
        <w:t xml:space="preserve"> goodness of fit test </w:t>
      </w:r>
      <w:r w:rsidR="00451F50" w:rsidRPr="008F3527">
        <w:rPr>
          <w:highlight w:val="yellow"/>
        </w:rPr>
        <w:t>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8F3527">
        <w:rPr>
          <w:highlight w:val="yellow"/>
        </w:rPr>
        <w:t xml:space="preserve"> </w:t>
      </w:r>
      <w:r w:rsidR="00451F50" w:rsidRPr="008F3527">
        <w:rPr>
          <w:highlight w:val="yellow"/>
        </w:rPr>
        <w:fldChar w:fldCharType="begin" w:fldLock="1"/>
      </w:r>
      <w:r w:rsidR="0044050E" w:rsidRPr="008F3527">
        <w:rPr>
          <w:highlight w:val="yellow"/>
        </w:rPr>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8F3527">
        <w:rPr>
          <w:highlight w:val="yellow"/>
        </w:rPr>
        <w:fldChar w:fldCharType="separate"/>
      </w:r>
      <w:r w:rsidR="003D0164" w:rsidRPr="008F3527">
        <w:rPr>
          <w:noProof/>
          <w:highlight w:val="yellow"/>
        </w:rPr>
        <w:t>(Masel 2014)</w:t>
      </w:r>
      <w:r w:rsidR="00451F50" w:rsidRPr="008F3527">
        <w:rPr>
          <w:highlight w:val="yellow"/>
        </w:rPr>
        <w:fldChar w:fldCharType="end"/>
      </w:r>
      <w:r w:rsidR="00451F50" w:rsidRPr="008F3527">
        <w:rPr>
          <w:highlight w:val="yellow"/>
        </w:rPr>
        <w:t>.</w:t>
      </w:r>
      <w:r w:rsidR="006147AD" w:rsidRPr="00555009">
        <w:t xml:space="preserve"> </w:t>
      </w:r>
      <w:r w:rsidR="00555009">
        <w:t xml:space="preserve"> </w:t>
      </w:r>
    </w:p>
    <w:p w14:paraId="05BD0246" w14:textId="77777777" w:rsidR="00096923" w:rsidRDefault="00096923" w:rsidP="00096923">
      <w:pPr>
        <w:pStyle w:val="Heading2"/>
      </w:pPr>
      <w:r>
        <w:t>Conclusions</w:t>
      </w:r>
    </w:p>
    <w:p w14:paraId="3F0CFB8A" w14:textId="236628FB" w:rsidR="00096923" w:rsidRDefault="00E50794" w:rsidP="008F3527">
      <w:r>
        <w:t>We</w:t>
      </w:r>
      <w:r w:rsidR="00096923">
        <w:t xml:space="preserve"> propose</w:t>
      </w:r>
      <w:r w:rsidR="008F3527">
        <w:t xml:space="preserve"> and test</w:t>
      </w:r>
      <w:r w:rsidR="00096923">
        <w:t xml:space="preserve"> a new </w:t>
      </w:r>
      <w:r w:rsidR="008D29A3">
        <w:t xml:space="preserve">method to </w:t>
      </w:r>
      <w:r w:rsidR="00096923">
        <w:t>analyze growth curves</w:t>
      </w:r>
      <w:r>
        <w:t>, predict competition results,</w:t>
      </w:r>
      <w:r w:rsidR="00096923">
        <w:t xml:space="preserve"> and </w:t>
      </w:r>
      <w:r>
        <w:t>estimate</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for </w:t>
      </w:r>
      <w:proofErr w:type="spellStart"/>
      <w:r w:rsidR="008F3527">
        <w:t>interpretating</w:t>
      </w:r>
      <w:proofErr w:type="spellEnd"/>
      <w:r w:rsidR="00096923">
        <w:t xml:space="preserve"> competition </w:t>
      </w:r>
      <w:r>
        <w:t>experiments</w:t>
      </w:r>
      <w:r w:rsidR="00B830DD">
        <w:t>.</w:t>
      </w:r>
    </w:p>
    <w:p w14:paraId="38E2EFE2" w14:textId="77777777" w:rsidR="002D33FF" w:rsidRDefault="002D33FF" w:rsidP="00B1304F"/>
    <w:p w14:paraId="701ABB3D" w14:textId="77777777" w:rsidR="009C4366" w:rsidRDefault="009C4366" w:rsidP="00BC14C2">
      <w:pPr>
        <w:pStyle w:val="Heading1"/>
      </w:pPr>
      <w:r>
        <w:t>Acknowledgments</w:t>
      </w:r>
    </w:p>
    <w:p w14:paraId="4C8E18C2" w14:textId="3578D749" w:rsidR="00574E06" w:rsidRDefault="009C4366" w:rsidP="00574E06">
      <w:pPr>
        <w:rPr>
          <w:rFonts w:ascii="Times New Roman" w:eastAsia="Times New Roman" w:hAnsi="Times New Roman" w:cs="Times New Roman"/>
        </w:rPr>
      </w:pPr>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9C1B7D">
        <w:t xml:space="preserve">H. </w:t>
      </w:r>
      <w:proofErr w:type="spellStart"/>
      <w:r w:rsidR="009C1B7D">
        <w:t>Acar</w:t>
      </w:r>
      <w:proofErr w:type="spellEnd"/>
      <w:r w:rsidR="009C1B7D">
        <w:t>,</w:t>
      </w:r>
      <w:r w:rsidR="00090EE9">
        <w:t xml:space="preserve"> J. Barrick</w:t>
      </w:r>
      <w:r w:rsidR="00574E06">
        <w:t>,</w:t>
      </w:r>
      <w:r w:rsidR="008F3527">
        <w:t xml:space="preserve"> E. Rosenberg,</w:t>
      </w:r>
      <w:bookmarkStart w:id="0" w:name="_GoBack"/>
      <w:bookmarkEnd w:id="0"/>
      <w:r w:rsidR="009C1B7D">
        <w:t xml:space="preserve"> </w:t>
      </w:r>
      <w:r>
        <w:t xml:space="preserve">and J. </w:t>
      </w:r>
      <w:proofErr w:type="spellStart"/>
      <w:r>
        <w:t>Masel</w:t>
      </w:r>
      <w:proofErr w:type="spellEnd"/>
      <w:r>
        <w:t xml:space="preserve"> for helpful discussions</w:t>
      </w:r>
      <w:r w:rsidR="00574E06">
        <w:t xml:space="preserve"> 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w:t>
      </w:r>
      <w:r w:rsidR="006F0C9C">
        <w:t xml:space="preserve"> </w:t>
      </w:r>
      <w:r w:rsidR="006F0C9C" w:rsidRPr="006F0C9C">
        <w:rPr>
          <w:bCs/>
        </w:rPr>
        <w:t>TAU Global Research and Training Fellowship in Medical and Life Science and 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7D8D530C" w14:textId="77777777" w:rsidR="00574E06" w:rsidRDefault="00574E06">
      <w:pPr>
        <w:spacing w:line="240" w:lineRule="auto"/>
        <w:ind w:firstLine="0"/>
        <w:rPr>
          <w:rFonts w:ascii="Times New Roman" w:eastAsia="Times New Roman" w:hAnsi="Times New Roman" w:cs="Times New Roman"/>
        </w:rPr>
      </w:pPr>
      <w:r>
        <w:rPr>
          <w:rFonts w:ascii="Times New Roman" w:eastAsia="Times New Roman" w:hAnsi="Times New Roman" w:cs="Times New Roman"/>
        </w:rPr>
        <w:br w:type="page"/>
      </w:r>
    </w:p>
    <w:p w14:paraId="39EDFCDD" w14:textId="54992EA1" w:rsidR="009C4366" w:rsidRDefault="00574E06" w:rsidP="00574E06">
      <w:pPr>
        <w:pStyle w:val="Heading1"/>
      </w:pPr>
      <w:r>
        <w:t>Appendices</w:t>
      </w:r>
    </w:p>
    <w:p w14:paraId="21304A25" w14:textId="01B227C3" w:rsidR="00574E06" w:rsidRDefault="00574E06" w:rsidP="002136EB">
      <w:pPr>
        <w:pStyle w:val="Heading2"/>
      </w:pPr>
      <w:r>
        <w:t xml:space="preserve">Appendix A: Deriving the </w:t>
      </w:r>
      <w:r w:rsidR="002136EB">
        <w:t xml:space="preserve">growth </w:t>
      </w:r>
      <w:r>
        <w:t>model</w:t>
      </w:r>
    </w:p>
    <w:p w14:paraId="6F1FD670" w14:textId="712F2478" w:rsidR="00574E06" w:rsidRDefault="00574E06" w:rsidP="0001424B">
      <w:r>
        <w:t xml:space="preserve">Consider a population whose density or count is denoted by </w:t>
      </w:r>
      <w:r>
        <w:rPr>
          <w:i/>
          <w:iCs/>
        </w:rPr>
        <w:t>N</w:t>
      </w:r>
      <w:r>
        <w:t xml:space="preserve">. Let us denote the specific growth rate (or the per-capita growth rate) by </w:t>
      </w:r>
      <w:r>
        <w:rPr>
          <w:i/>
          <w:iCs/>
        </w:rPr>
        <w:t>Z</w:t>
      </w:r>
      <w:r w:rsidR="0001424B">
        <w:rPr>
          <w:i/>
          <w:iCs/>
        </w:rPr>
        <w:t xml:space="preserve"> </w:t>
      </w:r>
      <w:r w:rsidR="0001424B">
        <w:fldChar w:fldCharType="begin" w:fldLock="1"/>
      </w:r>
      <w:r w:rsidR="00715DA6">
        <w:instrText>ADDIN CSL_CITATION { "citationItems" : [ { "id" : "ITEM-1", "itemData" : { "DOI" : "10.1139/f81-153", "ISSN" : "0706-652X", "author" : [ { "dropping-particle" : "", "family" : "Schnute", "given" : "Jon", "non-dropping-particle" : "", "parse-names" : false, "suffix" : "" } ], "container-title" : "Canadian Journal of Fisheries and Aquatic Sciences", "id" : "ITEM-1", "issue" : "9", "issued" : { "date-parts" : [ [ "1981", "9" ] ] }, "page" : "1128-1140", "title" : "A Versatile Growth Model with Statistically Stable Parameters", "type" : "article-journal", "volume" : "38" }, "uris" : [ "http://www.mendeley.com/documents/?uuid=c0ac22b3-29a7-470a-9fc7-c0502ede586f" ] } ], "mendeley" : { "formattedCitation" : "(Schnute 1981)", "plainTextFormattedCitation" : "(Schnute 1981)", "previouslyFormattedCitation" : "(Schnute 1981)" }, "properties" : { "noteIndex" : 0 }, "schema" : "https://github.com/citation-style-language/schema/raw/master/csl-citation.json" }</w:instrText>
      </w:r>
      <w:r w:rsidR="0001424B">
        <w:fldChar w:fldCharType="separate"/>
      </w:r>
      <w:r w:rsidR="0001424B" w:rsidRPr="0001424B">
        <w:rPr>
          <w:noProof/>
        </w:rPr>
        <w:t>(Schnute 1981)</w:t>
      </w:r>
      <w:r w:rsidR="0001424B">
        <w:fldChar w:fldCharType="end"/>
      </w:r>
      <w:r>
        <w:t>:</w:t>
      </w:r>
    </w:p>
    <w:p w14:paraId="17EC6545" w14:textId="1942A8F4" w:rsidR="00574E06" w:rsidRDefault="00574E06" w:rsidP="00574E06">
      <w:pPr>
        <w:jc w:val="center"/>
      </w:pP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r>
              <w:rPr>
                <w:rFonts w:ascii="Cambria Math" w:hAnsi="Cambria Math"/>
              </w:rPr>
              <m:t>dN</m:t>
            </m:r>
          </m:num>
          <m:den>
            <m:r>
              <w:rPr>
                <w:rFonts w:ascii="Cambria Math" w:hAnsi="Cambria Math"/>
              </w:rPr>
              <m:t>dt</m:t>
            </m:r>
          </m:den>
        </m:f>
      </m:oMath>
      <w:r>
        <w:t>.</w:t>
      </w:r>
    </w:p>
    <w:p w14:paraId="7D65E018" w14:textId="1DFA267F" w:rsidR="00574E06" w:rsidRDefault="00574E06" w:rsidP="00574E06">
      <w:r>
        <w:t xml:space="preserve">Let us assume that the specific rate of </w:t>
      </w:r>
      <w:r>
        <w:rPr>
          <w:i/>
          <w:iCs/>
        </w:rPr>
        <w:t>Z</w:t>
      </w:r>
      <w:r>
        <w:t xml:space="preserve"> is a linear function of itself:</w:t>
      </w:r>
    </w:p>
    <w:p w14:paraId="71418924" w14:textId="65801B01" w:rsidR="00574E06" w:rsidRDefault="00D220AB" w:rsidP="00574E06">
      <w:pPr>
        <w:jc w:val="center"/>
      </w:pPr>
      <m:oMath>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dZ</m:t>
            </m:r>
          </m:num>
          <m:den>
            <m:r>
              <w:rPr>
                <w:rFonts w:ascii="Cambria Math" w:hAnsi="Cambria Math"/>
              </w:rPr>
              <m:t>dt</m:t>
            </m:r>
          </m:den>
        </m:f>
        <m:r>
          <w:rPr>
            <w:rFonts w:ascii="Cambria Math" w:hAnsi="Cambria Math"/>
          </w:rPr>
          <m:t>=-(a+bZ)</m:t>
        </m:r>
      </m:oMath>
      <w:r w:rsidR="00574E06">
        <w:t>.</w:t>
      </w:r>
    </w:p>
    <w:p w14:paraId="78ED6561" w14:textId="67851F13" w:rsidR="00574E06" w:rsidRDefault="00574E06" w:rsidP="00574E06">
      <w:r>
        <w:t xml:space="preserve">Now, if we substitute </w:t>
      </w:r>
      <m:oMath>
        <m:r>
          <w:rPr>
            <w:rFonts w:ascii="Cambria Math" w:hAnsi="Cambria Math"/>
          </w:rPr>
          <m:t>ν=-b, a=rν</m:t>
        </m:r>
      </m:oMath>
      <w:r>
        <w:t xml:space="preserve"> we get the following differential equations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574E06" w14:paraId="47E1A7F2" w14:textId="77777777" w:rsidTr="00574E06">
        <w:tc>
          <w:tcPr>
            <w:tcW w:w="2840" w:type="dxa"/>
            <w:vAlign w:val="center"/>
          </w:tcPr>
          <w:p w14:paraId="6512F157" w14:textId="77777777" w:rsidR="00574E06" w:rsidRDefault="00574E06" w:rsidP="00574E06">
            <w:pPr>
              <w:ind w:firstLine="0"/>
              <w:jc w:val="right"/>
            </w:pPr>
          </w:p>
        </w:tc>
        <w:tc>
          <w:tcPr>
            <w:tcW w:w="2841" w:type="dxa"/>
            <w:vAlign w:val="center"/>
          </w:tcPr>
          <w:p w14:paraId="22C170BF" w14:textId="7C8D2ADE" w:rsidR="00574E06" w:rsidRDefault="00D220AB" w:rsidP="00C4070E">
            <w:pPr>
              <w:ind w:firstLine="0"/>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xml:space="preserve">=NZ           </m:t>
                      </m:r>
                    </m:e>
                    <m:e>
                      <m:f>
                        <m:fPr>
                          <m:ctrlPr>
                            <w:rPr>
                              <w:rFonts w:ascii="Cambria Math" w:hAnsi="Cambria Math"/>
                              <w:i/>
                            </w:rPr>
                          </m:ctrlPr>
                        </m:fPr>
                        <m:num>
                          <m:r>
                            <w:rPr>
                              <w:rFonts w:ascii="Cambria Math" w:hAnsi="Cambria Math"/>
                            </w:rPr>
                            <m:t>dZ</m:t>
                          </m:r>
                        </m:num>
                        <m:den>
                          <m:r>
                            <w:rPr>
                              <w:rFonts w:ascii="Cambria Math" w:hAnsi="Cambria Math"/>
                            </w:rPr>
                            <m:t>d</m:t>
                          </m:r>
                          <m:r>
                            <w:rPr>
                              <w:rFonts w:ascii="Cambria Math" w:hAnsi="Cambria Math"/>
                            </w:rPr>
                            <m:t>t</m:t>
                          </m:r>
                        </m:den>
                      </m:f>
                      <m:r>
                        <w:rPr>
                          <w:rFonts w:ascii="Cambria Math" w:hAnsi="Cambria Math"/>
                        </w:rPr>
                        <m:t>=ν</m:t>
                      </m:r>
                      <m:d>
                        <m:dPr>
                          <m:ctrlPr>
                            <w:rPr>
                              <w:rFonts w:ascii="Cambria Math" w:hAnsi="Cambria Math"/>
                              <w:i/>
                            </w:rPr>
                          </m:ctrlPr>
                        </m:dPr>
                        <m:e>
                          <m:r>
                            <w:rPr>
                              <w:rFonts w:ascii="Cambria Math" w:hAnsi="Cambria Math"/>
                            </w:rPr>
                            <m:t>Z-r</m:t>
                          </m:r>
                        </m:e>
                      </m:d>
                    </m:e>
                  </m:eqArr>
                </m:e>
              </m:d>
            </m:oMath>
            <w:r w:rsidR="00C4070E">
              <w:t>.</w:t>
            </w:r>
          </w:p>
        </w:tc>
        <w:tc>
          <w:tcPr>
            <w:tcW w:w="2841" w:type="dxa"/>
            <w:vAlign w:val="center"/>
          </w:tcPr>
          <w:p w14:paraId="556B83DA" w14:textId="77777777" w:rsidR="00574E06" w:rsidRDefault="00574E06" w:rsidP="00574E06">
            <w:pPr>
              <w:ind w:firstLine="0"/>
              <w:jc w:val="right"/>
            </w:pPr>
            <w:r>
              <w:t>[A1a]</w:t>
            </w:r>
          </w:p>
          <w:p w14:paraId="720F1691" w14:textId="18AE161E" w:rsidR="00574E06" w:rsidRDefault="00574E06" w:rsidP="00574E06">
            <w:pPr>
              <w:ind w:firstLine="0"/>
              <w:jc w:val="right"/>
            </w:pPr>
            <w:r>
              <w:t>[A1b]</w:t>
            </w:r>
          </w:p>
        </w:tc>
      </w:tr>
    </w:tbl>
    <w:p w14:paraId="4878E140" w14:textId="151CE4C8" w:rsidR="00574E06" w:rsidRDefault="00574E06" w:rsidP="00292016">
      <w:proofErr w:type="gramStart"/>
      <w:r>
        <w:t xml:space="preserve">Solving </w:t>
      </w:r>
      <w:proofErr w:type="spellStart"/>
      <w:r w:rsidR="00292016">
        <w:t>eqs</w:t>
      </w:r>
      <w:proofErr w:type="spellEnd"/>
      <w:r w:rsidR="00292016">
        <w:t>.</w:t>
      </w:r>
      <w:proofErr w:type="gramEnd"/>
      <w:r w:rsidR="00292016">
        <w:t xml:space="preserve"> A1 </w:t>
      </w:r>
      <w:r>
        <w:t xml:space="preserve">with the boundary conditions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and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e>
        </m:d>
        <m:r>
          <w:rPr>
            <w:rFonts w:ascii="Cambria Math" w:hAnsi="Cambria Math"/>
          </w:rPr>
          <m:t>=K</m:t>
        </m:r>
      </m:oMath>
      <w:r>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oMath>
      <w:r>
        <w:t xml:space="preserve"> is the time after which the </w:t>
      </w:r>
      <w:r w:rsidRPr="00574E06">
        <w:rPr>
          <w:i/>
          <w:iCs/>
        </w:rPr>
        <w:t>N</w:t>
      </w:r>
      <w:r>
        <w:t xml:space="preserve"> is constant) gives</w:t>
      </w:r>
      <w:r w:rsidR="00A87C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A87CA6" w14:paraId="516B09B7" w14:textId="77777777" w:rsidTr="00C4070E">
        <w:tc>
          <w:tcPr>
            <w:tcW w:w="1951" w:type="dxa"/>
            <w:vAlign w:val="center"/>
          </w:tcPr>
          <w:p w14:paraId="3BCFFDBB" w14:textId="77777777" w:rsidR="00A87CA6" w:rsidRDefault="00A87CA6" w:rsidP="00A87CA6">
            <w:pPr>
              <w:ind w:firstLine="0"/>
              <w:jc w:val="right"/>
            </w:pPr>
          </w:p>
        </w:tc>
        <w:tc>
          <w:tcPr>
            <w:tcW w:w="5103" w:type="dxa"/>
            <w:vAlign w:val="center"/>
          </w:tcPr>
          <w:p w14:paraId="3545CF84" w14:textId="38031484" w:rsidR="00A87CA6" w:rsidRDefault="00A87CA6" w:rsidP="00C4070E">
            <w:pPr>
              <w:ind w:firstLine="0"/>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C4070E">
              <w:t>.</w:t>
            </w:r>
          </w:p>
        </w:tc>
        <w:tc>
          <w:tcPr>
            <w:tcW w:w="1468" w:type="dxa"/>
            <w:vAlign w:val="center"/>
          </w:tcPr>
          <w:p w14:paraId="1D54987F" w14:textId="48C6F28B" w:rsidR="00A87CA6" w:rsidRDefault="00C4070E" w:rsidP="00C4070E">
            <w:pPr>
              <w:ind w:firstLine="0"/>
              <w:jc w:val="right"/>
            </w:pPr>
            <w:r>
              <w:t>[A2]</w:t>
            </w:r>
          </w:p>
        </w:tc>
      </w:tr>
    </w:tbl>
    <w:p w14:paraId="2A291771" w14:textId="2B087078" w:rsidR="00C4070E" w:rsidRDefault="00C4070E" w:rsidP="00C4070E">
      <w:pPr>
        <w:spacing w:line="240" w:lineRule="auto"/>
        <w:ind w:firstLine="0"/>
      </w:pPr>
      <w:r>
        <w:t xml:space="preserve">However, this is also the solution to the Richards ODE </w:t>
      </w:r>
      <w:r>
        <w:fldChar w:fldCharType="begin" w:fldLock="1"/>
      </w:r>
      <w:r w:rsidR="005329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C4070E">
        <w:rPr>
          <w:noProof/>
        </w:rPr>
        <w:t>(Richards 1959)</w:t>
      </w:r>
      <w:r>
        <w:fldChar w:fldCharType="end"/>
      </w:r>
      <w:r>
        <w:t xml:space="preserve"> which is equivalent to eq. 1 without lag </w:t>
      </w:r>
      <m:oMath>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=0</m:t>
            </m:r>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C4070E" w14:paraId="38569BA5" w14:textId="77777777" w:rsidTr="0053290E">
        <w:tc>
          <w:tcPr>
            <w:tcW w:w="1951" w:type="dxa"/>
            <w:vAlign w:val="center"/>
          </w:tcPr>
          <w:p w14:paraId="7513CAFD" w14:textId="77777777" w:rsidR="00C4070E" w:rsidRDefault="00C4070E" w:rsidP="0053290E">
            <w:pPr>
              <w:ind w:firstLine="0"/>
              <w:jc w:val="right"/>
            </w:pPr>
          </w:p>
        </w:tc>
        <w:tc>
          <w:tcPr>
            <w:tcW w:w="5103" w:type="dxa"/>
            <w:vAlign w:val="center"/>
          </w:tcPr>
          <w:p w14:paraId="135F3004" w14:textId="385DB2F1" w:rsidR="00C4070E" w:rsidRDefault="00D220AB" w:rsidP="00C4070E">
            <w:pPr>
              <w:ind w:firstLine="0"/>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C4070E">
              <w:t>.</w:t>
            </w:r>
          </w:p>
        </w:tc>
        <w:tc>
          <w:tcPr>
            <w:tcW w:w="1468" w:type="dxa"/>
            <w:vAlign w:val="center"/>
          </w:tcPr>
          <w:p w14:paraId="45C1D6B4" w14:textId="5D45A200" w:rsidR="00C4070E" w:rsidRDefault="00C4070E" w:rsidP="0053290E">
            <w:pPr>
              <w:ind w:firstLine="0"/>
              <w:jc w:val="right"/>
            </w:pPr>
            <w:r>
              <w:t>[A3]</w:t>
            </w:r>
          </w:p>
        </w:tc>
      </w:tr>
    </w:tbl>
    <w:p w14:paraId="22A5EC2C" w14:textId="1A5EA39B" w:rsidR="00C4070E" w:rsidRDefault="00292016" w:rsidP="00292016">
      <w:pPr>
        <w:spacing w:line="240" w:lineRule="auto"/>
        <w:ind w:firstLine="0"/>
      </w:pPr>
      <w:r>
        <w:t>Eq. A3 is an autonomous</w:t>
      </w:r>
      <w:r w:rsidR="0053290E">
        <w:t xml:space="preserve"> differential</w:t>
      </w:r>
      <w:r w:rsidR="00C4070E">
        <w:t xml:space="preserve"> </w:t>
      </w:r>
      <w:r>
        <w:t xml:space="preserve">equation </w:t>
      </w:r>
      <w:r w:rsidR="0053290E">
        <w:t>(</w:t>
      </w:r>
      <w:proofErr w:type="spellStart"/>
      <w:r w:rsidR="0053290E" w:rsidRPr="0053290E">
        <w:rPr>
          <w:i/>
          <w:iCs/>
        </w:rPr>
        <w:t>dN</w:t>
      </w:r>
      <w:proofErr w:type="spellEnd"/>
      <w:r w:rsidR="0053290E" w:rsidRPr="0053290E">
        <w:rPr>
          <w:i/>
          <w:iCs/>
        </w:rPr>
        <w:t>/</w:t>
      </w:r>
      <w:proofErr w:type="spellStart"/>
      <w:r w:rsidR="0053290E" w:rsidRPr="0053290E">
        <w:rPr>
          <w:i/>
          <w:iCs/>
        </w:rPr>
        <w:t>dt</w:t>
      </w:r>
      <w:proofErr w:type="spellEnd"/>
      <w:r w:rsidR="0053290E">
        <w:t xml:space="preserve"> doesn't depend on </w:t>
      </w:r>
      <w:r w:rsidR="0053290E">
        <w:rPr>
          <w:i/>
          <w:iCs/>
        </w:rPr>
        <w:t>t</w:t>
      </w:r>
      <w:r w:rsidR="0053290E">
        <w:t xml:space="preserve">). To include the lag phase, </w:t>
      </w:r>
      <w:proofErr w:type="spellStart"/>
      <w:r w:rsidR="0053290E">
        <w:t>Baranyi</w:t>
      </w:r>
      <w:proofErr w:type="spellEnd"/>
      <w:r w:rsidR="0053290E">
        <w:t xml:space="preserve"> and Roberts </w:t>
      </w:r>
      <w:r w:rsidR="0053290E">
        <w:fldChar w:fldCharType="begin" w:fldLock="1"/>
      </w:r>
      <w:r w:rsidR="0053290E">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53290E">
        <w:fldChar w:fldCharType="separate"/>
      </w:r>
      <w:r w:rsidR="0053290E" w:rsidRPr="0053290E">
        <w:rPr>
          <w:noProof/>
        </w:rPr>
        <w:t>(1994)</w:t>
      </w:r>
      <w:r w:rsidR="0053290E">
        <w:fldChar w:fldCharType="end"/>
      </w:r>
      <w:r w:rsidR="0053290E">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3290E">
        <w:t xml:space="preserve"> (which makes the equation non-autonomous):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53290E" w14:paraId="71127133" w14:textId="77777777" w:rsidTr="0053290E">
        <w:tc>
          <w:tcPr>
            <w:tcW w:w="1951" w:type="dxa"/>
            <w:vAlign w:val="center"/>
          </w:tcPr>
          <w:p w14:paraId="54773F62" w14:textId="77777777" w:rsidR="0053290E" w:rsidRDefault="0053290E" w:rsidP="0053290E">
            <w:pPr>
              <w:ind w:firstLine="0"/>
              <w:jc w:val="right"/>
            </w:pPr>
          </w:p>
        </w:tc>
        <w:tc>
          <w:tcPr>
            <w:tcW w:w="5103" w:type="dxa"/>
            <w:vAlign w:val="center"/>
          </w:tcPr>
          <w:p w14:paraId="7DC7877C" w14:textId="1A6D4C9D" w:rsidR="0053290E" w:rsidRDefault="00D220AB" w:rsidP="0053290E">
            <w:pPr>
              <w:ind w:firstLine="0"/>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53290E">
              <w:t>.</w:t>
            </w:r>
          </w:p>
        </w:tc>
        <w:tc>
          <w:tcPr>
            <w:tcW w:w="1468" w:type="dxa"/>
            <w:vAlign w:val="center"/>
          </w:tcPr>
          <w:p w14:paraId="6AA5AE09" w14:textId="476E11B8" w:rsidR="0053290E" w:rsidRDefault="0053290E" w:rsidP="0053290E">
            <w:pPr>
              <w:ind w:firstLine="0"/>
              <w:jc w:val="right"/>
            </w:pPr>
            <w:r>
              <w:t>[A4]</w:t>
            </w:r>
          </w:p>
        </w:tc>
      </w:tr>
    </w:tbl>
    <w:p w14:paraId="45FC3B11" w14:textId="15BE4856" w:rsidR="0053290E" w:rsidRDefault="0053290E" w:rsidP="0053290E">
      <w:pPr>
        <w:spacing w:line="240" w:lineRule="auto"/>
        <w:ind w:firstLine="0"/>
      </w:pPr>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rsidR="008445BE">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fraction of the population that is adjusted to growth and </w:t>
      </w:r>
      <w:r>
        <w:rPr>
          <w:i/>
          <w:iCs/>
        </w:rPr>
        <w:t>v</w:t>
      </w:r>
      <w:r>
        <w:t xml:space="preserve"> is the adjustment rate, or the rate at which additional cells become adjusted to growth. Integration now leads to the solution in eq. 2.</w:t>
      </w:r>
    </w:p>
    <w:p w14:paraId="12FABFFE" w14:textId="6BC4627B" w:rsidR="0053290E" w:rsidRDefault="0053290E" w:rsidP="008445BE">
      <w:pPr>
        <w:spacing w:line="240" w:lineRule="auto"/>
        <w:ind w:firstLine="0"/>
      </w:pPr>
      <w:r>
        <w:t xml:space="preserve">Note that </w:t>
      </w:r>
      <w:proofErr w:type="spellStart"/>
      <w:r>
        <w:t>Baranyi</w:t>
      </w:r>
      <w:proofErr w:type="spellEnd"/>
      <w:r>
        <w:t xml:space="preserve"> and Roberts </w:t>
      </w:r>
      <w:r w:rsidR="008445BE">
        <w:t xml:space="preserve">suggest to fix </w:t>
      </w:r>
      <m:oMath>
        <m:r>
          <w:rPr>
            <w:rFonts w:ascii="Cambria Math" w:hAnsi="Cambria Math"/>
          </w:rPr>
          <m:t>m=r</m:t>
        </m:r>
      </m:oMath>
      <w:r w:rsidR="008445BE">
        <w:t xml:space="preserve"> to avoid instability of the fitting procedure </w:t>
      </w:r>
      <w:r w:rsidR="008445BE">
        <w:fldChar w:fldCharType="begin" w:fldLock="1"/>
      </w:r>
      <w:r w:rsidR="0001424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8445BE">
        <w:fldChar w:fldCharType="separate"/>
      </w:r>
      <w:r w:rsidR="008445BE" w:rsidRPr="008445BE">
        <w:rPr>
          <w:noProof/>
        </w:rPr>
        <w:t>(Baranyi 1997)</w:t>
      </w:r>
      <w:r w:rsidR="008445BE">
        <w:fldChar w:fldCharType="end"/>
      </w:r>
      <w:r w:rsidR="008445BE">
        <w:t>.</w:t>
      </w:r>
    </w:p>
    <w:p w14:paraId="36A4CEFC" w14:textId="74DBCD6F" w:rsidR="0001424B" w:rsidRDefault="00292016" w:rsidP="00737483">
      <w:pPr>
        <w:spacing w:line="240" w:lineRule="auto"/>
        <w:ind w:firstLine="0"/>
      </w:pPr>
      <w:r>
        <w:t xml:space="preserve">To interpret </w:t>
      </w:r>
      <m:oMath>
        <m:r>
          <w:rPr>
            <w:rFonts w:ascii="Cambria Math" w:hAnsi="Cambria Math"/>
          </w:rPr>
          <m:t>ν</m:t>
        </m:r>
      </m:oMath>
      <w:r>
        <w:t xml:space="preserve"> we notice </w:t>
      </w:r>
      <w:proofErr w:type="gramStart"/>
      <w:r>
        <w:t xml:space="preserve">that </w:t>
      </w:r>
      <w:proofErr w:type="gramEnd"/>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and together with eq. A1b, we can define </w:t>
      </w:r>
      <m:oMath>
        <m:r>
          <w:rPr>
            <w:rFonts w:ascii="Cambria Math" w:hAnsi="Cambria Math"/>
          </w:rPr>
          <m:t>ν</m:t>
        </m:r>
      </m:oMath>
      <w:r>
        <w:rPr>
          <w:iCs/>
        </w:rPr>
        <w:t xml:space="preserve"> as </w:t>
      </w:r>
      <w:r w:rsidRPr="00AF7F41">
        <w:rPr>
          <w:iCs/>
        </w:rPr>
        <w:t>the</w:t>
      </w:r>
      <w:r>
        <w:rPr>
          <w:b/>
          <w:bCs/>
          <w:iCs/>
        </w:rPr>
        <w:t xml:space="preserve"> specific increase in log growth rate</w:t>
      </w:r>
      <w:r>
        <w:rPr>
          <w:iCs/>
        </w:rPr>
        <w:t xml:space="preserve">. </w:t>
      </w:r>
      <w:proofErr w:type="gramStart"/>
      <w:r w:rsidRPr="00292016">
        <w:rPr>
          <w:i/>
        </w:rPr>
        <w:t>r</w:t>
      </w:r>
      <w:proofErr w:type="gramEnd"/>
      <w:r>
        <w:rPr>
          <w:iCs/>
        </w:rPr>
        <w:t xml:space="preserve"> re</w:t>
      </w:r>
      <w:r>
        <w:t xml:space="preserve">tains its original interpretation as </w:t>
      </w:r>
      <w:r w:rsidRPr="00AF7F41">
        <w:t>the</w:t>
      </w:r>
      <w:r>
        <w:t xml:space="preserve"> </w:t>
      </w:r>
      <w:r w:rsidRPr="00840031">
        <w:rPr>
          <w:b/>
          <w:bCs/>
        </w:rPr>
        <w:t>specific</w:t>
      </w:r>
      <w:r>
        <w:rPr>
          <w:b/>
          <w:bCs/>
        </w:rPr>
        <w:t xml:space="preserve"> growth rate </w:t>
      </w:r>
      <w:r w:rsidR="00840031">
        <w:rPr>
          <w:b/>
          <w:bCs/>
        </w:rPr>
        <w:t>in very low density</w:t>
      </w:r>
      <w:r w:rsidR="00840031" w:rsidRPr="00840031">
        <w:t>:</w:t>
      </w:r>
    </w:p>
    <w:p w14:paraId="2A012883" w14:textId="4D7D1E3D" w:rsidR="00840031" w:rsidRDefault="00D220AB" w:rsidP="00737483">
      <w:pPr>
        <w:spacing w:line="240" w:lineRule="auto"/>
        <w:ind w:firstLine="0"/>
        <w:jc w:val="center"/>
      </w:pPr>
      <m:oMath>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sSub>
          <m:sSubPr>
            <m:ctrlPr>
              <w:rPr>
                <w:rFonts w:ascii="Cambria Math" w:hAnsi="Cambria Math"/>
                <w:i/>
              </w:rPr>
            </m:ctrlPr>
          </m:sSubPr>
          <m:e>
            <m:r>
              <w:rPr>
                <w:rFonts w:ascii="Cambria Math" w:hAnsi="Cambria Math"/>
              </w:rPr>
              <m:t>→</m:t>
            </m:r>
          </m:e>
          <m:sub>
            <m:r>
              <w:rPr>
                <w:rFonts w:ascii="Cambria Math" w:hAnsi="Cambria Math"/>
              </w:rPr>
              <m:t>N→0</m:t>
            </m:r>
          </m:sub>
        </m:sSub>
        <m:r>
          <w:rPr>
            <w:rFonts w:ascii="Cambria Math" w:hAnsi="Cambria Math"/>
          </w:rPr>
          <m:t>r</m:t>
        </m:r>
      </m:oMath>
      <w:r w:rsidR="00737483">
        <w:t>.</w:t>
      </w:r>
    </w:p>
    <w:p w14:paraId="2EC32FD1" w14:textId="4CC3DE9E" w:rsidR="0053290E" w:rsidRDefault="0001424B" w:rsidP="0001424B">
      <w:pPr>
        <w:pStyle w:val="Heading2"/>
      </w:pPr>
      <w:r>
        <w:t>Appendix B: Deriving the competition model</w:t>
      </w:r>
    </w:p>
    <w:p w14:paraId="0ABB0826" w14:textId="023B6836" w:rsidR="0001424B" w:rsidRDefault="0001424B" w:rsidP="0001424B">
      <w:r>
        <w:t xml:space="preserve">We start by deriving the single-species logistic model, </w:t>
      </w:r>
      <w:proofErr w:type="gramStart"/>
      <w:r>
        <w:t>then</w:t>
      </w:r>
      <w:proofErr w:type="gramEnd"/>
      <w:r>
        <w:t xml:space="preserve"> derive the two-species logistic model.</w:t>
      </w:r>
    </w:p>
    <w:p w14:paraId="3C198B27" w14:textId="2A3BDCB0" w:rsidR="0001424B" w:rsidRDefault="0001424B" w:rsidP="0001424B">
      <w:pPr>
        <w:pStyle w:val="Heading3"/>
      </w:pPr>
      <w:r>
        <w:t>Single-species logistic model</w:t>
      </w:r>
    </w:p>
    <w:p w14:paraId="00391DE0" w14:textId="5817C620" w:rsidR="0001424B" w:rsidRDefault="0001424B" w:rsidP="0001424B">
      <w:r>
        <w:t>In the context of microbial growth, we derive the logistic model from resource consumption perspective</w:t>
      </w:r>
      <w:r w:rsidR="00DA4024">
        <w:t xml:space="preserve"> </w:t>
      </w:r>
      <w:r w:rsidR="00DA4024">
        <w:fldChar w:fldCharType="begin" w:fldLock="1"/>
      </w:r>
      <w:r w:rsidR="001779D8">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"mendeley" : { "formattedCitation" : "(Otto and Day 2007, 365)", "plainTextFormattedCitation" : "(Otto and Day 2007, 365)", "previouslyFormattedCitation" : "(Otto and Day 2007, 365)" }, "properties" : { "noteIndex" : 0 }, "schema" : "https://github.com/citation-style-language/schema/raw/master/csl-citation.json" }</w:instrText>
      </w:r>
      <w:r w:rsidR="00DA4024">
        <w:fldChar w:fldCharType="separate"/>
      </w:r>
      <w:r w:rsidR="00DA4024" w:rsidRPr="00DA4024">
        <w:rPr>
          <w:noProof/>
        </w:rPr>
        <w:t>(Otto and Day 2007, 365)</w:t>
      </w:r>
      <w:r w:rsidR="00DA4024">
        <w:fldChar w:fldCharType="end"/>
      </w:r>
      <w:r>
        <w:t>. It is also possible to do so from a predator-prey perspective or from intraspecific interference perspective [REF].</w:t>
      </w:r>
    </w:p>
    <w:p w14:paraId="133922FB" w14:textId="0F0F2B86" w:rsidR="0001424B" w:rsidRDefault="0001424B" w:rsidP="0001424B">
      <w:r>
        <w:t xml:space="preserve">Consider a population of consumers with density </w:t>
      </w:r>
      <w:r>
        <w:rPr>
          <w:i/>
          <w:iCs/>
        </w:rPr>
        <w:t>N</w:t>
      </w:r>
      <w:r>
        <w:t xml:space="preserve"> and denote the density of its limiting resource by </w:t>
      </w:r>
      <w:r>
        <w:rPr>
          <w:i/>
          <w:iCs/>
        </w:rPr>
        <w:t>R</w:t>
      </w:r>
      <w:r>
        <w:t xml:space="preserve">. We assume that </w:t>
      </w:r>
      <w:r>
        <w:rPr>
          <w:i/>
          <w:iCs/>
        </w:rPr>
        <w:t>R</w:t>
      </w:r>
      <w:r>
        <w:t xml:space="preserve"> starts with density </w:t>
      </w:r>
      <w:r>
        <w:rPr>
          <w:i/>
          <w:iCs/>
        </w:rPr>
        <w:t>R</w:t>
      </w:r>
      <w:r>
        <w:rPr>
          <w:i/>
          <w:iCs/>
          <w:vertAlign w:val="subscript"/>
        </w:rPr>
        <w:t>0</w:t>
      </w:r>
      <w:r>
        <w:rPr>
          <w:vertAlign w:val="subscript"/>
        </w:rPr>
        <w:t xml:space="preserve"> </w:t>
      </w:r>
      <w:r>
        <w:t>and is depleted by the population growth, without being replenished (this is probably the case when the population grows in a sealed vial):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01424B" w14:paraId="2C869AD6" w14:textId="77777777" w:rsidTr="00292016">
        <w:tc>
          <w:tcPr>
            <w:tcW w:w="1951" w:type="dxa"/>
            <w:vAlign w:val="center"/>
          </w:tcPr>
          <w:p w14:paraId="3E165B02" w14:textId="77777777" w:rsidR="0001424B" w:rsidRDefault="0001424B" w:rsidP="00292016">
            <w:pPr>
              <w:ind w:firstLine="0"/>
              <w:jc w:val="right"/>
            </w:pPr>
          </w:p>
        </w:tc>
        <w:tc>
          <w:tcPr>
            <w:tcW w:w="5103" w:type="dxa"/>
            <w:vAlign w:val="center"/>
          </w:tcPr>
          <w:p w14:paraId="7AAE1E2F" w14:textId="3259065D" w:rsidR="0001424B" w:rsidRDefault="00D220AB" w:rsidP="0001424B">
            <w:pPr>
              <w:ind w:firstLine="0"/>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=-hRN</m:t>
                        </m:r>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m:oMathPara>
          </w:p>
        </w:tc>
        <w:tc>
          <w:tcPr>
            <w:tcW w:w="1468" w:type="dxa"/>
            <w:vAlign w:val="center"/>
          </w:tcPr>
          <w:p w14:paraId="3327914B" w14:textId="36410C67" w:rsidR="0001424B" w:rsidRDefault="0001424B" w:rsidP="0001424B">
            <w:pPr>
              <w:ind w:firstLine="0"/>
              <w:jc w:val="right"/>
            </w:pPr>
            <w:r>
              <w:t>[B1</w:t>
            </w:r>
            <w:r w:rsidR="00520F09">
              <w:t>a</w:t>
            </w:r>
            <w:r>
              <w:t>]</w:t>
            </w:r>
          </w:p>
          <w:p w14:paraId="04C8F5B4" w14:textId="7D21993F" w:rsidR="0001424B" w:rsidRDefault="0001424B" w:rsidP="00520F09">
            <w:pPr>
              <w:ind w:firstLine="0"/>
              <w:jc w:val="right"/>
            </w:pPr>
            <w:r>
              <w:t>[B</w:t>
            </w:r>
            <w:r w:rsidR="00520F09">
              <w:t>1b</w:t>
            </w:r>
            <w:r>
              <w:t>]</w:t>
            </w:r>
          </w:p>
        </w:tc>
      </w:tr>
    </w:tbl>
    <w:p w14:paraId="1D2B1F91" w14:textId="1810E896" w:rsidR="0001424B" w:rsidRDefault="0001424B" w:rsidP="001779D8">
      <w:pPr>
        <w:ind w:firstLine="0"/>
      </w:pPr>
      <w:proofErr w:type="gramStart"/>
      <w:r>
        <w:t>where</w:t>
      </w:r>
      <w:proofErr w:type="gramEnd"/>
      <w:r>
        <w:t xml:space="preserve"> </w:t>
      </w:r>
      <w:r>
        <w:rPr>
          <w:i/>
          <w:iCs/>
        </w:rPr>
        <w:t>h</w:t>
      </w:r>
      <w:r>
        <w:t xml:space="preserve"> is the </w:t>
      </w:r>
      <w:r w:rsidR="00C432BE">
        <w:t xml:space="preserve">resource intake </w:t>
      </w:r>
      <w:r>
        <w:t xml:space="preserve">rate </w:t>
      </w:r>
      <m:oMath>
        <m:r>
          <w:rPr>
            <w:rFonts w:ascii="Cambria Math" w:hAnsi="Cambria Math"/>
          </w:rPr>
          <m:t>ϵ</m:t>
        </m:r>
      </m:oMath>
      <w:r>
        <w:t xml:space="preserve"> is the conversion rate between resource mass and the consumer biomass. We now </w:t>
      </w:r>
      <w:r w:rsidR="001779D8">
        <w:t>use a conservation law approach by setting</w:t>
      </w:r>
      <w:r>
        <w:t xml:space="preserve"> </w:t>
      </w:r>
      <m:oMath>
        <m:r>
          <w:rPr>
            <w:rFonts w:ascii="Cambria Math" w:hAnsi="Cambria Math"/>
          </w:rPr>
          <m:t>K=ϵR+N</m:t>
        </m:r>
      </m:oMath>
      <w:r>
        <w:t xml:space="preserve"> </w:t>
      </w:r>
      <w:r w:rsidR="00C432BE">
        <w:t>which</w:t>
      </w:r>
      <w:r>
        <w:t xml:space="preserve"> denotes the potential biomass when all resources are consumed</w:t>
      </w:r>
      <w:r w:rsidR="001779D8">
        <w:t xml:space="preserve"> </w:t>
      </w:r>
      <w:r w:rsidR="001779D8">
        <w:fldChar w:fldCharType="begin" w:fldLock="1"/>
      </w:r>
      <w:r w:rsidR="00D220AB">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rsidR="001779D8">
        <w:fldChar w:fldCharType="separate"/>
      </w:r>
      <w:r w:rsidR="001779D8" w:rsidRPr="001779D8">
        <w:rPr>
          <w:noProof/>
        </w:rPr>
        <w:t>(Dilao and Domingos 1999)</w:t>
      </w:r>
      <w:r w:rsidR="001779D8">
        <w:fldChar w:fldCharType="end"/>
      </w:r>
      <w:r>
        <w:t>.</w:t>
      </w:r>
      <w:r w:rsidR="00C432BE">
        <w:t xml:space="preserve"> We</w:t>
      </w:r>
      <w:r>
        <w:t xml:space="preserve"> can see that </w:t>
      </w:r>
      <w:r w:rsidR="00C432BE">
        <w:rPr>
          <w:i/>
          <w:iCs/>
        </w:rPr>
        <w:t>K</w:t>
      </w:r>
      <w:r>
        <w:t xml:space="preserve"> is constant:</w:t>
      </w:r>
    </w:p>
    <w:p w14:paraId="54CF8D46" w14:textId="4A412F2F" w:rsidR="0001424B" w:rsidRPr="0001424B" w:rsidRDefault="00D220AB" w:rsidP="00C432BE">
      <w:pPr>
        <w:tabs>
          <w:tab w:val="left" w:pos="1803"/>
          <w:tab w:val="center" w:pos="4153"/>
        </w:tabs>
        <w:ind w:firstLine="0"/>
        <w:jc w:val="center"/>
      </w:pPr>
      <m:oMath>
        <m:f>
          <m:fPr>
            <m:ctrlPr>
              <w:rPr>
                <w:rFonts w:ascii="Cambria Math" w:hAnsi="Cambria Math"/>
                <w:i/>
              </w:rPr>
            </m:ctrlPr>
          </m:fPr>
          <m:num>
            <m:r>
              <w:rPr>
                <w:rFonts w:ascii="Cambria Math" w:hAnsi="Cambria Math"/>
              </w:rPr>
              <m:t>dK</m:t>
            </m:r>
          </m:num>
          <m:den>
            <m:r>
              <w:rPr>
                <w:rFonts w:ascii="Cambria Math" w:hAnsi="Cambria Math"/>
              </w:rPr>
              <m:t>dt</m:t>
            </m:r>
          </m:den>
        </m:f>
        <m:r>
          <w:rPr>
            <w:rFonts w:ascii="Cambria Math" w:hAnsi="Cambria Math"/>
          </w:rPr>
          <m:t>=ϵ</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≡0</m:t>
        </m:r>
      </m:oMath>
      <w:r w:rsidR="00C432BE">
        <w:t>,</w:t>
      </w:r>
    </w:p>
    <w:p w14:paraId="67D04A1C" w14:textId="263DEF40" w:rsidR="0053290E" w:rsidRDefault="00C432BE" w:rsidP="00520F09">
      <w:pPr>
        <w:spacing w:line="240" w:lineRule="auto"/>
        <w:ind w:firstLine="0"/>
      </w:pPr>
      <w:proofErr w:type="gramStart"/>
      <w:r>
        <w:t>and</w:t>
      </w:r>
      <w:proofErr w:type="gramEnd"/>
      <w:r>
        <w:t xml:space="preserve"> so we can substitute </w:t>
      </w:r>
      <m:oMath>
        <m:r>
          <w:rPr>
            <w:rFonts w:ascii="Cambria Math" w:hAnsi="Cambria Math"/>
          </w:rPr>
          <m:t>ϵR=K-N</m:t>
        </m:r>
      </m:oMath>
      <w:r>
        <w:t xml:space="preserve"> in eq. </w:t>
      </w:r>
      <w:r w:rsidR="00022994">
        <w:t>(</w:t>
      </w:r>
      <w:r>
        <w:t>B</w:t>
      </w:r>
      <w:r w:rsidR="00520F09">
        <w:t>1b</w:t>
      </w:r>
      <w:r w:rsidR="00022994">
        <w:t>)</w:t>
      </w:r>
      <w:r>
        <w:t>:</w:t>
      </w:r>
    </w:p>
    <w:p w14:paraId="5D448E1E" w14:textId="415B7F12" w:rsidR="00C432BE" w:rsidRDefault="00D220AB" w:rsidP="00C432BE">
      <w:pPr>
        <w:bidi/>
        <w:spacing w:line="240" w:lineRule="auto"/>
        <w:ind w:firstLine="0"/>
        <w:jc w:val="center"/>
        <w:rPr>
          <w:rFonts w:hint="cs"/>
          <w:rtl/>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=hN</m:t>
        </m:r>
        <m:d>
          <m:dPr>
            <m:ctrlPr>
              <w:rPr>
                <w:rFonts w:ascii="Cambria Math" w:hAnsi="Cambria Math"/>
                <w:i/>
              </w:rPr>
            </m:ctrlPr>
          </m:dPr>
          <m:e>
            <m:r>
              <w:rPr>
                <w:rFonts w:ascii="Cambria Math" w:hAnsi="Cambria Math"/>
              </w:rPr>
              <m:t>K-N</m:t>
            </m:r>
          </m:e>
        </m:d>
        <m:r>
          <w:rPr>
            <w:rFonts w:ascii="Cambria Math" w:hAnsi="Cambria Math"/>
          </w:rPr>
          <m:t>=hKN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oMath>
      <w:r w:rsidR="00C432BE">
        <w:t>,</w:t>
      </w:r>
    </w:p>
    <w:p w14:paraId="12EC101E" w14:textId="26C43E0C" w:rsidR="00C4070E" w:rsidRDefault="00C432BE" w:rsidP="00C432BE">
      <w:pPr>
        <w:spacing w:line="240" w:lineRule="auto"/>
        <w:ind w:firstLine="0"/>
      </w:pPr>
      <w:proofErr w:type="gramStart"/>
      <w:r>
        <w:t>which</w:t>
      </w:r>
      <w:proofErr w:type="gramEnd"/>
      <w:r>
        <w:t xml:space="preserve"> gives the logistic differential equation, with the maximum population density </w:t>
      </w:r>
      <w:r>
        <w:rPr>
          <w:i/>
          <w:iCs/>
        </w:rPr>
        <w:t>K</w:t>
      </w:r>
      <w:r>
        <w:t xml:space="preserve"> and the specific growth rate in very low density</w:t>
      </w:r>
      <m:oMath>
        <m:r>
          <w:rPr>
            <w:rFonts w:ascii="Cambria Math" w:hAnsi="Cambria Math"/>
          </w:rPr>
          <m:t xml:space="preserve"> r=hK</m:t>
        </m:r>
      </m:oMath>
      <w:r>
        <w:t xml:space="preserve"> which is the intake rate at very low density, when all biomass is still in the resources.</w:t>
      </w:r>
    </w:p>
    <w:p w14:paraId="6B6A3810" w14:textId="20969910" w:rsidR="00C432BE" w:rsidRDefault="00C432BE" w:rsidP="00C432BE">
      <w:pPr>
        <w:pStyle w:val="Heading2"/>
      </w:pPr>
      <w:r>
        <w:t>Two-species logistic equation</w:t>
      </w:r>
    </w:p>
    <w:p w14:paraId="662B277B" w14:textId="772922CD" w:rsidR="00C432BE" w:rsidRDefault="00C432BE" w:rsidP="00C432BE">
      <w:pPr>
        <w:spacing w:line="240" w:lineRule="auto"/>
        <w:ind w:firstLine="0"/>
      </w:pPr>
      <w:r>
        <w:t>We now consider the case in which two species (or strains) compete for a single limiting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C432BE" w:rsidRPr="00F9516D" w14:paraId="14EF7BD0" w14:textId="77777777" w:rsidTr="00C432BE">
        <w:tc>
          <w:tcPr>
            <w:tcW w:w="1951" w:type="dxa"/>
            <w:vAlign w:val="center"/>
          </w:tcPr>
          <w:p w14:paraId="54D25486" w14:textId="77777777" w:rsidR="00C432BE" w:rsidRPr="00F9516D" w:rsidRDefault="00C432BE" w:rsidP="00C432BE">
            <w:pPr>
              <w:ind w:firstLine="0"/>
              <w:jc w:val="right"/>
              <w:rPr>
                <w:i/>
                <w:iCs/>
              </w:rPr>
            </w:pPr>
          </w:p>
        </w:tc>
        <w:tc>
          <w:tcPr>
            <w:tcW w:w="5103" w:type="dxa"/>
            <w:vAlign w:val="center"/>
          </w:tcPr>
          <w:p w14:paraId="2401888D" w14:textId="0508A159" w:rsidR="00C432BE" w:rsidRPr="00F9516D" w:rsidRDefault="00D220AB" w:rsidP="00C432BE">
            <w:pPr>
              <w:ind w:firstLine="0"/>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e>
                    </m:eqArr>
                  </m:e>
                </m:d>
              </m:oMath>
            </m:oMathPara>
          </w:p>
        </w:tc>
        <w:tc>
          <w:tcPr>
            <w:tcW w:w="1468" w:type="dxa"/>
            <w:vAlign w:val="center"/>
          </w:tcPr>
          <w:p w14:paraId="69E043F7" w14:textId="4C22BCB9" w:rsidR="00C432BE" w:rsidRPr="00F9516D" w:rsidRDefault="00C432BE" w:rsidP="00520F09">
            <w:pPr>
              <w:ind w:firstLine="0"/>
              <w:jc w:val="right"/>
              <w:rPr>
                <w:i/>
                <w:iCs/>
              </w:rPr>
            </w:pPr>
            <w:r w:rsidRPr="00F9516D">
              <w:rPr>
                <w:i/>
                <w:iCs/>
              </w:rPr>
              <w:t>[B</w:t>
            </w:r>
            <w:r w:rsidR="00520F09" w:rsidRPr="00F9516D">
              <w:rPr>
                <w:i/>
                <w:iCs/>
              </w:rPr>
              <w:t>2a</w:t>
            </w:r>
            <w:r w:rsidRPr="00F9516D">
              <w:rPr>
                <w:i/>
                <w:iCs/>
              </w:rPr>
              <w:t>]</w:t>
            </w:r>
          </w:p>
          <w:p w14:paraId="41005BE7" w14:textId="77777777" w:rsidR="00C432BE" w:rsidRPr="00F9516D" w:rsidRDefault="00C432BE" w:rsidP="00520F09">
            <w:pPr>
              <w:ind w:firstLine="0"/>
              <w:jc w:val="right"/>
              <w:rPr>
                <w:i/>
                <w:iCs/>
              </w:rPr>
            </w:pPr>
            <w:r w:rsidRPr="00F9516D">
              <w:rPr>
                <w:i/>
                <w:iCs/>
              </w:rPr>
              <w:t>[B</w:t>
            </w:r>
            <w:r w:rsidR="00520F09" w:rsidRPr="00F9516D">
              <w:rPr>
                <w:i/>
                <w:iCs/>
              </w:rPr>
              <w:t>2b</w:t>
            </w:r>
            <w:r w:rsidRPr="00F9516D">
              <w:rPr>
                <w:i/>
                <w:iCs/>
              </w:rPr>
              <w:t>]</w:t>
            </w:r>
          </w:p>
          <w:p w14:paraId="5B9C4427" w14:textId="45D2778C" w:rsidR="00520F09" w:rsidRPr="00F9516D" w:rsidRDefault="00520F09" w:rsidP="00520F09">
            <w:pPr>
              <w:ind w:firstLine="0"/>
              <w:jc w:val="right"/>
              <w:rPr>
                <w:i/>
                <w:iCs/>
              </w:rPr>
            </w:pPr>
            <w:r w:rsidRPr="00F9516D">
              <w:rPr>
                <w:i/>
                <w:iCs/>
              </w:rPr>
              <w:t>[B2c]</w:t>
            </w:r>
          </w:p>
        </w:tc>
      </w:tr>
    </w:tbl>
    <w:p w14:paraId="5AD7E53B" w14:textId="758449A3" w:rsidR="00C432BE" w:rsidRDefault="00C432BE" w:rsidP="00C432BE">
      <w:pPr>
        <w:spacing w:line="240" w:lineRule="auto"/>
        <w:ind w:firstLine="0"/>
      </w:pPr>
      <w:r>
        <w:t xml:space="preserve">Similar to the one-species case, we define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to find that, again, </w:t>
      </w:r>
      <w:r>
        <w:rPr>
          <w:i/>
          <w:iCs/>
        </w:rPr>
        <w:t>K</w:t>
      </w:r>
      <w:r>
        <w:rPr>
          <w:i/>
          <w:iCs/>
          <w:vertAlign w:val="subscript"/>
        </w:rPr>
        <w:t>1</w:t>
      </w:r>
      <w:r>
        <w:t xml:space="preserve"> is constant:</w:t>
      </w:r>
    </w:p>
    <w:p w14:paraId="09721604" w14:textId="77777777" w:rsidR="00C432BE" w:rsidRDefault="00D220AB" w:rsidP="00C432BE">
      <w:pPr>
        <w:tabs>
          <w:tab w:val="left" w:pos="1803"/>
          <w:tab w:val="center" w:pos="4153"/>
        </w:tabs>
        <w:ind w:firstLine="0"/>
        <w:jc w:val="cente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≡0</m:t>
        </m:r>
      </m:oMath>
      <w:r w:rsidR="00C432BE">
        <w:t>.</w:t>
      </w:r>
    </w:p>
    <w:p w14:paraId="401AFB65" w14:textId="2E31A750" w:rsidR="00C432BE" w:rsidRDefault="00C432BE" w:rsidP="00520F09">
      <w:pPr>
        <w:tabs>
          <w:tab w:val="left" w:pos="1803"/>
          <w:tab w:val="center" w:pos="4153"/>
        </w:tabs>
        <w:ind w:firstLine="0"/>
      </w:pPr>
      <w:r>
        <w:t xml:space="preserve">We then substitute </w:t>
      </w:r>
      <m:oMath>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oMath>
      <w:r w:rsidR="00520F09">
        <w:t xml:space="preserve"> into eq. </w:t>
      </w:r>
      <w:r w:rsidR="00022994">
        <w:t>(</w:t>
      </w:r>
      <w:r w:rsidR="00520F09">
        <w:t>B2b</w:t>
      </w:r>
      <w:r w:rsidR="00022994">
        <w:t>)</w:t>
      </w:r>
      <w:r w:rsidR="00520F09">
        <w:t xml:space="preserve"> and </w:t>
      </w:r>
      <w:r w:rsidR="00022994">
        <w:t>(</w:t>
      </w:r>
      <w:r w:rsidR="00520F09">
        <w:t>B2c</w:t>
      </w:r>
      <w:r w:rsidR="00022994">
        <w:t>)</w:t>
      </w:r>
      <w:r w:rsidR="00520F09">
        <w:t xml:space="preserve"> and </w:t>
      </w:r>
      <w:r w:rsidR="00715DA6">
        <w:t xml:space="preserve">setting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r>
                  <w:rPr>
                    <w:rFonts w:ascii="Cambria Math" w:hAnsi="Cambria Math"/>
                  </w:rPr>
                  <m:t>ϵ</m:t>
                </m:r>
              </m:e>
              <m:sub>
                <m:r>
                  <w:rPr>
                    <w:rFonts w:ascii="Cambria Math" w:hAnsi="Cambria Math"/>
                  </w:rPr>
                  <m:t>1</m:t>
                </m:r>
              </m:sub>
            </m:sSub>
          </m:den>
        </m:f>
        <m:sSub>
          <m:sSubPr>
            <m:ctrlPr>
              <w:rPr>
                <w:rFonts w:ascii="Cambria Math" w:hAnsi="Cambria Math"/>
                <w:i/>
              </w:rPr>
            </m:ctrlPr>
          </m:sSubPr>
          <m:e>
            <m:r>
              <w:rPr>
                <w:rFonts w:ascii="Cambria Math" w:hAnsi="Cambria Math"/>
              </w:rPr>
              <m:t>K</m:t>
            </m:r>
          </m:e>
          <m:sub>
            <m:r>
              <w:rPr>
                <w:rFonts w:ascii="Cambria Math" w:hAnsi="Cambria Math"/>
              </w:rPr>
              <m:t>1</m:t>
            </m:r>
          </m:sub>
        </m:sSub>
      </m:oMath>
      <w:r w:rsidR="00520F09">
        <w:t xml:space="preserve"> ("how much biomass of species 2 could be made from the made from the biomass of species 1 when it is in maximum density") </w:t>
      </w:r>
      <w:proofErr w:type="gramStart"/>
      <w:r w:rsidR="00520F09">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oMath>
      <w:r w:rsidR="00520F09">
        <w:t>:</w:t>
      </w:r>
    </w:p>
    <w:p w14:paraId="149F0DC4" w14:textId="5BB4F061" w:rsidR="00715DA6" w:rsidRDefault="00D220AB" w:rsidP="006A4640">
      <w:pPr>
        <w:tabs>
          <w:tab w:val="left" w:pos="1803"/>
          <w:tab w:val="center" w:pos="4153"/>
        </w:tabs>
        <w:ind w:firstLine="0"/>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K2</m:t>
                        </m:r>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r>
                          <w:rPr>
                            <w:rFonts w:ascii="Cambria Math" w:hAnsi="Cambria Math"/>
                          </w:rPr>
                          <m:t>ϵ</m:t>
                        </m:r>
                      </m:e>
                      <m:sub>
                        <m:r>
                          <w:rPr>
                            <w:rFonts w:ascii="Cambria Math" w:hAnsi="Cambria Math"/>
                          </w:rPr>
                          <m:t>1</m:t>
                        </m:r>
                      </m:sub>
                    </m:sSub>
                  </m:den>
                </m:f>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eqArr>
          </m:e>
        </m:d>
      </m:oMath>
      <w:r w:rsidR="00520F09">
        <w:t>.</w:t>
      </w:r>
    </w:p>
    <w:p w14:paraId="7CDCC760" w14:textId="77777777" w:rsidR="00F9516D" w:rsidRDefault="00715DA6" w:rsidP="00022994">
      <w:pPr>
        <w:tabs>
          <w:tab w:val="left" w:pos="1803"/>
          <w:tab w:val="center" w:pos="4153"/>
        </w:tabs>
        <w:ind w:firstLine="0"/>
      </w:pPr>
      <w:r>
        <w:t>Note that this competition model is different from the one described in some textbooks</w:t>
      </w:r>
      <w:r w:rsidR="00B745FB">
        <w:t xml:space="preserve">, in </w:t>
      </w:r>
      <w:proofErr w:type="gramStart"/>
      <w:r w:rsidR="00B745FB">
        <w:t xml:space="preserve">which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1-</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oMath>
      <w:r>
        <w:t>.</w:t>
      </w:r>
    </w:p>
    <w:p w14:paraId="7D46F6D5" w14:textId="640E7073" w:rsidR="00F9516D" w:rsidRDefault="00F9516D" w:rsidP="00F9516D">
      <w:pPr>
        <w:tabs>
          <w:tab w:val="left" w:pos="1803"/>
          <w:tab w:val="center" w:pos="4153"/>
        </w:tabs>
        <w:ind w:firstLine="0"/>
      </w:pPr>
      <w:r>
        <w:t>We get a similar result if each strain is limited by a different resource that both stains consume, and the intake rates depend only on the strain:</w:t>
      </w:r>
    </w:p>
    <w:p w14:paraId="60BB355F" w14:textId="77777777" w:rsidR="00F9516D" w:rsidRPr="00520F09" w:rsidRDefault="00C432BE" w:rsidP="00F9516D">
      <w:pPr>
        <w:tabs>
          <w:tab w:val="left" w:pos="1803"/>
          <w:tab w:val="center" w:pos="4153"/>
        </w:tabs>
        <w:ind w:firstLine="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9516D" w:rsidRPr="00F9516D" w14:paraId="1A25B0DE" w14:textId="77777777" w:rsidTr="00D220AB">
        <w:tc>
          <w:tcPr>
            <w:tcW w:w="1951" w:type="dxa"/>
            <w:vAlign w:val="center"/>
          </w:tcPr>
          <w:p w14:paraId="08FB5BA0" w14:textId="77777777" w:rsidR="00F9516D" w:rsidRPr="00F9516D" w:rsidRDefault="00F9516D" w:rsidP="00D220AB">
            <w:pPr>
              <w:ind w:firstLine="0"/>
              <w:jc w:val="right"/>
              <w:rPr>
                <w:i/>
                <w:iCs/>
              </w:rPr>
            </w:pPr>
          </w:p>
        </w:tc>
        <w:tc>
          <w:tcPr>
            <w:tcW w:w="5103" w:type="dxa"/>
            <w:vAlign w:val="center"/>
          </w:tcPr>
          <w:p w14:paraId="2DF6C1FF" w14:textId="23AC8AF7" w:rsidR="00F9516D" w:rsidRPr="00F9516D" w:rsidRDefault="00D220AB" w:rsidP="00D220AB">
            <w:pPr>
              <w:ind w:firstLine="0"/>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e>
                    </m:eqArr>
                  </m:e>
                </m:d>
              </m:oMath>
            </m:oMathPara>
          </w:p>
        </w:tc>
        <w:tc>
          <w:tcPr>
            <w:tcW w:w="1468" w:type="dxa"/>
            <w:vAlign w:val="center"/>
          </w:tcPr>
          <w:p w14:paraId="6E7D284E" w14:textId="0594CA23" w:rsidR="00F9516D" w:rsidRPr="00F9516D" w:rsidRDefault="00F9516D" w:rsidP="00F9516D">
            <w:pPr>
              <w:ind w:firstLine="0"/>
              <w:jc w:val="right"/>
              <w:rPr>
                <w:i/>
                <w:iCs/>
              </w:rPr>
            </w:pPr>
            <w:r w:rsidRPr="00F9516D">
              <w:rPr>
                <w:i/>
                <w:iCs/>
              </w:rPr>
              <w:t>[B</w:t>
            </w:r>
            <w:r>
              <w:rPr>
                <w:i/>
                <w:iCs/>
              </w:rPr>
              <w:t>3</w:t>
            </w:r>
            <w:r w:rsidRPr="00F9516D">
              <w:rPr>
                <w:i/>
                <w:iCs/>
              </w:rPr>
              <w:t>a]</w:t>
            </w:r>
          </w:p>
          <w:p w14:paraId="52801BEA" w14:textId="0B123222" w:rsidR="00F9516D" w:rsidRPr="00F9516D" w:rsidRDefault="00F9516D" w:rsidP="00D220AB">
            <w:pPr>
              <w:ind w:firstLine="0"/>
              <w:jc w:val="right"/>
              <w:rPr>
                <w:i/>
                <w:iCs/>
              </w:rPr>
            </w:pPr>
            <w:r w:rsidRPr="00F9516D">
              <w:rPr>
                <w:i/>
                <w:iCs/>
              </w:rPr>
              <w:t>[B</w:t>
            </w:r>
            <w:r>
              <w:rPr>
                <w:i/>
                <w:iCs/>
              </w:rPr>
              <w:t>3</w:t>
            </w:r>
            <w:r w:rsidRPr="00F9516D">
              <w:rPr>
                <w:i/>
                <w:iCs/>
              </w:rPr>
              <w:t>b]</w:t>
            </w:r>
          </w:p>
          <w:p w14:paraId="45A1035E" w14:textId="3585786B" w:rsidR="00F9516D" w:rsidRDefault="00F9516D" w:rsidP="00D220AB">
            <w:pPr>
              <w:ind w:firstLine="0"/>
              <w:jc w:val="right"/>
              <w:rPr>
                <w:i/>
                <w:iCs/>
              </w:rPr>
            </w:pPr>
            <w:r>
              <w:rPr>
                <w:i/>
                <w:iCs/>
              </w:rPr>
              <w:t>[B3</w:t>
            </w:r>
            <w:r w:rsidRPr="00F9516D">
              <w:rPr>
                <w:i/>
                <w:iCs/>
              </w:rPr>
              <w:t>c]</w:t>
            </w:r>
          </w:p>
          <w:p w14:paraId="17BBC949" w14:textId="55702279" w:rsidR="00F9516D" w:rsidRPr="00F9516D" w:rsidRDefault="00F9516D" w:rsidP="00F9516D">
            <w:pPr>
              <w:ind w:firstLine="0"/>
              <w:jc w:val="right"/>
              <w:rPr>
                <w:i/>
                <w:iCs/>
              </w:rPr>
            </w:pPr>
            <w:r w:rsidRPr="00F9516D">
              <w:rPr>
                <w:i/>
                <w:iCs/>
              </w:rPr>
              <w:t>[B</w:t>
            </w:r>
            <w:r>
              <w:rPr>
                <w:i/>
                <w:iCs/>
              </w:rPr>
              <w:t>3d</w:t>
            </w:r>
            <w:r w:rsidRPr="00F9516D">
              <w:rPr>
                <w:i/>
                <w:iCs/>
              </w:rPr>
              <w:t>]</w:t>
            </w:r>
          </w:p>
        </w:tc>
      </w:tr>
    </w:tbl>
    <w:p w14:paraId="0CCA35C1" w14:textId="4F56F3E6" w:rsidR="00C432BE" w:rsidRDefault="00F9516D" w:rsidP="00F9516D">
      <w:pPr>
        <w:tabs>
          <w:tab w:val="left" w:pos="1803"/>
          <w:tab w:val="center" w:pos="4153"/>
        </w:tabs>
        <w:ind w:firstLine="0"/>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w:t>
      </w:r>
      <w:proofErr w:type="spellStart"/>
      <w:r>
        <w:t>eqs</w:t>
      </w:r>
      <w:proofErr w:type="spellEnd"/>
      <w:r>
        <w:t>. [B3a</w:t>
      </w:r>
      <w:proofErr w:type="gramStart"/>
      <w:r>
        <w:t>,c,d</w:t>
      </w:r>
      <w:proofErr w:type="gramEnd"/>
      <w:r>
        <w:t xml:space="preserve">]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r>
                  <w:rPr>
                    <w:rFonts w:ascii="Cambria Math" w:hAnsi="Cambria Math"/>
                  </w:rPr>
                  <m:t>ϵ</m:t>
                </m:r>
              </m:e>
              <m:sub>
                <m:r>
                  <w:rPr>
                    <w:rFonts w:ascii="Cambria Math" w:hAnsi="Cambria Math"/>
                  </w:rPr>
                  <m:t>1</m:t>
                </m:r>
              </m:sub>
            </m:sSub>
          </m:den>
        </m:f>
        <m:r>
          <w:rPr>
            <w:rFonts w:ascii="Cambria Math" w:hAnsi="Cambria Math"/>
          </w:rPr>
          <m:t>ρ</m:t>
        </m:r>
        <m:sSub>
          <m:sSubPr>
            <m:ctrlPr>
              <w:rPr>
                <w:rFonts w:ascii="Cambria Math" w:hAnsi="Cambria Math"/>
                <w:i/>
              </w:rPr>
            </m:ctrlPr>
          </m:sSubPr>
          <m:e>
            <m:r>
              <w:rPr>
                <w:rFonts w:ascii="Cambria Math" w:hAnsi="Cambria Math"/>
              </w:rPr>
              <m:t>K</m:t>
            </m:r>
          </m:e>
          <m:sub>
            <m:r>
              <w:rPr>
                <w:rFonts w:ascii="Cambria Math" w:hAnsi="Cambria Math"/>
              </w:rPr>
              <m:t>1</m:t>
            </m:r>
          </m:sub>
        </m:sSub>
      </m:oMath>
      <w:r>
        <w:t>.</w:t>
      </w:r>
    </w:p>
    <w:p w14:paraId="6503DA05" w14:textId="2556EC48" w:rsidR="00F9516D" w:rsidRDefault="00F9516D" w:rsidP="00F9516D">
      <w:pPr>
        <w:tabs>
          <w:tab w:val="left" w:pos="1803"/>
          <w:tab w:val="center" w:pos="4153"/>
        </w:tabs>
        <w:ind w:firstLine="0"/>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9516D" w:rsidRPr="00F9516D" w14:paraId="57010F47" w14:textId="77777777" w:rsidTr="00D220AB">
        <w:tc>
          <w:tcPr>
            <w:tcW w:w="1951" w:type="dxa"/>
            <w:vAlign w:val="center"/>
          </w:tcPr>
          <w:p w14:paraId="1314BA04" w14:textId="77777777" w:rsidR="00F9516D" w:rsidRPr="00F9516D" w:rsidRDefault="00F9516D" w:rsidP="00D220AB">
            <w:pPr>
              <w:ind w:firstLine="0"/>
              <w:jc w:val="right"/>
              <w:rPr>
                <w:i/>
                <w:iCs/>
              </w:rPr>
            </w:pPr>
          </w:p>
        </w:tc>
        <w:tc>
          <w:tcPr>
            <w:tcW w:w="5103" w:type="dxa"/>
            <w:vAlign w:val="center"/>
          </w:tcPr>
          <w:p w14:paraId="1D30D87D" w14:textId="6B0106EE" w:rsidR="00F9516D" w:rsidRPr="00F9516D" w:rsidRDefault="00D220AB" w:rsidP="00766DFC">
            <w:pPr>
              <w:ind w:firstLine="0"/>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75EDED40" w14:textId="5C6C125B" w:rsidR="00F9516D" w:rsidRPr="00F9516D" w:rsidRDefault="00F9516D" w:rsidP="00F9516D">
            <w:pPr>
              <w:ind w:firstLine="0"/>
              <w:jc w:val="right"/>
              <w:rPr>
                <w:i/>
                <w:iCs/>
              </w:rPr>
            </w:pPr>
            <w:r w:rsidRPr="00F9516D">
              <w:rPr>
                <w:i/>
                <w:iCs/>
              </w:rPr>
              <w:t>[B</w:t>
            </w:r>
            <w:r>
              <w:rPr>
                <w:i/>
                <w:iCs/>
              </w:rPr>
              <w:t>4</w:t>
            </w:r>
            <w:r w:rsidRPr="00F9516D">
              <w:rPr>
                <w:i/>
                <w:iCs/>
              </w:rPr>
              <w:t>a]</w:t>
            </w:r>
          </w:p>
          <w:p w14:paraId="09A69725" w14:textId="72E2AB92" w:rsidR="00F9516D" w:rsidRPr="00F9516D" w:rsidRDefault="00F9516D" w:rsidP="00F9516D">
            <w:pPr>
              <w:ind w:firstLine="0"/>
              <w:jc w:val="right"/>
              <w:rPr>
                <w:i/>
                <w:iCs/>
              </w:rPr>
            </w:pPr>
            <w:r w:rsidRPr="00F9516D">
              <w:rPr>
                <w:i/>
                <w:iCs/>
              </w:rPr>
              <w:t>[B</w:t>
            </w:r>
            <w:r>
              <w:rPr>
                <w:i/>
                <w:iCs/>
              </w:rPr>
              <w:t>4</w:t>
            </w:r>
            <w:r w:rsidRPr="00F9516D">
              <w:rPr>
                <w:i/>
                <w:iCs/>
              </w:rPr>
              <w:t>b</w:t>
            </w:r>
            <w:r>
              <w:rPr>
                <w:i/>
                <w:iCs/>
              </w:rPr>
              <w:t>]</w:t>
            </w:r>
          </w:p>
        </w:tc>
      </w:tr>
    </w:tbl>
    <w:p w14:paraId="039EAB1A" w14:textId="2CD5EAA2" w:rsidR="00C432BE" w:rsidRDefault="00F9516D" w:rsidP="00F9516D">
      <w:pPr>
        <w:spacing w:line="240" w:lineRule="auto"/>
        <w:ind w:firstLine="0"/>
        <w:rPr>
          <w:rFonts w:ascii="Palatino Linotype" w:eastAsiaTheme="majorEastAsia" w:hAnsi="Palatino Linotype"/>
          <w:b/>
          <w:bCs/>
          <w:kern w:val="32"/>
          <w:sz w:val="32"/>
          <w:szCs w:val="32"/>
        </w:rPr>
      </w:pPr>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BC14C2">
      <w:pPr>
        <w:pStyle w:val="Heading1"/>
      </w:pPr>
      <w:r>
        <w:t>References</w:t>
      </w:r>
    </w:p>
    <w:p w14:paraId="1D1AFFD5" w14:textId="330CB32C" w:rsidR="00464BA0" w:rsidRPr="00464BA0" w:rsidRDefault="00BC14C2" w:rsidP="00464BA0">
      <w:pPr>
        <w:widowControl w:val="0"/>
        <w:autoSpaceDE w:val="0"/>
        <w:autoSpaceDN w:val="0"/>
        <w:adjustRightInd w:val="0"/>
        <w:spacing w:before="100" w:after="100" w:line="240" w:lineRule="auto"/>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464BA0" w:rsidRPr="00464BA0">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464BA0" w:rsidRPr="00464BA0">
        <w:rPr>
          <w:rFonts w:ascii="Times New Roman" w:hAnsi="Times New Roman" w:cs="Times New Roman"/>
          <w:i/>
          <w:iCs/>
          <w:noProof/>
        </w:rPr>
        <w:t>Genetics</w:t>
      </w:r>
      <w:r w:rsidR="00464BA0" w:rsidRPr="00464BA0">
        <w:rPr>
          <w:rFonts w:ascii="Times New Roman" w:hAnsi="Times New Roman" w:cs="Times New Roman"/>
          <w:noProof/>
        </w:rPr>
        <w:t xml:space="preserve"> 196 (3) (January 7): 1–35. doi:10.1534/genetics.113.156190.</w:t>
      </w:r>
    </w:p>
    <w:p w14:paraId="2FD53E8F"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Baranyi, József. 1997. “Simple Is Good as Long as It Is Enough.” </w:t>
      </w:r>
      <w:r w:rsidRPr="00464BA0">
        <w:rPr>
          <w:rFonts w:ascii="Times New Roman" w:hAnsi="Times New Roman" w:cs="Times New Roman"/>
          <w:i/>
          <w:iCs/>
          <w:noProof/>
        </w:rPr>
        <w:t>Commentary</w:t>
      </w:r>
      <w:r w:rsidRPr="00464BA0">
        <w:rPr>
          <w:rFonts w:ascii="Times New Roman" w:hAnsi="Times New Roman" w:cs="Times New Roman"/>
          <w:noProof/>
        </w:rPr>
        <w:t xml:space="preserve"> (1996): 391–394. doi:10.1006/fmic.1996.0080.</w:t>
      </w:r>
    </w:p>
    <w:p w14:paraId="22CDC5EC"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Baranyi, József, and Terry a. Roberts. 1994. “A Dynamic Approach to Predicting Bacterial Growth in Food.” </w:t>
      </w:r>
      <w:r w:rsidRPr="00464BA0">
        <w:rPr>
          <w:rFonts w:ascii="Times New Roman" w:hAnsi="Times New Roman" w:cs="Times New Roman"/>
          <w:i/>
          <w:iCs/>
          <w:noProof/>
        </w:rPr>
        <w:t>International Journal of Food Microbiology</w:t>
      </w:r>
      <w:r w:rsidRPr="00464BA0">
        <w:rPr>
          <w:rFonts w:ascii="Times New Roman" w:hAnsi="Times New Roman" w:cs="Times New Roman"/>
          <w:noProof/>
        </w:rPr>
        <w:t xml:space="preserve"> 23: 277–294. doi:10.1016/0168-1605(94)90157-0.</w:t>
      </w:r>
    </w:p>
    <w:p w14:paraId="4B2EBDA2"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Chevin, Luis-Miguel. 2011. “On Measuring Selection in Experimental Evolution.” </w:t>
      </w:r>
      <w:r w:rsidRPr="00464BA0">
        <w:rPr>
          <w:rFonts w:ascii="Times New Roman" w:hAnsi="Times New Roman" w:cs="Times New Roman"/>
          <w:i/>
          <w:iCs/>
          <w:noProof/>
        </w:rPr>
        <w:t>Biology Letters</w:t>
      </w:r>
      <w:r w:rsidRPr="00464BA0">
        <w:rPr>
          <w:rFonts w:ascii="Times New Roman" w:hAnsi="Times New Roman" w:cs="Times New Roman"/>
          <w:noProof/>
        </w:rPr>
        <w:t xml:space="preserve"> 7 (2) (April 23): 210–3. doi:10.1098/rsbl.2010.0580.</w:t>
      </w:r>
    </w:p>
    <w:p w14:paraId="5B2DD3F4"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464BA0">
        <w:rPr>
          <w:rFonts w:ascii="Times New Roman" w:hAnsi="Times New Roman" w:cs="Times New Roman"/>
          <w:i/>
          <w:iCs/>
          <w:noProof/>
        </w:rPr>
        <w:t>Plos One</w:t>
      </w:r>
      <w:r w:rsidRPr="00464BA0">
        <w:rPr>
          <w:rFonts w:ascii="Times New Roman" w:hAnsi="Times New Roman" w:cs="Times New Roman"/>
          <w:noProof/>
        </w:rPr>
        <w:t xml:space="preserve"> 10 (6): e0126915. doi:10.1371/journal.pone.0126915.</w:t>
      </w:r>
    </w:p>
    <w:p w14:paraId="08292B42"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Crow, James F., and Motoo Kimura. 1970. </w:t>
      </w:r>
      <w:r w:rsidRPr="00464BA0">
        <w:rPr>
          <w:rFonts w:ascii="Times New Roman" w:hAnsi="Times New Roman" w:cs="Times New Roman"/>
          <w:i/>
          <w:iCs/>
          <w:noProof/>
        </w:rPr>
        <w:t>An Introduction to Population Genetics Theory</w:t>
      </w:r>
      <w:r w:rsidRPr="00464BA0">
        <w:rPr>
          <w:rFonts w:ascii="Times New Roman" w:hAnsi="Times New Roman" w:cs="Times New Roman"/>
          <w:noProof/>
        </w:rPr>
        <w:t>. Minneapolis: Burgess Pub. Co.</w:t>
      </w:r>
    </w:p>
    <w:p w14:paraId="2E6D40DE"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Dilao, Rui, and Tiago Domingos. 1999. “A General Approach to the Modelling of Trophic Chains.” </w:t>
      </w:r>
      <w:r w:rsidRPr="00464BA0">
        <w:rPr>
          <w:rFonts w:ascii="Times New Roman" w:hAnsi="Times New Roman" w:cs="Times New Roman"/>
          <w:i/>
          <w:iCs/>
          <w:noProof/>
        </w:rPr>
        <w:t>Ecological Modelling</w:t>
      </w:r>
      <w:r w:rsidRPr="00464BA0">
        <w:rPr>
          <w:rFonts w:ascii="Times New Roman" w:hAnsi="Times New Roman" w:cs="Times New Roman"/>
          <w:noProof/>
        </w:rPr>
        <w:t xml:space="preserve"> 132 (3): 20. doi:10.1016/S0304-3800(00)00272-6.</w:t>
      </w:r>
    </w:p>
    <w:p w14:paraId="305E5FD6"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Gallet, Romain, Tim F. Cooper, Santiago F. Elena, and Thomas Lenormand. 2012. “Measuring Selection Coefficients below 10</w:t>
      </w:r>
      <w:r w:rsidRPr="00464BA0">
        <w:rPr>
          <w:rFonts w:ascii="Times New Roman" w:hAnsi="Times New Roman" w:cs="Times New Roman"/>
          <w:noProof/>
          <w:vertAlign w:val="superscript"/>
        </w:rPr>
        <w:t>-3</w:t>
      </w:r>
      <w:r w:rsidRPr="00464BA0">
        <w:rPr>
          <w:rFonts w:ascii="Times New Roman" w:hAnsi="Times New Roman" w:cs="Times New Roman"/>
          <w:noProof/>
        </w:rPr>
        <w:t xml:space="preserve">: Method, Questions, and Prospects.” </w:t>
      </w:r>
      <w:r w:rsidRPr="00464BA0">
        <w:rPr>
          <w:rFonts w:ascii="Times New Roman" w:hAnsi="Times New Roman" w:cs="Times New Roman"/>
          <w:i/>
          <w:iCs/>
          <w:noProof/>
        </w:rPr>
        <w:t>Genetics</w:t>
      </w:r>
      <w:r w:rsidRPr="00464BA0">
        <w:rPr>
          <w:rFonts w:ascii="Times New Roman" w:hAnsi="Times New Roman" w:cs="Times New Roman"/>
          <w:noProof/>
        </w:rPr>
        <w:t xml:space="preserve"> 190 (1) (January): 175–86. doi:10.1534/genetics.111.133454.</w:t>
      </w:r>
    </w:p>
    <w:p w14:paraId="2F8F70C1"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Gilpin, Michael E., and Francisco J. Ayala. 1973. “Global Models of Growth and Competition.” </w:t>
      </w:r>
      <w:r w:rsidRPr="00464BA0">
        <w:rPr>
          <w:rFonts w:ascii="Times New Roman" w:hAnsi="Times New Roman" w:cs="Times New Roman"/>
          <w:i/>
          <w:iCs/>
          <w:noProof/>
        </w:rPr>
        <w:t>Proceedings of the National Academy of Sciences of the United States of America</w:t>
      </w:r>
      <w:r w:rsidRPr="00464BA0">
        <w:rPr>
          <w:rFonts w:ascii="Times New Roman" w:hAnsi="Times New Roman" w:cs="Times New Roman"/>
          <w:noProof/>
        </w:rPr>
        <w:t xml:space="preserve"> 70 (12 Pt 1-2): 3590–3593. doi:10.1073/pnas.70.12.3590.</w:t>
      </w:r>
    </w:p>
    <w:p w14:paraId="2CE5780D"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Hall, Barry G., Hande Acar, Anna Nandipati, and Miriam Barlow. 2014. “Growth Rates Made Easy.” </w:t>
      </w:r>
      <w:r w:rsidRPr="00464BA0">
        <w:rPr>
          <w:rFonts w:ascii="Times New Roman" w:hAnsi="Times New Roman" w:cs="Times New Roman"/>
          <w:i/>
          <w:iCs/>
          <w:noProof/>
        </w:rPr>
        <w:t>Molecular Biology and Evolution</w:t>
      </w:r>
      <w:r w:rsidRPr="00464BA0">
        <w:rPr>
          <w:rFonts w:ascii="Times New Roman" w:hAnsi="Times New Roman" w:cs="Times New Roman"/>
          <w:noProof/>
        </w:rPr>
        <w:t xml:space="preserve"> 31 (1): 232–238. doi:10.1093/molbev/mst187.</w:t>
      </w:r>
    </w:p>
    <w:p w14:paraId="7A3B5FB0"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464BA0">
        <w:rPr>
          <w:rFonts w:ascii="Times New Roman" w:hAnsi="Times New Roman" w:cs="Times New Roman"/>
          <w:i/>
          <w:iCs/>
          <w:noProof/>
        </w:rPr>
        <w:t>Science</w:t>
      </w:r>
      <w:r w:rsidRPr="00464BA0">
        <w:rPr>
          <w:rFonts w:ascii="Times New Roman" w:hAnsi="Times New Roman" w:cs="Times New Roman"/>
          <w:noProof/>
        </w:rPr>
        <w:t xml:space="preserve"> 311 (5767) (March): 1615–7. doi:10.1126/science.1122469.</w:t>
      </w:r>
    </w:p>
    <w:p w14:paraId="52D2E264"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Jones, Eric, Travis Oliphant, Pearu Peterson, and others. 2001. “SciPy: Open Source Scientific Tools for Python.” http://www.scipy.org/.</w:t>
      </w:r>
    </w:p>
    <w:p w14:paraId="7F43EF1D"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Kass, Robert, and Adrian Raftery. 1995. “Bayes Factors.” </w:t>
      </w:r>
      <w:r w:rsidRPr="00464BA0">
        <w:rPr>
          <w:rFonts w:ascii="Times New Roman" w:hAnsi="Times New Roman" w:cs="Times New Roman"/>
          <w:i/>
          <w:iCs/>
          <w:noProof/>
        </w:rPr>
        <w:t>Journal of the American Statistical Association</w:t>
      </w:r>
      <w:r w:rsidRPr="00464BA0">
        <w:rPr>
          <w:rFonts w:ascii="Times New Roman" w:hAnsi="Times New Roman" w:cs="Times New Roman"/>
          <w:noProof/>
        </w:rPr>
        <w:t>: 773–795. doi:doi: 10.2307/2291091.</w:t>
      </w:r>
    </w:p>
    <w:p w14:paraId="6C39351A"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464BA0">
        <w:rPr>
          <w:rFonts w:ascii="Times New Roman" w:hAnsi="Times New Roman" w:cs="Times New Roman"/>
          <w:i/>
          <w:iCs/>
          <w:noProof/>
        </w:rPr>
        <w:t>Nature</w:t>
      </w:r>
      <w:r w:rsidRPr="00464BA0">
        <w:rPr>
          <w:rFonts w:ascii="Times New Roman" w:hAnsi="Times New Roman" w:cs="Times New Roman"/>
          <w:noProof/>
        </w:rPr>
        <w:t xml:space="preserve"> 519 (7542) (February 25): 181–186. doi:10.1038/nature14279.</w:t>
      </w:r>
    </w:p>
    <w:p w14:paraId="69B7132A"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Masel, Joanna. 2014. “Eco-Evolutionary ‘Fitness’ in 3 Dimensions: Absolute Growth, Absolute Efficiency, and Relative Competitiveness.” Populations and Evolution. </w:t>
      </w:r>
      <w:r w:rsidRPr="00464BA0">
        <w:rPr>
          <w:rFonts w:ascii="Times New Roman" w:hAnsi="Times New Roman" w:cs="Times New Roman"/>
          <w:i/>
          <w:iCs/>
          <w:noProof/>
        </w:rPr>
        <w:t>arXiv:1407.1024v3</w:t>
      </w:r>
      <w:r w:rsidRPr="00464BA0">
        <w:rPr>
          <w:rFonts w:ascii="Times New Roman" w:hAnsi="Times New Roman" w:cs="Times New Roman"/>
          <w:noProof/>
        </w:rPr>
        <w:t xml:space="preserve"> (July): 1–44.</w:t>
      </w:r>
    </w:p>
    <w:p w14:paraId="2F6721AD"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2283C783"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Otto, Sarah P., and Troy Day. 2007. </w:t>
      </w:r>
      <w:r w:rsidRPr="00464BA0">
        <w:rPr>
          <w:rFonts w:ascii="Times New Roman" w:hAnsi="Times New Roman" w:cs="Times New Roman"/>
          <w:i/>
          <w:iCs/>
          <w:noProof/>
        </w:rPr>
        <w:t>A Biologist’s Guide to Mathematical Modeling in Ecology and Evolution</w:t>
      </w:r>
      <w:r w:rsidRPr="00464BA0">
        <w:rPr>
          <w:rFonts w:ascii="Times New Roman" w:hAnsi="Times New Roman" w:cs="Times New Roman"/>
          <w:noProof/>
        </w:rPr>
        <w:t>. Princeton University Press.</w:t>
      </w:r>
    </w:p>
    <w:p w14:paraId="3489A204"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Richards, F. J. 1959. “A Flexible Growth Function for Empirical Use.” </w:t>
      </w:r>
      <w:r w:rsidRPr="00464BA0">
        <w:rPr>
          <w:rFonts w:ascii="Times New Roman" w:hAnsi="Times New Roman" w:cs="Times New Roman"/>
          <w:i/>
          <w:iCs/>
          <w:noProof/>
        </w:rPr>
        <w:t>Journal of Experimental Botany</w:t>
      </w:r>
      <w:r w:rsidRPr="00464BA0">
        <w:rPr>
          <w:rFonts w:ascii="Times New Roman" w:hAnsi="Times New Roman" w:cs="Times New Roman"/>
          <w:noProof/>
        </w:rPr>
        <w:t xml:space="preserve"> 10 (2): 290–301. doi:10.1093/jxb/10.2.290.</w:t>
      </w:r>
    </w:p>
    <w:p w14:paraId="1F193A7D"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Schnute, Jon. 1981. “A Versatile Growth Model with Statistically Stable Parameters.” </w:t>
      </w:r>
      <w:r w:rsidRPr="00464BA0">
        <w:rPr>
          <w:rFonts w:ascii="Times New Roman" w:hAnsi="Times New Roman" w:cs="Times New Roman"/>
          <w:i/>
          <w:iCs/>
          <w:noProof/>
        </w:rPr>
        <w:t>Canadian Journal of Fisheries and Aquatic Sciences</w:t>
      </w:r>
      <w:r w:rsidRPr="00464BA0">
        <w:rPr>
          <w:rFonts w:ascii="Times New Roman" w:hAnsi="Times New Roman" w:cs="Times New Roman"/>
          <w:noProof/>
        </w:rPr>
        <w:t xml:space="preserve"> 38 (9) (September): 1128–1140. doi:10.1139/f81-153.</w:t>
      </w:r>
    </w:p>
    <w:p w14:paraId="25E58861"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Ward, Eric J. 2008. “A Review and Comparison of Four Commonly Used Bayesian and Maximum Likelihood Model Selection Tools.” </w:t>
      </w:r>
      <w:r w:rsidRPr="00464BA0">
        <w:rPr>
          <w:rFonts w:ascii="Times New Roman" w:hAnsi="Times New Roman" w:cs="Times New Roman"/>
          <w:i/>
          <w:iCs/>
          <w:noProof/>
        </w:rPr>
        <w:t>Ecological Modelling</w:t>
      </w:r>
      <w:r w:rsidRPr="00464BA0">
        <w:rPr>
          <w:rFonts w:ascii="Times New Roman" w:hAnsi="Times New Roman" w:cs="Times New Roman"/>
          <w:noProof/>
        </w:rPr>
        <w:t xml:space="preserve"> 211 (1-2): 1–10. doi:10.1016/j.ecolmodel.2007.10.030.</w:t>
      </w:r>
    </w:p>
    <w:p w14:paraId="71ADC934"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Wiser, Michael J, and Richard E. Lenski. 2015. “A Comparison of Methods to Measure Fitness in Escherichia Coli.” </w:t>
      </w:r>
      <w:r w:rsidRPr="00464BA0">
        <w:rPr>
          <w:rFonts w:ascii="Times New Roman" w:hAnsi="Times New Roman" w:cs="Times New Roman"/>
          <w:i/>
          <w:iCs/>
          <w:noProof/>
        </w:rPr>
        <w:t>PLOS ONE</w:t>
      </w:r>
      <w:r w:rsidRPr="00464BA0">
        <w:rPr>
          <w:rFonts w:ascii="Times New Roman" w:hAnsi="Times New Roman" w:cs="Times New Roman"/>
          <w:noProof/>
        </w:rPr>
        <w:t xml:space="preserve"> 10 (5): e0126210. doi:10.1371/journal.pone.0126210.</w:t>
      </w:r>
    </w:p>
    <w:p w14:paraId="1D182A15" w14:textId="373DC22D" w:rsidR="00BC14C2" w:rsidRPr="00BC14C2" w:rsidRDefault="00BC14C2" w:rsidP="00464BA0">
      <w:pPr>
        <w:widowControl w:val="0"/>
        <w:autoSpaceDE w:val="0"/>
        <w:autoSpaceDN w:val="0"/>
        <w:adjustRightInd w:val="0"/>
        <w:spacing w:before="100" w:after="100" w:line="240" w:lineRule="auto"/>
        <w:ind w:left="480" w:hanging="480"/>
      </w:pPr>
      <w:r>
        <w:fldChar w:fldCharType="end"/>
      </w:r>
    </w:p>
    <w:p w14:paraId="4313237F" w14:textId="77777777" w:rsidR="006E28DC" w:rsidRDefault="006E28DC" w:rsidP="00A362F7"/>
    <w:sectPr w:rsidR="006E28DC" w:rsidSect="00E95165">
      <w:headerReference w:type="even" r:id="rId9"/>
      <w:headerReference w:type="default" r:id="rId10"/>
      <w:footerReference w:type="even" r:id="rId11"/>
      <w:footerReference w:type="defaul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8F3527" w:rsidRDefault="008F3527" w:rsidP="00A362F7">
      <w:r>
        <w:separator/>
      </w:r>
    </w:p>
  </w:endnote>
  <w:endnote w:type="continuationSeparator" w:id="0">
    <w:p w14:paraId="6CFC188D" w14:textId="77777777" w:rsidR="008F3527" w:rsidRDefault="008F3527"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8F3527" w:rsidRDefault="008F3527">
        <w:pPr>
          <w:pStyle w:val="Footer"/>
          <w:jc w:val="center"/>
        </w:pPr>
        <w:r>
          <w:fldChar w:fldCharType="begin"/>
        </w:r>
        <w:r>
          <w:instrText xml:space="preserve"> PAGE   \* MERGEFORMAT </w:instrText>
        </w:r>
        <w:r>
          <w:fldChar w:fldCharType="separate"/>
        </w:r>
        <w:r w:rsidR="00E61648">
          <w:rPr>
            <w:noProof/>
          </w:rPr>
          <w:t>10</w:t>
        </w:r>
        <w:r>
          <w:rPr>
            <w:noProof/>
          </w:rPr>
          <w:fldChar w:fldCharType="end"/>
        </w:r>
      </w:p>
    </w:sdtContent>
  </w:sdt>
  <w:p w14:paraId="04BCEBB2" w14:textId="77777777" w:rsidR="008F3527" w:rsidRDefault="008F35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8F3527" w:rsidRDefault="008F3527" w:rsidP="00E95165">
        <w:pPr>
          <w:pStyle w:val="Footer"/>
          <w:jc w:val="center"/>
        </w:pPr>
        <w:r>
          <w:fldChar w:fldCharType="begin"/>
        </w:r>
        <w:r w:rsidRPr="00E95165">
          <w:instrText xml:space="preserve"> PAGE   \* MERGEFORMAT </w:instrText>
        </w:r>
        <w:r>
          <w:fldChar w:fldCharType="separate"/>
        </w:r>
        <w:r w:rsidR="00E61648">
          <w:rPr>
            <w:noProof/>
          </w:rPr>
          <w:t>15</w:t>
        </w:r>
        <w:r>
          <w:rPr>
            <w:noProof/>
          </w:rPr>
          <w:fldChar w:fldCharType="end"/>
        </w:r>
      </w:p>
    </w:sdtContent>
  </w:sdt>
  <w:p w14:paraId="4FA56F78" w14:textId="77777777" w:rsidR="008F3527" w:rsidRDefault="008F3527"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8F3527" w:rsidRDefault="008F3527" w:rsidP="00A362F7">
      <w:r>
        <w:separator/>
      </w:r>
    </w:p>
  </w:footnote>
  <w:footnote w:type="continuationSeparator" w:id="0">
    <w:p w14:paraId="720B2685" w14:textId="77777777" w:rsidR="008F3527" w:rsidRDefault="008F3527"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8F3527" w:rsidRDefault="008F3527"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8F3527" w:rsidRDefault="008F3527"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mailMerge>
    <w:mainDocumentType w:val="email"/>
    <w:dataType w:val="textFile"/>
    <w:activeRecord w:val="-1"/>
    <w:odso/>
  </w:mailMerge>
  <w:defaultTabStop w:val="720"/>
  <w:evenAndOddHeaders/>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1424B"/>
    <w:rsid w:val="00016742"/>
    <w:rsid w:val="00022994"/>
    <w:rsid w:val="000363EF"/>
    <w:rsid w:val="00044070"/>
    <w:rsid w:val="00046A28"/>
    <w:rsid w:val="00060445"/>
    <w:rsid w:val="00077B31"/>
    <w:rsid w:val="00090EE9"/>
    <w:rsid w:val="00096923"/>
    <w:rsid w:val="000A12FF"/>
    <w:rsid w:val="000A2377"/>
    <w:rsid w:val="000A33E4"/>
    <w:rsid w:val="000D1077"/>
    <w:rsid w:val="000D74D8"/>
    <w:rsid w:val="000E1107"/>
    <w:rsid w:val="001375D1"/>
    <w:rsid w:val="00145FE7"/>
    <w:rsid w:val="001539BA"/>
    <w:rsid w:val="00154E23"/>
    <w:rsid w:val="00155F9E"/>
    <w:rsid w:val="00176E5B"/>
    <w:rsid w:val="001779D8"/>
    <w:rsid w:val="00184154"/>
    <w:rsid w:val="001935CF"/>
    <w:rsid w:val="001D0A3F"/>
    <w:rsid w:val="001D731C"/>
    <w:rsid w:val="001E3E51"/>
    <w:rsid w:val="001E63B9"/>
    <w:rsid w:val="002065DF"/>
    <w:rsid w:val="002136EB"/>
    <w:rsid w:val="00231A0D"/>
    <w:rsid w:val="00232E7C"/>
    <w:rsid w:val="00241CDA"/>
    <w:rsid w:val="0025255E"/>
    <w:rsid w:val="002545FB"/>
    <w:rsid w:val="00266364"/>
    <w:rsid w:val="00292016"/>
    <w:rsid w:val="002B2CF9"/>
    <w:rsid w:val="002D1BDB"/>
    <w:rsid w:val="002D33FF"/>
    <w:rsid w:val="002D3423"/>
    <w:rsid w:val="003202F1"/>
    <w:rsid w:val="00321D10"/>
    <w:rsid w:val="00322C2A"/>
    <w:rsid w:val="003363E0"/>
    <w:rsid w:val="00350EA0"/>
    <w:rsid w:val="003512A0"/>
    <w:rsid w:val="00353E9F"/>
    <w:rsid w:val="003578D2"/>
    <w:rsid w:val="00363107"/>
    <w:rsid w:val="00363F78"/>
    <w:rsid w:val="003D0164"/>
    <w:rsid w:val="003E7D70"/>
    <w:rsid w:val="00406968"/>
    <w:rsid w:val="00412582"/>
    <w:rsid w:val="00425869"/>
    <w:rsid w:val="0044050E"/>
    <w:rsid w:val="00451F50"/>
    <w:rsid w:val="00464BA0"/>
    <w:rsid w:val="004762FF"/>
    <w:rsid w:val="004A72EC"/>
    <w:rsid w:val="004C26D4"/>
    <w:rsid w:val="004E67C2"/>
    <w:rsid w:val="004F41E2"/>
    <w:rsid w:val="004F69EA"/>
    <w:rsid w:val="00503DBB"/>
    <w:rsid w:val="00520F09"/>
    <w:rsid w:val="005226B0"/>
    <w:rsid w:val="0053290E"/>
    <w:rsid w:val="00541F23"/>
    <w:rsid w:val="00542096"/>
    <w:rsid w:val="00547A93"/>
    <w:rsid w:val="00547C93"/>
    <w:rsid w:val="00551D58"/>
    <w:rsid w:val="00555009"/>
    <w:rsid w:val="00563F73"/>
    <w:rsid w:val="00565349"/>
    <w:rsid w:val="00574E06"/>
    <w:rsid w:val="005816A6"/>
    <w:rsid w:val="005B79A5"/>
    <w:rsid w:val="005C2E39"/>
    <w:rsid w:val="005D40CB"/>
    <w:rsid w:val="005F02B4"/>
    <w:rsid w:val="005F1042"/>
    <w:rsid w:val="006147AD"/>
    <w:rsid w:val="006161B0"/>
    <w:rsid w:val="00634747"/>
    <w:rsid w:val="00655054"/>
    <w:rsid w:val="00670FC1"/>
    <w:rsid w:val="006714D6"/>
    <w:rsid w:val="006748D6"/>
    <w:rsid w:val="00675E28"/>
    <w:rsid w:val="00677B67"/>
    <w:rsid w:val="006A4640"/>
    <w:rsid w:val="006C212D"/>
    <w:rsid w:val="006C370B"/>
    <w:rsid w:val="006E28DC"/>
    <w:rsid w:val="006F0C9C"/>
    <w:rsid w:val="00700A20"/>
    <w:rsid w:val="00700FD5"/>
    <w:rsid w:val="00715DA6"/>
    <w:rsid w:val="00720CF6"/>
    <w:rsid w:val="00736DBC"/>
    <w:rsid w:val="00737483"/>
    <w:rsid w:val="00747E78"/>
    <w:rsid w:val="00754346"/>
    <w:rsid w:val="00756197"/>
    <w:rsid w:val="007626A1"/>
    <w:rsid w:val="00765CD6"/>
    <w:rsid w:val="00766DFC"/>
    <w:rsid w:val="00771D41"/>
    <w:rsid w:val="00787034"/>
    <w:rsid w:val="007917E5"/>
    <w:rsid w:val="00797787"/>
    <w:rsid w:val="007A5D05"/>
    <w:rsid w:val="007B695D"/>
    <w:rsid w:val="007C0F87"/>
    <w:rsid w:val="007E465E"/>
    <w:rsid w:val="00811C45"/>
    <w:rsid w:val="008200D3"/>
    <w:rsid w:val="00837DFB"/>
    <w:rsid w:val="00840031"/>
    <w:rsid w:val="008445BE"/>
    <w:rsid w:val="00865920"/>
    <w:rsid w:val="00872AE7"/>
    <w:rsid w:val="00895982"/>
    <w:rsid w:val="008D29A3"/>
    <w:rsid w:val="008F295D"/>
    <w:rsid w:val="008F3527"/>
    <w:rsid w:val="009050CE"/>
    <w:rsid w:val="00920F1D"/>
    <w:rsid w:val="0093181D"/>
    <w:rsid w:val="00954602"/>
    <w:rsid w:val="00966DD5"/>
    <w:rsid w:val="00970E9E"/>
    <w:rsid w:val="0097184D"/>
    <w:rsid w:val="009776CA"/>
    <w:rsid w:val="00984152"/>
    <w:rsid w:val="00995D06"/>
    <w:rsid w:val="009B2A6B"/>
    <w:rsid w:val="009C1B7D"/>
    <w:rsid w:val="009C4366"/>
    <w:rsid w:val="009D1000"/>
    <w:rsid w:val="00A00EBA"/>
    <w:rsid w:val="00A01BA9"/>
    <w:rsid w:val="00A26E97"/>
    <w:rsid w:val="00A362F7"/>
    <w:rsid w:val="00A415D4"/>
    <w:rsid w:val="00A4385B"/>
    <w:rsid w:val="00A64172"/>
    <w:rsid w:val="00A87CA6"/>
    <w:rsid w:val="00AB3A96"/>
    <w:rsid w:val="00AB6F03"/>
    <w:rsid w:val="00AC7A5E"/>
    <w:rsid w:val="00AF7F41"/>
    <w:rsid w:val="00B12AFC"/>
    <w:rsid w:val="00B1304F"/>
    <w:rsid w:val="00B14E47"/>
    <w:rsid w:val="00B37B5A"/>
    <w:rsid w:val="00B551CC"/>
    <w:rsid w:val="00B66E46"/>
    <w:rsid w:val="00B745FB"/>
    <w:rsid w:val="00B830DD"/>
    <w:rsid w:val="00B947CD"/>
    <w:rsid w:val="00B95F3E"/>
    <w:rsid w:val="00BB16DB"/>
    <w:rsid w:val="00BB3C26"/>
    <w:rsid w:val="00BB7C4F"/>
    <w:rsid w:val="00BC14C2"/>
    <w:rsid w:val="00BD50D7"/>
    <w:rsid w:val="00BF4347"/>
    <w:rsid w:val="00C05ED5"/>
    <w:rsid w:val="00C4070E"/>
    <w:rsid w:val="00C432BE"/>
    <w:rsid w:val="00C640AA"/>
    <w:rsid w:val="00C77C23"/>
    <w:rsid w:val="00C95EA3"/>
    <w:rsid w:val="00C97988"/>
    <w:rsid w:val="00CB2929"/>
    <w:rsid w:val="00CB34CC"/>
    <w:rsid w:val="00CC51DD"/>
    <w:rsid w:val="00CD3999"/>
    <w:rsid w:val="00CE2595"/>
    <w:rsid w:val="00D220AB"/>
    <w:rsid w:val="00D271A1"/>
    <w:rsid w:val="00D31092"/>
    <w:rsid w:val="00D35A20"/>
    <w:rsid w:val="00D373CC"/>
    <w:rsid w:val="00D46522"/>
    <w:rsid w:val="00DA4024"/>
    <w:rsid w:val="00DD72E5"/>
    <w:rsid w:val="00E14ACF"/>
    <w:rsid w:val="00E33F77"/>
    <w:rsid w:val="00E36AEA"/>
    <w:rsid w:val="00E429B2"/>
    <w:rsid w:val="00E50794"/>
    <w:rsid w:val="00E61648"/>
    <w:rsid w:val="00E61B9A"/>
    <w:rsid w:val="00E74D07"/>
    <w:rsid w:val="00E77F4F"/>
    <w:rsid w:val="00E842FC"/>
    <w:rsid w:val="00E95165"/>
    <w:rsid w:val="00EB198A"/>
    <w:rsid w:val="00EB59A8"/>
    <w:rsid w:val="00EB6B87"/>
    <w:rsid w:val="00EB7652"/>
    <w:rsid w:val="00F06513"/>
    <w:rsid w:val="00F06897"/>
    <w:rsid w:val="00F121DF"/>
    <w:rsid w:val="00F23E09"/>
    <w:rsid w:val="00F378C2"/>
    <w:rsid w:val="00F51148"/>
    <w:rsid w:val="00F54779"/>
    <w:rsid w:val="00F649AD"/>
    <w:rsid w:val="00F91B2F"/>
    <w:rsid w:val="00F9516D"/>
    <w:rsid w:val="00FB4568"/>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1"/>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76"/>
    <w:rsid w:val="00266376"/>
    <w:rsid w:val="00BA5920"/>
    <w:rsid w:val="00E46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43A4CC5-B4A6-4711-8F0A-A07C88583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15</Pages>
  <Words>16350</Words>
  <Characters>81750</Characters>
  <Application>Microsoft Office Word</Application>
  <DocSecurity>0</DocSecurity>
  <Lines>681</Lines>
  <Paragraphs>195</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97905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20</cp:revision>
  <cp:lastPrinted>2015-07-23T12:55:00Z</cp:lastPrinted>
  <dcterms:created xsi:type="dcterms:W3CDTF">2015-12-22T15:38:00Z</dcterms:created>
  <dcterms:modified xsi:type="dcterms:W3CDTF">2015-12-30T09:09:00Z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http://www.zotero.org/styles/bmc-evolutionary-biology</vt:lpwstr>
  </property>
  <property fmtid="{D5CDD505-2E9C-101B-9397-08002B2CF9AE}" pid="7" name="Mendeley Recent Style Name 1_1">
    <vt:lpwstr>BMC Evolutionary Biology</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http://www.zotero.org/styles/elsevier-without-titles</vt:lpwstr>
  </property>
  <property fmtid="{D5CDD505-2E9C-101B-9397-08002B2CF9AE}" pid="11" name="Mendeley Recent Style Name 3_1">
    <vt:lpwstr>Elsevier (numeric, without titles)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http://www.zotero.org/styles/nature</vt:lpwstr>
  </property>
  <property fmtid="{D5CDD505-2E9C-101B-9397-08002B2CF9AE}" pid="15" name="Mendeley Recent Style Name 5_1">
    <vt:lpwstr>Nature</vt:lpwstr>
  </property>
  <property fmtid="{D5CDD505-2E9C-101B-9397-08002B2CF9AE}" pid="16" name="Mendeley Recent Style Id 6_1">
    <vt:lpwstr>http://www.zotero.org/styles/proceedings-of-the-royal-society-b</vt:lpwstr>
  </property>
  <property fmtid="{D5CDD505-2E9C-101B-9397-08002B2CF9AE}" pid="17" name="Mendeley Recent Style Name 6_1">
    <vt:lpwstr>Proceedings of the Royal Society B</vt:lpwstr>
  </property>
  <property fmtid="{D5CDD505-2E9C-101B-9397-08002B2CF9AE}" pid="18" name="Mendeley Recent Style Id 7_1">
    <vt:lpwstr>http://www.zotero.org/styles/plos</vt:lpwstr>
  </property>
  <property fmtid="{D5CDD505-2E9C-101B-9397-08002B2CF9AE}" pid="19" name="Mendeley Recent Style Name 7_1">
    <vt:lpwstr>Public Library of Science</vt:lpwstr>
  </property>
  <property fmtid="{D5CDD505-2E9C-101B-9397-08002B2CF9AE}" pid="20" name="Mendeley Recent Style Id 8_1">
    <vt:lpwstr>http://www.zotero.org/styles/science</vt:lpwstr>
  </property>
  <property fmtid="{D5CDD505-2E9C-101B-9397-08002B2CF9AE}" pid="21" name="Mendeley Recent Style Name 8_1">
    <vt:lpwstr>Science</vt:lpwstr>
  </property>
  <property fmtid="{D5CDD505-2E9C-101B-9397-08002B2CF9AE}" pid="22" name="Mendeley Recent Style Id 9_1">
    <vt:lpwstr>http://www.zotero.org/styles/science-without-titles</vt:lpwstr>
  </property>
  <property fmtid="{D5CDD505-2E9C-101B-9397-08002B2CF9AE}" pid="23" name="Mendeley Recent Style Name 9_1">
    <vt:lpwstr>Science (without titles)</vt:lpwstr>
  </property>
  <property fmtid="{D5CDD505-2E9C-101B-9397-08002B2CF9AE}" pid="24" name="Mendeley Citation Style_1">
    <vt:lpwstr>http://www.zotero.org/styles/chicago-author-date</vt:lpwstr>
  </property>
</Properties>
</file>