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77777777"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5F1042">
        <w:rPr>
          <w:noProof/>
        </w:rPr>
        <w:t>July 21,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77777777" w:rsidR="006161B0" w:rsidRDefault="004762FF" w:rsidP="00A362F7">
      <w:r w:rsidRPr="004762FF">
        <w:rPr>
          <w:b/>
          <w:bCs/>
        </w:rPr>
        <w:t>Keywords:</w:t>
      </w:r>
      <w:r>
        <w:t xml:space="preserve"> mathematical model, microbiology, evolution, ecology</w:t>
      </w:r>
      <w:r w:rsidR="00954602">
        <w:t>, fitness, selection,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3AE088F3" w:rsidR="006161B0" w:rsidRDefault="009B2A6B" w:rsidP="00995D06">
      <w:r>
        <w:t>Measuring relative fitness by 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investigators </w:t>
      </w:r>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between these parameters and 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t xml:space="preserve">using </w:t>
      </w:r>
      <w:r w:rsidR="00920F1D">
        <w:t>single strain growth curves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0E13F6C1" w:rsidR="00677B67" w:rsidRDefault="001539BA" w:rsidP="00BB16DB">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r w:rsidR="009B2A6B">
        <w:t xml:space="preserve">a range of </w:t>
      </w:r>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E842FC">
        <w:t>However, the selection coefficient can be affected by other phases of a growth curve</w:t>
      </w:r>
      <w:r w:rsidR="00BB16DB">
        <w:t xml:space="preserve"> 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77777777" w:rsidR="003E7D70" w:rsidRDefault="003E7D70" w:rsidP="003E7D70">
      <w:pPr>
        <w:pStyle w:val="Heading2"/>
      </w:pPr>
      <w:r w:rsidRPr="003E7D70">
        <w:t>Pairwise competition experiments</w:t>
      </w:r>
    </w:p>
    <w:p w14:paraId="37EC2E19" w14:textId="498F9312" w:rsidR="003E7D70" w:rsidRDefault="001539BA" w:rsidP="00BB16DB">
      <w:r w:rsidRPr="003E7D70">
        <w:t>Pairwise c</w:t>
      </w:r>
      <w:r w:rsidR="00B12AFC" w:rsidRPr="003E7D70">
        <w:t xml:space="preserve">ompetition </w:t>
      </w:r>
      <w:r w:rsidRPr="003E7D70">
        <w:t>experiments</w:t>
      </w:r>
      <w:r w:rsidR="00B12AFC" w:rsidRPr="003E7D70">
        <w:t xml:space="preserve"> </w:t>
      </w:r>
      <w:r>
        <w:t xml:space="preserve">infer </w:t>
      </w:r>
      <w:r w:rsidR="00BB7C4F">
        <w:t xml:space="preserve">relative </w:t>
      </w:r>
      <w:r w:rsidR="00B12AFC">
        <w:t xml:space="preserve">fitness </w:t>
      </w:r>
      <w:r>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experiments</w:t>
      </w:r>
      <w:r w:rsidR="00BB7C4F">
        <w:t>,</w:t>
      </w:r>
      <w:r>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t xml:space="preserve"> The frequency of each strain </w:t>
      </w:r>
      <w:r w:rsidR="00BB7C4F">
        <w:t xml:space="preserve">in the population </w:t>
      </w:r>
      <w:r>
        <w:t>is measured during the</w:t>
      </w:r>
      <w:r w:rsidR="00AC7A5E">
        <w:t xml:space="preserve"> course of the</w:t>
      </w:r>
      <w:r>
        <w:t xml:space="preserve"> experiment</w:t>
      </w:r>
      <w:r w:rsidR="00AC7A5E">
        <w:t>. This is done classically by plating assays that distinguish the strains using genetic markers</w:t>
      </w:r>
      <w:r w:rsidR="005F1042">
        <w:t xml:space="preserve"> </w:t>
      </w:r>
      <w:r w:rsidR="005F1042">
        <w:fldChar w:fldCharType="begin" w:fldLock="1"/>
      </w:r>
      <w:r w:rsidR="00BB16D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5F104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BB16DB">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"issued" : { "date-parts" : [ [ "2015" ] ] }, "title" : "Quantitative evolutionary dynamics using high-resolution lineage tracking", "type" : "article-journal", "volume" : "advance on"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BB16DB" w:rsidRPr="00BB16DB">
        <w:rPr>
          <w:noProof/>
        </w:rPr>
        <w:t>(Bank et al. 2014; Levy et al. 2015)</w:t>
      </w:r>
      <w:r w:rsidR="00675E28">
        <w:fldChar w:fldCharType="end"/>
      </w:r>
      <w:r>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 xml:space="preserve">the </w:t>
      </w:r>
      <w:r w:rsidR="00677B67">
        <w:t>frequenc</w:t>
      </w:r>
      <w:r>
        <w:t>ies</w:t>
      </w:r>
      <w:r w:rsidR="00AC7A5E">
        <w:t xml:space="preserve"> of the different strains</w:t>
      </w:r>
      <w:r w:rsidR="00677B67">
        <w:t xml:space="preserve"> </w:t>
      </w:r>
      <w:r w:rsidR="006161B0">
        <w:t>during</w:t>
      </w:r>
      <w:r w:rsidR="00AC7A5E">
        <w:t xml:space="preserv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w:t>
      </w:r>
      <w:r w:rsidR="00BB16DB">
        <w:t>are</w:t>
      </w:r>
      <w:r w:rsidR="00677B67">
        <w:t xml:space="preserve"> </w:t>
      </w:r>
      <w:r w:rsidR="00077B31">
        <w:t>good</w:t>
      </w:r>
      <w:r w:rsidR="00677B67">
        <w:t xml:space="preserve"> method</w:t>
      </w:r>
      <w:r w:rsidR="00BB16DB">
        <w:t>s</w:t>
      </w:r>
      <w:r w:rsidR="00677B67">
        <w:t xml:space="preserve"> to </w:t>
      </w:r>
      <w:r w:rsidR="006161B0">
        <w:t>estimate relative</w:t>
      </w:r>
      <w:r w:rsidR="00677B67">
        <w:t xml:space="preserve"> fitness, as </w:t>
      </w:r>
      <w:r w:rsidR="00BB16DB">
        <w:t>they</w:t>
      </w:r>
      <w:r w:rsidR="00677B67">
        <w:t xml:space="preserve"> directly </w:t>
      </w:r>
      <w:proofErr w:type="gramStart"/>
      <w:r w:rsidR="00677B67">
        <w:t>estimate</w:t>
      </w:r>
      <w:r w:rsidR="00C77C23">
        <w:t>s</w:t>
      </w:r>
      <w:proofErr w:type="gramEnd"/>
      <w:r w:rsidR="00C77C23">
        <w:t xml:space="preserve"> </w:t>
      </w:r>
      <w:r w:rsidR="00677B67">
        <w:t>fitness</w:t>
      </w:r>
      <w:r w:rsidR="006161B0">
        <w:t xml:space="preserve"> from </w:t>
      </w:r>
      <w:r w:rsidR="00077B31">
        <w:t xml:space="preserve">change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construction and assaying of genetic or phenotypic </w:t>
      </w:r>
      <w:r w:rsidR="00677B67">
        <w:lastRenderedPageBreak/>
        <w:t>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7BA49E7D" w:rsidR="00FC0D75" w:rsidRDefault="00FC0D75" w:rsidP="00EB6B87">
      <w:r>
        <w:t xml:space="preserve">We implemented our method using </w:t>
      </w:r>
      <w:r w:rsidR="00077B31">
        <w:rPr>
          <w:i/>
          <w:iCs/>
        </w:rPr>
        <w:t>Curveball</w:t>
      </w:r>
      <w:r w:rsidR="00077B31" w:rsidRPr="00077B31">
        <w:t xml:space="preserve">, </w:t>
      </w:r>
      <w:r>
        <w:t xml:space="preserve">an open source Python package </w:t>
      </w:r>
      <w:r w:rsidR="00B12AFC">
        <w:t>(</w:t>
      </w:r>
      <w:r w:rsidR="00BB16DB">
        <w:t xml:space="preserve">see </w:t>
      </w:r>
      <w:hyperlink r:id="rId8" w:history="1">
        <w:r w:rsidR="00B12AFC" w:rsidRPr="00EB6B87">
          <w:rPr>
            <w:rStyle w:val="Hyperlink"/>
          </w:rPr>
          <w:t>http://curveball.yoavram.com</w:t>
        </w:r>
      </w:hyperlink>
      <w:r w:rsidR="00B12AFC">
        <w:t>)</w:t>
      </w:r>
      <w:r w:rsidR="003D0164">
        <w:t>.</w:t>
      </w:r>
    </w:p>
    <w:p w14:paraId="4EC11D9F" w14:textId="330209F7" w:rsidR="00FC0D75" w:rsidRDefault="00FC0D75" w:rsidP="00A362F7">
      <w:pPr>
        <w:pStyle w:val="Heading1"/>
      </w:pPr>
      <w:r>
        <w:t>Methods</w:t>
      </w:r>
      <w:r w:rsidR="000D1077">
        <w:t xml:space="preserve"> and Results</w:t>
      </w:r>
      <w:r>
        <w:t xml:space="preserve"> </w:t>
      </w:r>
    </w:p>
    <w:p w14:paraId="619A2F8E" w14:textId="756125A8" w:rsidR="00060445" w:rsidRDefault="00B12AFC" w:rsidP="00EB6B87">
      <w:r>
        <w:t>O</w:t>
      </w:r>
      <w:r w:rsidR="00765CD6">
        <w:t xml:space="preserve">ur method </w:t>
      </w:r>
      <w:r>
        <w:t>includes three stages: (</w:t>
      </w:r>
      <w:proofErr w:type="spellStart"/>
      <w:r>
        <w:t>i</w:t>
      </w:r>
      <w:proofErr w:type="spellEnd"/>
      <w:r>
        <w:t xml:space="preserve">) </w:t>
      </w:r>
      <w:r w:rsidR="00765CD6">
        <w:t>fitting growth models to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428818F1"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77777777"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634747"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77777777"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14:paraId="60526681" w14:textId="77777777"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1E1389C7" w:rsidR="00EB7652" w:rsidRDefault="00EB7652" w:rsidP="005C2E39">
      <w:pPr>
        <w:ind w:firstLine="0"/>
      </w:pPr>
      <w:proofErr w:type="gramStart"/>
      <w:r>
        <w:t>where</w:t>
      </w:r>
      <w:proofErr w:type="gramEnd"/>
      <w:r>
        <w:t xml:space="preserv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r w:rsidR="005C2E39">
        <w:t xml:space="preserve"> (see below for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C2E39">
        <w:t xml:space="preserve"> and </w:t>
      </w:r>
      <m:oMath>
        <m:r>
          <w:rPr>
            <w:rFonts w:ascii="Cambria Math" w:hAnsi="Cambria Math"/>
          </w:rPr>
          <m:t>m</m:t>
        </m:r>
      </m:oMath>
      <w:r w:rsidR="005C2E39">
        <w:t>)</w:t>
      </w:r>
      <w:r>
        <w:t>.</w:t>
      </w:r>
    </w:p>
    <w:p w14:paraId="34FDB3B7" w14:textId="6DF3F6C4" w:rsidR="00EB7652" w:rsidRDefault="00EB7652" w:rsidP="009050CE">
      <w:r>
        <w:lastRenderedPageBreak/>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050CE">
        <w:t xml:space="preserve"> </w:t>
      </w:r>
      <m:oMath>
        <m:r>
          <w:rPr>
            <w:rFonts w:ascii="Cambria Math" w:hAnsi="Cambria Math"/>
          </w:rPr>
          <m:t>ν</m:t>
        </m:r>
      </m:oMath>
      <w:r w:rsidR="00966DD5">
        <w:t xml:space="preserve"> is </w:t>
      </w:r>
      <w:r w:rsidR="009050CE">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w:t>
      </w:r>
      <w:proofErr w:type="gramStart"/>
      <w:r w:rsidR="009050CE">
        <w:t xml:space="preserve">or </w:t>
      </w:r>
      <w:proofErr w:type="gramEnd"/>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9050C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\ud835\udc4a=\ud835\udc41,\ud835\udc34=\ud835\udc3e,\ud835\udf08=\ud835\udc5a\u22121,\ud835\udc58=\ud835\udc5f\u22c5\ud835\udf08)",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W=N,A=K,ν=m-1,k=r⋅ν</m:t>
        </m:r>
      </m:oMath>
      <w:r w:rsidR="009050CE" w:rsidRPr="009050CE">
        <w:rPr>
          <w:noProof/>
        </w:rPr>
        <w:t>)</w:t>
      </w:r>
      <w:r w:rsidR="009050CE">
        <w:fldChar w:fldCharType="end"/>
      </w:r>
      <w:r w:rsidR="003D0164">
        <w:t>.</w:t>
      </w:r>
    </w:p>
    <w:p w14:paraId="03E4527E" w14:textId="0CABC32D" w:rsidR="00EB7652" w:rsidRDefault="00EB7652" w:rsidP="009050CE">
      <w:r>
        <w:t xml:space="preserve">The adjustment function </w:t>
      </w:r>
      <m:oMath>
        <m:r>
          <w:rPr>
            <w:rFonts w:ascii="Cambria Math" w:hAnsi="Cambria Math"/>
          </w:rPr>
          <m:t>α(t)</m:t>
        </m:r>
      </m:oMath>
      <w:r>
        <w:t xml:space="preserve"> is used to describe the adjustment of the population </w:t>
      </w:r>
      <w:r w:rsidR="009050CE">
        <w:t>to growth conditions at the start of the growth curve experiment</w:t>
      </w:r>
      <w:r>
        <w:t xml:space="preserve">. Typically, </w:t>
      </w:r>
      <w:r w:rsidR="00984152">
        <w:t>micro</w:t>
      </w:r>
      <w:r>
        <w:t xml:space="preserve">organisms are grown in overnight culture </w:t>
      </w:r>
      <w:r w:rsidR="00984152">
        <w:t xml:space="preserve">and </w:t>
      </w:r>
      <w:r>
        <w:t xml:space="preserve">diluted into fresh media </w:t>
      </w:r>
      <w:r w:rsidR="00406968">
        <w:t>for growth curve experiment</w:t>
      </w:r>
      <w:r w:rsidR="00CD3999">
        <w:t>s</w:t>
      </w:r>
      <w:r w:rsidR="00406968">
        <w:t xml:space="preserve">. Therefore, </w:t>
      </w:r>
      <w:r w:rsidR="00984152">
        <w:t xml:space="preserve">populations that are </w:t>
      </w:r>
      <w:r w:rsidR="00406968">
        <w:t>adjusted to stationary phase must now adjust to growth</w:t>
      </w:r>
      <w:r w:rsidR="00CD3999">
        <w:t xml:space="preserve"> conditions</w:t>
      </w:r>
      <w:r w:rsidR="00406968">
        <w:t xml:space="preserve">,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43CB92B2" w:rsidR="00406968" w:rsidRDefault="00406968" w:rsidP="00A362F7">
      <w:r>
        <w:t xml:space="preserve">The </w:t>
      </w:r>
      <w:proofErr w:type="spellStart"/>
      <w:r>
        <w:t>Baranyi</w:t>
      </w:r>
      <w:proofErr w:type="spellEnd"/>
      <w:r>
        <w:t xml:space="preserve">-Roberts differential equation has a closed form </w:t>
      </w:r>
      <w:r w:rsidR="00B947CD">
        <w:t xml:space="preserve">analytical </w:t>
      </w:r>
      <w:r>
        <w:t>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7777777" w:rsidR="00406968" w:rsidRDefault="00406968" w:rsidP="00F54779">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F54779">
        <w:t xml:space="preserve">   </w:t>
      </w:r>
      <w:r>
        <w:t xml:space="preserve">                         (2b)</w:t>
      </w:r>
    </w:p>
    <w:p w14:paraId="03CEAA56" w14:textId="77777777" w:rsidR="00B551CC" w:rsidRDefault="00B551CC" w:rsidP="00966DD5"/>
    <w:p w14:paraId="2A6969CE" w14:textId="71803A37" w:rsidR="00060445" w:rsidRDefault="005F02B4" w:rsidP="00B66E46">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w:t>
      </w:r>
      <w:r w:rsidR="00B66E46">
        <w:t>unity</w:t>
      </w:r>
      <w:r w:rsidR="00060445">
        <w:t xml:space="preserve">, as in the </w:t>
      </w:r>
      <w:r w:rsidR="00B66E46">
        <w:t>standard</w:t>
      </w:r>
      <w:r w:rsidR="00060445">
        <w:t xml:space="preserve"> logistic model</w:t>
      </w:r>
      <w:r w:rsidR="00B66E46">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5F104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 xml:space="preserve">adjusted prior to the growth </w:t>
      </w:r>
      <w:r w:rsidR="00060445">
        <w:lastRenderedPageBreak/>
        <w:t>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3443ABE" w14:textId="77777777" w:rsidR="000D1077" w:rsidRDefault="000D1077" w:rsidP="00B66E46"/>
    <w:p w14:paraId="290CBF08" w14:textId="45E5651C" w:rsidR="005D40CB" w:rsidRDefault="00B37B5A" w:rsidP="00B37B5A">
      <w:pPr>
        <w:jc w:val="center"/>
      </w:pPr>
      <w:r>
        <w:rPr>
          <w:noProof/>
        </w:rPr>
        <w:drawing>
          <wp:inline distT="0" distB="0" distL="0" distR="0" wp14:anchorId="03C69870" wp14:editId="2E59CB9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9095C69" w14:textId="648536FD" w:rsidR="005D40CB" w:rsidRDefault="005D40CB" w:rsidP="00231A0D">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Pr="00503DBB">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00837DFB" w:rsidRPr="006714D6">
        <w:rPr>
          <w:i/>
          <w:iCs/>
          <w:color w:val="auto"/>
          <w:sz w:val="20"/>
          <w:szCs w:val="20"/>
        </w:rPr>
        <w:t>Escherichia</w:t>
      </w:r>
      <w:r w:rsidRPr="006714D6">
        <w:rPr>
          <w:i/>
          <w:iCs/>
          <w:color w:val="auto"/>
          <w:sz w:val="20"/>
          <w:szCs w:val="20"/>
        </w:rPr>
        <w:t xml:space="preserve">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sidR="00DD72E5">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w:t>
      </w:r>
      <w:r w:rsidR="00077B31">
        <w:rPr>
          <w:b w:val="0"/>
          <w:bCs w:val="0"/>
          <w:color w:val="auto"/>
          <w:sz w:val="20"/>
          <w:szCs w:val="20"/>
        </w:rPr>
        <w:t>s</w:t>
      </w:r>
      <w:r>
        <w:rPr>
          <w:b w:val="0"/>
          <w:bCs w:val="0"/>
          <w:color w:val="auto"/>
          <w:sz w:val="20"/>
          <w:szCs w:val="20"/>
        </w:rPr>
        <w:t>) and DH12S in purple (bottom lines)</w:t>
      </w:r>
      <w:r w:rsidRPr="00B14E47">
        <w:rPr>
          <w:b w:val="0"/>
          <w:bCs w:val="0"/>
          <w:color w:val="auto"/>
          <w:sz w:val="20"/>
          <w:szCs w:val="20"/>
        </w:rPr>
        <w:t>. Each line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m a single well in a 96-well microplate (Costar), taken every 10 minutes. Cells</w:t>
      </w:r>
      <w:r w:rsidR="00DD72E5">
        <w:rPr>
          <w:b w:val="0"/>
          <w:bCs w:val="0"/>
          <w:color w:val="auto"/>
          <w:sz w:val="20"/>
          <w:szCs w:val="20"/>
        </w:rPr>
        <w:t xml:space="preserve"> of either strain</w:t>
      </w:r>
      <w:r>
        <w:rPr>
          <w:b w:val="0"/>
          <w:bCs w:val="0"/>
          <w:color w:val="auto"/>
          <w:sz w:val="20"/>
          <w:szCs w:val="20"/>
        </w:rPr>
        <w:t xml:space="preserve">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w:t>
      </w:r>
      <w:r w:rsidR="00077B31">
        <w:rPr>
          <w:b w:val="0"/>
          <w:bCs w:val="0"/>
          <w:color w:val="auto"/>
          <w:sz w:val="20"/>
          <w:szCs w:val="20"/>
        </w:rPr>
        <w:t xml:space="preserve"> 100µl</w:t>
      </w:r>
      <w:r w:rsidR="00231A0D">
        <w:rPr>
          <w:b w:val="0"/>
          <w:bCs w:val="0"/>
          <w:color w:val="auto"/>
          <w:sz w:val="20"/>
          <w:szCs w:val="20"/>
        </w:rPr>
        <w:t xml:space="preserve"> LB </w:t>
      </w:r>
      <w:r>
        <w:rPr>
          <w:b w:val="0"/>
          <w:bCs w:val="0"/>
          <w:color w:val="auto"/>
          <w:sz w:val="20"/>
          <w:szCs w:val="20"/>
        </w:rPr>
        <w:t xml:space="preserve">with </w:t>
      </w:r>
      <w:bookmarkStart w:id="0" w:name="_GoBack"/>
      <w:r w:rsidR="00231A0D">
        <w:rPr>
          <w:b w:val="0"/>
          <w:bCs w:val="0"/>
          <w:color w:val="auto"/>
          <w:sz w:val="20"/>
          <w:szCs w:val="20"/>
        </w:rPr>
        <w:t>100nl</w:t>
      </w:r>
      <w:bookmarkEnd w:id="0"/>
      <w:r w:rsidR="00231A0D">
        <w:rPr>
          <w:b w:val="0"/>
          <w:bCs w:val="0"/>
          <w:color w:val="auto"/>
          <w:sz w:val="20"/>
          <w:szCs w:val="20"/>
        </w:rPr>
        <w:t xml:space="preserve"> </w:t>
      </w:r>
      <w:r>
        <w:rPr>
          <w:b w:val="0"/>
          <w:bCs w:val="0"/>
          <w:color w:val="auto"/>
          <w:sz w:val="20"/>
          <w:szCs w:val="20"/>
        </w:rPr>
        <w:t xml:space="preserve">Kanamycin and </w:t>
      </w:r>
      <w:r w:rsidR="00231A0D">
        <w:rPr>
          <w:b w:val="0"/>
          <w:bCs w:val="0"/>
          <w:color w:val="auto"/>
          <w:sz w:val="20"/>
          <w:szCs w:val="20"/>
        </w:rPr>
        <w:t xml:space="preserve">100nl </w:t>
      </w:r>
      <w:proofErr w:type="spellStart"/>
      <w:r>
        <w:rPr>
          <w:b w:val="0"/>
          <w:bCs w:val="0"/>
          <w:color w:val="auto"/>
          <w:sz w:val="20"/>
          <w:szCs w:val="20"/>
        </w:rPr>
        <w:t>Cholarmphenicol</w:t>
      </w:r>
      <w:proofErr w:type="spellEnd"/>
      <w:r>
        <w:rPr>
          <w:b w:val="0"/>
          <w:bCs w:val="0"/>
          <w:color w:val="auto"/>
          <w:sz w:val="20"/>
          <w:szCs w:val="20"/>
        </w:rPr>
        <w:t xml:space="preserve">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w:t>
      </w:r>
      <w:r w:rsidR="003512A0">
        <w:rPr>
          <w:b w:val="0"/>
          <w:bCs w:val="0"/>
          <w:color w:val="auto"/>
          <w:sz w:val="20"/>
          <w:szCs w:val="20"/>
        </w:rPr>
        <w:t>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sidR="00DD72E5">
        <w:rPr>
          <w:b w:val="0"/>
          <w:bCs w:val="0"/>
          <w:color w:val="auto"/>
          <w:sz w:val="20"/>
          <w:szCs w:val="20"/>
        </w:rPr>
        <w:t>Solid line: model fit;</w:t>
      </w:r>
      <w:r>
        <w:rPr>
          <w:b w:val="0"/>
          <w:bCs w:val="0"/>
          <w:color w:val="auto"/>
          <w:sz w:val="20"/>
          <w:szCs w:val="20"/>
        </w:rPr>
        <w:t xml:space="preserve"> </w:t>
      </w:r>
      <w:r w:rsidR="00DD72E5">
        <w:rPr>
          <w:b w:val="0"/>
          <w:bCs w:val="0"/>
          <w:color w:val="auto"/>
          <w:sz w:val="20"/>
          <w:szCs w:val="20"/>
        </w:rPr>
        <w:t xml:space="preserve">markers and </w:t>
      </w:r>
      <w:r>
        <w:rPr>
          <w:b w:val="0"/>
          <w:bCs w:val="0"/>
          <w:color w:val="auto"/>
          <w:sz w:val="20"/>
          <w:szCs w:val="20"/>
        </w:rPr>
        <w:t>error</w:t>
      </w:r>
      <w:r w:rsidR="00DD72E5">
        <w:rPr>
          <w:b w:val="0"/>
          <w:bCs w:val="0"/>
          <w:color w:val="auto"/>
          <w:sz w:val="20"/>
          <w:szCs w:val="20"/>
        </w:rPr>
        <w:t xml:space="preserve"> </w:t>
      </w:r>
      <w:r>
        <w:rPr>
          <w:b w:val="0"/>
          <w:bCs w:val="0"/>
          <w:color w:val="auto"/>
          <w:sz w:val="20"/>
          <w:szCs w:val="20"/>
        </w:rPr>
        <w:t>bars</w:t>
      </w:r>
      <w:r w:rsidR="00DD72E5">
        <w:rPr>
          <w:b w:val="0"/>
          <w:bCs w:val="0"/>
          <w:color w:val="auto"/>
          <w:sz w:val="20"/>
          <w:szCs w:val="20"/>
        </w:rPr>
        <w:t>: mean and</w:t>
      </w:r>
      <w:r>
        <w:rPr>
          <w:b w:val="0"/>
          <w:bCs w:val="0"/>
          <w:color w:val="auto"/>
          <w:sz w:val="20"/>
          <w:szCs w:val="20"/>
        </w:rPr>
        <w:t xml:space="preserve"> standard deviation</w:t>
      </w:r>
      <w:r w:rsidR="00DD72E5">
        <w:rPr>
          <w:b w:val="0"/>
          <w:bCs w:val="0"/>
          <w:color w:val="auto"/>
          <w:sz w:val="20"/>
          <w:szCs w:val="20"/>
        </w:rPr>
        <w:t xml:space="preserve"> of OD</w:t>
      </w:r>
      <w:r w:rsidR="00DD72E5" w:rsidRPr="00B14E47">
        <w:rPr>
          <w:b w:val="0"/>
          <w:bCs w:val="0"/>
          <w:color w:val="auto"/>
          <w:sz w:val="20"/>
          <w:szCs w:val="20"/>
          <w:vertAlign w:val="subscript"/>
        </w:rPr>
        <w:t>595</w:t>
      </w:r>
      <w:r w:rsidR="00DD72E5">
        <w:rPr>
          <w:b w:val="0"/>
          <w:bCs w:val="0"/>
          <w:color w:val="auto"/>
          <w:sz w:val="20"/>
          <w:szCs w:val="20"/>
        </w:rPr>
        <w:t xml:space="preserve"> measurements from 12 wells per strain</w:t>
      </w:r>
      <w:r>
        <w:rPr>
          <w:b w:val="0"/>
          <w:bCs w:val="0"/>
          <w:color w:val="auto"/>
          <w:sz w:val="20"/>
          <w:szCs w:val="20"/>
        </w:rPr>
        <w:t xml:space="preserve">. Fitted parameters: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=0.772, lag duration=1.691</w:t>
      </w:r>
      <w:r w:rsidR="003512A0">
        <w:rPr>
          <w:b w:val="0"/>
          <w:bCs w:val="0"/>
          <w:color w:val="auto"/>
          <w:sz w:val="20"/>
          <w:szCs w:val="20"/>
        </w:rPr>
        <w:t>, maximum growth rate=</w:t>
      </w:r>
      <w:r>
        <w:rPr>
          <w:b w:val="0"/>
          <w:bCs w:val="0"/>
          <w:color w:val="auto"/>
          <w:sz w:val="20"/>
          <w:szCs w:val="20"/>
        </w:rPr>
        <w:t>0.279. Note that the maximum growth rate</w:t>
      </w:r>
      <w:r w:rsidR="00145FE7">
        <w:rPr>
          <w:b w:val="0"/>
          <w:bCs w:val="0"/>
          <w:color w:val="auto"/>
          <w:sz w:val="20"/>
          <w:szCs w:val="20"/>
        </w:rPr>
        <w:t xml:space="preserv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p"/>
                  </m:rPr>
                  <w:rPr>
                    <w:rFonts w:ascii="Cambria Math" w:hAnsi="Cambria Math"/>
                    <w:color w:val="auto"/>
                    <w:sz w:val="20"/>
                    <w:szCs w:val="20"/>
                  </w:rPr>
                  <m:t>max</m:t>
                </m:r>
              </m:fName>
              <m:e>
                <m:f>
                  <m:fPr>
                    <m:ctrlPr>
                      <w:rPr>
                        <w:rFonts w:ascii="Cambria Math" w:hAnsi="Cambria Math"/>
                        <w:b w:val="0"/>
                        <w:bCs w:val="0"/>
                        <w:i/>
                        <w:color w:val="auto"/>
                        <w:sz w:val="20"/>
                        <w:szCs w:val="20"/>
                      </w:rPr>
                    </m:ctrlPr>
                  </m:fPr>
                  <m:num>
                    <m:r>
                      <w:rPr>
                        <w:rFonts w:ascii="Cambria Math" w:hAnsi="Cambria Math"/>
                        <w:color w:val="auto"/>
                        <w:sz w:val="20"/>
                        <w:szCs w:val="20"/>
                      </w:rPr>
                      <m:t>dN</m:t>
                    </m:r>
                  </m:num>
                  <m:den>
                    <m: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w:t>
      </w:r>
      <w:r w:rsidR="00231A0D">
        <w:rPr>
          <w:b w:val="0"/>
          <w:bCs w:val="0"/>
          <w:color w:val="auto"/>
          <w:sz w:val="20"/>
          <w:szCs w:val="20"/>
        </w:rPr>
        <w:t>, calculated by solving eq. 3</w:t>
      </w:r>
      <w:r>
        <w:rPr>
          <w:b w:val="0"/>
          <w:bCs w:val="0"/>
          <w:color w:val="auto"/>
          <w:sz w:val="20"/>
          <w:szCs w:val="20"/>
        </w:rPr>
        <w:t>. Initial OD of both strains</w:t>
      </w:r>
      <w:r w:rsidR="00155F9E">
        <w:rPr>
          <w:b w:val="0"/>
          <w:bCs w:val="0"/>
          <w:color w:val="auto"/>
          <w:sz w:val="20"/>
          <w:szCs w:val="20"/>
        </w:rPr>
        <w:t xml:space="preserve"> was</w:t>
      </w:r>
      <w:r>
        <w:rPr>
          <w:b w:val="0"/>
          <w:bCs w:val="0"/>
          <w:color w:val="auto"/>
          <w:sz w:val="20"/>
          <w:szCs w:val="20"/>
        </w:rPr>
        <w:t xml:space="preserve"> set to 0.067</w:t>
      </w:r>
      <w:r w:rsidR="00DD72E5">
        <w:rPr>
          <w:b w:val="0"/>
          <w:bCs w:val="0"/>
          <w:color w:val="auto"/>
          <w:sz w:val="20"/>
          <w:szCs w:val="20"/>
        </w:rPr>
        <w:t xml:space="preserve">, half of estimated </w:t>
      </w:r>
      <w:r w:rsidR="00DD72E5">
        <w:rPr>
          <w:b w:val="0"/>
          <w:bCs w:val="0"/>
          <w:i/>
          <w:iCs/>
          <w:color w:val="auto"/>
          <w:sz w:val="20"/>
          <w:szCs w:val="20"/>
        </w:rPr>
        <w:t>N</w:t>
      </w:r>
      <w:r w:rsidR="00DD72E5">
        <w:rPr>
          <w:b w:val="0"/>
          <w:bCs w:val="0"/>
          <w:i/>
          <w:iCs/>
          <w:color w:val="auto"/>
          <w:sz w:val="20"/>
          <w:szCs w:val="20"/>
          <w:vertAlign w:val="subscript"/>
        </w:rPr>
        <w:t>0</w:t>
      </w:r>
      <w:r w:rsidR="00DD72E5">
        <w:rPr>
          <w:b w:val="0"/>
          <w:bCs w:val="0"/>
          <w:color w:val="auto"/>
          <w:sz w:val="20"/>
          <w:szCs w:val="20"/>
        </w:rPr>
        <w:t xml:space="preserve"> averaged over both strains</w:t>
      </w:r>
      <w:r>
        <w:rPr>
          <w:b w:val="0"/>
          <w:bCs w:val="0"/>
          <w:color w:val="auto"/>
          <w:sz w:val="20"/>
          <w:szCs w:val="20"/>
        </w:rPr>
        <w:t xml:space="preserve">. </w:t>
      </w:r>
      <w:r>
        <w:rPr>
          <w:color w:val="auto"/>
          <w:sz w:val="20"/>
          <w:szCs w:val="20"/>
        </w:rPr>
        <w:t>(D)</w:t>
      </w:r>
      <w:r>
        <w:rPr>
          <w:b w:val="0"/>
          <w:bCs w:val="0"/>
          <w:color w:val="auto"/>
          <w:sz w:val="20"/>
          <w:szCs w:val="20"/>
        </w:rPr>
        <w:t xml:space="preserve"> The frequency of MG1655 during the predicted competitions</w:t>
      </w:r>
      <w:r w:rsidR="002B2CF9">
        <w:rPr>
          <w:b w:val="0"/>
          <w:bCs w:val="0"/>
          <w:color w:val="auto"/>
          <w:sz w:val="20"/>
          <w:szCs w:val="20"/>
        </w:rPr>
        <w:t xml:space="preserve"> (dashed line)</w:t>
      </w:r>
      <w:r>
        <w:rPr>
          <w:b w:val="0"/>
          <w:bCs w:val="0"/>
          <w:color w:val="auto"/>
          <w:sz w:val="20"/>
          <w:szCs w:val="20"/>
        </w:rPr>
        <w:t xml:space="preserve">. The estimated selection coefficient is </w:t>
      </w:r>
      <w:r>
        <w:rPr>
          <w:b w:val="0"/>
          <w:bCs w:val="0"/>
          <w:i/>
          <w:iCs/>
          <w:color w:val="auto"/>
          <w:sz w:val="20"/>
          <w:szCs w:val="20"/>
        </w:rPr>
        <w:t>s</w:t>
      </w:r>
      <w:r>
        <w:rPr>
          <w:b w:val="0"/>
          <w:bCs w:val="0"/>
          <w:color w:val="auto"/>
          <w:sz w:val="20"/>
          <w:szCs w:val="20"/>
        </w:rPr>
        <w:t xml:space="preserve">=0.2, calculated with </w:t>
      </w:r>
      <w:r w:rsidR="00231A0D">
        <w:rPr>
          <w:b w:val="0"/>
          <w:bCs w:val="0"/>
          <w:color w:val="auto"/>
          <w:sz w:val="20"/>
          <w:szCs w:val="20"/>
        </w:rPr>
        <w:t>e</w:t>
      </w:r>
      <w:r>
        <w:rPr>
          <w:b w:val="0"/>
          <w:bCs w:val="0"/>
          <w:color w:val="auto"/>
          <w:sz w:val="20"/>
          <w:szCs w:val="20"/>
        </w:rPr>
        <w:t xml:space="preserve">q. 4 and </w:t>
      </w:r>
      <w:r>
        <w:rPr>
          <w:b w:val="0"/>
          <w:bCs w:val="0"/>
          <w:i/>
          <w:iCs/>
          <w:color w:val="auto"/>
          <w:sz w:val="20"/>
          <w:szCs w:val="20"/>
        </w:rPr>
        <w:t>t</w:t>
      </w:r>
      <w:r>
        <w:rPr>
          <w:b w:val="0"/>
          <w:bCs w:val="0"/>
          <w:color w:val="auto"/>
          <w:sz w:val="20"/>
          <w:szCs w:val="20"/>
        </w:rPr>
        <w:t>=12.</w:t>
      </w:r>
      <w:r w:rsidR="00155F9E">
        <w:rPr>
          <w:b w:val="0"/>
          <w:bCs w:val="0"/>
          <w:color w:val="auto"/>
          <w:sz w:val="20"/>
          <w:szCs w:val="20"/>
        </w:rPr>
        <w:t xml:space="preserve"> Note that initially the frequency of MG1655 declines due to a longer lag phase, but then increases due to faster grow</w:t>
      </w:r>
      <w:r w:rsidR="00700A20">
        <w:rPr>
          <w:b w:val="0"/>
          <w:bCs w:val="0"/>
          <w:color w:val="auto"/>
          <w:sz w:val="20"/>
          <w:szCs w:val="20"/>
        </w:rPr>
        <w:t xml:space="preserve">th and a higher maximum density. Calculating the selection coefficient from the maximum growth rates would have yielded </w:t>
      </w:r>
      <w:r w:rsidR="00700A20">
        <w:rPr>
          <w:b w:val="0"/>
          <w:bCs w:val="0"/>
          <w:i/>
          <w:iCs/>
          <w:color w:val="auto"/>
          <w:sz w:val="20"/>
          <w:szCs w:val="20"/>
        </w:rPr>
        <w:t>s</w:t>
      </w:r>
      <w:r w:rsidR="00700A20">
        <w:rPr>
          <w:b w:val="0"/>
          <w:bCs w:val="0"/>
          <w:color w:val="auto"/>
          <w:sz w:val="20"/>
          <w:szCs w:val="20"/>
        </w:rPr>
        <w:t xml:space="preserve">=0.192 </w:t>
      </w:r>
      <w:r w:rsidR="00700A20">
        <w:rPr>
          <w:b w:val="0"/>
          <w:bCs w:val="0"/>
          <w:color w:val="auto"/>
          <w:sz w:val="20"/>
          <w:szCs w:val="20"/>
        </w:rPr>
        <w:fldChar w:fldCharType="begin" w:fldLock="1"/>
      </w:r>
      <w:r w:rsidR="00DD72E5">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sidR="00700A20">
        <w:rPr>
          <w:b w:val="0"/>
          <w:bCs w:val="0"/>
          <w:color w:val="auto"/>
          <w:sz w:val="20"/>
          <w:szCs w:val="20"/>
        </w:rPr>
        <w:fldChar w:fldCharType="separate"/>
      </w:r>
      <w:r w:rsidR="00DD72E5" w:rsidRPr="00DD72E5">
        <w:rPr>
          <w:b w:val="0"/>
          <w:bCs w:val="0"/>
          <w:noProof/>
          <w:color w:val="auto"/>
          <w:sz w:val="20"/>
          <w:szCs w:val="20"/>
        </w:rPr>
        <w:t>(Chevin 2011, eq. 2.3)</w:t>
      </w:r>
      <w:r w:rsidR="00700A20">
        <w:rPr>
          <w:b w:val="0"/>
          <w:bCs w:val="0"/>
          <w:color w:val="auto"/>
          <w:sz w:val="20"/>
          <w:szCs w:val="20"/>
        </w:rPr>
        <w:fldChar w:fldCharType="end"/>
      </w:r>
      <w:r w:rsidR="00700A20">
        <w:rPr>
          <w:b w:val="0"/>
          <w:bCs w:val="0"/>
        </w:rPr>
        <w:t>.</w:t>
      </w:r>
    </w:p>
    <w:p w14:paraId="4B8E73EC" w14:textId="77777777" w:rsidR="000D1077" w:rsidRPr="000D1077" w:rsidRDefault="000D1077" w:rsidP="000D1077"/>
    <w:p w14:paraId="272B256D" w14:textId="77777777" w:rsidR="005F02B4" w:rsidRDefault="005F02B4" w:rsidP="00A362F7">
      <w:pPr>
        <w:pStyle w:val="Heading2"/>
      </w:pPr>
      <w:r>
        <w:lastRenderedPageBreak/>
        <w:t>Model fitting and selection</w:t>
      </w:r>
    </w:p>
    <w:p w14:paraId="3D47950C" w14:textId="775EB3D6" w:rsidR="005F02B4" w:rsidRDefault="005F02B4" w:rsidP="00984152">
      <w:r>
        <w:t>We fit all four model</w:t>
      </w:r>
      <w:r w:rsidR="00966DD5">
        <w:t xml:space="preserve"> form</w:t>
      </w:r>
      <w:r>
        <w:t>s to the mean growth curve of each strain</w:t>
      </w:r>
      <w:r w:rsidR="00B37B5A">
        <w:t xml:space="preserve"> in the data</w:t>
      </w:r>
      <w:r>
        <w:t xml:space="preserve">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w:t>
      </w:r>
      <w:r w:rsidR="00FE6FFB">
        <w:t xml:space="preserve">to </w:t>
      </w:r>
      <w:r>
        <w:t xml:space="preserve">weight the least-squares procedure so that time points with lower variance are more heavily weighted and therefore </w:t>
      </w:r>
      <w:r w:rsidR="00984152">
        <w:t>better</w:t>
      </w:r>
      <w:r>
        <w:t xml:space="preserve"> fitted. </w:t>
      </w:r>
    </w:p>
    <w:p w14:paraId="7E2DCE03" w14:textId="77777777" w:rsidR="005F02B4" w:rsidRDefault="005F02B4" w:rsidP="00A362F7">
      <w:r>
        <w:t>We then calculate the Bayesian Information C</w:t>
      </w:r>
      <w:r w:rsidR="00984152">
        <w:t>riteria (BIC) of each model fit,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0E9B45D9" w:rsidR="00154E23" w:rsidRDefault="00154E23" w:rsidP="005B79A5">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w:t>
      </w:r>
      <w:r w:rsidR="005B79A5">
        <w:t xml:space="preserve">smaller </w:t>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(Fig. 1B)</w:t>
      </w:r>
      <w:r>
        <w:t>.</w:t>
      </w:r>
    </w:p>
    <w:p w14:paraId="6356EBE8" w14:textId="77777777" w:rsidR="00C05ED5" w:rsidRDefault="00C05ED5" w:rsidP="00A362F7">
      <w:pPr>
        <w:pStyle w:val="Heading2"/>
      </w:pPr>
      <w:r>
        <w:t>Competition prediction</w:t>
      </w:r>
    </w:p>
    <w:p w14:paraId="18A511A7" w14:textId="77777777"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14:paraId="0FA2FC80"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14:paraId="7ABD8341"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14:paraId="53613CC3" w14:textId="77777777" w:rsidR="00C05ED5" w:rsidRDefault="00634747"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14:paraId="5464F143" w14:textId="77777777" w:rsidR="00C05ED5" w:rsidRDefault="00634747"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14:paraId="3F886ACF" w14:textId="69F34137" w:rsidR="003578D2" w:rsidRDefault="003578D2" w:rsidP="00E74D07">
      <w:pPr>
        <w:ind w:firstLine="0"/>
      </w:pPr>
      <w:proofErr w:type="gramStart"/>
      <w:r>
        <w:t>where</w:t>
      </w:r>
      <w:proofErr w:type="gramEnd"/>
      <w:r w:rsidR="00B37B5A">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B37B5A">
        <w:t>are</w:t>
      </w:r>
      <w:r w:rsidR="00984152">
        <w:t xml:space="preserve"> the value</w:t>
      </w:r>
      <w:r w:rsidR="00B37B5A">
        <w:t>s</w:t>
      </w:r>
      <w:r w:rsidR="00984152">
        <w:t xml:space="preserve"> of</w:t>
      </w:r>
      <w:r>
        <w:t xml:space="preserve"> </w:t>
      </w:r>
      <w:r w:rsidR="00B37B5A">
        <w:t>the corresponding parameters for</w:t>
      </w:r>
      <w:r>
        <w:t xml:space="preserve">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r w:rsidR="00E74D07">
        <w:t xml:space="preserve"> (Fig. 1C)</w:t>
      </w:r>
      <w:r>
        <w:t>.</w:t>
      </w:r>
    </w:p>
    <w:p w14:paraId="6F766E5F" w14:textId="77777777" w:rsidR="006E28DC" w:rsidRPr="006E28DC" w:rsidRDefault="006E28DC" w:rsidP="007B695D">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14:paraId="2D753749" w14:textId="77777777" w:rsidR="003578D2" w:rsidRDefault="00542096" w:rsidP="00A362F7">
      <w:pPr>
        <w:pStyle w:val="Heading2"/>
      </w:pPr>
      <w:r w:rsidRPr="00A362F7">
        <w:t xml:space="preserve">Selection coefficient </w:t>
      </w:r>
      <w:r w:rsidR="006E28DC" w:rsidRPr="00A362F7">
        <w:t>inference</w:t>
      </w:r>
    </w:p>
    <w:p w14:paraId="04D6C044" w14:textId="496E24A7" w:rsidR="00895982" w:rsidRDefault="005B79A5" w:rsidP="00895982">
      <w:r>
        <w:t>One</w:t>
      </w:r>
      <w:r w:rsidR="00895982">
        <w:t xml:space="preserve"> common method for estimating relative fitness or selection coefficients from pairwise competition results is </w:t>
      </w:r>
      <w:r w:rsidR="00895982">
        <w:fldChar w:fldCharType="begin" w:fldLock="1"/>
      </w:r>
      <w:r w:rsidR="0089598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7777777" w:rsidR="00895982" w:rsidRDefault="00895982" w:rsidP="00895982">
      <w:pPr>
        <w:jc w:val="right"/>
      </w:pPr>
      <m:oMath>
        <m:r>
          <w:rPr>
            <w:rFonts w:ascii="Cambria Math" w:hAnsi="Cambria Math"/>
          </w:rPr>
          <w:lastRenderedPageBreak/>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(Fig. 1D).</w:t>
      </w:r>
    </w:p>
    <w:p w14:paraId="531DA89C" w14:textId="77777777" w:rsidR="00406968" w:rsidRDefault="00406968" w:rsidP="00A362F7">
      <w:pPr>
        <w:pStyle w:val="Heading1"/>
      </w:pPr>
      <w:r>
        <w:t>Discussion</w:t>
      </w:r>
    </w:p>
    <w:p w14:paraId="33DA3DB7" w14:textId="77777777"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separate </w:t>
      </w:r>
      <w:r>
        <w:t>growth curves of each strain.</w:t>
      </w:r>
      <w:r w:rsidR="005226B0">
        <w:t xml:space="preserve"> </w:t>
      </w:r>
    </w:p>
    <w:p w14:paraId="567E758A" w14:textId="0588C3E2" w:rsidR="005226B0" w:rsidRDefault="005226B0" w:rsidP="00145FE7">
      <w:r>
        <w:t xml:space="preserve">This method </w:t>
      </w:r>
      <w:r w:rsidR="00096923">
        <w:t xml:space="preserve">should </w:t>
      </w:r>
      <w:r>
        <w:t>be useful</w:t>
      </w:r>
      <w:r w:rsidR="00145FE7">
        <w:t>,</w:t>
      </w:r>
      <w:r>
        <w:t xml:space="preserve"> because growth curve </w:t>
      </w:r>
      <w:r w:rsidR="006147AD">
        <w:t>experiments</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than 30 minutes, after which the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14:paraId="4C7003BA" w14:textId="14EBA2F7" w:rsidR="00920F1D" w:rsidRDefault="00920F1D" w:rsidP="00E14ACF">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they are dependent upon 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73C7870F"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p>
    <w:p w14:paraId="77F17907" w14:textId="428D5E62"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factor</w:t>
      </w:r>
      <w:r w:rsidR="00451F50">
        <w:t xml:space="preserve"> </w:t>
      </w:r>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w:t>
      </w:r>
      <w:r w:rsidR="00451F50">
        <w:lastRenderedPageBreak/>
        <w:t>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ins w:id="1" w:author="Judith Berman" w:date="2015-07-20T18:38:00Z">
        <w:r w:rsidR="00184154">
          <w:t xml:space="preserve"> </w:t>
        </w:r>
      </w:ins>
      <w:r w:rsidR="006147AD">
        <w:t xml:space="preserve"> </w:t>
      </w:r>
    </w:p>
    <w:p w14:paraId="05BD0246" w14:textId="77777777" w:rsidR="00096923" w:rsidRDefault="00096923" w:rsidP="00096923">
      <w:pPr>
        <w:pStyle w:val="Heading2"/>
      </w:pPr>
      <w:r>
        <w:t>Conclusions</w:t>
      </w:r>
    </w:p>
    <w:p w14:paraId="3F0CFB8A" w14:textId="42AB7AF9" w:rsidR="00096923" w:rsidRDefault="00E50794" w:rsidP="00350EA0">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as a null model for the interpretation of competition </w:t>
      </w:r>
      <w:r>
        <w:t>experiments</w:t>
      </w:r>
      <w:r w:rsidR="00B830DD">
        <w:t>.</w:t>
      </w:r>
    </w:p>
    <w:p w14:paraId="701ABB3D" w14:textId="77777777" w:rsidR="009C4366" w:rsidRDefault="009C4366" w:rsidP="00BC14C2">
      <w:pPr>
        <w:pStyle w:val="Heading1"/>
      </w:pPr>
      <w:r>
        <w:t>Acknowledgments</w:t>
      </w:r>
    </w:p>
    <w:p w14:paraId="4C8E18C2" w14:textId="2EF240E2" w:rsidR="009C4366" w:rsidRPr="004F41E2" w:rsidRDefault="009C4366" w:rsidP="004F41E2">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589F39" w14:textId="77777777" w:rsidR="00BC14C2" w:rsidRDefault="00BC14C2" w:rsidP="00BC14C2">
      <w:pPr>
        <w:pStyle w:val="Heading1"/>
      </w:pPr>
      <w:r>
        <w:t>References</w:t>
      </w:r>
    </w:p>
    <w:p w14:paraId="42797B06" w14:textId="0F070C3D" w:rsidR="00DD72E5" w:rsidRPr="00DD72E5" w:rsidRDefault="00BC14C2">
      <w:pPr>
        <w:pStyle w:val="NormalWeb"/>
        <w:ind w:left="480" w:hanging="480"/>
        <w:divId w:val="1756247928"/>
        <w:rPr>
          <w:noProof/>
        </w:rPr>
      </w:pPr>
      <w:r>
        <w:fldChar w:fldCharType="begin" w:fldLock="1"/>
      </w:r>
      <w:r>
        <w:instrText xml:space="preserve">ADDIN Mendeley Bibliography CSL_BIBLIOGRAPHY </w:instrText>
      </w:r>
      <w:r>
        <w:fldChar w:fldCharType="separate"/>
      </w:r>
      <w:r w:rsidR="00DD72E5" w:rsidRPr="00DD72E5">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DD72E5" w:rsidRPr="00DD72E5">
        <w:rPr>
          <w:i/>
          <w:iCs/>
          <w:noProof/>
        </w:rPr>
        <w:t>Genetics</w:t>
      </w:r>
      <w:r w:rsidR="00DD72E5" w:rsidRPr="00DD72E5">
        <w:rPr>
          <w:noProof/>
        </w:rPr>
        <w:t xml:space="preserve"> 196 (3) (January 7): 841–852. doi:10.1534/genetics.113.156190. http://www.genetics.org/cgi/doi/10.1534/genetics.113.156190.</w:t>
      </w:r>
    </w:p>
    <w:p w14:paraId="49715AB7" w14:textId="77777777" w:rsidR="00DD72E5" w:rsidRPr="00DD72E5" w:rsidRDefault="00DD72E5">
      <w:pPr>
        <w:pStyle w:val="NormalWeb"/>
        <w:ind w:left="480" w:hanging="480"/>
        <w:divId w:val="1756247928"/>
        <w:rPr>
          <w:noProof/>
        </w:rPr>
      </w:pPr>
      <w:r w:rsidRPr="00DD72E5">
        <w:rPr>
          <w:noProof/>
        </w:rPr>
        <w:t xml:space="preserve">Baranyi, József. 1997. “Simple Is Good as Long as It Is Enough.” </w:t>
      </w:r>
      <w:r w:rsidRPr="00DD72E5">
        <w:rPr>
          <w:i/>
          <w:iCs/>
          <w:noProof/>
        </w:rPr>
        <w:t>Commentary</w:t>
      </w:r>
      <w:r w:rsidRPr="00DD72E5">
        <w:rPr>
          <w:noProof/>
        </w:rPr>
        <w:t xml:space="preserve"> (1996): 391–394. doi:10.1006/fmic.1996.0080.</w:t>
      </w:r>
    </w:p>
    <w:p w14:paraId="1CB1E78A" w14:textId="77777777" w:rsidR="00DD72E5" w:rsidRPr="00DD72E5" w:rsidRDefault="00DD72E5">
      <w:pPr>
        <w:pStyle w:val="NormalWeb"/>
        <w:ind w:left="480" w:hanging="480"/>
        <w:divId w:val="1756247928"/>
        <w:rPr>
          <w:noProof/>
        </w:rPr>
      </w:pPr>
      <w:r w:rsidRPr="00DD72E5">
        <w:rPr>
          <w:noProof/>
        </w:rPr>
        <w:t xml:space="preserve">Baranyi, József, and Terry a. Roberts. 1994. “A Dynamic Approach to Predicting Bacterial Growth in Food.” </w:t>
      </w:r>
      <w:r w:rsidRPr="00DD72E5">
        <w:rPr>
          <w:i/>
          <w:iCs/>
          <w:noProof/>
        </w:rPr>
        <w:t>International Journal of Food Microbiology</w:t>
      </w:r>
      <w:r w:rsidRPr="00DD72E5">
        <w:rPr>
          <w:noProof/>
        </w:rPr>
        <w:t xml:space="preserve"> 23: 277–294. doi:10.1016/0168-1605(94)90157-0.</w:t>
      </w:r>
    </w:p>
    <w:p w14:paraId="700C506D" w14:textId="77777777" w:rsidR="00DD72E5" w:rsidRPr="00DD72E5" w:rsidRDefault="00DD72E5">
      <w:pPr>
        <w:pStyle w:val="NormalWeb"/>
        <w:ind w:left="480" w:hanging="480"/>
        <w:divId w:val="1756247928"/>
        <w:rPr>
          <w:noProof/>
        </w:rPr>
      </w:pPr>
      <w:r w:rsidRPr="00DD72E5">
        <w:rPr>
          <w:noProof/>
        </w:rPr>
        <w:t xml:space="preserve">Chevin, Luis-Miguel. 2011. “On Measuring Selection in Experimental Evolution.” </w:t>
      </w:r>
      <w:r w:rsidRPr="00DD72E5">
        <w:rPr>
          <w:i/>
          <w:iCs/>
          <w:noProof/>
        </w:rPr>
        <w:t>Biology Letters</w:t>
      </w:r>
      <w:r w:rsidRPr="00DD72E5">
        <w:rPr>
          <w:noProof/>
        </w:rPr>
        <w:t xml:space="preserve"> 7 (2) (April 23): 210–3. doi:10.1098/rsbl.2010.0580. http://www.pubmedcentral.nih.gov/articlerender.fcgi?artid=3061150&amp;tool=pmcentrez&amp;rendertype=abstract.</w:t>
      </w:r>
    </w:p>
    <w:p w14:paraId="237667C0" w14:textId="77777777" w:rsidR="00DD72E5" w:rsidRPr="00DD72E5" w:rsidRDefault="00DD72E5">
      <w:pPr>
        <w:pStyle w:val="NormalWeb"/>
        <w:ind w:left="480" w:hanging="480"/>
        <w:divId w:val="1756247928"/>
        <w:rPr>
          <w:noProof/>
        </w:rPr>
      </w:pPr>
      <w:r w:rsidRPr="00DD72E5">
        <w:rPr>
          <w:noProof/>
        </w:rPr>
        <w:t xml:space="preserve">Concepción-Acevedo, Jeniffer, Howard N. Weiss, Waqas Nasir Chaudhry, and Bruce R. Levin. 2015. “Malthusian Parameters as Estimators of the Fitness of Microbes: A Cautionary Tale about the Low Side of High Throughput.” </w:t>
      </w:r>
      <w:r w:rsidRPr="00DD72E5">
        <w:rPr>
          <w:i/>
          <w:iCs/>
          <w:noProof/>
        </w:rPr>
        <w:t>Plos One</w:t>
      </w:r>
      <w:r w:rsidRPr="00DD72E5">
        <w:rPr>
          <w:noProof/>
        </w:rPr>
        <w:t xml:space="preserve"> 10 (6): e0126915. doi:10.1371/journal.pone.0126915. http://dx.plos.org/10.1371/journal.pone.0126915.</w:t>
      </w:r>
    </w:p>
    <w:p w14:paraId="1076F7DC" w14:textId="77777777" w:rsidR="00DD72E5" w:rsidRPr="00DD72E5" w:rsidRDefault="00DD72E5">
      <w:pPr>
        <w:pStyle w:val="NormalWeb"/>
        <w:ind w:left="480" w:hanging="480"/>
        <w:divId w:val="1756247928"/>
        <w:rPr>
          <w:noProof/>
        </w:rPr>
      </w:pPr>
      <w:r w:rsidRPr="00DD72E5">
        <w:rPr>
          <w:noProof/>
        </w:rPr>
        <w:t xml:space="preserve">Crow, James F., and Motoo Kimura. 1970. </w:t>
      </w:r>
      <w:r w:rsidRPr="00DD72E5">
        <w:rPr>
          <w:i/>
          <w:iCs/>
          <w:noProof/>
        </w:rPr>
        <w:t>An Introduction to Population Genetics Theory</w:t>
      </w:r>
      <w:r w:rsidRPr="00DD72E5">
        <w:rPr>
          <w:noProof/>
        </w:rPr>
        <w:t>. Minneapolis: Burgess Pub. Co. https://books.google.co.il/books?id=MLETAQAAIAAJ.</w:t>
      </w:r>
    </w:p>
    <w:p w14:paraId="3F0F74DC" w14:textId="77777777" w:rsidR="00DD72E5" w:rsidRPr="00DD72E5" w:rsidRDefault="00DD72E5">
      <w:pPr>
        <w:pStyle w:val="NormalWeb"/>
        <w:ind w:left="480" w:hanging="480"/>
        <w:divId w:val="1756247928"/>
        <w:rPr>
          <w:noProof/>
        </w:rPr>
      </w:pPr>
      <w:r w:rsidRPr="00DD72E5">
        <w:rPr>
          <w:noProof/>
        </w:rPr>
        <w:t xml:space="preserve">Gallet, Romain, Tim F. Cooper, Santiago F. Elena, and Thomas Lenormand. 2012. “Measuring Selection Coefficients below 10-3: Method, Questions, and Prospects.” </w:t>
      </w:r>
      <w:r w:rsidRPr="00DD72E5">
        <w:rPr>
          <w:i/>
          <w:iCs/>
          <w:noProof/>
        </w:rPr>
        <w:t>Genetics</w:t>
      </w:r>
      <w:r w:rsidRPr="00DD72E5">
        <w:rPr>
          <w:noProof/>
        </w:rPr>
        <w:t xml:space="preserve"> 190 (1) (January): 175–86. doi:10.1534/genetics.111.133454. http://www.genetics.org/cgi/content/abstract/190/1/175.</w:t>
      </w:r>
    </w:p>
    <w:p w14:paraId="4F02EFC4" w14:textId="77777777" w:rsidR="00DD72E5" w:rsidRPr="00DD72E5" w:rsidRDefault="00DD72E5">
      <w:pPr>
        <w:pStyle w:val="NormalWeb"/>
        <w:ind w:left="480" w:hanging="480"/>
        <w:divId w:val="1756247928"/>
        <w:rPr>
          <w:noProof/>
        </w:rPr>
      </w:pPr>
      <w:r w:rsidRPr="00DD72E5">
        <w:rPr>
          <w:noProof/>
        </w:rPr>
        <w:t xml:space="preserve">Hall, Barry G., Hande Acar, Anna Nandipati, and Miriam Barlow. 2014. “Growth Rates Made Easy.” </w:t>
      </w:r>
      <w:r w:rsidRPr="00DD72E5">
        <w:rPr>
          <w:i/>
          <w:iCs/>
          <w:noProof/>
        </w:rPr>
        <w:t>Molecular Biology and Evolution</w:t>
      </w:r>
      <w:r w:rsidRPr="00DD72E5">
        <w:rPr>
          <w:noProof/>
        </w:rPr>
        <w:t xml:space="preserve"> 31 (1): 232–238. doi:10.1093/molbev/mst187.</w:t>
      </w:r>
    </w:p>
    <w:p w14:paraId="3EB515DC" w14:textId="77777777" w:rsidR="00DD72E5" w:rsidRPr="00DD72E5" w:rsidRDefault="00DD72E5">
      <w:pPr>
        <w:pStyle w:val="NormalWeb"/>
        <w:ind w:left="480" w:hanging="480"/>
        <w:divId w:val="1756247928"/>
        <w:rPr>
          <w:noProof/>
        </w:rPr>
      </w:pPr>
      <w:r w:rsidRPr="00DD72E5">
        <w:rPr>
          <w:noProof/>
        </w:rPr>
        <w:t xml:space="preserve">Hegreness, Matthew, Noam Shoresh, Daniel L. Hartl, and Roy Kishony. 2006. “An Equivalence Principle for the Incorporation of Favorable Mutations in Asexual Populations.” </w:t>
      </w:r>
      <w:r w:rsidRPr="00DD72E5">
        <w:rPr>
          <w:i/>
          <w:iCs/>
          <w:noProof/>
        </w:rPr>
        <w:t>Science</w:t>
      </w:r>
      <w:r w:rsidRPr="00DD72E5">
        <w:rPr>
          <w:noProof/>
        </w:rPr>
        <w:t xml:space="preserve"> 311 (5767) (March): 1615–7. doi:10.1126/science.1122469. http://www.ncbi.nlm.nih.gov/pubmed/16543462.</w:t>
      </w:r>
    </w:p>
    <w:p w14:paraId="441462BA" w14:textId="77777777" w:rsidR="00DD72E5" w:rsidRPr="00DD72E5" w:rsidRDefault="00DD72E5">
      <w:pPr>
        <w:pStyle w:val="NormalWeb"/>
        <w:ind w:left="480" w:hanging="480"/>
        <w:divId w:val="1756247928"/>
        <w:rPr>
          <w:noProof/>
        </w:rPr>
      </w:pPr>
      <w:r w:rsidRPr="00DD72E5">
        <w:rPr>
          <w:noProof/>
        </w:rPr>
        <w:t xml:space="preserve">Kass, Robert, and Adrian Raftery. 1995. “Bayes Factors.” </w:t>
      </w:r>
      <w:r w:rsidRPr="00DD72E5">
        <w:rPr>
          <w:i/>
          <w:iCs/>
          <w:noProof/>
        </w:rPr>
        <w:t>Journal of the American Statistical Association</w:t>
      </w:r>
      <w:r w:rsidRPr="00DD72E5">
        <w:rPr>
          <w:noProof/>
        </w:rPr>
        <w:t>: 773–795. doi:doi: 10.2307/2291091. http://www.tandfonline.com/doi/abs/10.1080/01621459.1995.10476572.</w:t>
      </w:r>
    </w:p>
    <w:p w14:paraId="5D1C5030" w14:textId="77777777" w:rsidR="00DD72E5" w:rsidRPr="00DD72E5" w:rsidRDefault="00DD72E5">
      <w:pPr>
        <w:pStyle w:val="NormalWeb"/>
        <w:ind w:left="480" w:hanging="480"/>
        <w:divId w:val="1756247928"/>
        <w:rPr>
          <w:noProof/>
        </w:rPr>
      </w:pPr>
      <w:r w:rsidRPr="00DD72E5">
        <w:rPr>
          <w:noProof/>
        </w:rPr>
        <w:t xml:space="preserve">Levy, Sasha F., Jamie R. Blundell, Sandeep Venkataram, Dmitri a. Petrov, Daniel S. Fisher, and Gavin Sherlock. 2015. “Quantitative Evolutionary Dynamics Using High-Resolution Lineage Tracking.” </w:t>
      </w:r>
      <w:r w:rsidRPr="00DD72E5">
        <w:rPr>
          <w:i/>
          <w:iCs/>
          <w:noProof/>
        </w:rPr>
        <w:t>Nature</w:t>
      </w:r>
      <w:r w:rsidRPr="00DD72E5">
        <w:rPr>
          <w:noProof/>
        </w:rPr>
        <w:t xml:space="preserve"> advance on. doi:10.1038/nature14279. http://dx.doi.org/10.1038/nature14279.</w:t>
      </w:r>
    </w:p>
    <w:p w14:paraId="223D1A61" w14:textId="77777777" w:rsidR="00DD72E5" w:rsidRPr="00DD72E5" w:rsidRDefault="00DD72E5">
      <w:pPr>
        <w:pStyle w:val="NormalWeb"/>
        <w:ind w:left="480" w:hanging="480"/>
        <w:divId w:val="1756247928"/>
        <w:rPr>
          <w:noProof/>
        </w:rPr>
      </w:pPr>
      <w:r w:rsidRPr="00DD72E5">
        <w:rPr>
          <w:noProof/>
        </w:rPr>
        <w:t>Masel, Joanna. 2014. “Eco-Evolutionary ‘Fitness’ in 3 Dimensions: Absolute Growth, Absolute Efficiency, and Relative Competitiveness.” Populations and Evolution (July): 1–44. http://arxiv.org/abs/1407.1024.</w:t>
      </w:r>
    </w:p>
    <w:p w14:paraId="1D29C605" w14:textId="77777777" w:rsidR="00DD72E5" w:rsidRPr="00DD72E5" w:rsidRDefault="00DD72E5">
      <w:pPr>
        <w:pStyle w:val="NormalWeb"/>
        <w:ind w:left="480" w:hanging="480"/>
        <w:divId w:val="1756247928"/>
        <w:rPr>
          <w:noProof/>
        </w:rPr>
      </w:pPr>
      <w:r w:rsidRPr="00DD72E5">
        <w:rPr>
          <w:noProof/>
        </w:rPr>
        <w:t>Newville, Matthew. 2014. “LMFIT: Non-Linear Least-Square Minimization and Curve-Fitting for Python.” http://lmfit.github.io/lmfit-py/.</w:t>
      </w:r>
    </w:p>
    <w:p w14:paraId="669E6BEE" w14:textId="77777777" w:rsidR="00DD72E5" w:rsidRPr="00DD72E5" w:rsidRDefault="00DD72E5">
      <w:pPr>
        <w:pStyle w:val="NormalWeb"/>
        <w:ind w:left="480" w:hanging="480"/>
        <w:divId w:val="1756247928"/>
        <w:rPr>
          <w:noProof/>
        </w:rPr>
      </w:pPr>
      <w:r w:rsidRPr="00DD72E5">
        <w:rPr>
          <w:noProof/>
        </w:rPr>
        <w:t xml:space="preserve">Richards, F. J. 1959. “A Flexible Growth Function for Empirical Use.” </w:t>
      </w:r>
      <w:r w:rsidRPr="00DD72E5">
        <w:rPr>
          <w:i/>
          <w:iCs/>
          <w:noProof/>
        </w:rPr>
        <w:t>Journal of Experimental Botany</w:t>
      </w:r>
      <w:r w:rsidRPr="00DD72E5">
        <w:rPr>
          <w:noProof/>
        </w:rPr>
        <w:t xml:space="preserve"> 10 (2): 290–301. doi:10.1093/jxb/10.2.290. http://jxb.oxfordjournals.org/lookup/doi/10.1093/jxb/10.2.290.</w:t>
      </w:r>
    </w:p>
    <w:p w14:paraId="669F798D" w14:textId="77777777" w:rsidR="00DD72E5" w:rsidRPr="00DD72E5" w:rsidRDefault="00DD72E5">
      <w:pPr>
        <w:pStyle w:val="NormalWeb"/>
        <w:ind w:left="480" w:hanging="480"/>
        <w:divId w:val="1756247928"/>
        <w:rPr>
          <w:noProof/>
        </w:rPr>
      </w:pPr>
      <w:r w:rsidRPr="00DD72E5">
        <w:rPr>
          <w:noProof/>
        </w:rPr>
        <w:t xml:space="preserve">Wiser, Michael J, and Richard E. Lenski. 2015. “A Comparison of Methods to Measure Fitness in </w:t>
      </w:r>
      <w:r w:rsidRPr="00DD72E5">
        <w:rPr>
          <w:i/>
          <w:iCs/>
          <w:noProof/>
        </w:rPr>
        <w:t>Escherichia Coli</w:t>
      </w:r>
      <w:r w:rsidRPr="00DD72E5">
        <w:rPr>
          <w:noProof/>
        </w:rPr>
        <w:t xml:space="preserve">.” </w:t>
      </w:r>
      <w:r w:rsidRPr="00DD72E5">
        <w:rPr>
          <w:i/>
          <w:iCs/>
          <w:noProof/>
        </w:rPr>
        <w:t>PLOS ONE</w:t>
      </w:r>
      <w:r w:rsidRPr="00DD72E5">
        <w:rPr>
          <w:noProof/>
        </w:rPr>
        <w:t xml:space="preserve"> 10 (5): e0126210. doi:10.1371/journal.pone.0126210. http://biorxiv.org/content/early/2015/03/06/016121.</w:t>
      </w:r>
    </w:p>
    <w:p w14:paraId="1D182A15" w14:textId="33030F5D" w:rsidR="00BC14C2" w:rsidRPr="00BC14C2" w:rsidRDefault="00BC14C2" w:rsidP="00DD72E5">
      <w:pPr>
        <w:pStyle w:val="NormalWeb"/>
        <w:ind w:left="480" w:hanging="480"/>
        <w:divId w:val="1613197641"/>
      </w:pPr>
      <w:r>
        <w:fldChar w:fldCharType="end"/>
      </w:r>
    </w:p>
    <w:p w14:paraId="4313237F" w14:textId="77777777" w:rsidR="006E28DC" w:rsidRDefault="006E28DC" w:rsidP="00A362F7"/>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DD72E5" w:rsidRDefault="00DD72E5" w:rsidP="00A362F7">
      <w:r>
        <w:separator/>
      </w:r>
    </w:p>
  </w:endnote>
  <w:endnote w:type="continuationSeparator" w:id="0">
    <w:p w14:paraId="6CFC188D" w14:textId="77777777" w:rsidR="00DD72E5" w:rsidRDefault="00DD72E5"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DD72E5" w:rsidRDefault="00DD72E5">
        <w:pPr>
          <w:pStyle w:val="Footer"/>
          <w:jc w:val="center"/>
        </w:pPr>
        <w:r>
          <w:fldChar w:fldCharType="begin"/>
        </w:r>
        <w:r>
          <w:instrText xml:space="preserve"> PAGE   \* MERGEFORMAT </w:instrText>
        </w:r>
        <w:r>
          <w:fldChar w:fldCharType="separate"/>
        </w:r>
        <w:r w:rsidR="00231A0D">
          <w:rPr>
            <w:noProof/>
          </w:rPr>
          <w:t>6</w:t>
        </w:r>
        <w:r>
          <w:rPr>
            <w:noProof/>
          </w:rPr>
          <w:fldChar w:fldCharType="end"/>
        </w:r>
      </w:p>
    </w:sdtContent>
  </w:sdt>
  <w:p w14:paraId="04BCEBB2" w14:textId="77777777" w:rsidR="00DD72E5" w:rsidRDefault="00DD72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DD72E5" w:rsidRDefault="00DD72E5" w:rsidP="00E95165">
        <w:pPr>
          <w:pStyle w:val="Footer"/>
          <w:jc w:val="center"/>
        </w:pPr>
        <w:r>
          <w:fldChar w:fldCharType="begin"/>
        </w:r>
        <w:r w:rsidRPr="00E95165">
          <w:instrText xml:space="preserve"> PAGE   \* MERGEFORMAT </w:instrText>
        </w:r>
        <w:r>
          <w:fldChar w:fldCharType="separate"/>
        </w:r>
        <w:r w:rsidR="00231A0D">
          <w:rPr>
            <w:noProof/>
          </w:rPr>
          <w:t>5</w:t>
        </w:r>
        <w:r>
          <w:rPr>
            <w:noProof/>
          </w:rPr>
          <w:fldChar w:fldCharType="end"/>
        </w:r>
      </w:p>
    </w:sdtContent>
  </w:sdt>
  <w:p w14:paraId="4FA56F78" w14:textId="77777777" w:rsidR="00DD72E5" w:rsidRDefault="00DD72E5"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DD72E5" w:rsidRDefault="00DD72E5" w:rsidP="00A362F7">
      <w:r>
        <w:separator/>
      </w:r>
    </w:p>
  </w:footnote>
  <w:footnote w:type="continuationSeparator" w:id="0">
    <w:p w14:paraId="720B2685" w14:textId="77777777" w:rsidR="00DD72E5" w:rsidRDefault="00DD72E5"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DD72E5" w:rsidRDefault="00DD72E5"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DD72E5" w:rsidRDefault="00DD72E5"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mailMerge>
    <w:mainDocumentType w:val="email"/>
    <w:dataType w:val="textFile"/>
    <w:activeRecord w:val="-1"/>
  </w:mailMerge>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6923"/>
    <w:rsid w:val="000A12FF"/>
    <w:rsid w:val="000A2377"/>
    <w:rsid w:val="000A33E4"/>
    <w:rsid w:val="000D1077"/>
    <w:rsid w:val="000D74D8"/>
    <w:rsid w:val="000E1107"/>
    <w:rsid w:val="001375D1"/>
    <w:rsid w:val="00145FE7"/>
    <w:rsid w:val="001539BA"/>
    <w:rsid w:val="00154E23"/>
    <w:rsid w:val="00155F9E"/>
    <w:rsid w:val="00176E5B"/>
    <w:rsid w:val="00184154"/>
    <w:rsid w:val="001D731C"/>
    <w:rsid w:val="001E3E51"/>
    <w:rsid w:val="001E63B9"/>
    <w:rsid w:val="00231A0D"/>
    <w:rsid w:val="00232E7C"/>
    <w:rsid w:val="00241CDA"/>
    <w:rsid w:val="0025255E"/>
    <w:rsid w:val="002545FB"/>
    <w:rsid w:val="00266364"/>
    <w:rsid w:val="002B2CF9"/>
    <w:rsid w:val="002D1BDB"/>
    <w:rsid w:val="002D3423"/>
    <w:rsid w:val="00321D10"/>
    <w:rsid w:val="00322C2A"/>
    <w:rsid w:val="003363E0"/>
    <w:rsid w:val="00350EA0"/>
    <w:rsid w:val="003512A0"/>
    <w:rsid w:val="003578D2"/>
    <w:rsid w:val="00363107"/>
    <w:rsid w:val="00363F78"/>
    <w:rsid w:val="003D0164"/>
    <w:rsid w:val="003E7D70"/>
    <w:rsid w:val="00406968"/>
    <w:rsid w:val="00451F50"/>
    <w:rsid w:val="004762FF"/>
    <w:rsid w:val="004C26D4"/>
    <w:rsid w:val="004E67C2"/>
    <w:rsid w:val="004F41E2"/>
    <w:rsid w:val="00503DBB"/>
    <w:rsid w:val="005226B0"/>
    <w:rsid w:val="00541F23"/>
    <w:rsid w:val="00542096"/>
    <w:rsid w:val="00547A93"/>
    <w:rsid w:val="00547C93"/>
    <w:rsid w:val="00563F73"/>
    <w:rsid w:val="00565349"/>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C370B"/>
    <w:rsid w:val="006E28DC"/>
    <w:rsid w:val="006F0C9C"/>
    <w:rsid w:val="00700A20"/>
    <w:rsid w:val="00700FD5"/>
    <w:rsid w:val="00720CF6"/>
    <w:rsid w:val="00736DBC"/>
    <w:rsid w:val="00747E78"/>
    <w:rsid w:val="00754346"/>
    <w:rsid w:val="007626A1"/>
    <w:rsid w:val="00765CD6"/>
    <w:rsid w:val="00771D41"/>
    <w:rsid w:val="007917E5"/>
    <w:rsid w:val="00797787"/>
    <w:rsid w:val="007A5D05"/>
    <w:rsid w:val="007B695D"/>
    <w:rsid w:val="007C0F87"/>
    <w:rsid w:val="007E465E"/>
    <w:rsid w:val="00811C45"/>
    <w:rsid w:val="008200D3"/>
    <w:rsid w:val="00837DFB"/>
    <w:rsid w:val="00865920"/>
    <w:rsid w:val="00872AE7"/>
    <w:rsid w:val="00895982"/>
    <w:rsid w:val="008D29A3"/>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B3A96"/>
    <w:rsid w:val="00AC7A5E"/>
    <w:rsid w:val="00B12AFC"/>
    <w:rsid w:val="00B14E47"/>
    <w:rsid w:val="00B37B5A"/>
    <w:rsid w:val="00B551CC"/>
    <w:rsid w:val="00B66E46"/>
    <w:rsid w:val="00B830DD"/>
    <w:rsid w:val="00B947CD"/>
    <w:rsid w:val="00B95F3E"/>
    <w:rsid w:val="00BB16DB"/>
    <w:rsid w:val="00BB3C26"/>
    <w:rsid w:val="00BB7C4F"/>
    <w:rsid w:val="00BC14C2"/>
    <w:rsid w:val="00BD50D7"/>
    <w:rsid w:val="00BF4347"/>
    <w:rsid w:val="00C05ED5"/>
    <w:rsid w:val="00C640AA"/>
    <w:rsid w:val="00C77C23"/>
    <w:rsid w:val="00C95EA3"/>
    <w:rsid w:val="00C97988"/>
    <w:rsid w:val="00CB2929"/>
    <w:rsid w:val="00CD3999"/>
    <w:rsid w:val="00CE2595"/>
    <w:rsid w:val="00D271A1"/>
    <w:rsid w:val="00D31092"/>
    <w:rsid w:val="00D35A20"/>
    <w:rsid w:val="00DD72E5"/>
    <w:rsid w:val="00E14ACF"/>
    <w:rsid w:val="00E36AEA"/>
    <w:rsid w:val="00E429B2"/>
    <w:rsid w:val="00E50794"/>
    <w:rsid w:val="00E61B9A"/>
    <w:rsid w:val="00E74D07"/>
    <w:rsid w:val="00E842FC"/>
    <w:rsid w:val="00E95165"/>
    <w:rsid w:val="00EB198A"/>
    <w:rsid w:val="00EB59A8"/>
    <w:rsid w:val="00EB6B87"/>
    <w:rsid w:val="00EB7652"/>
    <w:rsid w:val="00F06513"/>
    <w:rsid w:val="00F121DF"/>
    <w:rsid w:val="00F378C2"/>
    <w:rsid w:val="00F54779"/>
    <w:rsid w:val="00F649AD"/>
    <w:rsid w:val="00F91B2F"/>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veball.yoavram.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CA"/>
    <w:rsid w:val="0044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CC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C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FEE27E1-16FF-4E94-A770-3B1AFBF6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11343</Words>
  <Characters>56718</Characters>
  <Application>Microsoft Office Word</Application>
  <DocSecurity>0</DocSecurity>
  <Lines>472</Lines>
  <Paragraphs>135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23</cp:revision>
  <dcterms:created xsi:type="dcterms:W3CDTF">2015-07-21T09:00:00Z</dcterms:created>
  <dcterms:modified xsi:type="dcterms:W3CDTF">2015-07-21T12:55:00Z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