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77777777" w:rsidR="0093181D" w:rsidRPr="00D373CC" w:rsidRDefault="00670FC1" w:rsidP="0097184D">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 xml:space="preserve">s </w:t>
      </w:r>
      <w:r w:rsidR="00541F23" w:rsidRPr="00D373CC">
        <w:rPr>
          <w:sz w:val="44"/>
          <w:szCs w:val="44"/>
        </w:rPr>
        <w:t>from growth curves</w:t>
      </w:r>
    </w:p>
    <w:p w14:paraId="476FD698" w14:textId="77777777" w:rsidR="00563F73" w:rsidRPr="00E95165" w:rsidRDefault="00563F73" w:rsidP="00634747"/>
    <w:p w14:paraId="28885133" w14:textId="77777777" w:rsidR="00E95165" w:rsidRDefault="00563F73" w:rsidP="00837DFB">
      <w:pPr>
        <w:pStyle w:val="Subtitle"/>
        <w:rPr>
          <w:rFonts w:ascii="Palatino Linotype" w:hAnsi="Palatino Linotype"/>
        </w:rPr>
      </w:pPr>
      <w:proofErr w:type="spellStart"/>
      <w:r w:rsidRPr="00E95165">
        <w:rPr>
          <w:rFonts w:ascii="Palatino Linotype" w:hAnsi="Palatino Linotype"/>
        </w:rPr>
        <w:t>Yoav</w:t>
      </w:r>
      <w:proofErr w:type="spellEnd"/>
      <w:r w:rsidRPr="00E95165">
        <w:rPr>
          <w:rFonts w:ascii="Palatino Linotype" w:hAnsi="Palatino Linotype"/>
        </w:rPr>
        <w:t xml:space="preserve">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14:paraId="109FCC0D" w14:textId="77777777"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4762FF">
      <w:pPr>
        <w:jc w:val="center"/>
      </w:pPr>
      <w:r>
        <w:fldChar w:fldCharType="begin"/>
      </w:r>
      <w:r>
        <w:instrText xml:space="preserve"> DATE \@ "MMMM d, yyyy" </w:instrText>
      </w:r>
      <w:r>
        <w:fldChar w:fldCharType="separate"/>
      </w:r>
      <w:r w:rsidR="00016742">
        <w:rPr>
          <w:noProof/>
        </w:rPr>
        <w:t>July 23, 2015</w:t>
      </w:r>
      <w:r>
        <w:fldChar w:fldCharType="end"/>
      </w:r>
    </w:p>
    <w:p w14:paraId="5651D961" w14:textId="77777777" w:rsidR="00A01BA9" w:rsidRDefault="00A01BA9" w:rsidP="00A01BA9"/>
    <w:p w14:paraId="1D0D4FAF" w14:textId="77777777" w:rsidR="00E95165" w:rsidRDefault="00E95165" w:rsidP="00A01BA9"/>
    <w:p w14:paraId="22B6A034" w14:textId="77777777" w:rsidR="00A01BA9" w:rsidRPr="00E95165" w:rsidRDefault="00A01BA9" w:rsidP="00675E28">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675E28">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700FD5">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A362F7"/>
    <w:p w14:paraId="3F33E333" w14:textId="1CD17CD9" w:rsidR="006161B0" w:rsidRDefault="004762FF" w:rsidP="004F69EA">
      <w:r w:rsidRPr="004762FF">
        <w:rPr>
          <w:b/>
          <w:bCs/>
        </w:rPr>
        <w:t>Keywords:</w:t>
      </w:r>
      <w:r>
        <w:t xml:space="preserve"> mathematical model, </w:t>
      </w:r>
      <w:r w:rsidR="00954602">
        <w:t>fitness, selection</w:t>
      </w:r>
      <w:r w:rsidR="004F69EA">
        <w:t xml:space="preserve"> coefficient</w:t>
      </w:r>
      <w:r w:rsidR="00954602">
        <w:t>, experimental evolution</w:t>
      </w:r>
    </w:p>
    <w:p w14:paraId="449FF298" w14:textId="77777777" w:rsidR="006161B0" w:rsidRDefault="006161B0" w:rsidP="00A362F7"/>
    <w:p w14:paraId="472A8D9B" w14:textId="77777777" w:rsidR="006161B0" w:rsidRDefault="006161B0" w:rsidP="006161B0">
      <w:pPr>
        <w:pStyle w:val="Heading1"/>
      </w:pPr>
      <w:r>
        <w:t>Abstract</w:t>
      </w:r>
    </w:p>
    <w:p w14:paraId="46874BB9" w14:textId="0C088B96" w:rsidR="006161B0" w:rsidRDefault="009B2A6B" w:rsidP="00E33F77">
      <w:r>
        <w:t>Measuring relative fitness by p</w:t>
      </w:r>
      <w:r w:rsidR="006161B0">
        <w:t xml:space="preserve">airwise competition experiments </w:t>
      </w:r>
      <w:r>
        <w:t xml:space="preserve">is </w:t>
      </w:r>
      <w:r w:rsidR="00920F1D">
        <w:t xml:space="preserve">laborious and </w:t>
      </w:r>
      <w:r>
        <w:t>expensive</w:t>
      </w:r>
      <w:r w:rsidR="00675E28">
        <w:t xml:space="preserve">. </w:t>
      </w:r>
      <w:r>
        <w:t>Accordingly, m</w:t>
      </w:r>
      <w:r w:rsidR="006161B0">
        <w:t xml:space="preserve">any investigators </w:t>
      </w:r>
      <w:r w:rsidR="00F54779">
        <w:t>estimate fitness from</w:t>
      </w:r>
      <w:r w:rsidR="006161B0">
        <w:t xml:space="preserve"> </w:t>
      </w:r>
      <w:r w:rsidR="00A4385B">
        <w:t xml:space="preserve">the maximum </w:t>
      </w:r>
      <w:r w:rsidR="00675E28">
        <w:t xml:space="preserve">growth </w:t>
      </w:r>
      <w:r w:rsidR="00A4385B">
        <w:t>rate during exponential growth</w:t>
      </w:r>
      <w:r w:rsidR="006161B0">
        <w:t>.</w:t>
      </w:r>
      <w:r w:rsidR="00F06513">
        <w:t xml:space="preserve"> However, </w:t>
      </w:r>
      <w:r w:rsidR="00A4385B">
        <w:t xml:space="preserve">maximum </w:t>
      </w:r>
      <w:r w:rsidR="00F06513">
        <w:t xml:space="preserve">growth </w:t>
      </w:r>
      <w:r w:rsidR="00A4385B">
        <w:t>rates</w:t>
      </w:r>
      <w:r w:rsidR="00F06513">
        <w:t xml:space="preserve"> have been shown to be an unreliable measure of fitness</w:t>
      </w:r>
      <w:r>
        <w:t xml:space="preserve"> as indicated by discrepancies between these parameters and the outcomes of pairwise competition </w:t>
      </w:r>
      <w:r w:rsidR="00634747">
        <w:t>experiments</w:t>
      </w:r>
      <w:r w:rsidR="00F06513">
        <w:t>.</w:t>
      </w:r>
      <w:r w:rsidR="00920F1D">
        <w:t xml:space="preserve"> Here we propose a new method </w:t>
      </w:r>
      <w:r w:rsidR="00A4385B">
        <w:t>that</w:t>
      </w:r>
      <w:r w:rsidR="00995D06">
        <w:t xml:space="preserve"> estimates relative fitness by</w:t>
      </w:r>
      <w:r w:rsidR="00A4385B">
        <w:t xml:space="preserve"> </w:t>
      </w:r>
      <w:r w:rsidR="00920F1D">
        <w:t>predict</w:t>
      </w:r>
      <w:r w:rsidR="00995D06">
        <w:t>ing</w:t>
      </w:r>
      <w:r w:rsidR="00920F1D">
        <w:t xml:space="preserve"> the res</w:t>
      </w:r>
      <w:r w:rsidR="00A4385B">
        <w:t xml:space="preserve">ults of </w:t>
      </w:r>
      <w:r>
        <w:t xml:space="preserve">competition </w:t>
      </w:r>
      <w:r w:rsidR="00634747">
        <w:t xml:space="preserve">experiments </w:t>
      </w:r>
      <w:r w:rsidR="00E33F77">
        <w:t>from</w:t>
      </w:r>
      <w:r>
        <w:t xml:space="preserve"> </w:t>
      </w:r>
      <w:r w:rsidR="00920F1D">
        <w:t>single strain growth curves</w:t>
      </w:r>
      <w:r w:rsidR="00995D06">
        <w:t>.</w:t>
      </w:r>
      <w:r w:rsidR="00F06513">
        <w:t xml:space="preserve"> </w:t>
      </w:r>
    </w:p>
    <w:p w14:paraId="4F70DEEF" w14:textId="77777777" w:rsidR="00563F73" w:rsidRDefault="00563F73" w:rsidP="00A362F7">
      <w:r>
        <w:br w:type="page"/>
      </w:r>
    </w:p>
    <w:p w14:paraId="382551CA" w14:textId="77777777" w:rsidR="00563F73" w:rsidRPr="00A362F7" w:rsidRDefault="00563F73" w:rsidP="00A362F7">
      <w:pPr>
        <w:pStyle w:val="Heading1"/>
      </w:pPr>
      <w:r w:rsidRPr="00A362F7">
        <w:lastRenderedPageBreak/>
        <w:t>Introduction</w:t>
      </w:r>
    </w:p>
    <w:p w14:paraId="0ABF797E" w14:textId="77777777" w:rsidR="003E7D70" w:rsidRPr="003E7D70" w:rsidRDefault="003E7D70" w:rsidP="003E7D70">
      <w:pPr>
        <w:pStyle w:val="Heading2"/>
      </w:pPr>
      <w:r w:rsidRPr="003E7D70">
        <w:t>Growth curves</w:t>
      </w:r>
    </w:p>
    <w:p w14:paraId="6EA498B5" w14:textId="6FEFF6B9" w:rsidR="00677B67" w:rsidRDefault="001539BA" w:rsidP="006C212D">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 xml:space="preserve">ensity (OD) of one or more populations of cells over </w:t>
      </w:r>
      <w:r w:rsidR="009B2A6B">
        <w:t xml:space="preserve">a range of </w:t>
      </w:r>
      <w:r>
        <w:t xml:space="preserve">time periods.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However, the selection coefficient can be affected by other phases of a growth curve</w:t>
      </w:r>
      <w:r w:rsidR="00BB16DB">
        <w:t xml:space="preserve"> 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3E7D70">
      <w:pPr>
        <w:pStyle w:val="Heading2"/>
      </w:pPr>
      <w:r>
        <w:t>C</w:t>
      </w:r>
      <w:r w:rsidR="003E7D70" w:rsidRPr="003E7D70">
        <w:t>ompetition experiments</w:t>
      </w:r>
    </w:p>
    <w:p w14:paraId="37EC2E19" w14:textId="747DDAD9" w:rsidR="003E7D70" w:rsidRDefault="00551D58" w:rsidP="00551D58">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the same </w:t>
      </w:r>
      <w:r w:rsidR="003E7D70">
        <w:t>vessel</w:t>
      </w:r>
      <w:r w:rsidR="00B12AFC">
        <w:t xml:space="preserve"> –</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population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5F104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"http://www.mendeley.com/documents/?uuid=6cff1331-d992-4077-bfcd-58f4ba055f7f" ] } ], "mendeley" : { "formattedCitation" : "(Gallet et al. 2012)", "plainTextFormattedCitation" : "(Gallet et al. 2012)", "previouslyFormattedCitation" : "(Gallet et al. 2012)" }, "properties" : { "noteIndex" : 0 }, "schema" : "https://github.com/citation-style-language/schema/raw/master/csl-citation.json" }</w:instrText>
      </w:r>
      <w:r w:rsidR="005F1042">
        <w:fldChar w:fldCharType="separate"/>
      </w:r>
      <w:r w:rsidR="005F1042" w:rsidRPr="006161B0">
        <w:rPr>
          <w:noProof/>
        </w:rPr>
        <w:t>(Gallet et al. 2012)</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BB16DB">
        <w:instrText>ADDIN CSL_CITATION { "citationItems" : [ { "id" : "ITEM-1", "itemData" : { "DOI" : "10.1534/genetics.113.156190", "ISSN" : "0016-6731", "author" : [ { "dropping-particle" : "", "family" : "Bank", "given" : "C.", "non-dropping-particle" : "", "parse-names" : false, "suffix" : "" }, { "dropping-particle" : "", "family" : "Hietpas", "given" : "R. T.", "non-dropping-particle" : "", "parse-names" : false, "suffix" : "" }, { "dropping-particle" : "", "family" : "Wong", "given" : "A.", "non-dropping-particle" : "", "parse-names" : false, "suffix" : "" }, { "dropping-particle" : "", "family" : "Bolon", "given" : "Daniel N. A.", "non-dropping-particle" : "", "parse-names" : false, "suffix" : "" }, { "dropping-particle" : "", "family" : "Jensen", "given" : "J. D.", "non-dropping-particle" : "", "parse-names" : false, "suffix" : "" } ], "container-title" : "Genetics", "id" : "ITEM-1", "issue" : "3", "issued" : { "date-parts" : [ [ "2014", "1", "7" ] ] }, "page" : "841-852", "title" : "A Bayesian MCMC Approach to Assess the Complete Distribution of Fitness Effects of New Mutations: Uncovering the Potential for Adaptive Walks in Challenging Environments", "type" : "article-journal", "volume" : "196" }, "uris" : [ "http://www.mendeley.com/documents/?uuid=412c5d39-66d8-4c24-afd4-18763d818a16"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"issued" : { "date-parts" : [ [ "2015" ] ] }, "title" : "Quantitative evolutionary dynamics using high-resolution lineage tracking", "type" : "article-journal", "volume" : "advance on"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BB16DB" w:rsidRPr="00BB16DB">
        <w:rPr>
          <w:noProof/>
        </w:rPr>
        <w:t>(Bank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 xml:space="preserve">the </w:t>
      </w:r>
      <w:r w:rsidR="00677B67">
        <w:t>frequenc</w:t>
      </w:r>
      <w:r w:rsidR="001539BA">
        <w:t>ies</w:t>
      </w:r>
      <w:r w:rsidR="00AC7A5E">
        <w:t xml:space="preserve"> of the different strains</w:t>
      </w:r>
      <w:r w:rsidR="00677B67">
        <w:t xml:space="preserve"> </w:t>
      </w:r>
      <w:r w:rsidR="006161B0">
        <w:t>during</w:t>
      </w:r>
      <w:r w:rsidR="00AC7A5E">
        <w:t xml:space="preserv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w:t>
      </w:r>
      <w:r w:rsidR="00BB16DB">
        <w:t>are</w:t>
      </w:r>
      <w:r w:rsidR="00677B67">
        <w:t xml:space="preserve"> </w:t>
      </w:r>
      <w:r w:rsidR="00077B31">
        <w:t>good</w:t>
      </w:r>
      <w:r w:rsidR="00677B67">
        <w:t xml:space="preserve"> method</w:t>
      </w:r>
      <w:r w:rsidR="00BB16DB">
        <w:t>s</w:t>
      </w:r>
      <w:r w:rsidR="00677B67">
        <w:t xml:space="preserve"> to </w:t>
      </w:r>
      <w:r>
        <w:t>infer</w:t>
      </w:r>
      <w:r w:rsidR="006161B0">
        <w:t xml:space="preserve"> relative</w:t>
      </w:r>
      <w:r w:rsidR="00677B67">
        <w:t xml:space="preserve"> fitness,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than growth curve</w:t>
      </w:r>
      <w:r w:rsidR="003E7D70">
        <w:t>s</w:t>
      </w:r>
      <w:r w:rsidR="00B12AFC">
        <w:t xml:space="preserve"> </w:t>
      </w:r>
      <w:r w:rsidR="006161B0">
        <w:t>experiments</w:t>
      </w:r>
      <w:r w:rsidR="00B12AFC">
        <w:t xml:space="preserve"> </w:t>
      </w:r>
      <w:r w:rsidR="00677B67">
        <w:t xml:space="preserve">and </w:t>
      </w:r>
      <w:r w:rsidR="00B12AFC">
        <w:t xml:space="preserve">are typically more </w:t>
      </w:r>
      <w:r w:rsidR="00AC7A5E">
        <w:t>expensive</w:t>
      </w:r>
      <w:r w:rsidR="00677B67">
        <w:t xml:space="preserve">, requiring the construction and assaying of genetic or phenotypic </w:t>
      </w:r>
      <w:r w:rsidR="00677B67">
        <w:lastRenderedPageBreak/>
        <w:t>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7AB145DA" w14:textId="77777777" w:rsidR="003E7D70" w:rsidRDefault="003E7D70" w:rsidP="003E7D70">
      <w:pPr>
        <w:pStyle w:val="Heading2"/>
      </w:pPr>
      <w:r w:rsidRPr="003E7D70">
        <w:t>Predicting competition results from growth curves</w:t>
      </w:r>
    </w:p>
    <w:p w14:paraId="7DD1B50D" w14:textId="77777777" w:rsidR="00FC0D75" w:rsidRDefault="00B12AFC" w:rsidP="00077B31">
      <w:r>
        <w:t xml:space="preserve">Here we propose a new </w:t>
      </w:r>
      <w:r w:rsidR="003E7D70">
        <w:t>framework</w:t>
      </w:r>
      <w:r>
        <w:t xml:space="preserve"> </w:t>
      </w:r>
      <w:r w:rsidR="003E7D70">
        <w:t>for</w:t>
      </w:r>
      <w:r>
        <w:t xml:space="preserve"> </w:t>
      </w:r>
      <w:r w:rsidR="00FC0D75">
        <w:t>fitness</w:t>
      </w:r>
      <w:r>
        <w:t xml:space="preserve"> inference</w:t>
      </w:r>
      <w:r w:rsidR="00FC0D75">
        <w:t xml:space="preserve">. </w:t>
      </w:r>
      <w:r w:rsidR="003E7D70">
        <w:t xml:space="preserve">We fit </w:t>
      </w:r>
      <w:r w:rsidR="00FC0D75">
        <w:t>growth model</w:t>
      </w:r>
      <w:r w:rsidR="003E7D70">
        <w:t>s to growth curves data and use</w:t>
      </w:r>
      <w:r w:rsidR="00FC0D75">
        <w:t xml:space="preserve"> the fitted growth models to pr</w:t>
      </w:r>
      <w:r w:rsidR="00077B31">
        <w:t>edict the results of competition</w:t>
      </w:r>
      <w:r w:rsidR="00FC0D75">
        <w:t xml:space="preserve"> </w:t>
      </w:r>
      <w:r w:rsidR="00920F1D">
        <w:t>experiments</w:t>
      </w:r>
      <w:r w:rsidR="00FC0D75">
        <w:t xml:space="preserve">. The predicted competitions </w:t>
      </w:r>
      <w:r>
        <w:t>can</w:t>
      </w:r>
      <w:r w:rsidR="00FC0D75">
        <w:t xml:space="preserve"> then </w:t>
      </w:r>
      <w:r>
        <w:t xml:space="preserve">be </w:t>
      </w:r>
      <w:r w:rsidR="00FC0D75">
        <w:t xml:space="preserve">used instead of empirical ones to </w:t>
      </w:r>
      <w:r w:rsidR="00077B31">
        <w:t>estimate</w:t>
      </w:r>
      <w:r w:rsidR="00FC0D75">
        <w:t xml:space="preserve"> selection coefficients.</w:t>
      </w:r>
    </w:p>
    <w:p w14:paraId="711BB379" w14:textId="7BCF7988" w:rsidR="00FC0D75" w:rsidRDefault="00FC0D75" w:rsidP="001935CF">
      <w:r>
        <w:t>We implemented our method</w:t>
      </w:r>
      <w:r w:rsidR="001935CF">
        <w:t xml:space="preserve"> in</w:t>
      </w:r>
      <w:r w:rsidR="00077B31" w:rsidRPr="00077B31">
        <w:t xml:space="preserve"> </w:t>
      </w:r>
      <w:r>
        <w:t>an open source Python package</w:t>
      </w:r>
      <w:r w:rsidR="001935CF">
        <w:t xml:space="preserve"> called </w:t>
      </w:r>
      <w:r w:rsidR="001935CF">
        <w:rPr>
          <w:i/>
          <w:iCs/>
        </w:rPr>
        <w:t>Curveball</w:t>
      </w:r>
      <w:r>
        <w:t xml:space="preserve"> </w:t>
      </w:r>
      <w:r w:rsidR="00B12AFC">
        <w:t>(</w:t>
      </w:r>
      <w:hyperlink r:id="rId8" w:history="1">
        <w:r w:rsidR="00B12AFC" w:rsidRPr="00EB6B87">
          <w:rPr>
            <w:rStyle w:val="Hyperlink"/>
          </w:rPr>
          <w:t>http://curveball.yoavram.com</w:t>
        </w:r>
      </w:hyperlink>
      <w:r w:rsidR="00B12AFC">
        <w:t>)</w:t>
      </w:r>
      <w:r w:rsidR="003D0164">
        <w:t>.</w:t>
      </w:r>
    </w:p>
    <w:p w14:paraId="4EC11D9F" w14:textId="36448D9A" w:rsidR="00FC0D75" w:rsidRDefault="00551D58" w:rsidP="00A362F7">
      <w:pPr>
        <w:pStyle w:val="Heading1"/>
      </w:pPr>
      <w:r>
        <w:t>Model</w:t>
      </w:r>
      <w:r w:rsidR="000D1077">
        <w:t xml:space="preserve"> and Results</w:t>
      </w:r>
      <w:r w:rsidR="00FC0D75">
        <w:t xml:space="preserve"> </w:t>
      </w:r>
    </w:p>
    <w:p w14:paraId="619A2F8E" w14:textId="756125A8" w:rsidR="00060445" w:rsidRDefault="00B12AFC" w:rsidP="00EB6B87">
      <w:r>
        <w:t>O</w:t>
      </w:r>
      <w:r w:rsidR="00765CD6">
        <w:t xml:space="preserve">ur method </w:t>
      </w:r>
      <w:r>
        <w:t>includes three stages: (</w:t>
      </w:r>
      <w:proofErr w:type="spellStart"/>
      <w:r>
        <w:t>i</w:t>
      </w:r>
      <w:proofErr w:type="spellEnd"/>
      <w:r>
        <w:t xml:space="preserve">) </w:t>
      </w:r>
      <w:r w:rsidR="00765CD6">
        <w:t>fitting growth models to growth curves data,</w:t>
      </w:r>
      <w:r w:rsidR="000363EF">
        <w:t xml:space="preserve"> </w:t>
      </w:r>
      <w:r w:rsidR="007C0F87">
        <w:t>(ii)</w:t>
      </w:r>
      <w:r w:rsidR="00765CD6">
        <w:t xml:space="preserve"> using the fitted models to predict the results of competition </w:t>
      </w:r>
      <w:r w:rsidR="00077B31">
        <w:t>experiments</w:t>
      </w:r>
      <w:r w:rsidR="00765CD6">
        <w:t xml:space="preserve">, and </w:t>
      </w:r>
      <w:r w:rsidR="007C0F87">
        <w:t xml:space="preserve">(iii) </w:t>
      </w:r>
      <w:r w:rsidR="00077B31">
        <w:t>estimating</w:t>
      </w:r>
      <w:r w:rsidR="00765CD6">
        <w:t xml:space="preserve"> selection from the</w:t>
      </w:r>
      <w:r w:rsidR="00865920">
        <w:t xml:space="preserve"> predicted competition results.</w:t>
      </w:r>
    </w:p>
    <w:p w14:paraId="731F4FC5" w14:textId="77777777" w:rsidR="00060445" w:rsidRPr="00A362F7" w:rsidRDefault="00060445" w:rsidP="003E7D70">
      <w:pPr>
        <w:pStyle w:val="Heading2"/>
      </w:pPr>
      <w:r w:rsidRPr="00A362F7">
        <w:t>Growth model</w:t>
      </w:r>
    </w:p>
    <w:p w14:paraId="13443C12" w14:textId="428818F1" w:rsidR="00765CD6" w:rsidRDefault="00765CD6" w:rsidP="009050CE">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xml:space="preserve">– we use an extension of the </w:t>
      </w:r>
      <w:r w:rsidR="009050CE">
        <w:t>standard</w:t>
      </w:r>
      <w:r>
        <w:t xml:space="preserv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"(Baranyi and Roberts 1994; Baranyi 1997)", "plainTextFormattedCitation" : "(Baranyi and Roberts 1994; Baranyi 1997)", "previouslyFormattedCitation" : "(Baranyi and Roberts 1994; Baranyi 1997)" }, "properties" : { "noteIndex" : 0 }, "schema" : "https://github.com/citation-style-language/schema/raw/master/csl-citation.json" }</w:instrText>
      </w:r>
      <w:r>
        <w:fldChar w:fldCharType="separate"/>
      </w:r>
      <w:r w:rsidR="003D0164" w:rsidRPr="003D0164">
        <w:rPr>
          <w:noProof/>
        </w:rPr>
        <w:t>(Baranyi and Roberts 1994; Baranyi 1997)</w:t>
      </w:r>
      <w:r>
        <w:fldChar w:fldCharType="end"/>
      </w:r>
      <w:r>
        <w:t>.</w:t>
      </w:r>
    </w:p>
    <w:p w14:paraId="3BC129A0" w14:textId="597B7518" w:rsidR="00765CD6" w:rsidRDefault="00765CD6" w:rsidP="00551D58">
      <w:r>
        <w:t xml:space="preserve">The </w:t>
      </w:r>
      <w:proofErr w:type="spellStart"/>
      <w:r>
        <w:t>Baranyi</w:t>
      </w:r>
      <w:proofErr w:type="spellEnd"/>
      <w:r>
        <w:t>-</w:t>
      </w:r>
      <w:r w:rsidR="00984152">
        <w:t xml:space="preserve">Roberts </w:t>
      </w:r>
      <w:r>
        <w:t xml:space="preserve">model is defined by the following </w:t>
      </w:r>
      <w:r w:rsidR="00551D58">
        <w:t xml:space="preserve">single </w:t>
      </w:r>
      <w:r>
        <w:t>species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966DD5"/>
    <w:p w14:paraId="089F7244" w14:textId="77777777" w:rsidR="00765CD6" w:rsidRDefault="006C212D" w:rsidP="00F54779">
      <w:pPr>
        <w:jc w:val="right"/>
      </w:pPr>
      <m:oMath>
        <m:f>
          <m:fPr>
            <m:ctrlPr>
              <w:rPr>
                <w:rFonts w:ascii="Cambria Math" w:hAnsi="Cambria Math"/>
                <w:i/>
              </w:rPr>
            </m:ctrlPr>
          </m:fPr>
          <m:num>
            <m:r>
              <w:rPr>
                <w:rFonts w:ascii="Cambria Math" w:hAnsi="Cambria Math"/>
              </w:rPr>
              <m:t>dN</m:t>
            </m:r>
          </m:num>
          <m:den>
            <m:r>
              <w:rPr>
                <w:rFonts w:ascii="Cambria Math" w:hAnsi="Cambria Math"/>
              </w:rPr>
              <m:t>d</m:t>
            </m:r>
            <m:r>
              <w:rPr>
                <w:rFonts w:ascii="Cambria Math" w:hAnsi="Cambria Math"/>
              </w:rPr>
              <m:t>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F54779">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7C6323E1" w:rsidR="00EB7652" w:rsidRDefault="00EB7652" w:rsidP="00F54779">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A362F7">
      <w:pPr>
        <w:ind w:firstLine="0"/>
      </w:pPr>
    </w:p>
    <w:p w14:paraId="50A0698A" w14:textId="1E1389C7" w:rsidR="00EB7652" w:rsidRDefault="00EB7652" w:rsidP="005C2E39">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r w:rsidR="005C2E39">
        <w:t xml:space="preserve"> (see below for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5C2E39">
        <w:t xml:space="preserve"> and </w:t>
      </w:r>
      <m:oMath>
        <m:r>
          <w:rPr>
            <w:rFonts w:ascii="Cambria Math" w:hAnsi="Cambria Math"/>
          </w:rPr>
          <m:t>m</m:t>
        </m:r>
      </m:oMath>
      <w:r w:rsidR="005C2E39">
        <w:t>)</w:t>
      </w:r>
      <w:r>
        <w:t>.</w:t>
      </w:r>
    </w:p>
    <w:p w14:paraId="34FDB3B7" w14:textId="76B3ABD0" w:rsidR="00EB7652" w:rsidRDefault="00EB7652" w:rsidP="00551D58">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r w:rsidR="000363EF">
        <w:t xml:space="preserve"> describe the</w:t>
      </w:r>
      <w:r>
        <w:t xml:space="preserve"> </w:t>
      </w:r>
      <w:r w:rsidR="000363EF">
        <w:t xml:space="preserve">deceleration in </w:t>
      </w:r>
      <w:r>
        <w:t xml:space="preserve">the growth of the population as it nears the maximum </w:t>
      </w:r>
      <w:proofErr w:type="gramStart"/>
      <w:r>
        <w:t>density</w:t>
      </w:r>
      <w:r w:rsidR="00551D58">
        <w:t xml:space="preserve"> </w:t>
      </w:r>
      <w:proofErr w:type="gramEnd"/>
      <m:oMath>
        <m:r>
          <w:rPr>
            <w:rFonts w:ascii="Cambria Math" w:hAnsi="Cambria Math"/>
          </w:rPr>
          <m:t>K</m:t>
        </m:r>
      </m:oMath>
      <w:r>
        <w:t>. When the deceleration parameter</w:t>
      </w:r>
      <w:r w:rsidR="009050CE">
        <w:t xml:space="preserve"> </w:t>
      </w:r>
      <m:oMath>
        <m:r>
          <w:rPr>
            <w:rFonts w:ascii="Cambria Math" w:hAnsi="Cambria Math"/>
          </w:rPr>
          <m:t>ν</m:t>
        </m:r>
      </m:oMath>
      <w:r w:rsidR="00966DD5">
        <w:t xml:space="preserve"> is </w:t>
      </w:r>
      <w:r w:rsidR="009050CE">
        <w:lastRenderedPageBreak/>
        <w:t>unity</w:t>
      </w:r>
      <w:r>
        <w:t xml:space="preserve"> </w:t>
      </w:r>
      <w:r w:rsidR="00966DD5">
        <w:t>(</w:t>
      </w:r>
      <m:oMath>
        <m:r>
          <w:rPr>
            <w:rFonts w:ascii="Cambria Math" w:hAnsi="Cambria Math"/>
          </w:rPr>
          <m:t>ν=1</m:t>
        </m:r>
      </m:oMath>
      <w:r w:rsidR="00966DD5">
        <w:t>)</w:t>
      </w:r>
      <w:r>
        <w:t>, the deceleratio</w:t>
      </w:r>
      <w:r w:rsidR="00984152">
        <w:t xml:space="preserve">n is the same as in the </w:t>
      </w:r>
      <w:r w:rsidR="009050CE">
        <w:t>standard</w:t>
      </w:r>
      <w:r>
        <w:t xml:space="preserve"> logistic model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proofErr w:type="gramStart"/>
      <w:r w:rsidR="00966DD5">
        <w:t>,</w:t>
      </w:r>
      <w:r>
        <w:t xml:space="preserve"> </w:t>
      </w:r>
      <w:proofErr w:type="gramEnd"/>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0&lt;ν&lt;1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551D58">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\ud835\udc4a=\ud835\udc41,\ud835\udc34=\ud835\udc3e,\ud835\udf08=\ud835\udc5a\u22121,\ud835\udc58=\ud835\udc5f\u22c5\ud835\udf08)",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w:rPr>
            <w:rFonts w:ascii="Cambria Math" w:hAnsi="Cambria Math"/>
            <w:noProof/>
          </w:rPr>
          <m:t>W=N,A=K,ν=m-1,k=r⋅ν</m:t>
        </m:r>
      </m:oMath>
      <w:r w:rsidR="009050CE" w:rsidRPr="009050CE">
        <w:rPr>
          <w:noProof/>
        </w:rPr>
        <w:t>)</w:t>
      </w:r>
      <w:r w:rsidR="009050CE">
        <w:fldChar w:fldCharType="end"/>
      </w:r>
      <w:r w:rsidR="003D0164">
        <w:t>.</w:t>
      </w:r>
    </w:p>
    <w:p w14:paraId="03E4527E" w14:textId="5D0BF44C" w:rsidR="00EB7652" w:rsidRDefault="00EB7652" w:rsidP="00551D58">
      <w:r>
        <w:t xml:space="preserve">The adjustment function </w:t>
      </w:r>
      <m:oMath>
        <m:r>
          <w:rPr>
            <w:rFonts w:ascii="Cambria Math" w:hAnsi="Cambria Math"/>
          </w:rPr>
          <m:t>α(t)</m:t>
        </m:r>
      </m:oMath>
      <w:r>
        <w:t xml:space="preserve"> is used to describe the adjustment of the population </w:t>
      </w:r>
      <w:r w:rsidR="009050CE">
        <w:t xml:space="preserve">to growth conditions at the </w:t>
      </w:r>
      <w:r w:rsidR="00551D58">
        <w:t>beginning</w:t>
      </w:r>
      <w:r w:rsidR="009050CE">
        <w:t xml:space="preserve"> of the growth curve</w:t>
      </w:r>
      <w:r w:rsidR="00551D58">
        <w:t>s</w:t>
      </w:r>
      <w:r w:rsidR="009050CE">
        <w:t xml:space="preserve"> experiment</w:t>
      </w:r>
      <w:r>
        <w:t xml:space="preserve">. Typically, </w:t>
      </w:r>
      <w:r w:rsidR="00984152">
        <w:t>micro</w:t>
      </w:r>
      <w:r>
        <w:t>organisms are grown in overnight culture</w:t>
      </w:r>
      <w:r w:rsidR="00D46522">
        <w:t xml:space="preserve"> to stationary phase</w:t>
      </w:r>
      <w:r>
        <w:t xml:space="preserve"> </w:t>
      </w:r>
      <w:r w:rsidR="00984152">
        <w:t xml:space="preserve">and </w:t>
      </w:r>
      <w:r>
        <w:t>diluted into fresh media</w:t>
      </w:r>
      <w:r w:rsidR="00406968">
        <w:t xml:space="preserve">. Therefore, </w:t>
      </w:r>
      <w:r w:rsidR="00984152">
        <w:t xml:space="preserve">populations that are </w:t>
      </w:r>
      <w:r w:rsidR="00406968">
        <w:t>adjusted to stationary phase must now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r w:rsidR="00B551CC">
        <w:t xml:space="preserve"> in the cell</w:t>
      </w:r>
      <w:r w:rsidR="00406968">
        <w:t>.</w:t>
      </w:r>
    </w:p>
    <w:p w14:paraId="693D6B89" w14:textId="43CB92B2" w:rsidR="00406968" w:rsidRDefault="00406968" w:rsidP="00A362F7">
      <w:r>
        <w:t xml:space="preserve">The </w:t>
      </w:r>
      <w:proofErr w:type="spellStart"/>
      <w:r>
        <w:t>Baranyi</w:t>
      </w:r>
      <w:proofErr w:type="spellEnd"/>
      <w:r>
        <w:t xml:space="preserve">-Roberts differential equation has a closed form </w:t>
      </w:r>
      <w:r w:rsidR="00B947CD">
        <w:t xml:space="preserve">analytical </w:t>
      </w:r>
      <w:r>
        <w:t>solution:</w:t>
      </w:r>
    </w:p>
    <w:p w14:paraId="745356B6" w14:textId="77777777" w:rsidR="00B551CC" w:rsidRDefault="00B551CC" w:rsidP="00A362F7"/>
    <w:p w14:paraId="3C326C31" w14:textId="77777777" w:rsidR="00406968" w:rsidRDefault="00406968" w:rsidP="00F54779">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1C5AEB7" w:rsidR="00406968" w:rsidRDefault="00406968" w:rsidP="00551D5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966DD5"/>
    <w:p w14:paraId="51D46DBD" w14:textId="7F1A5D14" w:rsidR="00551D58" w:rsidRDefault="00551D58" w:rsidP="00551D58">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r>
          <w:rPr>
            <w:rFonts w:ascii="Cambria Math" w:hAnsi="Cambria Math"/>
          </w:rPr>
          <m:t>N(0)</m:t>
        </m:r>
      </m:oMath>
      <w:r>
        <w:t xml:space="preserve"> is the initial population density.</w:t>
      </w:r>
    </w:p>
    <w:p w14:paraId="2A6969CE" w14:textId="261F27B2" w:rsidR="00060445" w:rsidRDefault="005F02B4" w:rsidP="00551D58">
      <w:r>
        <w:t>W</w:t>
      </w:r>
      <w:r w:rsidR="00060445">
        <w:t xml:space="preserve">e </w:t>
      </w:r>
      <w:r>
        <w:t xml:space="preserve">use </w:t>
      </w:r>
      <w:r w:rsidR="00060445">
        <w:t xml:space="preserve">four </w:t>
      </w:r>
      <w:r w:rsidR="00966DD5">
        <w:t>forms</w:t>
      </w:r>
      <w:r w:rsidR="00060445">
        <w:t xml:space="preserve"> of the </w:t>
      </w:r>
      <w:proofErr w:type="spellStart"/>
      <w:r w:rsidR="00060445">
        <w:t>Baranyi</w:t>
      </w:r>
      <w:proofErr w:type="spellEnd"/>
      <w:r w:rsidR="00060445">
        <w:t xml:space="preserve">-Roberts model.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r w:rsidR="00966DD5">
        <w:t xml:space="preserve">has the </w:t>
      </w:r>
      <w:r w:rsidR="00060445">
        <w:t>deceleration parameter</w:t>
      </w:r>
      <w:r w:rsidR="00984152">
        <w:t xml:space="preserve"> </w:t>
      </w:r>
      <m:oMath>
        <m:r>
          <w:rPr>
            <w:rFonts w:ascii="Cambria Math" w:hAnsi="Cambria Math"/>
          </w:rPr>
          <m:t>ν</m:t>
        </m:r>
      </m:oMath>
      <w:r w:rsidR="00060445">
        <w:t xml:space="preserve"> set to</w:t>
      </w:r>
      <w:r w:rsidR="00984152">
        <w:t xml:space="preserve"> </w:t>
      </w:r>
      <w:r w:rsidR="00B66E46">
        <w:t>unity</w:t>
      </w:r>
      <w:r w:rsidR="00060445">
        <w:t xml:space="preserve">, as in the </w:t>
      </w:r>
      <w:r w:rsidR="00B66E46">
        <w:t>standard</w:t>
      </w:r>
      <w:r w:rsidR="00060445">
        <w:t xml:space="preserve"> logistic model</w:t>
      </w:r>
      <w:r w:rsidR="00B66E46">
        <w:t xml:space="preserve">. </w:t>
      </w:r>
      <w:r w:rsidR="00966DD5">
        <w:t>A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5F1042">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060445">
        <w:t xml:space="preserve"> or the generalized logistic model.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B551CC">
        <w:t>fourth</w:t>
      </w:r>
      <w:r w:rsidR="00060445">
        <w:t xml:space="preserve">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272B256D" w14:textId="77777777" w:rsidR="005F02B4" w:rsidRDefault="005F02B4" w:rsidP="00A362F7">
      <w:pPr>
        <w:pStyle w:val="Heading2"/>
      </w:pPr>
      <w:r>
        <w:lastRenderedPageBreak/>
        <w:t>Model fitting and selection</w:t>
      </w:r>
    </w:p>
    <w:p w14:paraId="3D47950C" w14:textId="28EFD298" w:rsidR="005F02B4" w:rsidRDefault="005F02B4" w:rsidP="002065DF">
      <w:r>
        <w:t>We fit all four model</w:t>
      </w:r>
      <w:r w:rsidR="00966DD5">
        <w:t xml:space="preserve"> form</w:t>
      </w:r>
      <w:r>
        <w:t>s to the mean growth curve of each strain</w:t>
      </w:r>
      <w:r w:rsidR="00B37B5A">
        <w:t xml:space="preserve"> in the data</w:t>
      </w:r>
      <w:r w:rsidR="00F06897">
        <w:t xml:space="preserve"> using non-linear curve fitting</w:t>
      </w:r>
      <w:r w:rsidR="002065DF">
        <w:t xml:space="preserve"> </w:t>
      </w:r>
      <w:r w:rsidR="002065DF">
        <w:fldChar w:fldCharType="begin" w:fldLock="1"/>
      </w:r>
      <w:r w:rsidR="00016742">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rsidR="002065DF">
        <w:fldChar w:fldCharType="separate"/>
      </w:r>
      <w:r w:rsidR="002065DF" w:rsidRPr="002065DF">
        <w:rPr>
          <w:noProof/>
        </w:rPr>
        <w:t>(Newville et al. 2014)</w:t>
      </w:r>
      <w:r w:rsidR="002065DF">
        <w:fldChar w:fldCharType="end"/>
      </w:r>
      <w:r>
        <w:t xml:space="preserve">. The standard deviation at each time point is used </w:t>
      </w:r>
      <w:r w:rsidR="00FE6FFB">
        <w:t xml:space="preserve">to </w:t>
      </w:r>
      <w:r>
        <w:t xml:space="preserve">weight the </w:t>
      </w:r>
      <w:r w:rsidR="00F06897">
        <w:t xml:space="preserve">curve fitting </w:t>
      </w:r>
      <w:r>
        <w:t xml:space="preserve">so that time points with lower variance are more heavily weighted and therefore </w:t>
      </w:r>
      <w:r w:rsidR="00984152">
        <w:t>better</w:t>
      </w:r>
      <w:r>
        <w:t xml:space="preserve"> fitted. </w:t>
      </w:r>
    </w:p>
    <w:p w14:paraId="7E2DCE03" w14:textId="4354AB6E" w:rsidR="005F02B4" w:rsidRDefault="005F02B4" w:rsidP="00F06897">
      <w:r>
        <w:t>We then calculate the Bayesian Information C</w:t>
      </w:r>
      <w:r w:rsidR="00984152">
        <w:t>riteria (BIC) of each model fit</w:t>
      </w:r>
      <w:r w:rsidR="00F06897">
        <w:t>:</w:t>
      </w:r>
    </w:p>
    <w:p w14:paraId="3E45556E" w14:textId="77777777" w:rsidR="005F02B4" w:rsidRDefault="00984152" w:rsidP="00A362F7">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7777777" w:rsidR="005F02B4" w:rsidRDefault="005F02B4" w:rsidP="003D0164">
      <w:pPr>
        <w:ind w:firstLine="0"/>
      </w:pPr>
      <w:r>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p>
    <w:p w14:paraId="4FDE59EB" w14:textId="0E9B45D9" w:rsidR="00154E23" w:rsidRDefault="00154E23" w:rsidP="005B79A5">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w:t>
      </w:r>
      <w:r w:rsidR="00966DD5">
        <w:t xml:space="preserve">form </w:t>
      </w:r>
      <w:r>
        <w:t xml:space="preserve">is </w:t>
      </w:r>
      <w:r w:rsidR="005B79A5">
        <w:t xml:space="preserve">smaller </w:t>
      </w:r>
      <w:r>
        <w:t xml:space="preserve">than the BIC of the linear </w:t>
      </w:r>
      <w:r w:rsidR="00984152">
        <w:t>model</w:t>
      </w:r>
      <w:r>
        <w:t xml:space="preserve"> by at least 6</w:t>
      </w:r>
      <w:r w:rsidR="003D0164">
        <w:t xml:space="preserve"> [</w:t>
      </w:r>
      <w:r w:rsidR="00984152">
        <w:t xml:space="preserve">See </w:t>
      </w:r>
      <w:r>
        <w:fldChar w:fldCharType="begin" w:fldLock="1"/>
      </w:r>
      <w:r w:rsidR="003D0164">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"(Kass and Raftery 1995)", "plainTextFormattedCitation" : "(Kass and Raftery 1995)", "previouslyFormattedCitation" : "(Kass and Raftery 1995)" }, "properties" : { "noteIndex" : 0 }, "schema" : "https://github.com/citation-style-language/schema/raw/master/csl-citation.json" }</w:instrText>
      </w:r>
      <w:r>
        <w:fldChar w:fldCharType="separate"/>
      </w:r>
      <w:r w:rsidR="003D0164" w:rsidRPr="003D0164">
        <w:rPr>
          <w:noProof/>
        </w:rPr>
        <w:t>(Kass and Raftery 1995)</w:t>
      </w:r>
      <w:r>
        <w:fldChar w:fldCharType="end"/>
      </w:r>
      <w:r w:rsidR="00984152">
        <w:t xml:space="preserve"> for </w:t>
      </w:r>
      <w:r w:rsidR="003D0164">
        <w:t>significance of BIC differences]</w:t>
      </w:r>
      <w:r>
        <w:t>.</w:t>
      </w:r>
    </w:p>
    <w:p w14:paraId="202C6CCE" w14:textId="1A02EF24" w:rsidR="00154E23" w:rsidRDefault="00C05ED5" w:rsidP="007917E5">
      <w:r>
        <w:t xml:space="preserve">We repeat the model fitting procedure for the growth curves data of each strain to produce estimates for all six parameters as well as confidence intervals on these </w:t>
      </w:r>
      <w:r w:rsidR="00895982">
        <w:t>estimates</w:t>
      </w:r>
      <w:r w:rsidR="00E74D07">
        <w:t xml:space="preserve"> (Fig. 1B)</w:t>
      </w:r>
      <w:r>
        <w:t>.</w:t>
      </w:r>
    </w:p>
    <w:p w14:paraId="6356EBE8" w14:textId="77777777" w:rsidR="00C05ED5" w:rsidRDefault="00C05ED5" w:rsidP="00A362F7">
      <w:pPr>
        <w:pStyle w:val="Heading2"/>
      </w:pPr>
      <w:r>
        <w:t>Competition prediction</w:t>
      </w:r>
    </w:p>
    <w:p w14:paraId="18A511A7" w14:textId="5DE3047F" w:rsidR="005F02B4" w:rsidRDefault="00241CDA" w:rsidP="00F06897">
      <w:r>
        <w:t>W</w:t>
      </w:r>
      <w:r w:rsidR="00C05ED5">
        <w:t xml:space="preserve">e introduce the </w:t>
      </w:r>
      <w:r w:rsidR="00F06897">
        <w:t xml:space="preserve">double </w:t>
      </w:r>
      <w:r w:rsidR="00096923">
        <w:t xml:space="preserve">strain </w:t>
      </w:r>
      <w:proofErr w:type="spellStart"/>
      <w:r w:rsidR="00984152">
        <w:t>Baranyi</w:t>
      </w:r>
      <w:proofErr w:type="spellEnd"/>
      <w:r w:rsidR="00984152">
        <w:t>-R</w:t>
      </w:r>
      <w:r w:rsidR="00F06897">
        <w:t xml:space="preserve">oberts model, which </w:t>
      </w:r>
      <w:r w:rsidR="00547A93">
        <w:t xml:space="preserve">has </w:t>
      </w:r>
      <w:r w:rsidR="00C05ED5">
        <w:t>not been used before</w:t>
      </w:r>
      <w:r w:rsidR="00F06897">
        <w:t xml:space="preserve"> to the best of our knowledge</w:t>
      </w:r>
      <w:r w:rsidR="00C05ED5">
        <w:t>:</w:t>
      </w:r>
    </w:p>
    <w:p w14:paraId="0FA2FC80" w14:textId="275CACB2" w:rsidR="00C05ED5" w:rsidRDefault="006C212D" w:rsidP="00F06897">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r>
              <w:rPr>
                <w:rFonts w:ascii="Cambria Math" w:hAnsi="Cambria Math"/>
              </w:rPr>
              <m:t xml:space="preserve"> </m:t>
            </m:r>
          </m:e>
        </m:d>
      </m:oMath>
      <w:r w:rsidR="00C05ED5">
        <w:t xml:space="preserve">                                           (3a)</w:t>
      </w:r>
    </w:p>
    <w:p w14:paraId="7ABD8341" w14:textId="66B3D1E2" w:rsidR="00C05ED5" w:rsidRDefault="006C212D" w:rsidP="00F06897">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i/>
                      </w:rPr>
                    </m:ctrlPr>
                  </m:sSubPr>
                  <m:e>
                    <m:r>
                      <w:rPr>
                        <w:rFonts w:ascii="Cambria Math" w:hAnsi="Cambria Math"/>
                      </w:rPr>
                      <m:t>ν</m:t>
                    </m:r>
                  </m:e>
                  <m:sub>
                    <m:r>
                      <w:rPr>
                        <w:rFonts w:ascii="Cambria Math" w:hAnsi="Cambria Math"/>
                      </w:rPr>
                      <m:t>2</m:t>
                    </m:r>
                  </m:sub>
                </m:sSub>
              </m:sup>
            </m:sSup>
          </m:e>
        </m:d>
      </m:oMath>
      <w:r w:rsidR="00C05ED5">
        <w:t xml:space="preserve">                                           (3b)</w:t>
      </w:r>
    </w:p>
    <w:p w14:paraId="53613CC3" w14:textId="65AC9BB3" w:rsidR="00C05ED5" w:rsidRDefault="006C212D" w:rsidP="00E77F4F">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oMath>
      <w:r w:rsidR="00C05ED5">
        <w:t xml:space="preserve">                             </w:t>
      </w:r>
      <w:r w:rsidR="00E77F4F">
        <w:t xml:space="preserve">            </w:t>
      </w:r>
      <w:r w:rsidR="00C05ED5">
        <w:t xml:space="preserve">                        (3c)</w:t>
      </w:r>
    </w:p>
    <w:p w14:paraId="5464F143" w14:textId="47DFD99C" w:rsidR="00C05ED5" w:rsidRDefault="006C212D" w:rsidP="00E77F4F">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xml:space="preserve">,                                      </w:t>
      </w:r>
      <w:r w:rsidR="00E77F4F">
        <w:t xml:space="preserve">      </w:t>
      </w:r>
      <w:r w:rsidR="00C05ED5">
        <w:t xml:space="preserve">                       (3d)</w:t>
      </w:r>
    </w:p>
    <w:p w14:paraId="3F886ACF" w14:textId="69F34137" w:rsidR="003578D2" w:rsidRDefault="003578D2" w:rsidP="00E74D07">
      <w:pPr>
        <w:ind w:firstLine="0"/>
      </w:pPr>
      <w:proofErr w:type="gramStart"/>
      <w:r>
        <w:t>where</w:t>
      </w:r>
      <w:proofErr w:type="gramEnd"/>
      <w:r w:rsidR="00B37B5A">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is the density of strain </w:t>
      </w:r>
      <m:oMath>
        <m:r>
          <w:rPr>
            <w:rFonts w:ascii="Cambria Math" w:hAnsi="Cambria Math"/>
          </w:rPr>
          <m:t>i</m:t>
        </m:r>
      </m:oMath>
      <w:r w:rsidR="00B37B5A">
        <w:t xml:space="preserve"> and</w:t>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w:t>
      </w:r>
      <w:r w:rsidR="00B37B5A">
        <w:t>are</w:t>
      </w:r>
      <w:r w:rsidR="00984152">
        <w:t xml:space="preserve"> the value</w:t>
      </w:r>
      <w:r w:rsidR="00B37B5A">
        <w:t>s</w:t>
      </w:r>
      <w:r w:rsidR="00984152">
        <w:t xml:space="preserve"> of</w:t>
      </w:r>
      <w:r>
        <w:t xml:space="preserve"> </w:t>
      </w:r>
      <w:r w:rsidR="00B37B5A">
        <w:t>the corresponding parameters for</w:t>
      </w:r>
      <w:r>
        <w:t xml:space="preserve">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r w:rsidR="00E74D07">
        <w:t xml:space="preserve"> (Fig. 1C)</w:t>
      </w:r>
      <w:r>
        <w:t>.</w:t>
      </w:r>
    </w:p>
    <w:p w14:paraId="6F766E5F" w14:textId="7496DE0F" w:rsidR="006E28DC" w:rsidRPr="002D33FF" w:rsidRDefault="006E28DC" w:rsidP="002D33FF">
      <w:pPr>
        <w:rPr>
          <w:b/>
          <w:bCs/>
        </w:rPr>
      </w:pPr>
      <w:r>
        <w:t xml:space="preserve">This </w:t>
      </w:r>
      <w:r w:rsidR="002D33FF">
        <w:t xml:space="preserve">double </w:t>
      </w:r>
      <w:r w:rsidR="00096923">
        <w:t xml:space="preserve">strain </w:t>
      </w:r>
      <w:r>
        <w:t>competition mode</w:t>
      </w:r>
      <w:r w:rsidRPr="00895982">
        <w:t xml:space="preserve">l explicitly assumes that all </w:t>
      </w:r>
      <w:r w:rsidR="007917E5" w:rsidRPr="00895982">
        <w:t xml:space="preserve">the </w:t>
      </w:r>
      <w:r w:rsidRPr="00895982">
        <w:t xml:space="preserve">interactions between the two strains can be attributed to </w:t>
      </w:r>
      <w:r w:rsidRPr="00895982">
        <w:rPr>
          <w:i/>
          <w:iCs/>
        </w:rPr>
        <w:t>resource competition</w:t>
      </w:r>
      <w:r w:rsidR="00895982" w:rsidRPr="00895982">
        <w:t>.</w:t>
      </w:r>
      <w:r w:rsidRPr="00895982">
        <w:t xml:space="preserve"> </w:t>
      </w:r>
      <w:r w:rsidR="00895982" w:rsidRPr="00895982">
        <w:t>T</w:t>
      </w:r>
      <w:r w:rsidRPr="00895982">
        <w:t>herefore</w:t>
      </w:r>
      <w:r w:rsidR="00895982" w:rsidRPr="00895982">
        <w:t>, all</w:t>
      </w:r>
      <w:r w:rsidR="002D33FF">
        <w:t xml:space="preserve"> </w:t>
      </w:r>
      <w:r w:rsidR="00895982" w:rsidRPr="00895982">
        <w:lastRenderedPageBreak/>
        <w:t xml:space="preserve">interactions are described </w:t>
      </w:r>
      <w:r w:rsidRPr="00895982">
        <w:t xml:space="preserve">by the deceleration of </w:t>
      </w:r>
      <w:r w:rsidR="00895982" w:rsidRPr="00895982">
        <w:t xml:space="preserve">the </w:t>
      </w:r>
      <w:r w:rsidRPr="00895982">
        <w:t xml:space="preserve">growth rate of each </w:t>
      </w:r>
      <w:r w:rsidR="00096923" w:rsidRPr="00895982">
        <w:t>strain</w:t>
      </w:r>
      <w:r w:rsidRPr="00895982">
        <w:t xml:space="preserve"> in response to growth of the other </w:t>
      </w:r>
      <w:r w:rsidR="00096923" w:rsidRPr="00895982">
        <w:t>strain</w:t>
      </w:r>
      <w:r>
        <w:t xml:space="preserve">. We do not however assume the same limiting resource or resource efficiency for both </w:t>
      </w:r>
      <w:r w:rsidR="00096923">
        <w:t>strains,</w:t>
      </w:r>
      <w:r>
        <w:t xml:space="preserve"> as we use different maximum densit</w:t>
      </w:r>
      <w:r w:rsidR="007917E5">
        <w:t>ies</w:t>
      </w:r>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14:paraId="7CBDE4C3" w14:textId="77777777" w:rsidR="002D33FF" w:rsidRDefault="002D33FF" w:rsidP="007B695D"/>
    <w:p w14:paraId="7A13CA16" w14:textId="77777777" w:rsidR="002D33FF" w:rsidRDefault="002D33FF" w:rsidP="002D33FF">
      <w:pPr>
        <w:jc w:val="center"/>
      </w:pPr>
      <w:r>
        <w:rPr>
          <w:noProof/>
        </w:rPr>
        <w:drawing>
          <wp:inline distT="0" distB="0" distL="0" distR="0" wp14:anchorId="083E16F8" wp14:editId="5103CD8F">
            <wp:extent cx="5266690" cy="4213860"/>
            <wp:effectExtent l="0" t="0" r="0" b="0"/>
            <wp:docPr id="1" name="Picture 1" descr="D:\workspace\curveball_project\ms\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comb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4213860"/>
                    </a:xfrm>
                    <a:prstGeom prst="rect">
                      <a:avLst/>
                    </a:prstGeom>
                    <a:noFill/>
                    <a:ln>
                      <a:noFill/>
                    </a:ln>
                  </pic:spPr>
                </pic:pic>
              </a:graphicData>
            </a:graphic>
          </wp:inline>
        </w:drawing>
      </w:r>
    </w:p>
    <w:p w14:paraId="643CB6CF" w14:textId="77777777" w:rsidR="002D33FF" w:rsidRDefault="002D33FF" w:rsidP="002D33FF">
      <w:pPr>
        <w:pStyle w:val="Caption"/>
        <w:jc w:val="center"/>
        <w:rPr>
          <w:b w:val="0"/>
          <w:bCs w:val="0"/>
        </w:rPr>
      </w:pPr>
      <w:proofErr w:type="gramStart"/>
      <w:r w:rsidRPr="00503DBB">
        <w:rPr>
          <w:color w:val="auto"/>
          <w:sz w:val="20"/>
          <w:szCs w:val="20"/>
        </w:rPr>
        <w:t xml:space="preserve">Figure </w:t>
      </w:r>
      <w:proofErr w:type="gramEnd"/>
      <w:r w:rsidRPr="00503DBB">
        <w:rPr>
          <w:color w:val="auto"/>
          <w:sz w:val="20"/>
          <w:szCs w:val="20"/>
        </w:rPr>
        <w:fldChar w:fldCharType="begin"/>
      </w:r>
      <w:r w:rsidRPr="00503DBB">
        <w:rPr>
          <w:color w:val="auto"/>
          <w:sz w:val="20"/>
          <w:szCs w:val="20"/>
        </w:rPr>
        <w:instrText xml:space="preserve"> SEQ Figure \* ARABIC </w:instrText>
      </w:r>
      <w:r w:rsidRPr="00503DBB">
        <w:rPr>
          <w:color w:val="auto"/>
          <w:sz w:val="20"/>
          <w:szCs w:val="20"/>
        </w:rPr>
        <w:fldChar w:fldCharType="separate"/>
      </w:r>
      <w:r w:rsidR="00016742">
        <w:rPr>
          <w:noProof/>
          <w:color w:val="auto"/>
          <w:sz w:val="20"/>
          <w:szCs w:val="20"/>
        </w:rPr>
        <w:t>1</w:t>
      </w:r>
      <w:r w:rsidRPr="00503DBB">
        <w:rPr>
          <w:color w:val="auto"/>
          <w:sz w:val="20"/>
          <w:szCs w:val="20"/>
        </w:rPr>
        <w:fldChar w:fldCharType="end"/>
      </w:r>
      <w:proofErr w:type="gramStart"/>
      <w:r>
        <w:rPr>
          <w:color w:val="auto"/>
          <w:sz w:val="20"/>
          <w:szCs w:val="20"/>
        </w:rPr>
        <w:t>.</w:t>
      </w:r>
      <w:proofErr w:type="gramEnd"/>
      <w:r>
        <w:rPr>
          <w:color w:val="auto"/>
          <w:sz w:val="20"/>
          <w:szCs w:val="20"/>
        </w:rPr>
        <w:t xml:space="preserve"> Example of the method applied on growth curves of two </w:t>
      </w:r>
      <w:r w:rsidRPr="006714D6">
        <w:rPr>
          <w:i/>
          <w:iCs/>
          <w:color w:val="auto"/>
          <w:sz w:val="20"/>
          <w:szCs w:val="20"/>
        </w:rPr>
        <w:t xml:space="preserve">Escherichia coli </w:t>
      </w:r>
      <w:r w:rsidRPr="006714D6">
        <w:rPr>
          <w:color w:val="auto"/>
          <w:sz w:val="20"/>
          <w:szCs w:val="20"/>
        </w:rPr>
        <w:t>strains</w:t>
      </w:r>
      <w:r>
        <w:rPr>
          <w:color w:val="auto"/>
          <w:sz w:val="20"/>
          <w:szCs w:val="20"/>
        </w:rPr>
        <w:t xml:space="preserve"> (A) </w:t>
      </w:r>
      <w:r w:rsidRPr="00B14E47">
        <w:rPr>
          <w:b w:val="0"/>
          <w:bCs w:val="0"/>
          <w:color w:val="auto"/>
          <w:sz w:val="20"/>
          <w:szCs w:val="20"/>
        </w:rPr>
        <w:t>Growth curves</w:t>
      </w:r>
      <w:r>
        <w:rPr>
          <w:b w:val="0"/>
          <w:bCs w:val="0"/>
          <w:color w:val="auto"/>
          <w:sz w:val="20"/>
          <w:szCs w:val="20"/>
        </w:rPr>
        <w:t xml:space="preserve"> data</w:t>
      </w:r>
      <w:r w:rsidRPr="00B14E47">
        <w:rPr>
          <w:b w:val="0"/>
          <w:bCs w:val="0"/>
          <w:color w:val="auto"/>
          <w:sz w:val="20"/>
          <w:szCs w:val="20"/>
        </w:rPr>
        <w:t xml:space="preserve"> </w:t>
      </w:r>
      <w:r>
        <w:rPr>
          <w:b w:val="0"/>
          <w:bCs w:val="0"/>
          <w:color w:val="auto"/>
          <w:sz w:val="20"/>
          <w:szCs w:val="20"/>
        </w:rPr>
        <w:t>of MG1655 in orange (top lines) and DH12S in purple (bottom lines)</w:t>
      </w:r>
      <w:r w:rsidRPr="00B14E47">
        <w:rPr>
          <w:b w:val="0"/>
          <w:bCs w:val="0"/>
          <w:color w:val="auto"/>
          <w:sz w:val="20"/>
          <w:szCs w:val="20"/>
        </w:rPr>
        <w:t>. Each line</w:t>
      </w:r>
      <w:r>
        <w:rPr>
          <w:b w:val="0"/>
          <w:bCs w:val="0"/>
          <w:color w:val="auto"/>
          <w:sz w:val="20"/>
          <w:szCs w:val="20"/>
        </w:rPr>
        <w:t xml:space="preserve"> (12 per strain)</w:t>
      </w:r>
      <w:r w:rsidRPr="00B14E47">
        <w:rPr>
          <w:b w:val="0"/>
          <w:bCs w:val="0"/>
          <w:color w:val="auto"/>
          <w:sz w:val="20"/>
          <w:szCs w:val="20"/>
        </w:rPr>
        <w:t xml:space="preserve"> represents a series of OD</w:t>
      </w:r>
      <w:r w:rsidRPr="00B14E47">
        <w:rPr>
          <w:b w:val="0"/>
          <w:bCs w:val="0"/>
          <w:color w:val="auto"/>
          <w:sz w:val="20"/>
          <w:szCs w:val="20"/>
          <w:vertAlign w:val="subscript"/>
        </w:rPr>
        <w:t>595</w:t>
      </w:r>
      <w:r w:rsidRPr="00B14E47">
        <w:rPr>
          <w:b w:val="0"/>
          <w:bCs w:val="0"/>
          <w:color w:val="auto"/>
          <w:sz w:val="20"/>
          <w:szCs w:val="20"/>
        </w:rPr>
        <w:t xml:space="preserve"> measurements fro</w:t>
      </w:r>
      <w:r>
        <w:rPr>
          <w:b w:val="0"/>
          <w:bCs w:val="0"/>
          <w:color w:val="auto"/>
          <w:sz w:val="20"/>
          <w:szCs w:val="20"/>
        </w:rPr>
        <w:t xml:space="preserve">m a single well in a 96-well microplate (Costar), taken every 10 minutes. Cells of either strain with </w:t>
      </w:r>
      <w:proofErr w:type="spellStart"/>
      <w:r>
        <w:rPr>
          <w:b w:val="0"/>
          <w:bCs w:val="0"/>
          <w:color w:val="auto"/>
          <w:sz w:val="20"/>
          <w:szCs w:val="20"/>
        </w:rPr>
        <w:t>Kan</w:t>
      </w:r>
      <w:r w:rsidRPr="00F91B2F">
        <w:rPr>
          <w:b w:val="0"/>
          <w:bCs w:val="0"/>
          <w:color w:val="auto"/>
          <w:sz w:val="20"/>
          <w:szCs w:val="20"/>
          <w:vertAlign w:val="superscript"/>
        </w:rPr>
        <w:t>+</w:t>
      </w:r>
      <w:r>
        <w:rPr>
          <w:b w:val="0"/>
          <w:bCs w:val="0"/>
          <w:color w:val="auto"/>
          <w:sz w:val="20"/>
          <w:szCs w:val="20"/>
        </w:rPr>
        <w:t>Cap</w:t>
      </w:r>
      <w:proofErr w:type="spellEnd"/>
      <w:r w:rsidRPr="00F91B2F">
        <w:rPr>
          <w:b w:val="0"/>
          <w:bCs w:val="0"/>
          <w:color w:val="auto"/>
          <w:sz w:val="20"/>
          <w:szCs w:val="20"/>
          <w:vertAlign w:val="superscript"/>
        </w:rPr>
        <w:t>+</w:t>
      </w:r>
      <w:r>
        <w:rPr>
          <w:b w:val="0"/>
          <w:bCs w:val="0"/>
          <w:color w:val="auto"/>
          <w:sz w:val="20"/>
          <w:szCs w:val="20"/>
        </w:rPr>
        <w:t xml:space="preserve"> plasmids were diluted 1:20 from overnight culture and grown in 100 µl LB with 50 mg/ml Kanamycin and 34 mg/ml Chloramphenicol at 30</w:t>
      </w:r>
      <w:r>
        <w:rPr>
          <w:rFonts w:ascii="Arial" w:hAnsi="Arial" w:cs="Arial"/>
          <w:b w:val="0"/>
          <w:bCs w:val="0"/>
          <w:color w:val="auto"/>
          <w:sz w:val="20"/>
          <w:szCs w:val="20"/>
        </w:rPr>
        <w:t>°</w:t>
      </w:r>
      <w:r>
        <w:rPr>
          <w:b w:val="0"/>
          <w:bCs w:val="0"/>
          <w:color w:val="auto"/>
          <w:sz w:val="20"/>
          <w:szCs w:val="20"/>
        </w:rPr>
        <w:t>C in an automatic plate reader (</w:t>
      </w:r>
      <w:proofErr w:type="spellStart"/>
      <w:r>
        <w:rPr>
          <w:b w:val="0"/>
          <w:bCs w:val="0"/>
          <w:color w:val="auto"/>
          <w:sz w:val="20"/>
          <w:szCs w:val="20"/>
        </w:rPr>
        <w:t>Tecan</w:t>
      </w:r>
      <w:proofErr w:type="spellEnd"/>
      <w:r>
        <w:rPr>
          <w:b w:val="0"/>
          <w:bCs w:val="0"/>
          <w:color w:val="auto"/>
          <w:sz w:val="20"/>
          <w:szCs w:val="20"/>
        </w:rPr>
        <w:t xml:space="preserve"> I</w:t>
      </w:r>
      <w:r w:rsidRPr="00F91B2F">
        <w:rPr>
          <w:b w:val="0"/>
          <w:bCs w:val="0"/>
          <w:color w:val="auto"/>
          <w:sz w:val="20"/>
          <w:szCs w:val="20"/>
        </w:rPr>
        <w:t>nfinite 200Pro</w:t>
      </w:r>
      <w:r>
        <w:rPr>
          <w:b w:val="0"/>
          <w:bCs w:val="0"/>
          <w:color w:val="auto"/>
          <w:sz w:val="20"/>
          <w:szCs w:val="20"/>
        </w:rPr>
        <w:t xml:space="preserve">). The OD of cell-free wells was ~0.13. </w:t>
      </w:r>
      <w:r w:rsidRPr="00B14E47">
        <w:rPr>
          <w:color w:val="auto"/>
          <w:sz w:val="20"/>
          <w:szCs w:val="20"/>
        </w:rPr>
        <w:t>(B)</w:t>
      </w:r>
      <w:r>
        <w:rPr>
          <w:color w:val="auto"/>
          <w:sz w:val="20"/>
          <w:szCs w:val="20"/>
        </w:rPr>
        <w:t xml:space="preserve"> </w:t>
      </w:r>
      <w:r>
        <w:rPr>
          <w:b w:val="0"/>
          <w:bCs w:val="0"/>
          <w:color w:val="auto"/>
          <w:sz w:val="20"/>
          <w:szCs w:val="20"/>
        </w:rPr>
        <w:t>Solid line: model fit; markers and error bars: mean and standard deviation of OD</w:t>
      </w:r>
      <w:r w:rsidRPr="00B14E47">
        <w:rPr>
          <w:b w:val="0"/>
          <w:bCs w:val="0"/>
          <w:color w:val="auto"/>
          <w:sz w:val="20"/>
          <w:szCs w:val="20"/>
          <w:vertAlign w:val="subscript"/>
        </w:rPr>
        <w:t>595</w:t>
      </w:r>
      <w:r>
        <w:rPr>
          <w:b w:val="0"/>
          <w:bCs w:val="0"/>
          <w:color w:val="auto"/>
          <w:sz w:val="20"/>
          <w:szCs w:val="20"/>
        </w:rPr>
        <w:t xml:space="preserve"> measurements from 12 wells per strain. Fitted parameters for MG1655: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=0.134, </w:t>
      </w:r>
      <w:r w:rsidRPr="00B14E47">
        <w:rPr>
          <w:b w:val="0"/>
          <w:bCs w:val="0"/>
          <w:i/>
          <w:iCs/>
          <w:color w:val="auto"/>
          <w:sz w:val="20"/>
          <w:szCs w:val="20"/>
        </w:rPr>
        <w:t>r</w:t>
      </w:r>
      <w:r>
        <w:rPr>
          <w:b w:val="0"/>
          <w:bCs w:val="0"/>
          <w:color w:val="auto"/>
          <w:sz w:val="20"/>
          <w:szCs w:val="20"/>
        </w:rPr>
        <w:t xml:space="preserve">=0.416, </w:t>
      </w:r>
      <w:r w:rsidRPr="00B14E47">
        <w:rPr>
          <w:b w:val="0"/>
          <w:bCs w:val="0"/>
          <w:i/>
          <w:iCs/>
          <w:color w:val="auto"/>
          <w:sz w:val="20"/>
          <w:szCs w:val="20"/>
        </w:rPr>
        <w:t>ν</w:t>
      </w:r>
      <w:r>
        <w:rPr>
          <w:b w:val="0"/>
          <w:bCs w:val="0"/>
          <w:color w:val="auto"/>
          <w:sz w:val="20"/>
          <w:szCs w:val="20"/>
        </w:rPr>
        <w:t xml:space="preserve">=2.73, </w:t>
      </w:r>
      <w:r w:rsidRPr="00B14E47">
        <w:rPr>
          <w:b w:val="0"/>
          <w:bCs w:val="0"/>
          <w:i/>
          <w:iCs/>
          <w:color w:val="auto"/>
          <w:sz w:val="20"/>
          <w:szCs w:val="20"/>
        </w:rPr>
        <w:t>K</w:t>
      </w:r>
      <w:r>
        <w:rPr>
          <w:b w:val="0"/>
          <w:bCs w:val="0"/>
          <w:color w:val="auto"/>
          <w:sz w:val="20"/>
          <w:szCs w:val="20"/>
        </w:rPr>
        <w:t xml:space="preserve">=0.588,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=0.053, </w:t>
      </w:r>
      <w:r w:rsidRPr="00B14E47">
        <w:rPr>
          <w:b w:val="0"/>
          <w:bCs w:val="0"/>
          <w:i/>
          <w:iCs/>
          <w:color w:val="auto"/>
          <w:sz w:val="20"/>
          <w:szCs w:val="20"/>
        </w:rPr>
        <w:t>m</w:t>
      </w:r>
      <w:r>
        <w:rPr>
          <w:b w:val="0"/>
          <w:bCs w:val="0"/>
          <w:color w:val="auto"/>
          <w:sz w:val="20"/>
          <w:szCs w:val="20"/>
        </w:rPr>
        <w:t xml:space="preserve">=2.37, lag duration=1.714, maximum growth rate=0.357; for DH12S: </w:t>
      </w:r>
      <w:r w:rsidRPr="00B14E47">
        <w:rPr>
          <w:b w:val="0"/>
          <w:bCs w:val="0"/>
          <w:i/>
          <w:iCs/>
          <w:color w:val="auto"/>
          <w:sz w:val="20"/>
          <w:szCs w:val="20"/>
        </w:rPr>
        <w:t>N</w:t>
      </w:r>
      <w:r w:rsidRPr="00B14E47">
        <w:rPr>
          <w:b w:val="0"/>
          <w:bCs w:val="0"/>
          <w:i/>
          <w:iCs/>
          <w:color w:val="auto"/>
          <w:sz w:val="20"/>
          <w:szCs w:val="20"/>
          <w:vertAlign w:val="subscript"/>
        </w:rPr>
        <w:t>0</w:t>
      </w:r>
      <w:r>
        <w:rPr>
          <w:b w:val="0"/>
          <w:bCs w:val="0"/>
          <w:color w:val="auto"/>
          <w:sz w:val="20"/>
          <w:szCs w:val="20"/>
        </w:rPr>
        <w:t xml:space="preserve">=0.13, </w:t>
      </w:r>
      <w:r w:rsidRPr="00B14E47">
        <w:rPr>
          <w:b w:val="0"/>
          <w:bCs w:val="0"/>
          <w:i/>
          <w:iCs/>
          <w:color w:val="auto"/>
          <w:sz w:val="20"/>
          <w:szCs w:val="20"/>
        </w:rPr>
        <w:t>r</w:t>
      </w:r>
      <w:r>
        <w:rPr>
          <w:b w:val="0"/>
          <w:bCs w:val="0"/>
          <w:color w:val="auto"/>
          <w:sz w:val="20"/>
          <w:szCs w:val="20"/>
        </w:rPr>
        <w:t xml:space="preserve">=0.876, </w:t>
      </w:r>
      <w:r w:rsidRPr="00B14E47">
        <w:rPr>
          <w:b w:val="0"/>
          <w:bCs w:val="0"/>
          <w:i/>
          <w:iCs/>
          <w:color w:val="auto"/>
          <w:sz w:val="20"/>
          <w:szCs w:val="20"/>
        </w:rPr>
        <w:t>ν</w:t>
      </w:r>
      <w:r>
        <w:rPr>
          <w:b w:val="0"/>
          <w:bCs w:val="0"/>
          <w:color w:val="auto"/>
          <w:sz w:val="20"/>
          <w:szCs w:val="20"/>
        </w:rPr>
        <w:t xml:space="preserve">=1, </w:t>
      </w:r>
      <w:r w:rsidRPr="00B14E47">
        <w:rPr>
          <w:b w:val="0"/>
          <w:bCs w:val="0"/>
          <w:i/>
          <w:iCs/>
          <w:color w:val="auto"/>
          <w:sz w:val="20"/>
          <w:szCs w:val="20"/>
        </w:rPr>
        <w:t>K</w:t>
      </w:r>
      <w:r>
        <w:rPr>
          <w:b w:val="0"/>
          <w:bCs w:val="0"/>
          <w:color w:val="auto"/>
          <w:sz w:val="20"/>
          <w:szCs w:val="20"/>
        </w:rPr>
        <w:t xml:space="preserve">=0.505, </w:t>
      </w:r>
      <w:r w:rsidRPr="00B14E47">
        <w:rPr>
          <w:b w:val="0"/>
          <w:bCs w:val="0"/>
          <w:i/>
          <w:iCs/>
          <w:color w:val="auto"/>
          <w:sz w:val="20"/>
          <w:szCs w:val="20"/>
        </w:rPr>
        <w:t>q</w:t>
      </w:r>
      <w:r w:rsidRPr="00B14E47">
        <w:rPr>
          <w:b w:val="0"/>
          <w:bCs w:val="0"/>
          <w:i/>
          <w:iCs/>
          <w:color w:val="auto"/>
          <w:sz w:val="20"/>
          <w:szCs w:val="20"/>
          <w:vertAlign w:val="subscript"/>
        </w:rPr>
        <w:t>0</w:t>
      </w:r>
      <w:r>
        <w:rPr>
          <w:b w:val="0"/>
          <w:bCs w:val="0"/>
          <w:color w:val="auto"/>
          <w:sz w:val="20"/>
          <w:szCs w:val="20"/>
        </w:rPr>
        <w:t xml:space="preserve">=0.15, </w:t>
      </w:r>
      <w:r w:rsidRPr="00B14E47">
        <w:rPr>
          <w:b w:val="0"/>
          <w:bCs w:val="0"/>
          <w:i/>
          <w:iCs/>
          <w:color w:val="auto"/>
          <w:sz w:val="20"/>
          <w:szCs w:val="20"/>
        </w:rPr>
        <w:t>m</w:t>
      </w:r>
      <w:r>
        <w:rPr>
          <w:b w:val="0"/>
          <w:bCs w:val="0"/>
          <w:color w:val="auto"/>
          <w:sz w:val="20"/>
          <w:szCs w:val="20"/>
        </w:rPr>
        <w:t xml:space="preserve">=0.772, lag duration=1.691, maximum growth rate=0.279. Note that the maximum growth rate </w:t>
      </w:r>
      <m:oMath>
        <m:d>
          <m:dPr>
            <m:ctrlPr>
              <w:rPr>
                <w:rFonts w:ascii="Cambria Math" w:hAnsi="Cambria Math"/>
                <w:b w:val="0"/>
                <w:bCs w:val="0"/>
                <w:i/>
                <w:color w:val="auto"/>
                <w:sz w:val="20"/>
                <w:szCs w:val="20"/>
              </w:rPr>
            </m:ctrlPr>
          </m:dPr>
          <m:e>
            <m:func>
              <m:funcPr>
                <m:ctrlPr>
                  <w:rPr>
                    <w:rFonts w:ascii="Cambria Math" w:hAnsi="Cambria Math"/>
                    <w:b w:val="0"/>
                    <w:bCs w:val="0"/>
                    <w:i/>
                    <w:color w:val="auto"/>
                    <w:sz w:val="20"/>
                    <w:szCs w:val="20"/>
                  </w:rPr>
                </m:ctrlPr>
              </m:funcPr>
              <m:fName>
                <m:r>
                  <m:rPr>
                    <m:sty m:val="b"/>
                  </m:rPr>
                  <w:rPr>
                    <w:rFonts w:ascii="Cambria Math" w:hAnsi="Cambria Math"/>
                    <w:color w:val="auto"/>
                    <w:sz w:val="20"/>
                    <w:szCs w:val="20"/>
                  </w:rPr>
                  <m:t>max</m:t>
                </m:r>
              </m:fName>
              <m:e>
                <m:f>
                  <m:fPr>
                    <m:ctrlPr>
                      <w:rPr>
                        <w:rFonts w:ascii="Cambria Math" w:hAnsi="Cambria Math"/>
                        <w:b w:val="0"/>
                        <w:bCs w:val="0"/>
                        <w:i/>
                        <w:color w:val="auto"/>
                        <w:sz w:val="20"/>
                        <w:szCs w:val="20"/>
                      </w:rPr>
                    </m:ctrlPr>
                  </m:fPr>
                  <m:num>
                    <m:r>
                      <m:rPr>
                        <m:sty m:val="bi"/>
                      </m:rPr>
                      <w:rPr>
                        <w:rFonts w:ascii="Cambria Math" w:hAnsi="Cambria Math"/>
                        <w:color w:val="auto"/>
                        <w:sz w:val="20"/>
                        <w:szCs w:val="20"/>
                      </w:rPr>
                      <m:t>dN</m:t>
                    </m:r>
                  </m:num>
                  <m:den>
                    <m:r>
                      <m:rPr>
                        <m:sty m:val="bi"/>
                      </m:rPr>
                      <w:rPr>
                        <w:rFonts w:ascii="Cambria Math" w:hAnsi="Cambria Math"/>
                        <w:color w:val="auto"/>
                        <w:sz w:val="20"/>
                        <w:szCs w:val="20"/>
                      </w:rPr>
                      <m:t>dt</m:t>
                    </m:r>
                  </m:den>
                </m:f>
              </m:e>
            </m:func>
          </m:e>
        </m:d>
      </m:oMath>
      <w:r w:rsidRPr="00231A0D">
        <w:rPr>
          <w:b w:val="0"/>
          <w:bCs w:val="0"/>
          <w:color w:val="auto"/>
          <w:sz w:val="20"/>
          <w:szCs w:val="20"/>
        </w:rPr>
        <w:t xml:space="preserve"> is</w:t>
      </w:r>
      <w:r>
        <w:rPr>
          <w:b w:val="0"/>
          <w:bCs w:val="0"/>
          <w:color w:val="auto"/>
          <w:sz w:val="20"/>
          <w:szCs w:val="20"/>
        </w:rPr>
        <w:t xml:space="preserve"> a function of </w:t>
      </w:r>
      <w:r>
        <w:rPr>
          <w:b w:val="0"/>
          <w:bCs w:val="0"/>
          <w:i/>
          <w:iCs/>
          <w:color w:val="auto"/>
          <w:sz w:val="20"/>
          <w:szCs w:val="20"/>
        </w:rPr>
        <w:t>r,</w:t>
      </w:r>
      <w:r w:rsidRPr="006714D6">
        <w:rPr>
          <w:b w:val="0"/>
          <w:bCs w:val="0"/>
          <w:i/>
          <w:iCs/>
          <w:color w:val="auto"/>
          <w:sz w:val="20"/>
          <w:szCs w:val="20"/>
        </w:rPr>
        <w:t xml:space="preserve"> </w:t>
      </w:r>
      <w:r w:rsidRPr="00B14E47">
        <w:rPr>
          <w:b w:val="0"/>
          <w:bCs w:val="0"/>
          <w:i/>
          <w:iCs/>
          <w:color w:val="auto"/>
          <w:sz w:val="20"/>
          <w:szCs w:val="20"/>
        </w:rPr>
        <w:t>ν</w:t>
      </w:r>
      <w:r>
        <w:rPr>
          <w:b w:val="0"/>
          <w:bCs w:val="0"/>
          <w:color w:val="auto"/>
          <w:sz w:val="20"/>
          <w:szCs w:val="20"/>
        </w:rPr>
        <w:t xml:space="preserve">, and </w:t>
      </w:r>
      <w:r w:rsidRPr="006714D6">
        <w:rPr>
          <w:b w:val="0"/>
          <w:bCs w:val="0"/>
          <w:i/>
          <w:iCs/>
          <w:color w:val="auto"/>
          <w:sz w:val="20"/>
          <w:szCs w:val="20"/>
        </w:rPr>
        <w:t>K</w:t>
      </w:r>
      <w:r>
        <w:rPr>
          <w:b w:val="0"/>
          <w:bCs w:val="0"/>
          <w:color w:val="auto"/>
          <w:sz w:val="20"/>
          <w:szCs w:val="20"/>
        </w:rPr>
        <w:t xml:space="preserve">. </w:t>
      </w:r>
      <w:r w:rsidRPr="006714D6">
        <w:rPr>
          <w:color w:val="auto"/>
          <w:sz w:val="20"/>
          <w:szCs w:val="20"/>
        </w:rPr>
        <w:t>(C)</w:t>
      </w:r>
      <w:r>
        <w:rPr>
          <w:color w:val="auto"/>
          <w:sz w:val="20"/>
          <w:szCs w:val="20"/>
        </w:rPr>
        <w:t xml:space="preserve"> </w:t>
      </w:r>
      <w:r w:rsidRPr="006714D6">
        <w:rPr>
          <w:b w:val="0"/>
          <w:bCs w:val="0"/>
          <w:color w:val="auto"/>
          <w:sz w:val="20"/>
          <w:szCs w:val="20"/>
        </w:rPr>
        <w:t>Predicted</w:t>
      </w:r>
      <w:r>
        <w:rPr>
          <w:b w:val="0"/>
          <w:bCs w:val="0"/>
          <w:color w:val="auto"/>
          <w:sz w:val="20"/>
          <w:szCs w:val="20"/>
        </w:rPr>
        <w:t xml:space="preserve"> OD in competitions between the two strains, calculated by solving eq. 3. Initial OD of both strains was set to 0.067, half of the average estimated </w:t>
      </w:r>
      <w:r>
        <w:rPr>
          <w:b w:val="0"/>
          <w:bCs w:val="0"/>
          <w:i/>
          <w:iCs/>
          <w:color w:val="auto"/>
          <w:sz w:val="20"/>
          <w:szCs w:val="20"/>
        </w:rPr>
        <w:t>N</w:t>
      </w:r>
      <w:r>
        <w:rPr>
          <w:b w:val="0"/>
          <w:bCs w:val="0"/>
          <w:i/>
          <w:iCs/>
          <w:color w:val="auto"/>
          <w:sz w:val="20"/>
          <w:szCs w:val="20"/>
          <w:vertAlign w:val="subscript"/>
        </w:rPr>
        <w:t>0</w:t>
      </w:r>
      <w:r>
        <w:rPr>
          <w:b w:val="0"/>
          <w:bCs w:val="0"/>
          <w:color w:val="auto"/>
          <w:sz w:val="20"/>
          <w:szCs w:val="20"/>
        </w:rPr>
        <w:t xml:space="preserve"> in both strains. </w:t>
      </w:r>
      <w:r>
        <w:rPr>
          <w:color w:val="auto"/>
          <w:sz w:val="20"/>
          <w:szCs w:val="20"/>
        </w:rPr>
        <w:t>(D)</w:t>
      </w:r>
      <w:r>
        <w:rPr>
          <w:b w:val="0"/>
          <w:bCs w:val="0"/>
          <w:color w:val="auto"/>
          <w:sz w:val="20"/>
          <w:szCs w:val="20"/>
        </w:rPr>
        <w:t xml:space="preserve"> The frequency of MG1655 during the predicted competitions (dashed line). The estimated selection coefficient is </w:t>
      </w:r>
      <w:r>
        <w:rPr>
          <w:b w:val="0"/>
          <w:bCs w:val="0"/>
          <w:i/>
          <w:iCs/>
          <w:color w:val="auto"/>
          <w:sz w:val="20"/>
          <w:szCs w:val="20"/>
        </w:rPr>
        <w:t>s</w:t>
      </w:r>
      <w:r>
        <w:rPr>
          <w:b w:val="0"/>
          <w:bCs w:val="0"/>
          <w:color w:val="auto"/>
          <w:sz w:val="20"/>
          <w:szCs w:val="20"/>
        </w:rPr>
        <w:t xml:space="preserve">~0.186, calculated with eq. 4 and </w:t>
      </w:r>
      <w:r>
        <w:rPr>
          <w:b w:val="0"/>
          <w:bCs w:val="0"/>
          <w:i/>
          <w:iCs/>
          <w:color w:val="auto"/>
          <w:sz w:val="20"/>
          <w:szCs w:val="20"/>
        </w:rPr>
        <w:t>t</w:t>
      </w:r>
      <w:r>
        <w:rPr>
          <w:b w:val="0"/>
          <w:bCs w:val="0"/>
          <w:color w:val="auto"/>
          <w:sz w:val="20"/>
          <w:szCs w:val="20"/>
        </w:rPr>
        <w:t xml:space="preserve">=12. Note that the frequency of MG1655 initially declines slightly due to a longer lag phase, but then increases due to faster growth and a higher maximum density. Calculating the selection coefficient from the maximum growth rates would have yielded </w:t>
      </w:r>
      <w:r>
        <w:rPr>
          <w:b w:val="0"/>
          <w:bCs w:val="0"/>
          <w:i/>
          <w:iCs/>
          <w:color w:val="auto"/>
          <w:sz w:val="20"/>
          <w:szCs w:val="20"/>
        </w:rPr>
        <w:t>s</w:t>
      </w:r>
      <w:r>
        <w:rPr>
          <w:b w:val="0"/>
          <w:bCs w:val="0"/>
          <w:color w:val="auto"/>
          <w:sz w:val="20"/>
          <w:szCs w:val="20"/>
        </w:rPr>
        <w:t xml:space="preserve">~0.192 </w:t>
      </w:r>
      <w:r>
        <w:rPr>
          <w:b w:val="0"/>
          <w:bCs w:val="0"/>
          <w:color w:val="auto"/>
          <w:sz w:val="20"/>
          <w:szCs w:val="20"/>
        </w:rPr>
        <w:fldChar w:fldCharType="begin" w:fldLock="1"/>
      </w:r>
      <w:r>
        <w:rPr>
          <w:b w:val="0"/>
          <w:bCs w:val="0"/>
          <w:color w:val="auto"/>
          <w:sz w:val="20"/>
          <w:szCs w:val="20"/>
        </w:rP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"suffix" : ", eq. 2.3", "uris" : [ "http://www.mendeley.com/documents/?uuid=1e94d081-c729-43ac-b9be-63d792575b27" ] } ], "mendeley" : { "formattedCitation" : "(Chevin 2011, eq. 2.3)", "plainTextFormattedCitation" : "(Chevin 2011, eq. 2.3)", "previouslyFormattedCitation" : "(Chevin 2011, eq. 2.3)" }, "properties" : { "noteIndex" : 0 }, "schema" : "https://github.com/citation-style-language/schema/raw/master/csl-citation.json" }</w:instrText>
      </w:r>
      <w:r>
        <w:rPr>
          <w:b w:val="0"/>
          <w:bCs w:val="0"/>
          <w:color w:val="auto"/>
          <w:sz w:val="20"/>
          <w:szCs w:val="20"/>
        </w:rPr>
        <w:fldChar w:fldCharType="separate"/>
      </w:r>
      <w:r w:rsidRPr="00DD72E5">
        <w:rPr>
          <w:b w:val="0"/>
          <w:bCs w:val="0"/>
          <w:noProof/>
          <w:color w:val="auto"/>
          <w:sz w:val="20"/>
          <w:szCs w:val="20"/>
        </w:rPr>
        <w:t>(Chevin 2011, eq. 2.3)</w:t>
      </w:r>
      <w:r>
        <w:rPr>
          <w:b w:val="0"/>
          <w:bCs w:val="0"/>
          <w:color w:val="auto"/>
          <w:sz w:val="20"/>
          <w:szCs w:val="20"/>
        </w:rPr>
        <w:fldChar w:fldCharType="end"/>
      </w:r>
      <w:r>
        <w:rPr>
          <w:b w:val="0"/>
          <w:bCs w:val="0"/>
        </w:rPr>
        <w:t>.</w:t>
      </w:r>
    </w:p>
    <w:p w14:paraId="1BFDFE5C" w14:textId="19F1B9E6" w:rsidR="002D33FF" w:rsidRDefault="002D33FF">
      <w:pPr>
        <w:spacing w:line="240" w:lineRule="auto"/>
        <w:ind w:firstLine="0"/>
      </w:pPr>
      <w:r>
        <w:br w:type="page"/>
      </w:r>
    </w:p>
    <w:p w14:paraId="2D753749" w14:textId="77777777" w:rsidR="003578D2" w:rsidRDefault="00542096" w:rsidP="00A362F7">
      <w:pPr>
        <w:pStyle w:val="Heading2"/>
      </w:pPr>
      <w:r w:rsidRPr="00A362F7">
        <w:lastRenderedPageBreak/>
        <w:t xml:space="preserve">Selection coefficient </w:t>
      </w:r>
      <w:r w:rsidR="006E28DC" w:rsidRPr="00A362F7">
        <w:t>inference</w:t>
      </w:r>
    </w:p>
    <w:p w14:paraId="04D6C044" w14:textId="370790E5" w:rsidR="00895982" w:rsidRDefault="005B79A5" w:rsidP="00895982">
      <w:r>
        <w:t>One</w:t>
      </w:r>
      <w:r w:rsidR="00895982">
        <w:t xml:space="preserve"> common method for estimating relative fitness or selection coefficients from pairwise competition results is </w:t>
      </w:r>
      <w:r w:rsidR="00895982">
        <w:fldChar w:fldCharType="begin" w:fldLock="1"/>
      </w:r>
      <w:r w:rsidR="0001674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Escherichia coli",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7777777" w:rsidR="00895982" w:rsidRDefault="00895982" w:rsidP="00895982">
      <w:pPr>
        <w:jc w:val="right"/>
      </w:pPr>
      <m:oMath>
        <m:r>
          <w:rPr>
            <w:rFonts w:ascii="Cambria Math" w:hAnsi="Cambria Math"/>
          </w:rPr>
          <m:t>s=</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-1,</m:t>
        </m:r>
      </m:oMath>
      <w:r>
        <w:t xml:space="preserve">                                         (4)</w:t>
      </w:r>
    </w:p>
    <w:p w14:paraId="731A4D8A" w14:textId="333EC9CB" w:rsidR="00406968" w:rsidRDefault="00895982" w:rsidP="001D731C">
      <w:pPr>
        <w:ind w:firstLine="0"/>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selection coefficient of the strain of interest (Fig. 1D).</w:t>
      </w:r>
    </w:p>
    <w:p w14:paraId="531DA89C" w14:textId="77777777" w:rsidR="00406968" w:rsidRDefault="00406968" w:rsidP="00A362F7">
      <w:pPr>
        <w:pStyle w:val="Heading1"/>
      </w:pPr>
      <w:r>
        <w:t>Discussion</w:t>
      </w:r>
    </w:p>
    <w:p w14:paraId="567E758A" w14:textId="5EA16DE6" w:rsidR="005226B0" w:rsidRDefault="00E95165" w:rsidP="002D33FF">
      <w:r>
        <w:t xml:space="preserve">We present a </w:t>
      </w:r>
      <w:r w:rsidR="005226B0">
        <w:t xml:space="preserve">new computational </w:t>
      </w:r>
      <w:r>
        <w:t>method to predict the results of competition</w:t>
      </w:r>
      <w:r w:rsidR="007A5D05">
        <w:t>s between two strains</w:t>
      </w:r>
      <w:r>
        <w:t xml:space="preserve"> </w:t>
      </w:r>
      <w:r w:rsidR="007A5D05">
        <w:t>from the separate</w:t>
      </w:r>
      <w:r w:rsidR="00D46522">
        <w:t>ly measured</w:t>
      </w:r>
      <w:r w:rsidR="007A5D05">
        <w:t xml:space="preserve"> </w:t>
      </w:r>
      <w:r>
        <w:t>growth curves of each strain.</w:t>
      </w:r>
      <w:r w:rsidR="005226B0">
        <w:t xml:space="preserve"> This method </w:t>
      </w:r>
      <w:r w:rsidR="00096923">
        <w:t xml:space="preserve">should </w:t>
      </w:r>
      <w:r w:rsidR="005226B0">
        <w:t>be useful</w:t>
      </w:r>
      <w:r w:rsidR="00145FE7">
        <w:t>,</w:t>
      </w:r>
      <w:r w:rsidR="005226B0">
        <w:t xml:space="preserve"> because growth curve </w:t>
      </w:r>
      <w:r w:rsidR="006147AD">
        <w:t>experiments</w:t>
      </w:r>
      <w:r w:rsidR="005226B0">
        <w:t xml:space="preserve"> require much less </w:t>
      </w:r>
      <w:r w:rsidR="00A415D4">
        <w:t xml:space="preserve">effort </w:t>
      </w:r>
      <w:r w:rsidR="005226B0">
        <w:t xml:space="preserve">and </w:t>
      </w:r>
      <w:r w:rsidR="005816A6">
        <w:t xml:space="preserve">resources </w:t>
      </w:r>
      <w:r w:rsidR="005226B0">
        <w:t xml:space="preserve">than </w:t>
      </w:r>
      <w:r w:rsidR="00044070">
        <w:t>p</w:t>
      </w:r>
      <w:r w:rsidR="00145FE7">
        <w:t>air</w:t>
      </w:r>
      <w:r w:rsidR="00044070">
        <w:t xml:space="preserve">wise </w:t>
      </w:r>
      <w:r w:rsidR="005226B0">
        <w:t xml:space="preserve">competition </w:t>
      </w:r>
      <w:r w:rsidR="00145FE7">
        <w:t>experiments</w:t>
      </w:r>
      <w:r w:rsidR="00044070">
        <w:t xml:space="preserve"> </w:t>
      </w:r>
      <w:r w:rsidR="00044070">
        <w:fldChar w:fldCharType="begin" w:fldLock="1"/>
      </w:r>
      <w:r w:rsidR="00016742">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Escherichia coli",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"http://www.mendeley.com/documents/?uuid=6cff1331-d992-4077-bfcd-58f4ba055f7f"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rsidR="00044070">
        <w:fldChar w:fldCharType="separate"/>
      </w:r>
      <w:r w:rsidR="00044070" w:rsidRPr="00044070">
        <w:rPr>
          <w:noProof/>
        </w:rPr>
        <w:t>(Concepción-Acevedo et al. 2015; Wiser and Lenski 2015; Hegreness et al. 2006; Gallet et al. 2012)</w:t>
      </w:r>
      <w:r w:rsidR="00044070">
        <w:fldChar w:fldCharType="end"/>
      </w:r>
      <w:r w:rsidR="005226B0">
        <w:t xml:space="preserve">. As automatic 96-well microplate readers become more and </w:t>
      </w:r>
      <w:r w:rsidR="00096923">
        <w:t xml:space="preserve">more </w:t>
      </w:r>
      <w:r w:rsidR="006147AD">
        <w:t>common</w:t>
      </w:r>
      <w:r w:rsidR="00096923">
        <w:t xml:space="preserve"> in microbiology</w:t>
      </w:r>
      <w:r w:rsidR="005226B0">
        <w:t xml:space="preserve"> labs, </w:t>
      </w:r>
      <w:r w:rsidR="00044070">
        <w:t>growth curve</w:t>
      </w:r>
      <w:r w:rsidR="005226B0">
        <w:t xml:space="preserve"> </w:t>
      </w:r>
      <w:r w:rsidR="006147AD">
        <w:t>experiments</w:t>
      </w:r>
      <w:r w:rsidR="005226B0">
        <w:t xml:space="preserve"> can be </w:t>
      </w:r>
      <w:r w:rsidR="005816A6">
        <w:t xml:space="preserve">set up </w:t>
      </w:r>
      <w:r w:rsidR="005226B0">
        <w:t xml:space="preserve">in less than 30 minutes, after which the </w:t>
      </w:r>
      <w:r w:rsidR="00096923">
        <w:t xml:space="preserve">measurements </w:t>
      </w:r>
      <w:r w:rsidR="005226B0">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rsidR="005226B0">
        <w:t>.</w:t>
      </w:r>
    </w:p>
    <w:p w14:paraId="4C7003BA" w14:textId="14EBA2F7" w:rsidR="00920F1D" w:rsidRDefault="00920F1D" w:rsidP="00E14ACF">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r w:rsidR="00E14ACF" w:rsidRPr="00E14ACF">
        <w:t>they are dependent upon 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model can be extended to include other phases and factors of growth, such as biphasic growth</w:t>
      </w:r>
      <w:r w:rsidR="007E465E">
        <w:t xml:space="preserve"> and cell death.</w:t>
      </w:r>
    </w:p>
    <w:p w14:paraId="004BD330" w14:textId="735323EC" w:rsidR="00406968" w:rsidRDefault="005226B0" w:rsidP="005B79A5">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5B79A5">
        <w:t xml:space="preserve">(eq. 1) </w:t>
      </w:r>
      <w:r w:rsidR="00406968">
        <w:t xml:space="preserve">and a closed form </w:t>
      </w:r>
      <w:r w:rsidR="00B947CD">
        <w:t xml:space="preserve">analytical </w:t>
      </w:r>
      <w:r w:rsidR="00406968">
        <w:t>solution</w:t>
      </w:r>
      <w:r w:rsidR="005B79A5">
        <w:t xml:space="preserve"> (eq. 2)</w:t>
      </w:r>
      <w:r>
        <w:t xml:space="preserve">. </w:t>
      </w:r>
      <w:r w:rsidR="00096923">
        <w:t>Hence</w:t>
      </w:r>
      <w:r>
        <w:t>,</w:t>
      </w:r>
      <w:r w:rsidR="00406968">
        <w:t xml:space="preserve"> it is </w:t>
      </w:r>
      <w:r w:rsidR="00145FE7">
        <w:t>very</w:t>
      </w:r>
      <w:r w:rsidR="00406968">
        <w:t xml:space="preserve"> </w:t>
      </w:r>
      <w:r w:rsidR="00096923">
        <w:t xml:space="preserve">useful </w:t>
      </w:r>
      <w:r w:rsidR="00406968">
        <w:t xml:space="preserve">for our </w:t>
      </w:r>
      <w:r>
        <w:t>method</w:t>
      </w:r>
      <w:r w:rsidR="00406968">
        <w:t>: the closed form is used to fit to</w:t>
      </w:r>
      <w:r w:rsidR="00D46522">
        <w:t xml:space="preserve"> the</w:t>
      </w:r>
      <w:r w:rsidR="00406968">
        <w:t xml:space="preserve"> growth curve data</w:t>
      </w:r>
      <w:r w:rsidR="00D46522">
        <w:t>,</w:t>
      </w:r>
      <w:r>
        <w:t xml:space="preserve"> while</w:t>
      </w:r>
      <w:r w:rsidR="00406968">
        <w:t xml:space="preserve"> the differential equation is used to predict the competition</w:t>
      </w:r>
      <w:r w:rsidR="00096923">
        <w:t xml:space="preserve"> dynamic</w:t>
      </w:r>
      <w:r w:rsidR="00406968">
        <w:t>s.</w:t>
      </w:r>
    </w:p>
    <w:p w14:paraId="77F17907" w14:textId="7CBEE21E" w:rsidR="00E95165" w:rsidRPr="00555009" w:rsidRDefault="00E95165" w:rsidP="00555009">
      <w:r>
        <w:lastRenderedPageBreak/>
        <w:t>Our method assumes that the two strains interact</w:t>
      </w:r>
      <w:r w:rsidR="006147AD">
        <w:t xml:space="preserve"> solely</w:t>
      </w:r>
      <w:r>
        <w:t xml:space="preserve"> via resource competition</w:t>
      </w:r>
      <w:r w:rsidR="00451F50">
        <w:t>; that is, only through</w:t>
      </w:r>
      <w:r w:rsidR="008D29A3">
        <w:t xml:space="preserve"> the </w:t>
      </w:r>
      <w:proofErr w:type="gramStart"/>
      <w:r w:rsidR="008D29A3">
        <w:t>factor</w:t>
      </w:r>
      <w:r w:rsidR="00451F50">
        <w:t xml:space="preserve"> </w:t>
      </w:r>
      <w:proofErr w:type="gramEnd"/>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xml:space="preserve">, density-dependent interactions such as social or sexual selection, mutualism, and interference), our model can serve as a null hypothesis: the results of competition </w:t>
      </w:r>
      <w:r w:rsidR="006147AD">
        <w:t>experiments</w:t>
      </w:r>
      <w:r w:rsidR="00451F50">
        <w:t xml:space="preserve"> can be compared to model predictions and a</w:t>
      </w:r>
      <w:r w:rsidR="00096923">
        <w:t xml:space="preserve"> goodness of fit test </w:t>
      </w:r>
      <w:r w:rsidR="00451F50">
        <w:t xml:space="preserve">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w:t>
      </w:r>
      <w:r w:rsidR="00451F50" w:rsidRPr="00555009">
        <w:t>interactions</w:t>
      </w:r>
      <w:r w:rsidR="000E1107" w:rsidRPr="00555009">
        <w:t xml:space="preserve"> </w:t>
      </w:r>
      <w:r w:rsidR="00451F50" w:rsidRPr="00555009">
        <w:fldChar w:fldCharType="begin" w:fldLock="1"/>
      </w:r>
      <w:r w:rsidR="003D0164" w:rsidRPr="0055500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"(Masel 2014)", "plainTextFormattedCitation" : "(Masel 2014)", "previouslyFormattedCitation" : "(Masel 2014)" }, "properties" : { "noteIndex" : 0 }, "schema" : "https://github.com/citation-style-language/schema/raw/master/csl-citation.json" }</w:instrText>
      </w:r>
      <w:r w:rsidR="00451F50" w:rsidRPr="00555009">
        <w:fldChar w:fldCharType="separate"/>
      </w:r>
      <w:r w:rsidR="003D0164" w:rsidRPr="00555009">
        <w:rPr>
          <w:noProof/>
        </w:rPr>
        <w:t>(Masel 2014)</w:t>
      </w:r>
      <w:r w:rsidR="00451F50" w:rsidRPr="00555009">
        <w:fldChar w:fldCharType="end"/>
      </w:r>
      <w:r w:rsidR="00451F50" w:rsidRPr="00555009">
        <w:t>.</w:t>
      </w:r>
      <w:r w:rsidR="006147AD" w:rsidRPr="00555009">
        <w:t xml:space="preserve"> </w:t>
      </w:r>
      <w:r w:rsidR="00555009">
        <w:t xml:space="preserve"> </w:t>
      </w:r>
    </w:p>
    <w:p w14:paraId="05BD0246" w14:textId="77777777" w:rsidR="00096923" w:rsidRDefault="00096923" w:rsidP="00096923">
      <w:pPr>
        <w:pStyle w:val="Heading2"/>
      </w:pPr>
      <w:r>
        <w:t>Conclusions</w:t>
      </w:r>
    </w:p>
    <w:p w14:paraId="3F0CFB8A" w14:textId="42AB7AF9" w:rsidR="00096923" w:rsidRDefault="00E50794" w:rsidP="00350EA0">
      <w:r>
        <w:t>We</w:t>
      </w:r>
      <w:r w:rsidR="00096923">
        <w:t xml:space="preserve"> propose a new </w:t>
      </w:r>
      <w:r w:rsidR="008D29A3">
        <w:t xml:space="preserve">method to </w:t>
      </w:r>
      <w:r w:rsidR="00096923">
        <w:t>analyze growth curves</w:t>
      </w:r>
      <w:r>
        <w:t>, predict competition results,</w:t>
      </w:r>
      <w:r w:rsidR="00096923">
        <w:t xml:space="preserve"> and </w:t>
      </w:r>
      <w:r>
        <w:t>estimate</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as a null model for the interpretation of competition </w:t>
      </w:r>
      <w:r>
        <w:t>experiments</w:t>
      </w:r>
      <w:r w:rsidR="00B830DD">
        <w:t>.</w:t>
      </w:r>
    </w:p>
    <w:p w14:paraId="38E2EFE2" w14:textId="77777777" w:rsidR="002D33FF" w:rsidRDefault="002D33FF" w:rsidP="00B1304F"/>
    <w:p w14:paraId="701ABB3D" w14:textId="77777777" w:rsidR="009C4366" w:rsidRDefault="009C4366" w:rsidP="00BC14C2">
      <w:pPr>
        <w:pStyle w:val="Heading1"/>
      </w:pPr>
      <w:r>
        <w:t>Acknowledgments</w:t>
      </w:r>
    </w:p>
    <w:p w14:paraId="4C8E18C2" w14:textId="235D1FF7" w:rsidR="009C4366" w:rsidRPr="004F41E2" w:rsidRDefault="009C4366" w:rsidP="004F41E2">
      <w:pPr>
        <w:rPr>
          <w:rFonts w:ascii="Times New Roman" w:eastAsia="Times New Roman" w:hAnsi="Times New Roman" w:cs="Times New Roman"/>
        </w:rPr>
      </w:pPr>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9C1B7D">
        <w:t xml:space="preserve">H. </w:t>
      </w:r>
      <w:proofErr w:type="spellStart"/>
      <w:r w:rsidR="009C1B7D">
        <w:t>Acar</w:t>
      </w:r>
      <w:proofErr w:type="spellEnd"/>
      <w:r w:rsidR="009C1B7D">
        <w:t>,</w:t>
      </w:r>
      <w:r w:rsidR="00090EE9">
        <w:t xml:space="preserve"> J. Barrick</w:t>
      </w:r>
      <w:r w:rsidR="009C1B7D">
        <w:t xml:space="preserve"> </w:t>
      </w:r>
      <w:r>
        <w:t xml:space="preserve">and J. </w:t>
      </w:r>
      <w:proofErr w:type="spellStart"/>
      <w:r>
        <w:t>Masel</w:t>
      </w:r>
      <w:proofErr w:type="spellEnd"/>
      <w:r>
        <w:t xml:space="preserve"> for helpful discussions.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the </w:t>
      </w:r>
      <w:proofErr w:type="spellStart"/>
      <w:r>
        <w:t>Anat</w:t>
      </w:r>
      <w:proofErr w:type="spellEnd"/>
      <w:r>
        <w:t xml:space="preserve"> </w:t>
      </w:r>
      <w:proofErr w:type="spellStart"/>
      <w:r>
        <w:t>Krauskopf</w:t>
      </w:r>
      <w:proofErr w:type="spellEnd"/>
      <w:r>
        <w:t xml:space="preserve"> Foundation</w:t>
      </w:r>
      <w:r w:rsidR="009C1B7D">
        <w:t xml:space="preserve"> (YR),</w:t>
      </w:r>
      <w:r w:rsidR="006F0C9C">
        <w:t xml:space="preserve"> </w:t>
      </w:r>
      <w:r w:rsidR="006F0C9C" w:rsidRPr="006F0C9C">
        <w:rPr>
          <w:bCs/>
        </w:rPr>
        <w:t>TAU Global Research and Training Fellowship in Medical and Life Science and 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p>
    <w:p w14:paraId="3D81D55C" w14:textId="77777777" w:rsidR="002D33FF" w:rsidRDefault="002D33FF">
      <w:pPr>
        <w:spacing w:line="240" w:lineRule="auto"/>
        <w:ind w:firstLine="0"/>
        <w:rPr>
          <w:rFonts w:ascii="Palatino Linotype" w:eastAsiaTheme="majorEastAsia" w:hAnsi="Palatino Linotype"/>
          <w:b/>
          <w:bCs/>
          <w:kern w:val="32"/>
          <w:sz w:val="32"/>
          <w:szCs w:val="32"/>
        </w:rPr>
      </w:pPr>
      <w:r>
        <w:br w:type="page"/>
      </w:r>
    </w:p>
    <w:p w14:paraId="02589F39" w14:textId="42471F20" w:rsidR="00BC14C2" w:rsidRDefault="00BC14C2" w:rsidP="00BC14C2">
      <w:pPr>
        <w:pStyle w:val="Heading1"/>
      </w:pPr>
      <w:bookmarkStart w:id="0" w:name="_GoBack"/>
      <w:bookmarkEnd w:id="0"/>
      <w:r>
        <w:lastRenderedPageBreak/>
        <w:t>References</w:t>
      </w:r>
    </w:p>
    <w:p w14:paraId="3996D6CD" w14:textId="2CC786B6" w:rsidR="00016742" w:rsidRPr="00016742" w:rsidRDefault="00BC14C2">
      <w:pPr>
        <w:pStyle w:val="NormalWeb"/>
        <w:ind w:left="480" w:hanging="480"/>
        <w:divId w:val="1912688688"/>
        <w:rPr>
          <w:noProof/>
        </w:rPr>
      </w:pPr>
      <w:r>
        <w:fldChar w:fldCharType="begin" w:fldLock="1"/>
      </w:r>
      <w:r>
        <w:instrText xml:space="preserve">ADDIN Mendeley Bibliography CSL_BIBLIOGRAPHY </w:instrText>
      </w:r>
      <w:r>
        <w:fldChar w:fldCharType="separate"/>
      </w:r>
      <w:r w:rsidR="00016742" w:rsidRPr="00016742">
        <w:rPr>
          <w:noProof/>
        </w:rPr>
        <w:t xml:space="preserve">Bank, C., R. T. Hietpas, A. Wong, Daniel N. A. Bolon, and J. D. Jensen. 2014. “A Bayesian MCMC Approach to Assess the Complete Distribution of Fitness Effects of New Mutations: Uncovering the Potential for Adaptive Walks in Challenging Environments.” </w:t>
      </w:r>
      <w:r w:rsidR="00016742" w:rsidRPr="00016742">
        <w:rPr>
          <w:i/>
          <w:iCs/>
          <w:noProof/>
        </w:rPr>
        <w:t>Genetics</w:t>
      </w:r>
      <w:r w:rsidR="00016742" w:rsidRPr="00016742">
        <w:rPr>
          <w:noProof/>
        </w:rPr>
        <w:t xml:space="preserve"> 196 (3) (January 7): 841–852. doi:10.1534/genetics.113.156190. http://www.genetics.org/cgi/doi/10.1534/genetics.113.156190.</w:t>
      </w:r>
    </w:p>
    <w:p w14:paraId="6ABB4EF6" w14:textId="77777777" w:rsidR="00016742" w:rsidRPr="00016742" w:rsidRDefault="00016742">
      <w:pPr>
        <w:pStyle w:val="NormalWeb"/>
        <w:ind w:left="480" w:hanging="480"/>
        <w:divId w:val="1912688688"/>
        <w:rPr>
          <w:noProof/>
        </w:rPr>
      </w:pPr>
      <w:r w:rsidRPr="00016742">
        <w:rPr>
          <w:noProof/>
        </w:rPr>
        <w:t xml:space="preserve">Baranyi, József. 1997. “Simple Is Good as Long as It Is Enough.” </w:t>
      </w:r>
      <w:r w:rsidRPr="00016742">
        <w:rPr>
          <w:i/>
          <w:iCs/>
          <w:noProof/>
        </w:rPr>
        <w:t>Commentary</w:t>
      </w:r>
      <w:r w:rsidRPr="00016742">
        <w:rPr>
          <w:noProof/>
        </w:rPr>
        <w:t xml:space="preserve"> (1996): 391–394. doi:10.1006/fmic.1996.0080.</w:t>
      </w:r>
    </w:p>
    <w:p w14:paraId="2ED12110" w14:textId="77777777" w:rsidR="00016742" w:rsidRPr="00016742" w:rsidRDefault="00016742">
      <w:pPr>
        <w:pStyle w:val="NormalWeb"/>
        <w:ind w:left="480" w:hanging="480"/>
        <w:divId w:val="1912688688"/>
        <w:rPr>
          <w:noProof/>
        </w:rPr>
      </w:pPr>
      <w:r w:rsidRPr="00016742">
        <w:rPr>
          <w:noProof/>
        </w:rPr>
        <w:t xml:space="preserve">Baranyi, József, and Terry a. Roberts. 1994. “A Dynamic Approach to Predicting Bacterial Growth in Food.” </w:t>
      </w:r>
      <w:r w:rsidRPr="00016742">
        <w:rPr>
          <w:i/>
          <w:iCs/>
          <w:noProof/>
        </w:rPr>
        <w:t>International Journal of Food Microbiology</w:t>
      </w:r>
      <w:r w:rsidRPr="00016742">
        <w:rPr>
          <w:noProof/>
        </w:rPr>
        <w:t xml:space="preserve"> 23: 277–294. doi:10.1016/0168-1605(94)90157-0.</w:t>
      </w:r>
    </w:p>
    <w:p w14:paraId="27EE39A8" w14:textId="77777777" w:rsidR="00016742" w:rsidRPr="00016742" w:rsidRDefault="00016742">
      <w:pPr>
        <w:pStyle w:val="NormalWeb"/>
        <w:ind w:left="480" w:hanging="480"/>
        <w:divId w:val="1912688688"/>
        <w:rPr>
          <w:noProof/>
        </w:rPr>
      </w:pPr>
      <w:r w:rsidRPr="00016742">
        <w:rPr>
          <w:noProof/>
        </w:rPr>
        <w:t xml:space="preserve">Chevin, Luis-Miguel. 2011. “On Measuring Selection in Experimental Evolution.” </w:t>
      </w:r>
      <w:r w:rsidRPr="00016742">
        <w:rPr>
          <w:i/>
          <w:iCs/>
          <w:noProof/>
        </w:rPr>
        <w:t>Biology Letters</w:t>
      </w:r>
      <w:r w:rsidRPr="00016742">
        <w:rPr>
          <w:noProof/>
        </w:rPr>
        <w:t xml:space="preserve"> 7 (2) (April 23): 210–3. doi:10.1098/rsbl.2010.0580. http://www.pubmedcentral.nih.gov/articlerender.fcgi?artid=3061150&amp;tool=pmcentrez&amp;rendertype=abstract.</w:t>
      </w:r>
    </w:p>
    <w:p w14:paraId="7926A982" w14:textId="77777777" w:rsidR="00016742" w:rsidRPr="00016742" w:rsidRDefault="00016742">
      <w:pPr>
        <w:pStyle w:val="NormalWeb"/>
        <w:ind w:left="480" w:hanging="480"/>
        <w:divId w:val="1912688688"/>
        <w:rPr>
          <w:noProof/>
        </w:rPr>
      </w:pPr>
      <w:r w:rsidRPr="00016742">
        <w:rPr>
          <w:noProof/>
        </w:rPr>
        <w:t xml:space="preserve">Concepción-Acevedo, Jeniffer, Howard N. Weiss, Waqas Nasir Chaudhry, and Bruce R. Levin. 2015. “Malthusian Parameters as Estimators of the Fitness of Microbes: A Cautionary Tale about the Low Side of High Throughput.” </w:t>
      </w:r>
      <w:r w:rsidRPr="00016742">
        <w:rPr>
          <w:i/>
          <w:iCs/>
          <w:noProof/>
        </w:rPr>
        <w:t>Plos One</w:t>
      </w:r>
      <w:r w:rsidRPr="00016742">
        <w:rPr>
          <w:noProof/>
        </w:rPr>
        <w:t xml:space="preserve"> 10 (6): e0126915. doi:10.1371/journal.pone.0126915. http://dx.plos.org/10.1371/journal.pone.0126915.</w:t>
      </w:r>
    </w:p>
    <w:p w14:paraId="5B41EB5E" w14:textId="77777777" w:rsidR="00016742" w:rsidRPr="00016742" w:rsidRDefault="00016742">
      <w:pPr>
        <w:pStyle w:val="NormalWeb"/>
        <w:ind w:left="480" w:hanging="480"/>
        <w:divId w:val="1912688688"/>
        <w:rPr>
          <w:noProof/>
        </w:rPr>
      </w:pPr>
      <w:r w:rsidRPr="00016742">
        <w:rPr>
          <w:noProof/>
        </w:rPr>
        <w:t xml:space="preserve">Crow, James F., and Motoo Kimura. 1970. </w:t>
      </w:r>
      <w:r w:rsidRPr="00016742">
        <w:rPr>
          <w:i/>
          <w:iCs/>
          <w:noProof/>
        </w:rPr>
        <w:t>An Introduction to Population Genetics Theory</w:t>
      </w:r>
      <w:r w:rsidRPr="00016742">
        <w:rPr>
          <w:noProof/>
        </w:rPr>
        <w:t>. Minneapolis: Burgess Pub. Co. https://books.google.co.il/books?id=MLETAQAAIAAJ.</w:t>
      </w:r>
    </w:p>
    <w:p w14:paraId="0AEF5AD4" w14:textId="77777777" w:rsidR="00016742" w:rsidRPr="00016742" w:rsidRDefault="00016742">
      <w:pPr>
        <w:pStyle w:val="NormalWeb"/>
        <w:ind w:left="480" w:hanging="480"/>
        <w:divId w:val="1912688688"/>
        <w:rPr>
          <w:noProof/>
        </w:rPr>
      </w:pPr>
      <w:r w:rsidRPr="00016742">
        <w:rPr>
          <w:noProof/>
        </w:rPr>
        <w:t xml:space="preserve">Gallet, Romain, Tim F. Cooper, Santiago F. Elena, and Thomas Lenormand. 2012. “Measuring Selection Coefficients below 10-3: Method, Questions, and Prospects.” </w:t>
      </w:r>
      <w:r w:rsidRPr="00016742">
        <w:rPr>
          <w:i/>
          <w:iCs/>
          <w:noProof/>
        </w:rPr>
        <w:t>Genetics</w:t>
      </w:r>
      <w:r w:rsidRPr="00016742">
        <w:rPr>
          <w:noProof/>
        </w:rPr>
        <w:t xml:space="preserve"> 190 (1) (January): 175–86. doi:10.1534/genetics.111.133454. http://www.genetics.org/cgi/content/abstract/190/1/175.</w:t>
      </w:r>
    </w:p>
    <w:p w14:paraId="1B7C3D27" w14:textId="77777777" w:rsidR="00016742" w:rsidRPr="00016742" w:rsidRDefault="00016742">
      <w:pPr>
        <w:pStyle w:val="NormalWeb"/>
        <w:ind w:left="480" w:hanging="480"/>
        <w:divId w:val="1912688688"/>
        <w:rPr>
          <w:noProof/>
        </w:rPr>
      </w:pPr>
      <w:r w:rsidRPr="00016742">
        <w:rPr>
          <w:noProof/>
        </w:rPr>
        <w:t xml:space="preserve">Hall, Barry G., Hande Acar, Anna Nandipati, and Miriam Barlow. 2014. “Growth Rates Made Easy.” </w:t>
      </w:r>
      <w:r w:rsidRPr="00016742">
        <w:rPr>
          <w:i/>
          <w:iCs/>
          <w:noProof/>
        </w:rPr>
        <w:t>Molecular Biology and Evolution</w:t>
      </w:r>
      <w:r w:rsidRPr="00016742">
        <w:rPr>
          <w:noProof/>
        </w:rPr>
        <w:t xml:space="preserve"> 31 (1): 232–238. doi:10.1093/molbev/mst187.</w:t>
      </w:r>
    </w:p>
    <w:p w14:paraId="0842B53F" w14:textId="77777777" w:rsidR="00016742" w:rsidRPr="00016742" w:rsidRDefault="00016742">
      <w:pPr>
        <w:pStyle w:val="NormalWeb"/>
        <w:ind w:left="480" w:hanging="480"/>
        <w:divId w:val="1912688688"/>
        <w:rPr>
          <w:noProof/>
        </w:rPr>
      </w:pPr>
      <w:r w:rsidRPr="00016742">
        <w:rPr>
          <w:noProof/>
        </w:rPr>
        <w:t xml:space="preserve">Hegreness, Matthew, Noam Shoresh, Daniel L. Hartl, and Roy Kishony. 2006. “An Equivalence Principle for the Incorporation of Favorable Mutations in Asexual Populations.” </w:t>
      </w:r>
      <w:r w:rsidRPr="00016742">
        <w:rPr>
          <w:i/>
          <w:iCs/>
          <w:noProof/>
        </w:rPr>
        <w:t>Science</w:t>
      </w:r>
      <w:r w:rsidRPr="00016742">
        <w:rPr>
          <w:noProof/>
        </w:rPr>
        <w:t xml:space="preserve"> 311 (5767) (March): 1615–7. doi:10.1126/science.1122469. http://www.ncbi.nlm.nih.gov/pubmed/16543462.</w:t>
      </w:r>
    </w:p>
    <w:p w14:paraId="022FEE95" w14:textId="77777777" w:rsidR="00016742" w:rsidRPr="00016742" w:rsidRDefault="00016742">
      <w:pPr>
        <w:pStyle w:val="NormalWeb"/>
        <w:ind w:left="480" w:hanging="480"/>
        <w:divId w:val="1912688688"/>
        <w:rPr>
          <w:noProof/>
        </w:rPr>
      </w:pPr>
      <w:r w:rsidRPr="00016742">
        <w:rPr>
          <w:noProof/>
        </w:rPr>
        <w:lastRenderedPageBreak/>
        <w:t xml:space="preserve">Kass, Robert, and Adrian Raftery. 1995. “Bayes Factors.” </w:t>
      </w:r>
      <w:r w:rsidRPr="00016742">
        <w:rPr>
          <w:i/>
          <w:iCs/>
          <w:noProof/>
        </w:rPr>
        <w:t>Journal of the American Statistical Association</w:t>
      </w:r>
      <w:r w:rsidRPr="00016742">
        <w:rPr>
          <w:noProof/>
        </w:rPr>
        <w:t>: 773–795. doi:doi: 10.2307/2291091. http://www.tandfonline.com/doi/abs/10.1080/01621459.1995.10476572.</w:t>
      </w:r>
    </w:p>
    <w:p w14:paraId="03E0828E" w14:textId="77777777" w:rsidR="00016742" w:rsidRPr="00016742" w:rsidRDefault="00016742">
      <w:pPr>
        <w:pStyle w:val="NormalWeb"/>
        <w:ind w:left="480" w:hanging="480"/>
        <w:divId w:val="1912688688"/>
        <w:rPr>
          <w:noProof/>
        </w:rPr>
      </w:pPr>
      <w:r w:rsidRPr="00016742">
        <w:rPr>
          <w:noProof/>
        </w:rPr>
        <w:t xml:space="preserve">Levy, Sasha F., Jamie R. Blundell, Sandeep Venkataram, Dmitri a. Petrov, Daniel S. Fisher, and Gavin Sherlock. 2015. “Quantitative Evolutionary Dynamics Using High-Resolution Lineage Tracking.” </w:t>
      </w:r>
      <w:r w:rsidRPr="00016742">
        <w:rPr>
          <w:i/>
          <w:iCs/>
          <w:noProof/>
        </w:rPr>
        <w:t>Nature</w:t>
      </w:r>
      <w:r w:rsidRPr="00016742">
        <w:rPr>
          <w:noProof/>
        </w:rPr>
        <w:t xml:space="preserve"> advance on. doi:10.1038/nature14279. http://dx.doi.org/10.1038/nature14279.</w:t>
      </w:r>
    </w:p>
    <w:p w14:paraId="56FD2C72" w14:textId="77777777" w:rsidR="00016742" w:rsidRPr="00016742" w:rsidRDefault="00016742">
      <w:pPr>
        <w:pStyle w:val="NormalWeb"/>
        <w:ind w:left="480" w:hanging="480"/>
        <w:divId w:val="1912688688"/>
        <w:rPr>
          <w:noProof/>
        </w:rPr>
      </w:pPr>
      <w:r w:rsidRPr="00016742">
        <w:rPr>
          <w:noProof/>
        </w:rPr>
        <w:t>Masel, Joanna. 2014. “Eco-Evolutionary ‘Fitness’ in 3 Dimensions: Absolute Growth, Absolute Efficiency, and Relative Competitiveness.” Populations and Evolution (July): 1–44. http://arxiv.org/abs/1407.1024.</w:t>
      </w:r>
    </w:p>
    <w:p w14:paraId="499EFE5B" w14:textId="77777777" w:rsidR="00016742" w:rsidRPr="00016742" w:rsidRDefault="00016742">
      <w:pPr>
        <w:pStyle w:val="NormalWeb"/>
        <w:ind w:left="480" w:hanging="480"/>
        <w:divId w:val="1912688688"/>
        <w:rPr>
          <w:noProof/>
        </w:rPr>
      </w:pPr>
      <w:r w:rsidRPr="00016742">
        <w:rPr>
          <w:noProof/>
        </w:rPr>
        <w:t>Newville, Matthew, Antonino Ingargiola, Till Stensitzki, and Daniel B. Allen. 2014. “LMFIT: Non-Linear Least-Square Minimization and Curve-Fitting for Python” (September 21). doi:10.5281/zenodo.11813. http://zenodo.org/record/11813.</w:t>
      </w:r>
    </w:p>
    <w:p w14:paraId="7390BF4C" w14:textId="77777777" w:rsidR="00016742" w:rsidRPr="00016742" w:rsidRDefault="00016742">
      <w:pPr>
        <w:pStyle w:val="NormalWeb"/>
        <w:ind w:left="480" w:hanging="480"/>
        <w:divId w:val="1912688688"/>
        <w:rPr>
          <w:noProof/>
        </w:rPr>
      </w:pPr>
      <w:r w:rsidRPr="00016742">
        <w:rPr>
          <w:noProof/>
        </w:rPr>
        <w:t xml:space="preserve">Richards, F. J. 1959. “A Flexible Growth Function for Empirical Use.” </w:t>
      </w:r>
      <w:r w:rsidRPr="00016742">
        <w:rPr>
          <w:i/>
          <w:iCs/>
          <w:noProof/>
        </w:rPr>
        <w:t>Journal of Experimental Botany</w:t>
      </w:r>
      <w:r w:rsidRPr="00016742">
        <w:rPr>
          <w:noProof/>
        </w:rPr>
        <w:t xml:space="preserve"> 10 (2): 290–301. doi:10.1093/jxb/10.2.290. http://jxb.oxfordjournals.org/lookup/doi/10.1093/jxb/10.2.290.</w:t>
      </w:r>
    </w:p>
    <w:p w14:paraId="1307C970" w14:textId="77777777" w:rsidR="00016742" w:rsidRPr="00016742" w:rsidRDefault="00016742">
      <w:pPr>
        <w:pStyle w:val="NormalWeb"/>
        <w:ind w:left="480" w:hanging="480"/>
        <w:divId w:val="1912688688"/>
        <w:rPr>
          <w:noProof/>
        </w:rPr>
      </w:pPr>
      <w:r w:rsidRPr="00016742">
        <w:rPr>
          <w:noProof/>
        </w:rPr>
        <w:t xml:space="preserve">Wiser, Michael J, and Richard E. Lenski. 2015. “A Comparison of Methods to Measure Fitness in Escherichia Coli.” </w:t>
      </w:r>
      <w:r w:rsidRPr="00016742">
        <w:rPr>
          <w:i/>
          <w:iCs/>
          <w:noProof/>
        </w:rPr>
        <w:t>PLOS ONE</w:t>
      </w:r>
      <w:r w:rsidRPr="00016742">
        <w:rPr>
          <w:noProof/>
        </w:rPr>
        <w:t xml:space="preserve"> 10 (5): e0126210. doi:10.1371/journal.pone.0126210. http://dx.plos.org/10.1371/journal.pone.0126210.</w:t>
      </w:r>
    </w:p>
    <w:p w14:paraId="1D182A15" w14:textId="702BF52D" w:rsidR="00BC14C2" w:rsidRPr="00BC14C2" w:rsidRDefault="00BC14C2" w:rsidP="00016742">
      <w:pPr>
        <w:pStyle w:val="NormalWeb"/>
        <w:ind w:left="480" w:hanging="480"/>
        <w:divId w:val="922497679"/>
      </w:pPr>
      <w:r>
        <w:fldChar w:fldCharType="end"/>
      </w:r>
    </w:p>
    <w:p w14:paraId="4313237F" w14:textId="77777777" w:rsidR="006E28DC" w:rsidRDefault="006E28DC" w:rsidP="00A362F7"/>
    <w:sectPr w:rsidR="006E28DC" w:rsidSect="00E95165">
      <w:headerReference w:type="even" r:id="rId10"/>
      <w:headerReference w:type="default" r:id="rId11"/>
      <w:footerReference w:type="even" r:id="rId12"/>
      <w:footerReference w:type="default" r:id="rId13"/>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4A72EC" w:rsidRDefault="004A72EC" w:rsidP="00A362F7">
      <w:r>
        <w:separator/>
      </w:r>
    </w:p>
  </w:endnote>
  <w:endnote w:type="continuationSeparator" w:id="0">
    <w:p w14:paraId="6CFC188D" w14:textId="77777777" w:rsidR="004A72EC" w:rsidRDefault="004A72EC"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4A72EC" w:rsidRDefault="004A72EC">
        <w:pPr>
          <w:pStyle w:val="Footer"/>
          <w:jc w:val="center"/>
        </w:pPr>
        <w:r>
          <w:fldChar w:fldCharType="begin"/>
        </w:r>
        <w:r>
          <w:instrText xml:space="preserve"> PAGE   \* MERGEFORMAT </w:instrText>
        </w:r>
        <w:r>
          <w:fldChar w:fldCharType="separate"/>
        </w:r>
        <w:r w:rsidR="00016742">
          <w:rPr>
            <w:noProof/>
          </w:rPr>
          <w:t>10</w:t>
        </w:r>
        <w:r>
          <w:rPr>
            <w:noProof/>
          </w:rPr>
          <w:fldChar w:fldCharType="end"/>
        </w:r>
      </w:p>
    </w:sdtContent>
  </w:sdt>
  <w:p w14:paraId="04BCEBB2" w14:textId="77777777" w:rsidR="004A72EC" w:rsidRDefault="004A72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14:paraId="5822F1DC" w14:textId="77777777" w:rsidR="004A72EC" w:rsidRDefault="004A72EC" w:rsidP="00E95165">
        <w:pPr>
          <w:pStyle w:val="Footer"/>
          <w:jc w:val="center"/>
        </w:pPr>
        <w:r>
          <w:fldChar w:fldCharType="begin"/>
        </w:r>
        <w:r w:rsidRPr="00E95165">
          <w:instrText xml:space="preserve"> PAGE   \* MERGEFORMAT </w:instrText>
        </w:r>
        <w:r>
          <w:fldChar w:fldCharType="separate"/>
        </w:r>
        <w:r w:rsidR="00016742">
          <w:rPr>
            <w:noProof/>
          </w:rPr>
          <w:t>9</w:t>
        </w:r>
        <w:r>
          <w:rPr>
            <w:noProof/>
          </w:rPr>
          <w:fldChar w:fldCharType="end"/>
        </w:r>
      </w:p>
    </w:sdtContent>
  </w:sdt>
  <w:p w14:paraId="4FA56F78" w14:textId="77777777" w:rsidR="004A72EC" w:rsidRDefault="004A72EC"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4A72EC" w:rsidRDefault="004A72EC" w:rsidP="00A362F7">
      <w:r>
        <w:separator/>
      </w:r>
    </w:p>
  </w:footnote>
  <w:footnote w:type="continuationSeparator" w:id="0">
    <w:p w14:paraId="720B2685" w14:textId="77777777" w:rsidR="004A72EC" w:rsidRDefault="004A72EC"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4A72EC" w:rsidRDefault="004A72EC"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4A72EC" w:rsidRDefault="004A72EC"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mailMerge>
    <w:mainDocumentType w:val="email"/>
    <w:dataType w:val="textFile"/>
    <w:activeRecord w:val="-1"/>
  </w:mailMerge>
  <w:defaultTabStop w:val="720"/>
  <w:evenAndOddHeaders/>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16742"/>
    <w:rsid w:val="000363EF"/>
    <w:rsid w:val="00044070"/>
    <w:rsid w:val="00046A28"/>
    <w:rsid w:val="00060445"/>
    <w:rsid w:val="00077B31"/>
    <w:rsid w:val="00090EE9"/>
    <w:rsid w:val="00096923"/>
    <w:rsid w:val="000A12FF"/>
    <w:rsid w:val="000A2377"/>
    <w:rsid w:val="000A33E4"/>
    <w:rsid w:val="000D1077"/>
    <w:rsid w:val="000D74D8"/>
    <w:rsid w:val="000E1107"/>
    <w:rsid w:val="001375D1"/>
    <w:rsid w:val="00145FE7"/>
    <w:rsid w:val="001539BA"/>
    <w:rsid w:val="00154E23"/>
    <w:rsid w:val="00155F9E"/>
    <w:rsid w:val="00176E5B"/>
    <w:rsid w:val="00184154"/>
    <w:rsid w:val="001935CF"/>
    <w:rsid w:val="001D731C"/>
    <w:rsid w:val="001E3E51"/>
    <w:rsid w:val="001E63B9"/>
    <w:rsid w:val="002065DF"/>
    <w:rsid w:val="00231A0D"/>
    <w:rsid w:val="00232E7C"/>
    <w:rsid w:val="00241CDA"/>
    <w:rsid w:val="0025255E"/>
    <w:rsid w:val="002545FB"/>
    <w:rsid w:val="00266364"/>
    <w:rsid w:val="002B2CF9"/>
    <w:rsid w:val="002D1BDB"/>
    <w:rsid w:val="002D33FF"/>
    <w:rsid w:val="002D3423"/>
    <w:rsid w:val="00321D10"/>
    <w:rsid w:val="00322C2A"/>
    <w:rsid w:val="003363E0"/>
    <w:rsid w:val="00350EA0"/>
    <w:rsid w:val="003512A0"/>
    <w:rsid w:val="003578D2"/>
    <w:rsid w:val="00363107"/>
    <w:rsid w:val="00363F78"/>
    <w:rsid w:val="003D0164"/>
    <w:rsid w:val="003E7D70"/>
    <w:rsid w:val="00406968"/>
    <w:rsid w:val="00425869"/>
    <w:rsid w:val="00451F50"/>
    <w:rsid w:val="004762FF"/>
    <w:rsid w:val="004A72EC"/>
    <w:rsid w:val="004C26D4"/>
    <w:rsid w:val="004E67C2"/>
    <w:rsid w:val="004F41E2"/>
    <w:rsid w:val="004F69EA"/>
    <w:rsid w:val="00503DBB"/>
    <w:rsid w:val="005226B0"/>
    <w:rsid w:val="00541F23"/>
    <w:rsid w:val="00542096"/>
    <w:rsid w:val="00547A93"/>
    <w:rsid w:val="00547C93"/>
    <w:rsid w:val="00551D58"/>
    <w:rsid w:val="00555009"/>
    <w:rsid w:val="00563F73"/>
    <w:rsid w:val="00565349"/>
    <w:rsid w:val="005816A6"/>
    <w:rsid w:val="005B79A5"/>
    <w:rsid w:val="005C2E39"/>
    <w:rsid w:val="005D40CB"/>
    <w:rsid w:val="005F02B4"/>
    <w:rsid w:val="005F1042"/>
    <w:rsid w:val="006147AD"/>
    <w:rsid w:val="006161B0"/>
    <w:rsid w:val="00634747"/>
    <w:rsid w:val="00655054"/>
    <w:rsid w:val="00670FC1"/>
    <w:rsid w:val="006714D6"/>
    <w:rsid w:val="006748D6"/>
    <w:rsid w:val="00675E28"/>
    <w:rsid w:val="00677B67"/>
    <w:rsid w:val="006C212D"/>
    <w:rsid w:val="006C370B"/>
    <w:rsid w:val="006E28DC"/>
    <w:rsid w:val="006F0C9C"/>
    <w:rsid w:val="00700A20"/>
    <w:rsid w:val="00700FD5"/>
    <w:rsid w:val="00720CF6"/>
    <w:rsid w:val="00736DBC"/>
    <w:rsid w:val="00747E78"/>
    <w:rsid w:val="00754346"/>
    <w:rsid w:val="007626A1"/>
    <w:rsid w:val="00765CD6"/>
    <w:rsid w:val="00771D41"/>
    <w:rsid w:val="007917E5"/>
    <w:rsid w:val="00797787"/>
    <w:rsid w:val="007A5D05"/>
    <w:rsid w:val="007B695D"/>
    <w:rsid w:val="007C0F87"/>
    <w:rsid w:val="007E465E"/>
    <w:rsid w:val="00811C45"/>
    <w:rsid w:val="008200D3"/>
    <w:rsid w:val="00837DFB"/>
    <w:rsid w:val="00865920"/>
    <w:rsid w:val="00872AE7"/>
    <w:rsid w:val="00895982"/>
    <w:rsid w:val="008D29A3"/>
    <w:rsid w:val="009050CE"/>
    <w:rsid w:val="00920F1D"/>
    <w:rsid w:val="0093181D"/>
    <w:rsid w:val="00954602"/>
    <w:rsid w:val="00966DD5"/>
    <w:rsid w:val="00970E9E"/>
    <w:rsid w:val="0097184D"/>
    <w:rsid w:val="009776CA"/>
    <w:rsid w:val="00984152"/>
    <w:rsid w:val="00995D06"/>
    <w:rsid w:val="009B2A6B"/>
    <w:rsid w:val="009C1B7D"/>
    <w:rsid w:val="009C4366"/>
    <w:rsid w:val="009D1000"/>
    <w:rsid w:val="00A00EBA"/>
    <w:rsid w:val="00A01BA9"/>
    <w:rsid w:val="00A26E97"/>
    <w:rsid w:val="00A362F7"/>
    <w:rsid w:val="00A415D4"/>
    <w:rsid w:val="00A4385B"/>
    <w:rsid w:val="00A64172"/>
    <w:rsid w:val="00AB3A96"/>
    <w:rsid w:val="00AB6F03"/>
    <w:rsid w:val="00AC7A5E"/>
    <w:rsid w:val="00B12AFC"/>
    <w:rsid w:val="00B1304F"/>
    <w:rsid w:val="00B14E47"/>
    <w:rsid w:val="00B37B5A"/>
    <w:rsid w:val="00B551CC"/>
    <w:rsid w:val="00B66E46"/>
    <w:rsid w:val="00B830DD"/>
    <w:rsid w:val="00B947CD"/>
    <w:rsid w:val="00B95F3E"/>
    <w:rsid w:val="00BB16DB"/>
    <w:rsid w:val="00BB3C26"/>
    <w:rsid w:val="00BB7C4F"/>
    <w:rsid w:val="00BC14C2"/>
    <w:rsid w:val="00BD50D7"/>
    <w:rsid w:val="00BF4347"/>
    <w:rsid w:val="00C05ED5"/>
    <w:rsid w:val="00C640AA"/>
    <w:rsid w:val="00C77C23"/>
    <w:rsid w:val="00C95EA3"/>
    <w:rsid w:val="00C97988"/>
    <w:rsid w:val="00CB2929"/>
    <w:rsid w:val="00CD3999"/>
    <w:rsid w:val="00CE2595"/>
    <w:rsid w:val="00D271A1"/>
    <w:rsid w:val="00D31092"/>
    <w:rsid w:val="00D35A20"/>
    <w:rsid w:val="00D373CC"/>
    <w:rsid w:val="00D46522"/>
    <w:rsid w:val="00DD72E5"/>
    <w:rsid w:val="00E14ACF"/>
    <w:rsid w:val="00E33F77"/>
    <w:rsid w:val="00E36AEA"/>
    <w:rsid w:val="00E429B2"/>
    <w:rsid w:val="00E50794"/>
    <w:rsid w:val="00E61B9A"/>
    <w:rsid w:val="00E74D07"/>
    <w:rsid w:val="00E77F4F"/>
    <w:rsid w:val="00E842FC"/>
    <w:rsid w:val="00E95165"/>
    <w:rsid w:val="00EB198A"/>
    <w:rsid w:val="00EB59A8"/>
    <w:rsid w:val="00EB6B87"/>
    <w:rsid w:val="00EB7652"/>
    <w:rsid w:val="00F06513"/>
    <w:rsid w:val="00F06897"/>
    <w:rsid w:val="00F121DF"/>
    <w:rsid w:val="00F378C2"/>
    <w:rsid w:val="00F51148"/>
    <w:rsid w:val="00F54779"/>
    <w:rsid w:val="00F649AD"/>
    <w:rsid w:val="00F91B2F"/>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veball.yoavram.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CA"/>
    <w:rsid w:val="00447CCA"/>
    <w:rsid w:val="005125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5E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5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767EA96-296C-4B85-9557-4D6E0EEE8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10</Pages>
  <Words>11393</Words>
  <Characters>56968</Characters>
  <Application>Microsoft Office Word</Application>
  <DocSecurity>0</DocSecurity>
  <Lines>474</Lines>
  <Paragraphs>136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68225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39</cp:revision>
  <cp:lastPrinted>2015-07-23T12:51:00Z</cp:lastPrinted>
  <dcterms:created xsi:type="dcterms:W3CDTF">2015-07-21T09:00:00Z</dcterms:created>
  <dcterms:modified xsi:type="dcterms:W3CDTF">2015-07-23T12:54:00Z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