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612CB">
        <w:rPr>
          <w:rFonts w:eastAsia="Times New Roman"/>
          <w:noProof/>
        </w:rPr>
        <w:t>February 25,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3051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3051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3051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3051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3051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63051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3051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3051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3051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3051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3051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3051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3051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3051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3051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3051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3051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"01",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63051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3051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3051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E8137A">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2F40E4" w:rsidRDefault="0051712D" w:rsidP="002F40E4">
      <w:pPr>
        <w:jc w:val="center"/>
      </w:pPr>
      <w:r>
        <w:rPr>
          <w:noProof/>
        </w:rPr>
        <w:drawing>
          <wp:inline distT="0" distB="0" distL="0" distR="0">
            <wp:extent cx="3657600" cy="5486400"/>
            <wp:effectExtent l="0" t="0" r="0" b="0"/>
            <wp:docPr id="8" name="Picture 8" descr="D:\workspace\mamba\simarba\analysis\invasion_SIMvsCM_pop_1e6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ace\mamba\simarba\analysis\invasion_SIMvsCM_pop_1e6_2014-02-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D612CB">
      <w:pPr>
        <w:pStyle w:val="Caption"/>
        <w:jc w:val="center"/>
      </w:pPr>
      <w:bookmarkStart w:id="13" w:name="h.pb2tvb9wvzww"/>
      <w:bookmarkStart w:id="14" w:name="_Ref370053574"/>
      <w:bookmarkStart w:id="15" w:name="_Toc336511473"/>
      <w:bookmarkEnd w:id="13"/>
      <w:r w:rsidRPr="00721F05">
        <w:t xml:space="preserve">Figure </w:t>
      </w:r>
      <w:fldSimple w:instr=" SEQ Figure \* ARABIC ">
        <w:r w:rsidR="003012BC">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472A91" w:rsidP="00D612CB">
      <w:r w:rsidRPr="00721F05">
        <w:t xml:space="preserve">What is the source of the advantage to SIM that is not shared by CM? </w:t>
      </w:r>
      <w:r w:rsidR="00D612CB">
        <w:fldChar w:fldCharType="begin"/>
      </w:r>
      <w:r w:rsidR="00D612CB">
        <w:instrText xml:space="preserve"> REF _Ref381104804 \h </w:instrText>
      </w:r>
      <w:r w:rsidR="00D612CB">
        <w:fldChar w:fldCharType="separate"/>
      </w:r>
      <w:r w:rsidR="00D612CB">
        <w:t xml:space="preserve">Figure </w:t>
      </w:r>
      <w:r w:rsidR="00D612CB">
        <w:rPr>
          <w:noProof/>
        </w:rPr>
        <w:t>2</w:t>
      </w:r>
      <w:r w:rsidR="00D612CB">
        <w:fldChar w:fldCharType="end"/>
      </w:r>
      <w:r w:rsidR="00D612CB">
        <w:t xml:space="preserve"> shows that when 9 out of 10 mutations are deleterious (β=0.1; left panel) SIM (solid blue lines) has a higher fixation </w:t>
      </w:r>
      <w:r w:rsidR="00D612CB">
        <w:lastRenderedPageBreak/>
        <w:t>probability than CM (dashed red lines). However, when all mutations are beneficial (β=1; right panel), there is no difference between SIM and CM. Therefore, if there are no deleterious mutations, there is no difference between CM and SIM – therefore we conclude that the advantage of SIM over CM is that it doesn't generate as much deleterious mutations – due to lower mutation rates in adapted individuals. Alternatively, the reason could be that SIM purges deleterious mutations more successfully than CM due to an unknown factor.</w:t>
      </w:r>
    </w:p>
    <w:p w:rsidR="00D612CB" w:rsidRDefault="0051712D" w:rsidP="00D612CB">
      <w:pPr>
        <w:keepNext/>
        <w:jc w:val="center"/>
      </w:pPr>
      <w:r>
        <w:rPr>
          <w:noProof/>
        </w:rPr>
        <w:drawing>
          <wp:inline distT="0" distB="0" distL="0" distR="0">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6" w:name="_Ref381104804"/>
      <w:r>
        <w:t xml:space="preserve">Figure </w:t>
      </w:r>
      <w:fldSimple w:instr=" SEQ Figure \* ARABIC ">
        <w:r w:rsidR="003012BC">
          <w:rPr>
            <w:noProof/>
          </w:rPr>
          <w:t>2</w:t>
        </w:r>
      </w:fldSimple>
      <w:bookmarkEnd w:id="16"/>
      <w:r>
        <w:t xml:space="preserve"> - </w:t>
      </w:r>
      <w:r w:rsidRPr="00D612CB">
        <w:t>invasion_SIMvsCMvsNM_pop_1e5_2014-02-23</w:t>
      </w:r>
    </w:p>
    <w:p w:rsidR="0051712D" w:rsidRDefault="0051712D" w:rsidP="0051712D"/>
    <w:p w:rsidR="0051712D" w:rsidRDefault="00BE3F10" w:rsidP="00BE3F10">
      <w:r>
        <w:t>The effect of population size on the dynamics is explored in Figure 3. As the population size increases (from left to right) the effect of recombination on the fixation probability is stronger: with 10</w:t>
      </w:r>
      <w:r>
        <w:rPr>
          <w:vertAlign w:val="superscript"/>
        </w:rPr>
        <w:t>5</w:t>
      </w:r>
      <w:r>
        <w:t xml:space="preserve"> individuals, recombination only mildly affects the fixation probabilities with τ=10; with 10</w:t>
      </w:r>
      <w:r>
        <w:rPr>
          <w:vertAlign w:val="superscript"/>
        </w:rPr>
        <w:t>7</w:t>
      </w:r>
      <w:r>
        <w:t xml:space="preserve"> individuals recombination has a very significant effect. For example, the fixation probability of SIM </w:t>
      </w:r>
      <w:r>
        <w:lastRenderedPageBreak/>
        <w:t>with τ=5 and N=10</w:t>
      </w:r>
      <w:r>
        <w:rPr>
          <w:vertAlign w:val="superscript"/>
        </w:rPr>
        <w:t>7</w:t>
      </w:r>
      <w:r>
        <w:t xml:space="preserve"> decreases from ~0.75 to ~0.31 when the recombination rate increases from 0 to 0.3, whereas there is no effect at all with N=10</w:t>
      </w:r>
      <w:r>
        <w:rPr>
          <w:vertAlign w:val="superscript"/>
        </w:rPr>
        <w:t>5</w:t>
      </w:r>
      <w:r>
        <w:t>. This effect is similar for SIM and CM.</w:t>
      </w:r>
    </w:p>
    <w:p w:rsidR="0051712D" w:rsidRDefault="0051712D" w:rsidP="0051712D">
      <w:pPr>
        <w:keepNext/>
        <w:jc w:val="center"/>
      </w:pPr>
      <w:r>
        <w:rPr>
          <w:noProof/>
        </w:rPr>
        <w:drawing>
          <wp:inline distT="0" distB="0" distL="0" distR="0" wp14:anchorId="75747D7E" wp14:editId="10FF4330">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3012BC">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CD0D70">
      <w:r>
        <w:t>Figure 4 shows results of simulations of competitions between alleles which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 and stress-induced </w:t>
      </w:r>
      <w:proofErr w:type="spellStart"/>
      <w:r>
        <w:t>recombinators</w:t>
      </w:r>
      <w:proofErr w:type="spellEnd"/>
      <w:r>
        <w:t xml:space="preserve"> </w:t>
      </w:r>
      <w:r w:rsidR="000151FE" w:rsidRPr="00721F05">
        <w:t>(SIR)</w:t>
      </w:r>
      <w:r>
        <w:t xml:space="preserve"> win competitions against wildtype, and their advantage increases with the baseline recombination rate and the population size</w:t>
      </w:r>
      <w:r w:rsidR="000151FE" w:rsidRPr="00721F05">
        <w:t xml:space="preserve">. </w:t>
      </w:r>
    </w:p>
    <w:p w:rsidR="00CD0D70" w:rsidRDefault="00CD0D70" w:rsidP="00CD0D70">
      <w:pPr>
        <w:keepNext/>
        <w:jc w:val="center"/>
      </w:pPr>
      <w:r>
        <w:rPr>
          <w:noProof/>
        </w:rPr>
        <w:lastRenderedPageBreak/>
        <w:drawing>
          <wp:inline distT="0" distB="0" distL="0" distR="0" wp14:anchorId="644C271B" wp14:editId="588535F6">
            <wp:extent cx="3657600" cy="5486400"/>
            <wp:effectExtent l="0" t="0" r="0" b="0"/>
            <wp:docPr id="10" name="Picture 10"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3012BC">
          <w:rPr>
            <w:noProof/>
          </w:rPr>
          <w:t>4</w:t>
        </w:r>
      </w:fldSimple>
      <w:r>
        <w:t xml:space="preserve"> - </w:t>
      </w:r>
      <w:r w:rsidRPr="00CD0D70">
        <w:t>invasion_SIRvsCR_pop_sizes_2014-02-26</w:t>
      </w:r>
    </w:p>
    <w:p w:rsidR="00CD0D70" w:rsidRDefault="00CD0D70" w:rsidP="00CD0D70"/>
    <w:p w:rsidR="00CD0D70" w:rsidRDefault="003012BC" w:rsidP="003012BC">
      <w:r>
        <w:t>When a modifier allele affects both the mutation and the recombination rate, there is a more complex dynamic (Figure 5). For a smaller population size (10</w:t>
      </w:r>
      <w:r>
        <w:rPr>
          <w:vertAlign w:val="superscript"/>
        </w:rPr>
        <w:t>5</w:t>
      </w:r>
      <w:r>
        <w:t xml:space="preserve">), SIM (with NR, CR or SIR) is the most successful, and if </w:t>
      </w:r>
      <w:proofErr w:type="gramStart"/>
      <w:r>
        <w:t>its</w:t>
      </w:r>
      <w:proofErr w:type="gramEnd"/>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 However, CM is always less successful then SIM and NM. </w:t>
      </w:r>
    </w:p>
    <w:p w:rsidR="003012BC" w:rsidRDefault="003012BC" w:rsidP="003012BC">
      <w:pPr>
        <w:keepNext/>
        <w:jc w:val="center"/>
      </w:pPr>
      <w:r>
        <w:rPr>
          <w:noProof/>
        </w:rPr>
        <w:lastRenderedPageBreak/>
        <w:drawing>
          <wp:inline distT="0" distB="0" distL="0" distR="0" wp14:anchorId="6EDE813E" wp14:editId="69112480">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EQ Figure \* ARABIC ">
        <w:r>
          <w:rPr>
            <w:noProof/>
          </w:rPr>
          <w:t>5</w:t>
        </w:r>
      </w:fldSimple>
      <w:r>
        <w:t xml:space="preserve"> - </w:t>
      </w:r>
      <w:r w:rsidRPr="003012BC">
        <w:t>invasion_combined_tau_5_pop_sizes_2014-02-26</w:t>
      </w:r>
    </w:p>
    <w:p w:rsidR="00A77B3E" w:rsidRPr="00721F05" w:rsidRDefault="005055C2" w:rsidP="00E56CE3">
      <w:pPr>
        <w:pStyle w:val="Heading1"/>
        <w:rPr>
          <w:rFonts w:asciiTheme="minorHAnsi" w:hAnsiTheme="minorHAnsi"/>
        </w:rPr>
      </w:pPr>
      <w:bookmarkStart w:id="17" w:name="_GoBack"/>
      <w:bookmarkEnd w:id="17"/>
      <w:r w:rsidRPr="00721F05">
        <w:rPr>
          <w:rFonts w:asciiTheme="minorHAnsi" w:hAnsiTheme="minorHAnsi"/>
        </w:rPr>
        <w:t>Discussion</w:t>
      </w:r>
      <w:bookmarkEnd w:id="15"/>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63051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63051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63051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63051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63051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lastRenderedPageBreak/>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3051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63051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w:t>
      </w:r>
      <w:r w:rsidRPr="00721F05">
        <w:lastRenderedPageBreak/>
        <w:t xml:space="preserve">transformation is the only one actively regulated by the cells and the most likely to have evolved due to its adaptive properties </w:t>
      </w:r>
      <w:r w:rsidR="00DE534D" w:rsidRPr="00721F05">
        <w:fldChar w:fldCharType="begin" w:fldLock="1"/>
      </w:r>
      <w:r w:rsidR="0063051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63051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63051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63051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63051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63051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Pr="00721F05" w:rsidRDefault="003A4706" w:rsidP="00E56CE3">
      <w:pPr>
        <w:pStyle w:val="NoSpacing"/>
        <w:spacing w:line="360" w:lineRule="auto"/>
        <w:divId w:val="1620528373"/>
        <w:rPr>
          <w:sz w:val="20"/>
          <w:szCs w:val="20"/>
        </w:rPr>
      </w:pPr>
    </w:p>
    <w:sectPr w:rsidR="003A4706" w:rsidRPr="00721F05" w:rsidSect="00503D02">
      <w:headerReference w:type="even" r:id="rId14"/>
      <w:headerReference w:type="default" r:id="rId15"/>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26B" w:rsidRDefault="00E8026B" w:rsidP="00684BC6">
      <w:r>
        <w:separator/>
      </w:r>
    </w:p>
  </w:endnote>
  <w:endnote w:type="continuationSeparator" w:id="0">
    <w:p w:rsidR="00E8026B" w:rsidRDefault="00E8026B"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335A8F">
          <w:rPr>
            <w:noProof/>
          </w:rPr>
          <w:t>12</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335A8F">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26B" w:rsidRDefault="00E8026B" w:rsidP="00684BC6">
      <w:r>
        <w:separator/>
      </w:r>
    </w:p>
  </w:footnote>
  <w:footnote w:type="continuationSeparator" w:id="0">
    <w:p w:rsidR="00E8026B" w:rsidRDefault="00E8026B"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Pr>
        <w:noProof/>
      </w:rPr>
      <w:t>February 25,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B6414"/>
    <w:rsid w:val="001C07E4"/>
    <w:rsid w:val="001C35C4"/>
    <w:rsid w:val="001C4F35"/>
    <w:rsid w:val="001E1657"/>
    <w:rsid w:val="001E25FE"/>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1712D"/>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7F4490"/>
    <w:rsid w:val="008029C0"/>
    <w:rsid w:val="008234EB"/>
    <w:rsid w:val="00850186"/>
    <w:rsid w:val="00850ADF"/>
    <w:rsid w:val="0085626B"/>
    <w:rsid w:val="00873682"/>
    <w:rsid w:val="008737FF"/>
    <w:rsid w:val="008769D4"/>
    <w:rsid w:val="008806FA"/>
    <w:rsid w:val="008834FE"/>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56CE3"/>
    <w:rsid w:val="00E65857"/>
    <w:rsid w:val="00E65D1C"/>
    <w:rsid w:val="00E663AE"/>
    <w:rsid w:val="00E8026B"/>
    <w:rsid w:val="00E8137A"/>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C46AB"/>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69640-84C1-4BC0-BAD0-89F252C7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13</Pages>
  <Words>28698</Words>
  <Characters>143490</Characters>
  <Application>Microsoft Office Word</Application>
  <DocSecurity>0</DocSecurity>
  <Lines>1195</Lines>
  <Paragraphs>343</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39</cp:revision>
  <cp:lastPrinted>1900-12-31T22:00:00Z</cp:lastPrinted>
  <dcterms:created xsi:type="dcterms:W3CDTF">2012-09-27T08:48:00Z</dcterms:created>
  <dcterms:modified xsi:type="dcterms:W3CDTF">2014-02-26T09:04:00Z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