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F33150">
        <w:rPr>
          <w:rFonts w:eastAsia="Times New Roman"/>
          <w:noProof/>
        </w:rPr>
        <w:t>March 2,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18499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18499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18499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18499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18499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18499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18499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18499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18499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18499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18499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18499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18499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18499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18499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18499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18499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18499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18499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18499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18499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18499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18499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18499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18499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18499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18499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18499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18499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5F820AD2" wp14:editId="1AE5FACD">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fldSimple w:instr=" SEQ Figure \* ARABIC \s 1 ">
        <w:r w:rsidR="00F33150">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w:t>
      </w:r>
      <w:proofErr w:type="gramStart"/>
      <w:r>
        <w:t xml:space="preserve">is </w:t>
      </w:r>
      <w:r w:rsidR="00472A91" w:rsidRPr="00721F05">
        <w:t xml:space="preserve"> SIM</w:t>
      </w:r>
      <w:proofErr w:type="gramEnd"/>
      <w:r w:rsidR="00472A91" w:rsidRPr="00721F05">
        <w:t xml:space="preserve">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18499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51712D" w:rsidP="00D612CB">
      <w:pPr>
        <w:keepNext/>
        <w:jc w:val="center"/>
      </w:pPr>
      <w:r>
        <w:rPr>
          <w:noProof/>
        </w:rPr>
        <w:lastRenderedPageBreak/>
        <w:drawing>
          <wp:inline distT="0" distB="0" distL="0" distR="0" wp14:anchorId="03DF013F" wp14:editId="1D3F6EB5">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TYLEREF 1 \s ">
        <w:r w:rsidR="00F33150">
          <w:rPr>
            <w:noProof/>
            <w:cs/>
          </w:rPr>
          <w:t>‎</w:t>
        </w:r>
        <w:r w:rsidR="00F33150">
          <w:rPr>
            <w:noProof/>
          </w:rPr>
          <w:t>0</w:t>
        </w:r>
      </w:fldSimple>
      <w:r w:rsidR="00901526">
        <w:noBreakHyphen/>
      </w:r>
      <w:fldSimple w:instr=" SEQ Figure \* ARABIC \s 1 ">
        <w:r w:rsidR="00F33150">
          <w:rPr>
            <w:noProof/>
          </w:rPr>
          <w:t>2</w:t>
        </w:r>
      </w:fldSimple>
      <w:bookmarkEnd w:id="16"/>
      <w:r>
        <w:t xml:space="preserve"> - </w:t>
      </w:r>
      <w:r w:rsidRPr="00D612CB">
        <w:t>invasion_SIMvsCMvsNM_pop_1e5_2014-02-23</w:t>
      </w:r>
    </w:p>
    <w:p w:rsidR="0051712D" w:rsidRDefault="0051712D" w:rsidP="0051712D"/>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18499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lastRenderedPageBreak/>
        <w:drawing>
          <wp:inline distT="0" distB="0" distL="0" distR="0" wp14:anchorId="2586DEA9" wp14:editId="4218C91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F33150">
          <w:rPr>
            <w:noProof/>
            <w:cs/>
          </w:rPr>
          <w:t>‎</w:t>
        </w:r>
        <w:r w:rsidR="00F33150">
          <w:rPr>
            <w:noProof/>
          </w:rPr>
          <w:t>0</w:t>
        </w:r>
      </w:fldSimple>
      <w:r w:rsidR="00901526">
        <w:noBreakHyphen/>
      </w:r>
      <w:fldSimple w:instr=" SEQ Figure \* ARABIC \s 1 ">
        <w:r w:rsidR="00F33150">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4BE867ED" wp14:editId="2DE7DBBF">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F33150">
          <w:rPr>
            <w:noProof/>
            <w:cs/>
          </w:rPr>
          <w:t>‎</w:t>
        </w:r>
        <w:r w:rsidR="00F33150">
          <w:rPr>
            <w:noProof/>
          </w:rPr>
          <w:t>0</w:t>
        </w:r>
      </w:fldSimple>
      <w:r w:rsidR="00901526">
        <w:noBreakHyphen/>
      </w:r>
      <w:fldSimple w:instr=" SEQ Figure \* ARABIC \s 1 ">
        <w:r w:rsidR="00F33150">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32E5F066" wp14:editId="3A4453DE">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F33150">
          <w:rPr>
            <w:noProof/>
            <w:cs/>
          </w:rPr>
          <w:t>‎</w:t>
        </w:r>
        <w:r w:rsidR="00F33150">
          <w:rPr>
            <w:noProof/>
          </w:rPr>
          <w:t>0</w:t>
        </w:r>
      </w:fldSimple>
      <w:r w:rsidR="00901526">
        <w:noBreakHyphen/>
      </w:r>
      <w:fldSimple w:instr=" SEQ Figure \* ARABIC \s 1 ">
        <w:r w:rsidR="00F33150">
          <w:rPr>
            <w:noProof/>
          </w:rPr>
          <w:t>5</w:t>
        </w:r>
      </w:fldSimple>
      <w:r>
        <w:t xml:space="preserve"> - </w:t>
      </w:r>
      <w:r w:rsidRPr="003012BC">
        <w:t>invasion_combined_tau_5_pop_sizes_2014-02-26</w:t>
      </w:r>
    </w:p>
    <w:p w:rsidR="00E26B2F" w:rsidRDefault="00E26B2F" w:rsidP="00E26B2F">
      <w:pPr>
        <w:pStyle w:val="Heading2"/>
      </w:pP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τ</w:t>
      </w:r>
      <w:r w:rsidR="0047230E">
        <w:rPr>
          <w:rFonts w:eastAsiaTheme="majorEastAsia"/>
        </w:rPr>
        <w:t xml:space="preserve">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w:t>
      </w:r>
      <w:r w:rsidR="0047230E">
        <w:rPr>
          <w:rFonts w:eastAsiaTheme="majorEastAsia"/>
        </w:rPr>
        <w:t xml:space="preserve">in agreement with </w:t>
      </w:r>
      <w:r w:rsidR="0047230E">
        <w:rPr>
          <w:rFonts w:eastAsiaTheme="majorEastAsia"/>
        </w:rPr>
        <w:fldChar w:fldCharType="begin" w:fldLock="1"/>
      </w:r>
      <w:r w:rsidR="0047230E">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xml:space="preserve">. However, increasing the </w:t>
      </w:r>
      <w:r w:rsidR="0047230E">
        <w:rPr>
          <w:rFonts w:eastAsiaTheme="majorEastAsia"/>
        </w:rPr>
        <w:lastRenderedPageBreak/>
        <w:t>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184999">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bookmarkStart w:id="17" w:name="_GoBack"/>
      <w:bookmarkEnd w:id="17"/>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E95AD3" w:rsidP="000F32FA">
      <w:pPr>
        <w:keepNext/>
        <w:jc w:val="center"/>
      </w:pPr>
      <w:r>
        <w:rPr>
          <w:rFonts w:eastAsiaTheme="majorEastAsia" w:cstheme="majorBidi"/>
          <w:b/>
          <w:bCs/>
          <w:noProof/>
          <w:color w:val="4F81BD" w:themeColor="accent1"/>
          <w:sz w:val="26"/>
          <w:szCs w:val="26"/>
        </w:rPr>
        <w:drawing>
          <wp:inline distT="0" distB="0" distL="0" distR="0" wp14:anchorId="6A524B2E" wp14:editId="721B1440">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p>
    <w:p w:rsidR="00901526" w:rsidRPr="00E26B2F" w:rsidRDefault="00901526" w:rsidP="00901526">
      <w:pPr>
        <w:pStyle w:val="Caption"/>
        <w:jc w:val="center"/>
      </w:pPr>
      <w:r>
        <w:t xml:space="preserve">Figure </w:t>
      </w:r>
      <w:fldSimple w:instr=" SEQ Figure \* ARABIC \s 1 ">
        <w:r w:rsidR="00F33150">
          <w:rPr>
            <w:noProof/>
          </w:rPr>
          <w:t>6</w:t>
        </w:r>
      </w:fldSimple>
      <w:r>
        <w:t xml:space="preserve"> - </w:t>
      </w:r>
      <w:r w:rsidRPr="00901526">
        <w:t>adaptation_NR_2014-02-26</w:t>
      </w:r>
    </w:p>
    <w:p w:rsidR="004B53DF" w:rsidRDefault="004B53DF">
      <w:pPr>
        <w:spacing w:after="200" w:line="276" w:lineRule="auto"/>
        <w:ind w:firstLine="0"/>
        <w:rPr>
          <w:rFonts w:eastAsiaTheme="majorEastAsia" w:cstheme="majorBidi"/>
          <w:b/>
          <w:bCs/>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18499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18499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18499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18499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18499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18499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18499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18499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18499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18499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18499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18499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18499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18499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18499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78E3644E" wp14:editId="468C025E">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Pr="005D47D6" w:rsidRDefault="005D47D6" w:rsidP="00901526">
      <w:pPr>
        <w:pStyle w:val="Caption"/>
        <w:jc w:val="center"/>
        <w:divId w:val="1620528373"/>
      </w:pPr>
      <w:r>
        <w:t xml:space="preserve">Figure </w:t>
      </w:r>
      <w:r w:rsidR="00901526">
        <w:t>S</w:t>
      </w:r>
      <w:fldSimple w:instr=" SEQ Figure \* ARABIC \s 1 ">
        <w:r w:rsidR="00F33150">
          <w:rPr>
            <w:noProof/>
          </w:rPr>
          <w:t>1</w:t>
        </w:r>
      </w:fldSimple>
      <w:r>
        <w:t xml:space="preserve"> - </w:t>
      </w:r>
      <w:r w:rsidRPr="005D47D6">
        <w:t>invasion_SIMvsCM_r_02014-02-26</w:t>
      </w:r>
    </w:p>
    <w:sectPr w:rsidR="005D47D6" w:rsidRPr="005D47D6" w:rsidSect="00503D02">
      <w:headerReference w:type="even" r:id="rId16"/>
      <w:headerReference w:type="default" r:id="rId17"/>
      <w:footerReference w:type="even"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A32" w:rsidRDefault="00FD4A32" w:rsidP="00684BC6">
      <w:r>
        <w:separator/>
      </w:r>
    </w:p>
  </w:endnote>
  <w:endnote w:type="continuationSeparator" w:id="0">
    <w:p w:rsidR="00FD4A32" w:rsidRDefault="00FD4A32"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47230E">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47230E">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A32" w:rsidRDefault="00FD4A32" w:rsidP="00684BC6">
      <w:r>
        <w:separator/>
      </w:r>
    </w:p>
  </w:footnote>
  <w:footnote w:type="continuationSeparator" w:id="0">
    <w:p w:rsidR="00FD4A32" w:rsidRDefault="00FD4A32"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F33150">
      <w:rPr>
        <w:noProof/>
      </w:rPr>
      <w:t>March 2,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5054"/>
    <w:rsid w:val="00557C4E"/>
    <w:rsid w:val="005653F6"/>
    <w:rsid w:val="00583201"/>
    <w:rsid w:val="00586D50"/>
    <w:rsid w:val="00595314"/>
    <w:rsid w:val="005B467E"/>
    <w:rsid w:val="005D47D6"/>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B30F1"/>
    <w:rsid w:val="006D4EF6"/>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33150"/>
    <w:rsid w:val="00F6288C"/>
    <w:rsid w:val="00F9096A"/>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33A5-63F1-4D64-84DA-185F7662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16</Pages>
  <Words>30940</Words>
  <Characters>154700</Characters>
  <Application>Microsoft Office Word</Application>
  <DocSecurity>0</DocSecurity>
  <Lines>1289</Lines>
  <Paragraphs>370</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52</cp:revision>
  <cp:lastPrinted>2014-03-02T09:50:00Z</cp:lastPrinted>
  <dcterms:created xsi:type="dcterms:W3CDTF">2012-09-27T08:48:00Z</dcterms:created>
  <dcterms:modified xsi:type="dcterms:W3CDTF">2014-03-02T10:12:00Z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