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E56CE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induced hypermutation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D612CB">
        <w:rPr>
          <w:rFonts w:eastAsia="Times New Roman"/>
          <w:noProof/>
        </w:rPr>
        <w:t>February 25,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630519">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630519">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630519">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721F05">
        <w:rPr>
          <w:i/>
          <w:iCs/>
        </w:rPr>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630519">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630519">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630519">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630519">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8834FE">
      <w:r w:rsidRPr="00721F05">
        <w:t>Nevertheless, most microorganisms are not entirely asexual. Bacteria perform recombination, or horizontal</w:t>
      </w:r>
      <w:r w:rsidR="008834FE">
        <w:t>/lateral</w:t>
      </w:r>
      <w:r w:rsidRPr="00721F05">
        <w:t xml:space="preserve"> gene transfer (HGT</w:t>
      </w:r>
      <w:r w:rsidR="008834FE">
        <w:t>/LGT</w:t>
      </w:r>
      <w:r w:rsidRPr="00721F05">
        <w:t>)</w:t>
      </w:r>
      <w:r w:rsidR="00B65692" w:rsidRPr="00721F05">
        <w:t>,</w:t>
      </w:r>
      <w:r w:rsidRPr="00721F05">
        <w:t xml:space="preserve"> using three mechanisms</w:t>
      </w:r>
      <w:r w:rsidR="00B65692" w:rsidRPr="00721F05">
        <w:t xml:space="preserve">: </w:t>
      </w:r>
      <w:r w:rsidRPr="00721F05">
        <w:t xml:space="preserve">transformation, in which cells recombine foreign DNA  into their genome </w:t>
      </w:r>
      <w:r w:rsidRPr="00721F05">
        <w:fldChar w:fldCharType="begin" w:fldLock="1"/>
      </w:r>
      <w:r w:rsidR="00630519">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w:t>
      </w:r>
      <w:r w:rsidR="00792B01" w:rsidRPr="00721F05">
        <w:lastRenderedPageBreak/>
        <w:t xml:space="preserve">transferred between cells </w:t>
      </w:r>
      <w:r w:rsidR="00792B01" w:rsidRPr="00721F05">
        <w:fldChar w:fldCharType="begin" w:fldLock="1"/>
      </w:r>
      <w:r w:rsidR="00630519">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630519">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732F22" w:rsidRPr="00721F05">
        <w:t>Other microbes, such as y</w:t>
      </w:r>
      <w:r w:rsidR="00792B01" w:rsidRPr="00721F05">
        <w:t>east</w:t>
      </w:r>
      <w:r w:rsidR="00732F22" w:rsidRPr="00721F05">
        <w:t>,</w:t>
      </w:r>
      <w:r w:rsidR="00792B01" w:rsidRPr="00721F05">
        <w:t xml:space="preserve"> </w:t>
      </w:r>
      <w:r w:rsidR="008834FE">
        <w:t>sometimes reproduce</w:t>
      </w:r>
      <w:r w:rsidR="00792B01" w:rsidRPr="00721F05">
        <w:t xml:space="preserve"> sex</w:t>
      </w:r>
      <w:r w:rsidR="008834FE">
        <w:t>ually</w:t>
      </w:r>
      <w:r w:rsidR="00792B01" w:rsidRPr="00721F05">
        <w:t xml:space="preserve"> when two cells in</w:t>
      </w:r>
      <w:r w:rsidR="00732F22" w:rsidRPr="00721F05">
        <w:t xml:space="preserve"> a</w:t>
      </w:r>
      <w:r w:rsidR="00792B01" w:rsidRPr="00721F05">
        <w:t xml:space="preserve"> haploid state (spores) with opposite mating types mate to produce a diploid cell</w:t>
      </w:r>
      <w:r w:rsidR="00E65D1C" w:rsidRPr="00721F05">
        <w:t xml:space="preserve"> [REF].</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630519">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630519">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630519">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630519">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630519">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630519">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630519">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630519">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630519">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630519">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"01",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"(Smith and Haigh 2009; Taddei et al. 1997; Charlesworth 2007)" }, "properties" : { "noteIndex" : 0 }, "schema" : "https://github.com/citation-style-language/schema/raw/master/csl-citation.json" }</w:instrText>
      </w:r>
      <w:r w:rsidRPr="00721F05">
        <w:fldChar w:fldCharType="separate"/>
      </w:r>
      <w:r w:rsidR="00630519" w:rsidRPr="00630519">
        <w:rPr>
          <w:noProof/>
        </w:rPr>
        <w:t>(Smith and Haigh 2009; Taddei et al. 1997; Charlesworth 2007)</w:t>
      </w:r>
      <w:r w:rsidRPr="00721F05">
        <w:fldChar w:fldCharType="end"/>
      </w:r>
      <w:r w:rsidR="00630519">
        <w:t xml:space="preserve">, even if those mutations were originally deleterious when generated </w:t>
      </w:r>
      <w:r w:rsidR="00630519">
        <w:fldChar w:fldCharType="begin" w:fldLock="1"/>
      </w:r>
      <w:r w:rsidR="0063051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630519">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630519">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E56CE3">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r w:rsidR="00C861BA" w:rsidRPr="00721F05">
        <w:rPr>
          <w:rFonts w:asciiTheme="minorHAnsi" w:hAnsiTheme="minorHAnsi"/>
        </w:rPr>
        <w:t>(</w:t>
      </w:r>
      <w:r w:rsidR="00CA06B1" w:rsidRPr="00721F05">
        <w:rPr>
          <w:rFonts w:asciiTheme="minorHAnsi" w:hAnsiTheme="minorHAnsi"/>
        </w:rPr>
        <w:t>and sir</w:t>
      </w:r>
      <w:proofErr w:type="gramStart"/>
      <w:r w:rsidR="00CA06B1" w:rsidRPr="00721F05">
        <w:rPr>
          <w:rFonts w:asciiTheme="minorHAnsi" w:hAnsiTheme="minorHAnsi"/>
        </w:rPr>
        <w:t xml:space="preserve">? </w:t>
      </w:r>
      <w:r w:rsidR="00C861BA" w:rsidRPr="00721F05">
        <w:rPr>
          <w:rFonts w:asciiTheme="minorHAnsi" w:hAnsiTheme="minorHAnsi"/>
        </w:rPr>
        <w:t>)</w:t>
      </w:r>
      <w:bookmarkEnd w:id="8"/>
      <w:proofErr w:type="gramEnd"/>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7369B1" w:rsidP="0036194A">
      <w:r w:rsidRPr="00721F05">
        <w:t>We show that (</w:t>
      </w:r>
      <w:proofErr w:type="spellStart"/>
      <w:r w:rsidRPr="00721F05">
        <w:t>i</w:t>
      </w:r>
      <w:proofErr w:type="spellEnd"/>
      <w:r w:rsidRPr="00721F05">
        <w:t xml:space="preserve">) </w:t>
      </w:r>
      <w:r w:rsidR="00636CE6" w:rsidRPr="00721F05">
        <w:t>mutators</w:t>
      </w:r>
      <w:r w:rsidRPr="00721F05">
        <w:t xml:space="preserve"> </w:t>
      </w:r>
      <w:r w:rsidR="0036194A">
        <w:t>are</w:t>
      </w:r>
      <w:r w:rsidRPr="00721F05">
        <w:t xml:space="preserve"> favored by selection if environmental changes are frequent and recombination is weaker than mutation; (ii) when </w:t>
      </w:r>
      <w:r w:rsidR="00636CE6" w:rsidRPr="00721F05">
        <w:t>mutators</w:t>
      </w:r>
      <w:r w:rsidRPr="00721F05">
        <w:t xml:space="preserve"> </w:t>
      </w:r>
      <w:r w:rsidR="00636CE6" w:rsidRPr="00721F05">
        <w:t>are</w:t>
      </w:r>
      <w:r w:rsidRPr="00721F05">
        <w:t xml:space="preserve"> advantageous, stress-induced mutators are favored over constitutive mutators; (iii) stress-induced mutators can be favored even when </w:t>
      </w:r>
      <w:r w:rsidR="0036194A">
        <w:t>constitutive mutators are not</w:t>
      </w:r>
      <w:r w:rsidRPr="00721F05">
        <w:t xml:space="preserve">; (iv) recombination reduces the selection for mutators primarily by disrupting the "hitch-hiking effect" rather than by the "Fisher-Muller effect"; and (v) if recombination is also stress-induced, </w:t>
      </w:r>
      <w:r w:rsidR="00636CE6" w:rsidRPr="00721F05">
        <w:t>mutators are</w:t>
      </w:r>
      <w:r w:rsidRPr="00721F05">
        <w:t xml:space="preserve"> still favored in rapidly changing environments, and stress-induced mutators are still favored over constitutive mutators.</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 xml:space="preserve">We use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 xml:space="preserve">The fitness loci are bi-allelic - the alleles are marked by 0 and 1. The fitness of an individual is calculated by comparing the alleles at these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with </w:t>
      </w:r>
      <w:r w:rsidRPr="00721F05">
        <w:rPr>
          <w:i/>
        </w:rPr>
        <w:t>s</w:t>
      </w:r>
      <w:r w:rsidRPr="00721F05">
        <w:rPr>
          <w:iCs/>
        </w:rPr>
        <w:t xml:space="preserve"> as the selection coefficient. </w:t>
      </w:r>
      <w:r w:rsidR="00CB434A" w:rsidRPr="00721F05">
        <w:rPr>
          <w:iCs/>
        </w:rPr>
        <w:t xml:space="preserve">To model environmental changes, the optimal genome is changed by modifying the allele at several loci. The number of loci changed in each environmental change and </w:t>
      </w:r>
      <w:r w:rsidR="0036194A">
        <w:rPr>
          <w:iCs/>
        </w:rPr>
        <w:t xml:space="preserve">that </w:t>
      </w:r>
      <w:r w:rsidR="00CB434A" w:rsidRPr="00721F05">
        <w:rPr>
          <w:iCs/>
        </w:rPr>
        <w:t>probability that an environmental change will occur at a specific generation are parameters of the model.</w:t>
      </w:r>
    </w:p>
    <w:p w:rsidR="009A004F" w:rsidRPr="00721F05" w:rsidRDefault="00CC43BC" w:rsidP="00470AD2">
      <w:pPr>
        <w:rPr>
          <w:i/>
        </w:rPr>
      </w:pPr>
      <w:r w:rsidRPr="00721F05">
        <w:rPr>
          <w:iCs/>
        </w:rPr>
        <w:lastRenderedPageBreak/>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in the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number of allele conversions per genome per generation; the threshold 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 xml:space="preserve"> -fold.</w:t>
      </w:r>
      <w:r w:rsidR="00E56CE3" w:rsidRPr="00721F05">
        <w:rPr>
          <w:iCs/>
        </w:rPr>
        <w:t xml:space="preserve"> These modifiers allow us to model </w:t>
      </w:r>
      <w:r w:rsidR="004B2D79" w:rsidRPr="00721F05">
        <w:rPr>
          <w:iCs/>
        </w:rPr>
        <w:t xml:space="preserve">different mutation and recombination strategies – see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that we multiply </w:t>
      </w:r>
      <w:r w:rsidR="00470AD2">
        <w:t>the group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mutation/recombination rate as the mean of the distribution, the</w:t>
      </w:r>
      <w:r w:rsidR="00470AD2">
        <w:t>n</w:t>
      </w:r>
      <w:r w:rsidR="007B19C1" w:rsidRPr="00721F05">
        <w:t xml:space="preserve"> randomly choosing the loci that are about to be changed from a uniform distribution (only fitness loci are subject to mutation and recombination), and finally choosing the new allele in the changed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therefore the probability for a beneficial mutation)</w:t>
      </w:r>
      <w:r w:rsidR="007B19C1" w:rsidRPr="00721F05">
        <w:t>; recombination replaces the current allele with a randomly chosen one based on the frequency of each allele in the population.</w:t>
      </w:r>
    </w:p>
    <w:p w:rsidR="007B19C1" w:rsidRPr="00721F05" w:rsidRDefault="007B19C1" w:rsidP="00470AD2">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p>
    <w:p w:rsidR="00A77B3E" w:rsidRPr="00721F05" w:rsidRDefault="005055C2" w:rsidP="00E56CE3">
      <w:pPr>
        <w:pStyle w:val="Heading1"/>
        <w:rPr>
          <w:rFonts w:asciiTheme="minorHAnsi" w:hAnsiTheme="minorHAnsi"/>
        </w:rPr>
      </w:pPr>
      <w:bookmarkStart w:id="11" w:name="h.jhk69kxs5c9t"/>
      <w:bookmarkStart w:id="12" w:name="_Toc336511469"/>
      <w:bookmarkEnd w:id="11"/>
      <w:r w:rsidRPr="00721F05">
        <w:rPr>
          <w:rFonts w:asciiTheme="minorHAnsi" w:hAnsiTheme="minorHAnsi"/>
        </w:rPr>
        <w:t>Results</w:t>
      </w:r>
      <w:bookmarkEnd w:id="12"/>
    </w:p>
    <w:p w:rsidR="00310BF7" w:rsidRPr="00721F05" w:rsidRDefault="007F2309" w:rsidP="00E8137A">
      <w:r w:rsidRPr="00721F05">
        <w:t xml:space="preserve">We simulated competitions between different </w:t>
      </w:r>
      <w:r w:rsidR="00CB434A" w:rsidRPr="00721F05">
        <w:t>strategies (see Table 1)</w:t>
      </w:r>
      <w:r w:rsidRPr="00721F05">
        <w:t xml:space="preserve"> in populations of bacteria</w:t>
      </w:r>
      <w:r w:rsidR="00C40CFE" w:rsidRPr="00721F05">
        <w:t xml:space="preserve"> </w:t>
      </w:r>
      <w:r w:rsidRPr="00721F05">
        <w:t xml:space="preserve">experiencing changing environments. We estimated the fixation probability of </w:t>
      </w:r>
      <w:r w:rsidR="00C40CFE" w:rsidRPr="00721F05">
        <w:t>such</w:t>
      </w:r>
      <w:r w:rsidRPr="00721F05">
        <w:t xml:space="preserve"> </w:t>
      </w:r>
      <w:r w:rsidR="003A3923" w:rsidRPr="00721F05">
        <w:t xml:space="preserve">mutators </w:t>
      </w:r>
      <w:r w:rsidR="00C40CFE" w:rsidRPr="00721F05">
        <w:t>from</w:t>
      </w:r>
      <w:r w:rsidRPr="00721F05">
        <w:t xml:space="preserve"> the fraction of competitions in which </w:t>
      </w:r>
      <w:r w:rsidR="00C40CFE" w:rsidRPr="00721F05">
        <w:t>a</w:t>
      </w:r>
      <w:r w:rsidRPr="00721F05">
        <w:t xml:space="preserve"> </w:t>
      </w:r>
      <w:r w:rsidR="003A3923" w:rsidRPr="00721F05">
        <w:t xml:space="preserve">mutator </w:t>
      </w:r>
      <w:r w:rsidR="00C40CFE" w:rsidRPr="00721F05">
        <w:t xml:space="preserve">reached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In contrast, if </w:t>
      </w:r>
      <w:r w:rsidR="00FB03E2" w:rsidRPr="00721F05">
        <w:t>an allele</w:t>
      </w:r>
      <w:r w:rsidR="00C40CFE" w:rsidRPr="00721F05">
        <w:t xml:space="preserve"> is favore</w:t>
      </w:r>
      <w:r w:rsidR="0068460F" w:rsidRPr="00721F05">
        <w:t xml:space="preserve">d or disfavored by selection 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also measured the time for adaptation in populations homogenous at the modifier loci and the dynamics of mean, max, and min fitness during the adaptation process. </w:t>
      </w:r>
    </w:p>
    <w:p w:rsidR="0096305D" w:rsidRPr="00721F05" w:rsidRDefault="0096305D" w:rsidP="0096305D">
      <w:pPr>
        <w:pStyle w:val="Heading2"/>
        <w:rPr>
          <w:rFonts w:asciiTheme="minorHAnsi" w:hAnsiTheme="minorHAnsi"/>
        </w:rPr>
      </w:pPr>
      <w:r w:rsidRPr="00721F05">
        <w:rPr>
          <w:rFonts w:asciiTheme="minorHAnsi" w:hAnsiTheme="minorHAnsi"/>
        </w:rPr>
        <w:lastRenderedPageBreak/>
        <w:t>Evolution of SIM in the presence of recombination</w:t>
      </w:r>
    </w:p>
    <w:p w:rsidR="0096305D" w:rsidRPr="00721F05" w:rsidRDefault="0096305D" w:rsidP="00CB6A9A">
      <w:r w:rsidRPr="00721F05">
        <w:t xml:space="preserve">Previously, we showed that stress-induced mutators can invade asexual populations </w:t>
      </w:r>
      <w:r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721F05">
        <w:fldChar w:fldCharType="separate"/>
      </w:r>
      <w:r w:rsidRPr="00721F05">
        <w:rPr>
          <w:noProof/>
        </w:rPr>
        <w:t>(Ram and Hadany 2012)</w:t>
      </w:r>
      <w:r w:rsidRPr="00721F05">
        <w:fldChar w:fldCharType="end"/>
      </w:r>
      <w:r w:rsidRPr="00721F05">
        <w:t xml:space="preserve">. However, many microbe populations are not entirely asexual. The rates of horizontal gene transfer in bacteria greatly differ between different species and mechanisms, as does the rate of sex and recombination in yeast [REF]. </w:t>
      </w:r>
      <w:r w:rsidRPr="00721F05">
        <w:fldChar w:fldCharType="begin"/>
      </w:r>
      <w:r w:rsidRPr="00721F05">
        <w:instrText xml:space="preserve"> REF _Ref370053574 \h  \* MERGEFORMAT </w:instrText>
      </w:r>
      <w:r w:rsidRPr="00721F05">
        <w:fldChar w:fldCharType="separate"/>
      </w:r>
      <w:r w:rsidRPr="00721F05">
        <w:t>Figure 1</w:t>
      </w:r>
      <w:r w:rsidRPr="00721F05">
        <w:fldChar w:fldCharType="end"/>
      </w:r>
      <w:r w:rsidRPr="00721F05">
        <w:t xml:space="preserve"> shows the invasion success of constitutive (CM; red) and stress-induced mutators (SIM; green) under a wide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 SIM </w:t>
      </w:r>
      <w:r w:rsidR="00EC01A4" w:rsidRPr="00721F05">
        <w:t>can be favored by selection even in the presence of recombination</w:t>
      </w:r>
      <w:r w:rsidR="00CB6A9A" w:rsidRPr="00721F05">
        <w:t xml:space="preserve"> and even when CM is disadvantageous</w:t>
      </w:r>
      <w:r w:rsidR="00EC01A4" w:rsidRPr="00721F05">
        <w:t>.</w:t>
      </w:r>
    </w:p>
    <w:p w:rsidR="002F40E4" w:rsidRDefault="007E056A" w:rsidP="002F40E4">
      <w:pPr>
        <w:jc w:val="center"/>
      </w:pPr>
      <w:r>
        <w:rPr>
          <w:noProof/>
        </w:rPr>
        <w:drawing>
          <wp:inline distT="0" distB="0" distL="0" distR="0">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bookmarkStart w:id="13" w:name="_GoBack"/>
      <w:bookmarkEnd w:id="13"/>
    </w:p>
    <w:p w:rsidR="002F40E4" w:rsidRDefault="002F40E4" w:rsidP="00D612CB">
      <w:pPr>
        <w:pStyle w:val="Caption"/>
        <w:jc w:val="center"/>
      </w:pPr>
      <w:bookmarkStart w:id="14" w:name="h.pb2tvb9wvzww"/>
      <w:bookmarkStart w:id="15" w:name="_Ref370053574"/>
      <w:bookmarkStart w:id="16" w:name="_Toc336511473"/>
      <w:bookmarkEnd w:id="14"/>
      <w:r w:rsidRPr="00721F05">
        <w:t xml:space="preserve">Figure </w:t>
      </w:r>
      <w:fldSimple w:instr=" SEQ Figure \* ARABIC ">
        <w:r w:rsidR="003012BC">
          <w:rPr>
            <w:noProof/>
          </w:rPr>
          <w:t>1</w:t>
        </w:r>
      </w:fldSimple>
      <w:bookmarkEnd w:id="15"/>
      <w:r w:rsidRPr="00721F05">
        <w:t xml:space="preserve"> </w:t>
      </w:r>
      <w:r w:rsidR="00D612CB">
        <w:t xml:space="preserve">- </w:t>
      </w:r>
      <w:r w:rsidR="00D612CB" w:rsidRPr="00D612CB">
        <w:t>invasion_SIMvsCM_pop_1e6_2014-02-23</w:t>
      </w:r>
    </w:p>
    <w:p w:rsidR="002F40E4" w:rsidRDefault="002F40E4" w:rsidP="000151FE"/>
    <w:p w:rsidR="00D612CB" w:rsidRDefault="00472A91" w:rsidP="00D612CB">
      <w:r w:rsidRPr="00721F05">
        <w:t xml:space="preserve">What is the source of the advantage to SIM that is not shared by CM? </w:t>
      </w:r>
      <w:r w:rsidR="00D612CB">
        <w:fldChar w:fldCharType="begin"/>
      </w:r>
      <w:r w:rsidR="00D612CB">
        <w:instrText xml:space="preserve"> REF _Ref381104804 \h </w:instrText>
      </w:r>
      <w:r w:rsidR="00D612CB">
        <w:fldChar w:fldCharType="separate"/>
      </w:r>
      <w:r w:rsidR="00D612CB">
        <w:t xml:space="preserve">Figure </w:t>
      </w:r>
      <w:r w:rsidR="00D612CB">
        <w:rPr>
          <w:noProof/>
        </w:rPr>
        <w:t>2</w:t>
      </w:r>
      <w:r w:rsidR="00D612CB">
        <w:fldChar w:fldCharType="end"/>
      </w:r>
      <w:r w:rsidR="00D612CB">
        <w:t xml:space="preserve"> shows that when 9 out of 10 mutations are deleterious (β=0.1; left panel) SIM (solid blue lines) has a higher fixation </w:t>
      </w:r>
      <w:r w:rsidR="00D612CB">
        <w:lastRenderedPageBreak/>
        <w:t>probability than CM (dashed red lines). However, when all mutations are beneficial (β=1; right panel), there is no difference between SIM and CM. Therefore, if there are no deleterious mutations, there is no difference between CM and SIM – therefore we conclude that the advantage of SIM over CM is that it doesn't generate as much deleterious mutations – due to lower mutation rates in adapted individuals. Alternatively, the reason could be that SIM purges deleterious mutations more successfully than CM due to an unknown factor.</w:t>
      </w:r>
    </w:p>
    <w:p w:rsidR="00D612CB" w:rsidRDefault="0051712D" w:rsidP="00D612CB">
      <w:pPr>
        <w:keepNext/>
        <w:jc w:val="center"/>
      </w:pPr>
      <w:r>
        <w:rPr>
          <w:noProof/>
        </w:rPr>
        <w:drawing>
          <wp:inline distT="0" distB="0" distL="0" distR="0" wp14:anchorId="2B67676D" wp14:editId="38F79AF6">
            <wp:extent cx="3657600" cy="5486400"/>
            <wp:effectExtent l="0" t="0" r="0" b="0"/>
            <wp:docPr id="9" name="Picture 9" descr="D:\workspace\mamba\simarba\analysis\invasion_SIMvsCMvsNM_pop_1e5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pace\mamba\simarba\analysis\invasion_SIMvsCMvsNM_pop_1e5_2014-02-2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D612CB" w:rsidRDefault="00D612CB" w:rsidP="00D612CB">
      <w:pPr>
        <w:pStyle w:val="Caption"/>
        <w:jc w:val="center"/>
      </w:pPr>
      <w:bookmarkStart w:id="17" w:name="_Ref381104804"/>
      <w:r>
        <w:t xml:space="preserve">Figure </w:t>
      </w:r>
      <w:fldSimple w:instr=" SEQ Figure \* ARABIC ">
        <w:r w:rsidR="003012BC">
          <w:rPr>
            <w:noProof/>
          </w:rPr>
          <w:t>2</w:t>
        </w:r>
      </w:fldSimple>
      <w:bookmarkEnd w:id="17"/>
      <w:r>
        <w:t xml:space="preserve"> - </w:t>
      </w:r>
      <w:r w:rsidRPr="00D612CB">
        <w:t>invasion_SIMvsCMvsNM_pop_1e5_2014-02-23</w:t>
      </w:r>
    </w:p>
    <w:p w:rsidR="0051712D" w:rsidRDefault="0051712D" w:rsidP="0051712D"/>
    <w:p w:rsidR="0051712D" w:rsidRDefault="00BE3F10" w:rsidP="00810973">
      <w:r>
        <w:t>The effect of population size on the dynamics is explored in Figure 3. As the population size increases (from left to right) the effect of recombination on the fixation probability is stronger: with 10</w:t>
      </w:r>
      <w:r>
        <w:rPr>
          <w:vertAlign w:val="superscript"/>
        </w:rPr>
        <w:t>5</w:t>
      </w:r>
      <w:r>
        <w:t xml:space="preserve"> individuals</w:t>
      </w:r>
      <w:r w:rsidR="00810973">
        <w:t xml:space="preserve"> (left column)</w:t>
      </w:r>
      <w:r>
        <w:t>, recombination only mildly affects the fixation probabilities with τ=10</w:t>
      </w:r>
      <w:r w:rsidR="00810973">
        <w:t xml:space="preserve"> (bottom row)</w:t>
      </w:r>
      <w:r>
        <w:t>; with 10</w:t>
      </w:r>
      <w:r>
        <w:rPr>
          <w:vertAlign w:val="superscript"/>
        </w:rPr>
        <w:t>7</w:t>
      </w:r>
      <w:r>
        <w:t xml:space="preserve"> individuals </w:t>
      </w:r>
      <w:r w:rsidR="00810973">
        <w:t xml:space="preserve">(right column) </w:t>
      </w:r>
      <w:r>
        <w:t>recombination has a very significant effect. For example, the fixation probability of SIM</w:t>
      </w:r>
      <w:r w:rsidR="00810973">
        <w:t xml:space="preserve"> (solid blue)</w:t>
      </w:r>
      <w:r>
        <w:t xml:space="preserve"> with τ=5</w:t>
      </w:r>
      <w:r w:rsidR="00810973">
        <w:t xml:space="preserve"> (middle row)</w:t>
      </w:r>
      <w:r>
        <w:t xml:space="preserve"> and N=10</w:t>
      </w:r>
      <w:r>
        <w:rPr>
          <w:vertAlign w:val="superscript"/>
        </w:rPr>
        <w:t>7</w:t>
      </w:r>
      <w:r>
        <w:t xml:space="preserve"> </w:t>
      </w:r>
      <w:r w:rsidR="00810973">
        <w:t xml:space="preserve">(right column) </w:t>
      </w:r>
      <w:r>
        <w:lastRenderedPageBreak/>
        <w:t xml:space="preserve">decreases from </w:t>
      </w:r>
      <w:r w:rsidR="00810973">
        <w:t>≈</w:t>
      </w:r>
      <w:r>
        <w:t xml:space="preserve">0.75 to </w:t>
      </w:r>
      <w:r w:rsidR="00810973">
        <w:t>≈</w:t>
      </w:r>
      <w:r>
        <w:t>0.31 when the recombination rate increases from 0 to 0.3, whereas there is no effect at all with N=10</w:t>
      </w:r>
      <w:r>
        <w:rPr>
          <w:vertAlign w:val="superscript"/>
        </w:rPr>
        <w:t>5</w:t>
      </w:r>
      <w:r w:rsidR="00810973">
        <w:t xml:space="preserve"> (left column)</w:t>
      </w:r>
      <w:r>
        <w:t>. This effect is similar for SIM and CM.</w:t>
      </w:r>
    </w:p>
    <w:p w:rsidR="0051712D" w:rsidRDefault="0051712D" w:rsidP="0051712D">
      <w:pPr>
        <w:keepNext/>
        <w:jc w:val="center"/>
      </w:pPr>
      <w:r>
        <w:rPr>
          <w:noProof/>
        </w:rPr>
        <w:drawing>
          <wp:inline distT="0" distB="0" distL="0" distR="0" wp14:anchorId="0E00AB75" wp14:editId="4ABE640C">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EQ Figure \* ARABIC ">
        <w:r w:rsidR="003012BC">
          <w:rPr>
            <w:noProof/>
          </w:rPr>
          <w:t>3</w:t>
        </w:r>
      </w:fldSimple>
      <w:r>
        <w:t xml:space="preserve"> - </w:t>
      </w:r>
      <w:r w:rsidRPr="0051712D">
        <w:t>invasion_SIMvsCMvsNM_pop_sizes_2014-02-23</w:t>
      </w:r>
    </w:p>
    <w:p w:rsidR="00EB25ED" w:rsidRDefault="00EB25ED" w:rsidP="000151FE">
      <w:pPr>
        <w:pStyle w:val="Heading2"/>
        <w:rPr>
          <w:rFonts w:asciiTheme="minorHAnsi" w:hAnsiTheme="minorHAnsi"/>
        </w:rPr>
      </w:pPr>
    </w:p>
    <w:p w:rsidR="000151FE" w:rsidRPr="00721F05" w:rsidRDefault="000151FE" w:rsidP="000151FE">
      <w:pPr>
        <w:pStyle w:val="Heading2"/>
        <w:rPr>
          <w:rFonts w:asciiTheme="minorHAnsi" w:hAnsiTheme="minorHAnsi"/>
        </w:rPr>
      </w:pPr>
      <w:r w:rsidRPr="00721F05">
        <w:rPr>
          <w:rFonts w:asciiTheme="minorHAnsi" w:hAnsiTheme="minorHAnsi"/>
        </w:rPr>
        <w:t xml:space="preserve">Co-evolution of mutators and </w:t>
      </w:r>
      <w:proofErr w:type="spellStart"/>
      <w:r w:rsidRPr="00721F05">
        <w:rPr>
          <w:rFonts w:asciiTheme="minorHAnsi" w:hAnsiTheme="minorHAnsi"/>
        </w:rPr>
        <w:t>recombinators</w:t>
      </w:r>
      <w:proofErr w:type="spellEnd"/>
    </w:p>
    <w:p w:rsidR="000151FE" w:rsidRDefault="00CD0D70" w:rsidP="00810973">
      <w:r>
        <w:t>Figure 4 shows results of simulations of competitions between alleles which modify the recombination rate – "</w:t>
      </w:r>
      <w:proofErr w:type="spellStart"/>
      <w:r>
        <w:t>recombinator</w:t>
      </w:r>
      <w:proofErr w:type="spellEnd"/>
      <w:r>
        <w:t xml:space="preserve">" alleles. Both </w:t>
      </w:r>
      <w:r w:rsidR="000151FE" w:rsidRPr="00721F05">
        <w:t>constitutive</w:t>
      </w:r>
      <w:r>
        <w:t xml:space="preserve"> </w:t>
      </w:r>
      <w:proofErr w:type="spellStart"/>
      <w:r>
        <w:t>recombinators</w:t>
      </w:r>
      <w:proofErr w:type="spellEnd"/>
      <w:r>
        <w:t xml:space="preserve"> (CR</w:t>
      </w:r>
      <w:r w:rsidR="00810973">
        <w:t>; dashed red</w:t>
      </w:r>
      <w:r>
        <w:t xml:space="preserve">) and stress-induced </w:t>
      </w:r>
      <w:proofErr w:type="spellStart"/>
      <w:r>
        <w:t>recombinators</w:t>
      </w:r>
      <w:proofErr w:type="spellEnd"/>
      <w:r>
        <w:t xml:space="preserve"> </w:t>
      </w:r>
      <w:r w:rsidR="000151FE" w:rsidRPr="00721F05">
        <w:t>(SIR</w:t>
      </w:r>
      <w:r w:rsidR="00810973">
        <w:t>; solid blue</w:t>
      </w:r>
      <w:r w:rsidR="000151FE" w:rsidRPr="00721F05">
        <w:t>)</w:t>
      </w:r>
      <w:r>
        <w:t xml:space="preserve"> win competitions against wildtype, and their advantage increases with the baseline recombination rate and the population size</w:t>
      </w:r>
      <w:r w:rsidR="000151FE" w:rsidRPr="00721F05">
        <w:t xml:space="preserve">. </w:t>
      </w:r>
    </w:p>
    <w:p w:rsidR="00CD0D70" w:rsidRDefault="00810973" w:rsidP="00CD0D70">
      <w:pPr>
        <w:keepNext/>
        <w:jc w:val="center"/>
      </w:pPr>
      <w:r>
        <w:rPr>
          <w:noProof/>
        </w:rPr>
        <w:lastRenderedPageBreak/>
        <w:drawing>
          <wp:inline distT="0" distB="0" distL="0" distR="0" wp14:anchorId="0510F136" wp14:editId="760257B7">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fldSimple w:instr=" SEQ Figure \* ARABIC ">
        <w:r w:rsidR="003012BC">
          <w:rPr>
            <w:noProof/>
          </w:rPr>
          <w:t>4</w:t>
        </w:r>
      </w:fldSimple>
      <w:r>
        <w:t xml:space="preserve"> - </w:t>
      </w:r>
      <w:r w:rsidRPr="00CD0D70">
        <w:t>invasion_SIRvsCR_pop_sizes_2014-02-26</w:t>
      </w:r>
    </w:p>
    <w:p w:rsidR="00CD0D70" w:rsidRDefault="00CD0D70" w:rsidP="00CD0D70"/>
    <w:p w:rsidR="00CD0D70" w:rsidRDefault="003012BC" w:rsidP="003012BC">
      <w:r>
        <w:t>When a modifier allele affects both the mutation and the recombination rate, there is a more complex dynamic (Figure 5). For a smaller population size (10</w:t>
      </w:r>
      <w:r>
        <w:rPr>
          <w:vertAlign w:val="superscript"/>
        </w:rPr>
        <w:t>5</w:t>
      </w:r>
      <w:r>
        <w:t xml:space="preserve">), SIM (with NR, CR or SIR) is the most successful, and if </w:t>
      </w:r>
      <w:proofErr w:type="gramStart"/>
      <w:r>
        <w:t>its</w:t>
      </w:r>
      <w:proofErr w:type="gramEnd"/>
      <w:r>
        <w:t xml:space="preserve"> combined with a </w:t>
      </w:r>
      <w:proofErr w:type="spellStart"/>
      <w:r>
        <w:t>recombinator</w:t>
      </w:r>
      <w:proofErr w:type="spellEnd"/>
      <w:r>
        <w:t xml:space="preserve"> (CR or SIR) its success increases with the baseline recombination rate. For a larger population size (10</w:t>
      </w:r>
      <w:r>
        <w:rPr>
          <w:vertAlign w:val="superscript"/>
        </w:rPr>
        <w:t>6</w:t>
      </w:r>
      <w:r>
        <w:t xml:space="preserve">), this advantage of SIM over NM diminishes, and it is as good as NM with a </w:t>
      </w:r>
      <w:proofErr w:type="spellStart"/>
      <w:r>
        <w:t>recombinator</w:t>
      </w:r>
      <w:proofErr w:type="spellEnd"/>
      <w:r>
        <w:t xml:space="preserve"> and worse without one. However, CM is always less successful then SIM and NM. </w:t>
      </w:r>
    </w:p>
    <w:p w:rsidR="003012BC" w:rsidRDefault="003012BC" w:rsidP="003012BC">
      <w:pPr>
        <w:keepNext/>
        <w:jc w:val="center"/>
      </w:pPr>
      <w:r>
        <w:rPr>
          <w:noProof/>
        </w:rPr>
        <w:lastRenderedPageBreak/>
        <w:drawing>
          <wp:inline distT="0" distB="0" distL="0" distR="0" wp14:anchorId="52EC0309" wp14:editId="433D5E57">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Pr="003012BC" w:rsidRDefault="003012BC" w:rsidP="003012BC">
      <w:pPr>
        <w:pStyle w:val="Caption"/>
        <w:jc w:val="center"/>
      </w:pPr>
      <w:r>
        <w:t xml:space="preserve">Figure </w:t>
      </w:r>
      <w:fldSimple w:instr=" SEQ Figure \* ARABIC ">
        <w:r>
          <w:rPr>
            <w:noProof/>
          </w:rPr>
          <w:t>5</w:t>
        </w:r>
      </w:fldSimple>
      <w:r>
        <w:t xml:space="preserve"> - </w:t>
      </w:r>
      <w:r w:rsidRPr="003012BC">
        <w:t>invasion_combined_tau_5_pop_sizes_2014-02-26</w:t>
      </w:r>
    </w:p>
    <w:p w:rsidR="00A77B3E" w:rsidRPr="00721F05" w:rsidRDefault="005055C2" w:rsidP="00E56CE3">
      <w:pPr>
        <w:pStyle w:val="Heading1"/>
        <w:rPr>
          <w:rFonts w:asciiTheme="minorHAnsi" w:hAnsiTheme="minorHAnsi"/>
        </w:rPr>
      </w:pPr>
      <w:r w:rsidRPr="00721F05">
        <w:rPr>
          <w:rFonts w:asciiTheme="minorHAnsi" w:hAnsiTheme="minorHAnsi"/>
        </w:rPr>
        <w:t>Discussion</w:t>
      </w:r>
      <w:bookmarkEnd w:id="16"/>
    </w:p>
    <w:p w:rsidR="00451CA6" w:rsidRPr="00721F05" w:rsidRDefault="00451CA6" w:rsidP="00E56CE3"/>
    <w:p w:rsidR="0071707E" w:rsidRPr="00721F05" w:rsidRDefault="0071707E" w:rsidP="00E56CE3">
      <w:r w:rsidRPr="00721F05">
        <w:t xml:space="preserve">The consequences of stress-induced mutation and recombination go well beyond discussions of evolutionary theory and population genetics. Pathogens have been shown to acquire drug-resistance via stress-induced mechanisms </w:t>
      </w:r>
      <w:r w:rsidRPr="00721F05">
        <w:fldChar w:fldCharType="begin" w:fldLock="1"/>
      </w:r>
      <w:r w:rsidR="00630519">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721F05">
        <w:fldChar w:fldCharType="separate"/>
      </w:r>
      <w:r w:rsidRPr="00721F05">
        <w:rPr>
          <w:noProof/>
        </w:rPr>
        <w:t>(Cirz and Romesberg 2007; Cirz et al. 2005)</w:t>
      </w:r>
      <w:r w:rsidRPr="00721F05">
        <w:fldChar w:fldCharType="end"/>
      </w:r>
      <w:r w:rsidRPr="00721F05">
        <w:t xml:space="preserve">, and this has an important implication for the design of antibiotic treatment strategies </w:t>
      </w:r>
      <w:r w:rsidRPr="00721F05">
        <w:fldChar w:fldCharType="begin" w:fldLock="1"/>
      </w:r>
      <w:r w:rsidR="00630519">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721F05">
        <w:fldChar w:fldCharType="separate"/>
      </w:r>
      <w:r w:rsidRPr="00721F05">
        <w:rPr>
          <w:noProof/>
        </w:rPr>
        <w:t>(Obolski and Hadany 2012)</w:t>
      </w:r>
      <w:r w:rsidRPr="00721F05">
        <w:fldChar w:fldCharType="end"/>
      </w:r>
      <w:r w:rsidRPr="00721F05">
        <w:t xml:space="preserve"> and pesticide application </w:t>
      </w:r>
      <w:r w:rsidRPr="00721F05">
        <w:fldChar w:fldCharType="begin" w:fldLock="1"/>
      </w:r>
      <w:r w:rsidR="00630519">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721F05">
        <w:fldChar w:fldCharType="separate"/>
      </w:r>
      <w:r w:rsidRPr="00721F05">
        <w:rPr>
          <w:noProof/>
        </w:rPr>
        <w:t>(Gressel 2011)</w:t>
      </w:r>
      <w:r w:rsidRPr="00721F05">
        <w:fldChar w:fldCharType="end"/>
      </w:r>
      <w:r w:rsidRPr="00721F05">
        <w:t xml:space="preserve">. </w:t>
      </w:r>
      <w:r w:rsidRPr="00721F05">
        <w:rPr>
          <w:highlight w:val="red"/>
        </w:rPr>
        <w:t xml:space="preserve">Virulence </w:t>
      </w:r>
      <w:r w:rsidRPr="00721F05">
        <w:rPr>
          <w:highlight w:val="red"/>
        </w:rPr>
        <w:fldChar w:fldCharType="begin" w:fldLock="1"/>
      </w:r>
      <w:r w:rsidR="00630519">
        <w:rPr>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21F05">
        <w:rPr>
          <w:highlight w:val="red"/>
        </w:rPr>
        <w:fldChar w:fldCharType="separate"/>
      </w:r>
      <w:r w:rsidRPr="00721F05">
        <w:rPr>
          <w:noProof/>
          <w:highlight w:val="red"/>
        </w:rPr>
        <w:t>(Ubeda et al. 2005)</w:t>
      </w:r>
      <w:r w:rsidRPr="00721F05">
        <w:rPr>
          <w:highlight w:val="red"/>
        </w:rPr>
        <w:fldChar w:fldCharType="end"/>
      </w:r>
      <w:r w:rsidRPr="00721F05">
        <w:rPr>
          <w:highlight w:val="red"/>
        </w:rPr>
        <w:t>?</w:t>
      </w:r>
      <w:r w:rsidRPr="00721F05">
        <w:t xml:space="preserve"> Similarly, chemotherapy and radiation are predicted to induce hypermutation in cancer cells, thereby promoting the acquisition of drug-resistance, cancer progression and metastasis </w:t>
      </w:r>
      <w:r w:rsidRPr="00721F05">
        <w:fldChar w:fldCharType="begin" w:fldLock="1"/>
      </w:r>
      <w:r w:rsidR="00630519">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"mendeley" : { "previouslyFormattedCitation" : "(Podlaha et al. 2012)" }, "properties" : { "noteIndex" : 0 }, "schema" : "https://github.com/citation-style-language/schema/raw/master/csl-citation.json" }</w:instrText>
      </w:r>
      <w:r w:rsidRPr="00721F05">
        <w:fldChar w:fldCharType="separate"/>
      </w:r>
      <w:r w:rsidRPr="00721F05">
        <w:rPr>
          <w:noProof/>
        </w:rPr>
        <w:t>(Podlaha et al. 2012)</w:t>
      </w:r>
      <w:r w:rsidRPr="00721F05">
        <w:fldChar w:fldCharType="end"/>
      </w:r>
      <w:r w:rsidRPr="00721F05">
        <w:t>. //to discussion</w:t>
      </w:r>
      <w:proofErr w:type="gramStart"/>
      <w:r w:rsidRPr="00721F05">
        <w:t>?/</w:t>
      </w:r>
      <w:proofErr w:type="gramEnd"/>
      <w:r w:rsidRPr="00721F05">
        <w:t>/</w:t>
      </w:r>
    </w:p>
    <w:p w:rsidR="00C861BA" w:rsidRPr="00721F05" w:rsidRDefault="00C861BA" w:rsidP="00E56CE3"/>
    <w:p w:rsidR="00C861BA" w:rsidRPr="00721F05" w:rsidRDefault="00C861BA" w:rsidP="00E56CE3">
      <w:pPr>
        <w:rPr>
          <w:rFonts w:eastAsia="Times New Roman"/>
        </w:rPr>
      </w:pPr>
      <w:r w:rsidRPr="00721F05">
        <w:lastRenderedPageBreak/>
        <w:t xml:space="preserve">The co-evolution of the rates of mutation and recombination has received some remarkable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630519">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They have shown that "</w:t>
      </w:r>
      <w:r w:rsidRPr="00721F05">
        <w:rPr>
          <w:rFonts w:eastAsia="Times New Roman"/>
          <w:i/>
          <w:iCs/>
        </w:rPr>
        <w:t>even rare genetic exchanges can lead to a large decrease in the probability of mutator fixation</w:t>
      </w:r>
      <w:r w:rsidRPr="00721F05">
        <w:rPr>
          <w:rFonts w:eastAsia="Times New Roman"/>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Pr="00721F05" w:rsidRDefault="00C861BA" w:rsidP="00E56CE3">
      <w:pPr>
        <w:rPr>
          <w:rFonts w:eastAsia="Times New Roman"/>
          <w:noProof/>
        </w:rPr>
      </w:pPr>
      <w:r w:rsidRPr="00721F05">
        <w:rPr>
          <w:rFonts w:eastAsia="Times New Roman"/>
        </w:rPr>
        <w:t xml:space="preserve">A different approach was taken by Levin and Cornejo </w:t>
      </w:r>
      <w:r w:rsidRPr="00721F05">
        <w:rPr>
          <w:rFonts w:eastAsia="Times New Roman"/>
        </w:rPr>
        <w:fldChar w:fldCharType="begin" w:fldLock="1"/>
      </w:r>
      <w:r w:rsidR="00630519">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721F05" w:rsidRDefault="00C861BA" w:rsidP="00E56CE3">
      <w:r w:rsidRPr="00721F05">
        <w:rPr>
          <w:highlight w:val="red"/>
        </w:rPr>
        <w:t xml:space="preserve">Sloan and </w:t>
      </w:r>
      <w:proofErr w:type="spellStart"/>
      <w:r w:rsidRPr="00721F05">
        <w:rPr>
          <w:highlight w:val="red"/>
        </w:rPr>
        <w:t>Panjeti</w:t>
      </w:r>
      <w:proofErr w:type="spellEnd"/>
    </w:p>
    <w:p w:rsidR="00C861BA" w:rsidRPr="00721F05" w:rsidRDefault="00C861BA" w:rsidP="00E56CE3"/>
    <w:p w:rsidR="00A77B3E" w:rsidRPr="00721F05" w:rsidRDefault="00451CA6" w:rsidP="00E56CE3">
      <w:r w:rsidRPr="00721F05">
        <w:t>Cost of fidelity – in competitions between CM and SIM this could have changed the picture, giving the CM a better fitness in the constant environment regime</w:t>
      </w:r>
    </w:p>
    <w:p w:rsidR="00E96D68" w:rsidRPr="00721F05" w:rsidRDefault="00E96D68" w:rsidP="00E56CE3"/>
    <w:p w:rsidR="00E96D68" w:rsidRPr="00721F05" w:rsidRDefault="00E96D68" w:rsidP="00E56CE3">
      <w:r w:rsidRPr="00721F05">
        <w:t xml:space="preserve">//Nevertheless, in a previous study we have shown that if mutation rates are increased in individuals with below average fitness and reduced in individuals with above average fitness, then the mutation load actually decreases </w:t>
      </w:r>
      <w:r w:rsidR="00DE534D"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721F05">
        <w:fldChar w:fldCharType="separate"/>
      </w:r>
      <w:r w:rsidRPr="00721F05">
        <w:rPr>
          <w:noProof/>
        </w:rPr>
        <w:t>(Ram and Hadany 2012)</w:t>
      </w:r>
      <w:r w:rsidR="00DE534D" w:rsidRPr="00721F05">
        <w:fldChar w:fldCharType="end"/>
      </w:r>
      <w:r w:rsidRPr="00721F05">
        <w:t>. //??</w:t>
      </w:r>
      <w:proofErr w:type="gramStart"/>
      <w:r w:rsidRPr="00721F05">
        <w:t>to</w:t>
      </w:r>
      <w:proofErr w:type="gramEnd"/>
      <w:r w:rsidRPr="00721F05">
        <w:t xml:space="preserve"> discussion??</w:t>
      </w:r>
    </w:p>
    <w:p w:rsidR="000E7665" w:rsidRPr="00721F05" w:rsidRDefault="000E7665" w:rsidP="00E56CE3"/>
    <w:p w:rsidR="000E7665" w:rsidRPr="00721F05" w:rsidRDefault="000E7665" w:rsidP="00E56CE3">
      <w:r w:rsidRPr="00721F05">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8737FF" w:rsidP="00E56CE3">
      <w:r w:rsidRPr="00721F05">
        <w:t xml:space="preserve">Recombination occurs by bacterial transformation </w:t>
      </w:r>
      <w:r w:rsidR="00DE534D" w:rsidRPr="00721F05">
        <w:fldChar w:fldCharType="begin" w:fldLock="1"/>
      </w:r>
      <w:r w:rsidR="00630519">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Pr="00721F05">
        <w:t xml:space="preserve">. This mechanism allows individual cells to recombine foreign DNA into their genome. Of the three known mechanisms for bacterial horizontal gene transfer (the other two being conjugation and transduction), </w:t>
      </w:r>
      <w:r w:rsidRPr="00721F05">
        <w:lastRenderedPageBreak/>
        <w:t xml:space="preserve">transformation is the only one actively regulated by the cells and the most likely to have evolved due to its adaptive properties </w:t>
      </w:r>
      <w:r w:rsidR="00DE534D" w:rsidRPr="00721F05">
        <w:fldChar w:fldCharType="begin" w:fldLock="1"/>
      </w:r>
      <w:r w:rsidR="00630519">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721F05">
        <w:fldChar w:fldCharType="separate"/>
      </w:r>
      <w:r w:rsidRPr="00721F05">
        <w:rPr>
          <w:noProof/>
        </w:rPr>
        <w:t>(Redfield 1993; Redfield, Schrag, and Dean 1997; Tenaillon et al. 2001; Matic, Taddei, and Radman 1996)</w:t>
      </w:r>
      <w:r w:rsidR="00DE534D" w:rsidRPr="00721F05">
        <w:fldChar w:fldCharType="end"/>
      </w:r>
      <w:r w:rsidRPr="00721F05">
        <w:t xml:space="preserve">. </w:t>
      </w:r>
    </w:p>
    <w:p w:rsidR="00C861BA" w:rsidRPr="00721F05" w:rsidRDefault="00C861BA" w:rsidP="00E56CE3"/>
    <w:p w:rsidR="008737FF" w:rsidRPr="00721F05" w:rsidRDefault="00C861BA" w:rsidP="00E56CE3">
      <w:r w:rsidRPr="00721F05">
        <w:t xml:space="preserve">Stress-induced recombination has been documented in bacteria </w:t>
      </w:r>
      <w:r w:rsidRPr="00721F05">
        <w:fldChar w:fldCharType="begin" w:fldLock="1"/>
      </w:r>
      <w:r w:rsidR="00630519">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721F05">
        <w:fldChar w:fldCharType="separate"/>
      </w:r>
      <w:r w:rsidRPr="00721F05">
        <w:rPr>
          <w:noProof/>
        </w:rPr>
        <w:t>(Beaber, Hochhut, and Waldor 2004; Prudhomme et al. 2006; Maiques et al. 2006)</w:t>
      </w:r>
      <w:r w:rsidRPr="00721F05">
        <w:fldChar w:fldCharType="end"/>
      </w:r>
      <w:r w:rsidRPr="00721F05">
        <w:t xml:space="preserve">, yeast </w:t>
      </w:r>
      <w:r w:rsidRPr="00721F05">
        <w:fldChar w:fldCharType="begin" w:fldLock="1"/>
      </w:r>
      <w:r w:rsidR="00630519">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721F05">
        <w:fldChar w:fldCharType="separate"/>
      </w:r>
      <w:r w:rsidRPr="00721F05">
        <w:rPr>
          <w:noProof/>
        </w:rPr>
        <w:t>(Abdullah and Borts 2001)</w:t>
      </w:r>
      <w:r w:rsidRPr="00721F05">
        <w:fldChar w:fldCharType="end"/>
      </w:r>
      <w:r w:rsidRPr="00721F05">
        <w:t xml:space="preserve">, plants </w:t>
      </w:r>
      <w:r w:rsidRPr="00721F05">
        <w:fldChar w:fldCharType="begin" w:fldLock="1"/>
      </w:r>
      <w:r w:rsidR="00630519">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721F05">
        <w:fldChar w:fldCharType="separate"/>
      </w:r>
      <w:r w:rsidRPr="00721F05">
        <w:rPr>
          <w:noProof/>
        </w:rPr>
        <w:t>(Lucht et al. 2002; Yao and Kovalchuk 2011)</w:t>
      </w:r>
      <w:r w:rsidRPr="00721F05">
        <w:fldChar w:fldCharType="end"/>
      </w:r>
      <w:r w:rsidRPr="00721F05">
        <w:t xml:space="preserve">, and flies </w:t>
      </w:r>
      <w:r w:rsidRPr="00721F05">
        <w:fldChar w:fldCharType="begin" w:fldLock="1"/>
      </w:r>
      <w:r w:rsidR="00630519">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721F05">
        <w:fldChar w:fldCharType="separate"/>
      </w:r>
      <w:r w:rsidRPr="00721F05">
        <w:rPr>
          <w:noProof/>
        </w:rPr>
        <w:t>(Parsons 1988; Zhong and Priest 2010; Tedman-Aucoin and Agrawal 2012)</w:t>
      </w:r>
      <w:r w:rsidRPr="00721F05">
        <w:fldChar w:fldCharType="end"/>
      </w:r>
      <w:r w:rsidRPr="00721F05">
        <w:t>.</w:t>
      </w:r>
    </w:p>
    <w:p w:rsidR="007369B1" w:rsidRPr="00721F05" w:rsidRDefault="007369B1" w:rsidP="00E56CE3">
      <w:r w:rsidRPr="00721F05">
        <w:t>stress-</w:t>
      </w:r>
      <w:proofErr w:type="gramStart"/>
      <w:r w:rsidRPr="00721F05">
        <w:t>induced  combined</w:t>
      </w:r>
      <w:proofErr w:type="gramEnd"/>
      <w:r w:rsidRPr="00721F05">
        <w:t xml:space="preserve"> modifiers, which modify both the mutation and the recombination rate, provide the optimal strategy in comparison with other evolutionary strategies studied here (see </w:t>
      </w:r>
      <w:r w:rsidRPr="00721F05">
        <w:fldChar w:fldCharType="begin"/>
      </w:r>
      <w:r w:rsidRPr="00721F05">
        <w:instrText xml:space="preserve"> REF _Ref332543851 \h  \* MERGEFORMAT </w:instrText>
      </w:r>
      <w:r w:rsidRPr="00721F05">
        <w:fldChar w:fldCharType="separate"/>
      </w:r>
      <w:r w:rsidRPr="00721F05">
        <w:t>Table 1</w:t>
      </w:r>
      <w:r w:rsidRPr="00721F05">
        <w:fldChar w:fldCharType="end"/>
      </w:r>
      <w:r w:rsidRPr="00721F05">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721F05">
        <w:fldChar w:fldCharType="begin" w:fldLock="1"/>
      </w:r>
      <w:r w:rsidR="00630519">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721F05">
        <w:fldChar w:fldCharType="separate"/>
      </w:r>
      <w:r w:rsidRPr="00721F05">
        <w:rPr>
          <w:noProof/>
        </w:rPr>
        <w:t>(Torkelson et al. 1997; Velkov 1999; Bull et al. 2000)</w:t>
      </w:r>
      <w:r w:rsidRPr="00721F05">
        <w:fldChar w:fldCharType="end"/>
      </w:r>
      <w:r w:rsidRPr="00721F05">
        <w:t>.</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Pr="00721F05">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Pr="00721F05" w:rsidRDefault="003A4706" w:rsidP="00E56CE3">
      <w:pPr>
        <w:pStyle w:val="NoSpacing"/>
        <w:spacing w:line="360" w:lineRule="auto"/>
        <w:divId w:val="1620528373"/>
        <w:rPr>
          <w:sz w:val="20"/>
          <w:szCs w:val="20"/>
        </w:rPr>
      </w:pPr>
    </w:p>
    <w:sectPr w:rsidR="003A4706" w:rsidRPr="00721F05" w:rsidSect="00503D02">
      <w:headerReference w:type="even" r:id="rId14"/>
      <w:headerReference w:type="default" r:id="rId15"/>
      <w:footerReference w:type="even"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5D2" w:rsidRDefault="005805D2" w:rsidP="00684BC6">
      <w:r>
        <w:separator/>
      </w:r>
    </w:p>
  </w:endnote>
  <w:endnote w:type="continuationSeparator" w:id="0">
    <w:p w:rsidR="005805D2" w:rsidRDefault="005805D2"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EB25ED" w:rsidRDefault="00EB25ED" w:rsidP="00684BC6">
        <w:pPr>
          <w:pStyle w:val="Footer"/>
        </w:pPr>
        <w:r>
          <w:fldChar w:fldCharType="begin"/>
        </w:r>
        <w:r>
          <w:instrText xml:space="preserve"> PAGE   \* MERGEFORMAT </w:instrText>
        </w:r>
        <w:r>
          <w:fldChar w:fldCharType="separate"/>
        </w:r>
        <w:r w:rsidR="007E056A">
          <w:rPr>
            <w:noProof/>
          </w:rPr>
          <w:t>10</w:t>
        </w:r>
        <w:r>
          <w:rPr>
            <w:noProof/>
          </w:rPr>
          <w:fldChar w:fldCharType="end"/>
        </w:r>
      </w:p>
    </w:sdtContent>
  </w:sdt>
  <w:p w:rsidR="00EB25ED" w:rsidRDefault="00EB25ED"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r>
      <w:fldChar w:fldCharType="begin"/>
    </w:r>
    <w:r>
      <w:instrText>PAGE</w:instrText>
    </w:r>
    <w:r>
      <w:fldChar w:fldCharType="separate"/>
    </w:r>
    <w:r w:rsidR="007E056A">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5D2" w:rsidRDefault="005805D2" w:rsidP="00684BC6">
      <w:r>
        <w:separator/>
      </w:r>
    </w:p>
  </w:footnote>
  <w:footnote w:type="continuationSeparator" w:id="0">
    <w:p w:rsidR="005805D2" w:rsidRDefault="005805D2"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fldChar w:fldCharType="begin"/>
    </w:r>
    <w:r>
      <w:instrText xml:space="preserve"> DATE \@ "MMMM d, yyyy" </w:instrText>
    </w:r>
    <w:r>
      <w:fldChar w:fldCharType="separate"/>
    </w:r>
    <w:r>
      <w:rPr>
        <w:noProof/>
      </w:rPr>
      <w:t>February 25,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C4E74"/>
    <w:rsid w:val="000E1F6B"/>
    <w:rsid w:val="000E3774"/>
    <w:rsid w:val="000E7665"/>
    <w:rsid w:val="00107AA3"/>
    <w:rsid w:val="00127F03"/>
    <w:rsid w:val="0015245B"/>
    <w:rsid w:val="00165EA3"/>
    <w:rsid w:val="001735E4"/>
    <w:rsid w:val="00174130"/>
    <w:rsid w:val="001750F9"/>
    <w:rsid w:val="00180162"/>
    <w:rsid w:val="0019000A"/>
    <w:rsid w:val="001A0339"/>
    <w:rsid w:val="001B6414"/>
    <w:rsid w:val="001C07E4"/>
    <w:rsid w:val="001C35C4"/>
    <w:rsid w:val="001C4F35"/>
    <w:rsid w:val="001E1657"/>
    <w:rsid w:val="001E25FE"/>
    <w:rsid w:val="002348CA"/>
    <w:rsid w:val="002619F0"/>
    <w:rsid w:val="00280E31"/>
    <w:rsid w:val="002833EF"/>
    <w:rsid w:val="002A2A28"/>
    <w:rsid w:val="002A4903"/>
    <w:rsid w:val="002B4788"/>
    <w:rsid w:val="002D240A"/>
    <w:rsid w:val="002F40E4"/>
    <w:rsid w:val="003003C7"/>
    <w:rsid w:val="003012BC"/>
    <w:rsid w:val="00310BF7"/>
    <w:rsid w:val="00326A26"/>
    <w:rsid w:val="003326EA"/>
    <w:rsid w:val="00335A8F"/>
    <w:rsid w:val="00340314"/>
    <w:rsid w:val="003443CF"/>
    <w:rsid w:val="0036194A"/>
    <w:rsid w:val="00393F82"/>
    <w:rsid w:val="00396210"/>
    <w:rsid w:val="003A0002"/>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0AD2"/>
    <w:rsid w:val="00472A91"/>
    <w:rsid w:val="004739EB"/>
    <w:rsid w:val="0047646C"/>
    <w:rsid w:val="00486682"/>
    <w:rsid w:val="00493028"/>
    <w:rsid w:val="004B2D79"/>
    <w:rsid w:val="004B51C1"/>
    <w:rsid w:val="004B68EC"/>
    <w:rsid w:val="004D3201"/>
    <w:rsid w:val="004D566A"/>
    <w:rsid w:val="004E1DFB"/>
    <w:rsid w:val="004F3A59"/>
    <w:rsid w:val="00503D02"/>
    <w:rsid w:val="005055C2"/>
    <w:rsid w:val="0051712D"/>
    <w:rsid w:val="005204BA"/>
    <w:rsid w:val="0052308B"/>
    <w:rsid w:val="00555054"/>
    <w:rsid w:val="005653F6"/>
    <w:rsid w:val="005805D2"/>
    <w:rsid w:val="00583201"/>
    <w:rsid w:val="00586D50"/>
    <w:rsid w:val="00595314"/>
    <w:rsid w:val="005B467E"/>
    <w:rsid w:val="005E5B74"/>
    <w:rsid w:val="005E79F1"/>
    <w:rsid w:val="005F5AA7"/>
    <w:rsid w:val="006036F1"/>
    <w:rsid w:val="006115D1"/>
    <w:rsid w:val="00616BE7"/>
    <w:rsid w:val="006258AC"/>
    <w:rsid w:val="00626574"/>
    <w:rsid w:val="00630519"/>
    <w:rsid w:val="00631E2F"/>
    <w:rsid w:val="00636CE6"/>
    <w:rsid w:val="00647343"/>
    <w:rsid w:val="006508EB"/>
    <w:rsid w:val="006539F4"/>
    <w:rsid w:val="00657751"/>
    <w:rsid w:val="00660730"/>
    <w:rsid w:val="0068460F"/>
    <w:rsid w:val="00684BC6"/>
    <w:rsid w:val="006B0E79"/>
    <w:rsid w:val="006B2502"/>
    <w:rsid w:val="006D4EF6"/>
    <w:rsid w:val="00700857"/>
    <w:rsid w:val="00700C41"/>
    <w:rsid w:val="00705B94"/>
    <w:rsid w:val="00706AFB"/>
    <w:rsid w:val="0071707E"/>
    <w:rsid w:val="00720B39"/>
    <w:rsid w:val="00721F05"/>
    <w:rsid w:val="00732F22"/>
    <w:rsid w:val="007369B1"/>
    <w:rsid w:val="00736E31"/>
    <w:rsid w:val="00740192"/>
    <w:rsid w:val="007651D5"/>
    <w:rsid w:val="007737DB"/>
    <w:rsid w:val="00773F47"/>
    <w:rsid w:val="00774048"/>
    <w:rsid w:val="0078466C"/>
    <w:rsid w:val="00792B01"/>
    <w:rsid w:val="007A3454"/>
    <w:rsid w:val="007A3950"/>
    <w:rsid w:val="007A4F97"/>
    <w:rsid w:val="007B19C1"/>
    <w:rsid w:val="007B768F"/>
    <w:rsid w:val="007C18B3"/>
    <w:rsid w:val="007E056A"/>
    <w:rsid w:val="007F2309"/>
    <w:rsid w:val="007F4490"/>
    <w:rsid w:val="008029C0"/>
    <w:rsid w:val="00810973"/>
    <w:rsid w:val="008234EB"/>
    <w:rsid w:val="00850186"/>
    <w:rsid w:val="00850ADF"/>
    <w:rsid w:val="0085626B"/>
    <w:rsid w:val="00873682"/>
    <w:rsid w:val="008737FF"/>
    <w:rsid w:val="008769D4"/>
    <w:rsid w:val="008806FA"/>
    <w:rsid w:val="008834FE"/>
    <w:rsid w:val="00883FD5"/>
    <w:rsid w:val="008B5229"/>
    <w:rsid w:val="008B713A"/>
    <w:rsid w:val="008C1001"/>
    <w:rsid w:val="008C6396"/>
    <w:rsid w:val="008C6A6B"/>
    <w:rsid w:val="00904140"/>
    <w:rsid w:val="00916129"/>
    <w:rsid w:val="009161B7"/>
    <w:rsid w:val="00957384"/>
    <w:rsid w:val="0096305D"/>
    <w:rsid w:val="00980973"/>
    <w:rsid w:val="00985198"/>
    <w:rsid w:val="0098530B"/>
    <w:rsid w:val="0099411D"/>
    <w:rsid w:val="009A004F"/>
    <w:rsid w:val="009A61A0"/>
    <w:rsid w:val="009E7887"/>
    <w:rsid w:val="00A04F4E"/>
    <w:rsid w:val="00A230AF"/>
    <w:rsid w:val="00A25916"/>
    <w:rsid w:val="00A3138F"/>
    <w:rsid w:val="00A43499"/>
    <w:rsid w:val="00A47052"/>
    <w:rsid w:val="00A55456"/>
    <w:rsid w:val="00A66414"/>
    <w:rsid w:val="00A668A7"/>
    <w:rsid w:val="00A77B3E"/>
    <w:rsid w:val="00A852E2"/>
    <w:rsid w:val="00AB1240"/>
    <w:rsid w:val="00AC0117"/>
    <w:rsid w:val="00AC1FC0"/>
    <w:rsid w:val="00AC36B5"/>
    <w:rsid w:val="00AD66E9"/>
    <w:rsid w:val="00AD6C4A"/>
    <w:rsid w:val="00AE00F8"/>
    <w:rsid w:val="00AE39F0"/>
    <w:rsid w:val="00AE5E3A"/>
    <w:rsid w:val="00AF0E14"/>
    <w:rsid w:val="00B146BD"/>
    <w:rsid w:val="00B31764"/>
    <w:rsid w:val="00B45BBE"/>
    <w:rsid w:val="00B4732B"/>
    <w:rsid w:val="00B65692"/>
    <w:rsid w:val="00B70137"/>
    <w:rsid w:val="00B7245A"/>
    <w:rsid w:val="00B90363"/>
    <w:rsid w:val="00BA283B"/>
    <w:rsid w:val="00BB0D46"/>
    <w:rsid w:val="00BB0D91"/>
    <w:rsid w:val="00BD3752"/>
    <w:rsid w:val="00BD6A77"/>
    <w:rsid w:val="00BE3F10"/>
    <w:rsid w:val="00C00829"/>
    <w:rsid w:val="00C02BF1"/>
    <w:rsid w:val="00C2122E"/>
    <w:rsid w:val="00C25AF1"/>
    <w:rsid w:val="00C40CFE"/>
    <w:rsid w:val="00C44784"/>
    <w:rsid w:val="00C51B23"/>
    <w:rsid w:val="00C861BA"/>
    <w:rsid w:val="00C97D38"/>
    <w:rsid w:val="00CA06B1"/>
    <w:rsid w:val="00CA71D6"/>
    <w:rsid w:val="00CB434A"/>
    <w:rsid w:val="00CB6A9A"/>
    <w:rsid w:val="00CC12B2"/>
    <w:rsid w:val="00CC43BC"/>
    <w:rsid w:val="00CD0BDA"/>
    <w:rsid w:val="00CD0D70"/>
    <w:rsid w:val="00D02DFC"/>
    <w:rsid w:val="00D06B86"/>
    <w:rsid w:val="00D22B44"/>
    <w:rsid w:val="00D3013A"/>
    <w:rsid w:val="00D31778"/>
    <w:rsid w:val="00D4253F"/>
    <w:rsid w:val="00D546DC"/>
    <w:rsid w:val="00D55250"/>
    <w:rsid w:val="00D57534"/>
    <w:rsid w:val="00D612CB"/>
    <w:rsid w:val="00D61EE2"/>
    <w:rsid w:val="00D76359"/>
    <w:rsid w:val="00DA10A1"/>
    <w:rsid w:val="00DB3CE0"/>
    <w:rsid w:val="00DC25EE"/>
    <w:rsid w:val="00DC3FF4"/>
    <w:rsid w:val="00DE534D"/>
    <w:rsid w:val="00E154A6"/>
    <w:rsid w:val="00E15D4F"/>
    <w:rsid w:val="00E56CE3"/>
    <w:rsid w:val="00E65857"/>
    <w:rsid w:val="00E65D1C"/>
    <w:rsid w:val="00E663AE"/>
    <w:rsid w:val="00E8137A"/>
    <w:rsid w:val="00E96C82"/>
    <w:rsid w:val="00E96D68"/>
    <w:rsid w:val="00EB25ED"/>
    <w:rsid w:val="00EB4437"/>
    <w:rsid w:val="00EC01A4"/>
    <w:rsid w:val="00EC18D0"/>
    <w:rsid w:val="00EC70E4"/>
    <w:rsid w:val="00EC7617"/>
    <w:rsid w:val="00ED0778"/>
    <w:rsid w:val="00EF1F85"/>
    <w:rsid w:val="00EF3869"/>
    <w:rsid w:val="00EF61B8"/>
    <w:rsid w:val="00F168F6"/>
    <w:rsid w:val="00F24807"/>
    <w:rsid w:val="00F314F2"/>
    <w:rsid w:val="00F6288C"/>
    <w:rsid w:val="00F9096A"/>
    <w:rsid w:val="00FA6D6B"/>
    <w:rsid w:val="00FA7E50"/>
    <w:rsid w:val="00FB03E2"/>
    <w:rsid w:val="00FB160E"/>
    <w:rsid w:val="00FB6B5E"/>
    <w:rsid w:val="00FB7064"/>
    <w:rsid w:val="00FC46AB"/>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4A9B8-FDF1-408D-BEE9-55938C8C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13</Pages>
  <Words>28718</Words>
  <Characters>143591</Characters>
  <Application>Microsoft Office Word</Application>
  <DocSecurity>0</DocSecurity>
  <Lines>1196</Lines>
  <Paragraphs>343</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171966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40</cp:revision>
  <cp:lastPrinted>1900-12-31T22:00:00Z</cp:lastPrinted>
  <dcterms:created xsi:type="dcterms:W3CDTF">2012-09-27T08:48:00Z</dcterms:created>
  <dcterms:modified xsi:type="dcterms:W3CDTF">2014-02-26T09:25:00Z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BMC Evolutionary Biology</vt:lpwstr>
  </property>
  <property fmtid="{D5CDD505-2E9C-101B-9397-08002B2CF9AE}" pid="6" name="Mendeley Recent Style Id 0_1">
    <vt:lpwstr>http://www.zotero.org/styles/bmc-evolutionary-biology</vt:lpwstr>
  </property>
  <property fmtid="{D5CDD505-2E9C-101B-9397-08002B2CF9AE}" pid="7" name="Mendeley Recent Style Name 1_1">
    <vt:lpwstr>Chicago Manual of Style 16th edition (author-date)</vt:lpwstr>
  </property>
  <property fmtid="{D5CDD505-2E9C-101B-9397-08002B2CF9AE}" pid="8" name="Mendeley Recent Style Id 1_1">
    <vt:lpwstr>http://www.zotero.org/styles/chicago-author-date</vt:lpwstr>
  </property>
  <property fmtid="{D5CDD505-2E9C-101B-9397-08002B2CF9AE}" pid="9" name="Mendeley Recent Style Name 2_1">
    <vt:lpwstr>Chicago Manual of Style 16th edition (full note)</vt:lpwstr>
  </property>
  <property fmtid="{D5CDD505-2E9C-101B-9397-08002B2CF9AE}" pid="10" name="Mendeley Recent Style Id 2_1">
    <vt:lpwstr>http://www.zotero.org/styles/chicago-fullnote-bibliography</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Israel Journal of Ecology &amp; Evolution</vt:lpwstr>
  </property>
  <property fmtid="{D5CDD505-2E9C-101B-9397-08002B2CF9AE}" pid="20" name="Mendeley Recent Style Id 7_1">
    <vt:lpwstr>http://www.zotero.org/styles/israel-journal-of-ecology-and-evolution</vt:lpwstr>
  </property>
  <property fmtid="{D5CDD505-2E9C-101B-9397-08002B2CF9AE}" pid="21" name="Mendeley Recent Style Name 8_1">
    <vt:lpwstr>Journal of Evolutionary Biology</vt:lpwstr>
  </property>
  <property fmtid="{D5CDD505-2E9C-101B-9397-08002B2CF9AE}" pid="22" name="Mendeley Recent Style Id 8_1">
    <vt:lpwstr>http://www.zotero.org/styles/journal-of-evolutionary-biology</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