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r w:rsidRPr="00721F05">
        <w:rPr>
          <w:rFonts w:asciiTheme="minorHAnsi" w:eastAsia="Times New Roman" w:hAnsiTheme="minorHAnsi"/>
        </w:rPr>
        <w:t>Yoav Ram and Lilach Hadany</w:t>
      </w:r>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E10872">
        <w:rPr>
          <w:rFonts w:eastAsia="Times New Roman"/>
          <w:noProof/>
        </w:rPr>
        <w:t>September 4,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r w:rsidRPr="00984BB7">
        <w:t>Raynes</w:t>
      </w:r>
      <w:r>
        <w:t xml:space="preserve"> &amp; </w:t>
      </w:r>
      <w:r w:rsidRPr="00984BB7">
        <w:t>Sniegowski</w:t>
      </w:r>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-induced hypermutation</w:t>
      </w:r>
      <w:bookmarkEnd w:id="4"/>
    </w:p>
    <w:p w:rsidR="009A61A0" w:rsidRPr="00721F05" w:rsidRDefault="00B4732B" w:rsidP="00D0627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DF04C6">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D06273">
        <w:t xml:space="preserve"> – a </w:t>
      </w:r>
      <w:r w:rsidR="00D06273" w:rsidRPr="00721F05">
        <w:t xml:space="preserve">process is </w:t>
      </w:r>
      <w:r w:rsidR="00D06273">
        <w:t>called</w:t>
      </w:r>
      <w:r w:rsidR="00D06273" w:rsidRPr="00721F05">
        <w:t xml:space="preserve"> </w:t>
      </w:r>
      <w:r w:rsidR="00D06273" w:rsidRPr="009667D0">
        <w:t>stress-induced mutagenesis</w:t>
      </w:r>
      <w:r w:rsidR="00D06273" w:rsidRPr="00721F05">
        <w:t xml:space="preserve"> (SIM)</w:t>
      </w:r>
      <w:r w:rsidR="009E6DA2">
        <w:t xml:space="preserve"> </w:t>
      </w:r>
      <w:r w:rsidR="002619F0" w:rsidRPr="00721F05">
        <w:fldChar w:fldCharType="begin" w:fldLock="1"/>
      </w:r>
      <w:r w:rsidR="00DF04C6">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"id" : "ITEM-2", "itemData" : { "ISSN" : "0027-8424", "PMID" : "8524839", "abstract" : "The inducible SOS system increases the survival of bacteria exposed to DNA-damaging agents by increasing the capacity of error-free and error-prone DNA repair systems. The inducible mutator effect is expected to contribute to the adaptation of bacterial populations to these adverse life conditions by increasing their genetic variability. The evolutionary impact of the SOS system would be even greater if it was also induced under conditions common in nature, such as in resting bacterial populations. The results presented here show that SOS induction and mutagenesis do occur in bacteria in aging colonies on agar plates. The observed SOS induction and mutagenesis are controlled by the LexA repressor and are RecA- and cAMP-dependent.", "author" : [ { "dropping-particle" : "", "family" : "Taddei", "given" : "Fran\u00e7ois", "non-dropping-particle" : "", "parse-names" : false, "suffix" : "" }, { "dropping-particle" : "", "family" : "Matic", "given" : "Ivan", "non-dropping-particle" : "", "parse-names" : false, "suffix" : "" }, { "dropping-particle" : "", "family" : "Radman", "given" : "Miroslav", "non-dropping-particle" : "", "parse-names" : false, "suffix" : "" } ], "container-title" : "Proceedings of the National Academy of Sciences", "id" : "ITEM-2", "issue" : "25", "issued" : { "date-parts" : [ [ "1995", "12" ] ] }, "page" : "11736-40", "title" : "cAMP-dependent SOS induction and mutagenesis in resting bacterial populations.", "type" : "article-journal", "volume" : "92" }, "uris" : [ "http://www.mendeley.com/documents/?uuid=4ec9b55f-0d65-4f3d-a683-b6444a5010d1" ] }, { "id" : "ITEM-3",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"ITEM-3", "issue" : "5", "issued" : { "date-parts" : [ [ "2007" ] ] }, "page" : "399-435", "title" : "Mutation as a stress response and the regulation of evolvability.", "type" : "article-journal", "volume" : "42" }, "uris" : [ "http://www.mendeley.com/documents/?uuid=9fcd9085-9447-450a-a846-6665443b9611" ] }, { "id" : "ITEM-4",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"ITEM-4", "issue" : "5", "issued" : { "date-parts" : [ [ "2007" ] ] }, "page" : "373-97", "title" : "Stress-induced mutagenesis in bacteria.", "type" : "article-journal", "volume" : "42" }, "uris" : [ "http://www.mendeley.com/documents/?uuid=5e19c257-4e56-43af-8e16-9f037cac92bc" ] }, { "id" : "ITEM-5",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"ITEM-5", "issue" : "4", "issued" : { "date-parts" : [ [ "2007" ] ] }, "page" : "285-311", "title" : "Adaptive mutation in &lt;i&gt;Saccharomyces cerevisiae&lt;/i&gt;.", "type" : "article-journal", "volume" : "42" }, "uris" : [ "http://www.mendeley.com/documents/?uuid=04d7aadf-550f-4d1a-bd6c-9d465758da10" ] }, { "id" : "ITEM-6",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"ITEM-6",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"ITEM-7",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"ITEM-7",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"(Radman 1975; Taddei, Matic, and Radman 1995;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D06273" w:rsidRPr="00D06273">
        <w:rPr>
          <w:noProof/>
        </w:rPr>
        <w:t>(Radman 1975; Taddei, Matic, and Radman 1995; Galhardo, Hastings, and Rosenberg 2007; Foster 2007; Heidenreich 2007; Rosenberg et al. 2012; Shor, Fox, and Broach 2013)</w:t>
      </w:r>
      <w:r w:rsidR="002619F0" w:rsidRPr="00721F05">
        <w:fldChar w:fldCharType="end"/>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D06273">
        <w:t xml:space="preserve">SIM </w:t>
      </w:r>
      <w:r w:rsidR="00AE5E3A" w:rsidRPr="00721F05">
        <w:t xml:space="preserve">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DF04C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D06273">
        <w:t xml:space="preserve"> </w:t>
      </w:r>
      <w:r w:rsidR="00D06273" w:rsidRPr="00D06273">
        <w:rPr>
          <w:highlight w:val="yellow"/>
        </w:rPr>
        <w:t>[Ram2014]</w:t>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DF04C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DF04C6">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DF04C6">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 "page" : "1107-1118", "title" : "The Lower Bound to the Evolution of Mutation Rates.", "type" : "article-journal", "volume" : "3" }, "uris" : [ "http://www.mendeley.com/documents/?uuid=356a1329-9988-4dea-bb9e-5df706b593d7"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00D06273">
        <w:t xml:space="preserve"> </w:t>
      </w:r>
      <w:r w:rsidR="00D06273">
        <w:fldChar w:fldCharType="begin" w:fldLock="1"/>
      </w:r>
      <w:r w:rsidR="00DF04C6">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"(Torres-Barcel\u00f3 et al. 2013; Katz and Hershberg 2013)" }, "properties" : { "noteIndex" : 0 }, "schema" : "https://github.com/citation-style-language/schema/raw/master/csl-citation.json" }</w:instrText>
      </w:r>
      <w:r w:rsidR="00D06273">
        <w:fldChar w:fldCharType="separate"/>
      </w:r>
      <w:r w:rsidR="00D06273" w:rsidRPr="00D06273">
        <w:rPr>
          <w:noProof/>
        </w:rPr>
        <w:t>(Torres-Barceló et al. 2013; Katz and Hershberg 2013)</w:t>
      </w:r>
      <w:r w:rsidR="00D06273">
        <w:fldChar w:fldCharType="end"/>
      </w:r>
      <w:r w:rsidR="00B23B43">
        <w:t>.</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DF04C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DF04C6">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DF04C6">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DF04C6">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DF04C6">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DF04C6">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DF04C6">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DF04C6">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DF04C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DF04C6">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DF04C6">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"note" : "        From Duplicate 2 (                   Hitchhiking of deleterious alleles and the cost of adaptation in partially selfing species.                 - Hartfield, Matthew; Gl\u00e9min, Sylvain )\n                \n        \n        \n      ", "page" : "281-93", "title" : "Hitchhiking of deleterious alleles and the cost of adaptation in partially selfing species.", "type" : "article-journal", "volume" : "196" }, "uris" : [ "http://www.mendeley.com/documents/?uuid=776df4bc-38d2-47ba-a8c1-006fcdedaf8d"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DF04C6">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DF04C6">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DF04C6">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xml:space="preserve">. In addition, recombination generates less-loaded individuals that were lost due to drift, halting "Mullter's ratchet" </w:t>
      </w:r>
      <w:r w:rsidRPr="00721F05">
        <w:fldChar w:fldCharType="begin" w:fldLock="1"/>
      </w:r>
      <w:r w:rsidR="00DF04C6">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DF04C6">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DF04C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wildtype sub-population (Chao and Cox?) //</w:t>
      </w:r>
      <w:r w:rsidR="00630519">
        <w:t xml:space="preserve">, even if those mutations were originally deleterious when generated </w:t>
      </w:r>
      <w:r w:rsidR="00630519">
        <w:fldChar w:fldCharType="begin" w:fldLock="1"/>
      </w:r>
      <w:r w:rsidR="00DF04C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DF04C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DF04C6">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DF04C6">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DF04C6">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Charlesworth 199X, Johnson &amp; Barton 2002), evolutionary traction (Hadany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Pr="00721F05">
        <w:rPr>
          <w:rFonts w:asciiTheme="minorHAnsi" w:hAnsiTheme="minorHAnsi"/>
        </w:rPr>
        <w:t>hyper</w:t>
      </w:r>
      <w:r w:rsidR="00CA06B1" w:rsidRPr="00721F05">
        <w:rPr>
          <w:rFonts w:asciiTheme="minorHAnsi" w:hAnsiTheme="minorHAnsi"/>
        </w:rPr>
        <w:t>mutation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(i)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r w:rsidRPr="00721F05">
        <w:t>)</w:t>
      </w:r>
      <w:r w:rsidRPr="00721F05">
        <w:rPr>
          <w:i/>
          <w:iCs/>
          <w:vertAlign w:val="superscript"/>
        </w:rPr>
        <w:t>x</w:t>
      </w:r>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950356">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w:t>
      </w:r>
      <w:r w:rsidR="00950356">
        <w:rPr>
          <w:iCs/>
        </w:rPr>
        <w:t xml:space="preserve">their alleles </w:t>
      </w:r>
      <w:r w:rsidR="009A004F" w:rsidRPr="00721F05">
        <w:rPr>
          <w:iCs/>
        </w:rPr>
        <w:t xml:space="preserve">have numerical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2869DA">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w:t>
      </w:r>
      <w:r w:rsidR="002869DA">
        <w:t>natural selection</w:t>
      </w:r>
      <w:r w:rsidR="007B19C1" w:rsidRPr="00721F05">
        <w:t xml:space="preserve"> </w:t>
      </w:r>
      <w:r w:rsidR="002869DA">
        <w:t xml:space="preserve">and genetic drift </w:t>
      </w:r>
      <w:r w:rsidR="007B19C1" w:rsidRPr="00721F05">
        <w:t xml:space="preserve">by sampling the number of individuals </w:t>
      </w:r>
      <w:r w:rsidR="00470AD2">
        <w:t xml:space="preserve">in each </w:t>
      </w:r>
      <w:r w:rsidR="002869DA">
        <w:t xml:space="preserve">genotype </w:t>
      </w:r>
      <w:r w:rsidR="00470AD2">
        <w:t>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2869DA">
        <w:t xml:space="preserve">or </w:t>
      </w:r>
      <w:r w:rsidR="00B978DF">
        <w:t>frequency)</w:t>
      </w:r>
      <w:r w:rsidR="002869DA">
        <w:t xml:space="preserve"> multiplied by</w:t>
      </w:r>
      <w:r w:rsidR="007B19C1" w:rsidRPr="00721F05">
        <w:t xml:space="preserve"> </w:t>
      </w:r>
      <w:r w:rsidR="00470AD2">
        <w:t xml:space="preserve">the </w:t>
      </w:r>
      <w:r w:rsidR="007B19C1" w:rsidRPr="00721F05">
        <w:t xml:space="preserve">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2.7</w:t>
      </w:r>
      <w:r w:rsidR="00AD5110">
        <w:t xml:space="preserve"> </w:t>
      </w:r>
      <w:r w:rsidR="00AD5110">
        <w:fldChar w:fldCharType="begin" w:fldLock="1"/>
      </w:r>
      <w:r w:rsidR="00DF04C6">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"previouslyFormattedCitation" : "(Van Rossum and others 2007)" }, "properties" : { "noteIndex" : 0 }, "schema" : "https://github.com/citation-style-language/schema/raw/master/csl-citation.json" }</w:instrText>
      </w:r>
      <w:r w:rsidR="00AD5110">
        <w:fldChar w:fldCharType="separate"/>
      </w:r>
      <w:r w:rsidR="00AD5110" w:rsidRPr="00AD5110">
        <w:rPr>
          <w:noProof/>
        </w:rPr>
        <w:t>(Van Rossum and others 2007)</w:t>
      </w:r>
      <w:r w:rsidR="00AD5110">
        <w:fldChar w:fldCharType="end"/>
      </w:r>
      <w:r w:rsidR="00A3138F" w:rsidRPr="00721F05">
        <w:t xml:space="preserve"> </w:t>
      </w:r>
      <w:r w:rsidRPr="00721F05">
        <w:t>using</w:t>
      </w:r>
      <w:r w:rsidR="008B713A" w:rsidRPr="00721F05">
        <w:t xml:space="preserve"> </w:t>
      </w:r>
      <w:r w:rsidR="00B45BBE">
        <w:t xml:space="preserve">the </w:t>
      </w:r>
      <w:r w:rsidRPr="00721F05">
        <w:t>NumPy</w:t>
      </w:r>
      <w:r w:rsidR="00AD5110">
        <w:t xml:space="preserve"> </w:t>
      </w:r>
      <w:r w:rsidR="00AD5110">
        <w:fldChar w:fldCharType="begin" w:fldLock="1"/>
      </w:r>
      <w:r w:rsidR="00DF04C6">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"previouslyFormattedCitation" : "(van der Walt, Colbert, and Varoquaux 2011)" }, "properties" : { "noteIndex" : 0 }, "schema" : "https://github.com/citation-style-language/schema/raw/master/csl-citation.json" }</w:instrText>
      </w:r>
      <w:r w:rsidR="00AD5110">
        <w:fldChar w:fldCharType="separate"/>
      </w:r>
      <w:r w:rsidR="00AD5110" w:rsidRPr="00AD5110">
        <w:rPr>
          <w:noProof/>
        </w:rPr>
        <w:t>(van der Walt, Colbert, and Varoquaux 2011)</w:t>
      </w:r>
      <w:r w:rsidR="00AD5110">
        <w:fldChar w:fldCharType="end"/>
      </w:r>
      <w:r w:rsidRPr="00721F05">
        <w:t>, SciPy</w:t>
      </w:r>
      <w:r w:rsidR="00AD5110">
        <w:t xml:space="preserve"> </w:t>
      </w:r>
      <w:r w:rsidR="00AD5110">
        <w:fldChar w:fldCharType="begin" w:fldLock="1"/>
      </w:r>
      <w:r w:rsidR="00DF04C6">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"previouslyFormattedCitation" : "(Jones et al. 2001)" }, "properties" : { "noteIndex" : 0 }, "schema" : "https://github.com/citation-style-language/schema/raw/master/csl-citation.json" }</w:instrText>
      </w:r>
      <w:r w:rsidR="00AD5110">
        <w:fldChar w:fldCharType="separate"/>
      </w:r>
      <w:r w:rsidR="00AD5110" w:rsidRPr="00AD5110">
        <w:rPr>
          <w:noProof/>
        </w:rPr>
        <w:t>(Jones et al. 2001)</w:t>
      </w:r>
      <w:r w:rsidR="00AD5110">
        <w:fldChar w:fldCharType="end"/>
      </w:r>
      <w:r w:rsidR="00470AD2">
        <w:t>, and</w:t>
      </w:r>
      <w:r w:rsidR="00AD5110">
        <w:t xml:space="preserve"> P</w:t>
      </w:r>
      <w:r w:rsidRPr="00721F05">
        <w:t>andas</w:t>
      </w:r>
      <w:r w:rsidR="00AD5110">
        <w:t xml:space="preserve"> </w:t>
      </w:r>
      <w:r w:rsidR="00AD5110">
        <w:fldChar w:fldCharType="begin" w:fldLock="1"/>
      </w:r>
      <w:r w:rsidR="00DF04C6">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"previouslyFormattedCitation" : "(McKinney 2010)" }, "properties" : { "noteIndex" : 0 }, "schema" : "https://github.com/citation-style-language/schema/raw/master/csl-citation.json" }</w:instrText>
      </w:r>
      <w:r w:rsidR="00AD5110">
        <w:fldChar w:fldCharType="separate"/>
      </w:r>
      <w:r w:rsidR="00AD5110" w:rsidRPr="00AD5110">
        <w:rPr>
          <w:noProof/>
        </w:rPr>
        <w:t>(McKinney 2010)</w:t>
      </w:r>
      <w:r w:rsidR="00AD5110">
        <w:fldChar w:fldCharType="end"/>
      </w:r>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DF04C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1405E7">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Pr="00721F05">
        <w:t xml:space="preserve">he fixation probability of </w:t>
      </w:r>
      <w:r w:rsidR="00F33150">
        <w:t>modifier alleles</w:t>
      </w:r>
      <w:r w:rsidR="003A3923" w:rsidRPr="00721F05">
        <w:t xml:space="preserve"> </w:t>
      </w:r>
      <w:r w:rsidR="00DB303F">
        <w:t xml:space="preserve">was 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ation</w:t>
      </w:r>
      <w:r w:rsidR="001405E7">
        <w:t xml:space="preserve"> (100%)</w:t>
      </w:r>
      <w:r w:rsidR="00C40CFE" w:rsidRPr="00721F05">
        <w:t xml:space="preserve"> </w:t>
      </w:r>
      <w:r w:rsidRPr="00721F05">
        <w:t xml:space="preserve">in the population. </w:t>
      </w:r>
      <w:r w:rsidR="00C40CFE" w:rsidRPr="00721F05">
        <w:t>If an allele is neutral</w:t>
      </w:r>
      <w:r w:rsidR="001405E7">
        <w:t xml:space="preserve"> with respect to its competitor alleles then</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d or disfavored by selection</w:t>
      </w:r>
      <w:r w:rsidR="001405E7">
        <w:t xml:space="preserve"> over its competitors,</w:t>
      </w:r>
      <w:r w:rsidR="0068460F" w:rsidRPr="00721F05">
        <w:t xml:space="preserve">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Therefore, we tested whether the estimated fixation probabilities are significantly </w:t>
      </w:r>
      <w:r w:rsidR="0068460F" w:rsidRPr="00721F05">
        <w:t xml:space="preserve">different from </w:t>
      </w:r>
      <w:r w:rsidR="003003C7" w:rsidRPr="00721F05">
        <w:t xml:space="preserve">50% using a </w:t>
      </w:r>
      <w:r w:rsidR="0068460F" w:rsidRPr="00721F05">
        <w:t xml:space="preserve">2-tail </w:t>
      </w:r>
      <w:r w:rsidR="003003C7" w:rsidRPr="00721F05">
        <w:t>proportions test.</w:t>
      </w:r>
      <w:r w:rsidR="00E8137A">
        <w:t xml:space="preserve"> In addition, we measured the adaptation </w:t>
      </w:r>
      <w:r w:rsidR="001405E7">
        <w:t xml:space="preserve">time </w:t>
      </w:r>
      <w:r w:rsidR="00E8137A">
        <w:t xml:space="preserve">in populations </w:t>
      </w:r>
      <w:r w:rsidR="001405E7">
        <w:t>homogenous at the modifier loci subject to a single environmental change.</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F33150">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and up to the high rates measured in </w:t>
      </w:r>
      <w:r w:rsidRPr="00721F05">
        <w:rPr>
          <w:i/>
          <w:iCs/>
        </w:rPr>
        <w:t>H. pylori</w:t>
      </w:r>
      <w:r w:rsidRPr="00721F05">
        <w:t xml:space="preserve"> and </w:t>
      </w:r>
      <w:r w:rsidRPr="00721F05">
        <w:rPr>
          <w:i/>
          <w:iCs/>
        </w:rPr>
        <w:t>S. cerevisiae</w:t>
      </w:r>
      <w:r w:rsidRPr="00721F05">
        <w:t xml:space="preserve"> [REF]. The figure shows that</w:t>
      </w:r>
      <w:r w:rsidR="008B66B5">
        <w:t xml:space="preserve"> recombination reduces the fixation of both mutators, as shown before for CM </w:t>
      </w:r>
      <w:r w:rsidR="008B66B5">
        <w:fldChar w:fldCharType="begin" w:fldLock="1"/>
      </w:r>
      <w:r w:rsidR="00DF04C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1405E7" w:rsidP="002F40E4">
      <w:pPr>
        <w:jc w:val="center"/>
      </w:pPr>
      <w:r>
        <w:rPr>
          <w:noProof/>
        </w:rPr>
        <w:lastRenderedPageBreak/>
        <w:drawing>
          <wp:inline distT="0" distB="0" distL="0" distR="0" wp14:anchorId="25F8040D" wp14:editId="36C02630">
            <wp:extent cx="3657600" cy="5486400"/>
            <wp:effectExtent l="0" t="0" r="0" b="0"/>
            <wp:docPr id="5" name="Picture 5" descr="D:\workspace\mamba\simarba\analysis\invasion_SIMvsCM_pop_1e6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_pop_1e6_2014-07-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1405E7">
      <w:pPr>
        <w:pStyle w:val="Caption"/>
        <w:jc w:val="center"/>
      </w:pPr>
      <w:bookmarkStart w:id="13" w:name="h.pb2tvb9wvzww"/>
      <w:bookmarkStart w:id="14" w:name="_Ref370053574"/>
      <w:bookmarkStart w:id="15" w:name="_Toc336511473"/>
      <w:bookmarkEnd w:id="13"/>
      <w:r w:rsidRPr="00721F05">
        <w:t xml:space="preserve">Figure </w:t>
      </w:r>
      <w:r w:rsidR="003927A6">
        <w:fldChar w:fldCharType="begin"/>
      </w:r>
      <w:r w:rsidR="003927A6">
        <w:instrText xml:space="preserve"> SEQ Figure \* ARABIC </w:instrText>
      </w:r>
      <w:r w:rsidR="003927A6">
        <w:fldChar w:fldCharType="separate"/>
      </w:r>
      <w:r w:rsidR="00DE3D33">
        <w:rPr>
          <w:noProof/>
        </w:rPr>
        <w:t>1</w:t>
      </w:r>
      <w:r w:rsidR="003927A6">
        <w:rPr>
          <w:noProof/>
        </w:rPr>
        <w:fldChar w:fldCharType="end"/>
      </w:r>
      <w:bookmarkEnd w:id="14"/>
      <w:r w:rsidRPr="00721F05">
        <w:t xml:space="preserve"> </w:t>
      </w:r>
      <w:r w:rsidR="00D612CB">
        <w:t xml:space="preserve">- </w:t>
      </w:r>
      <w:r w:rsidR="001405E7" w:rsidRPr="001405E7">
        <w:t>invasion_SIMvsCM_pop_1e6_2014-07-22</w:t>
      </w:r>
    </w:p>
    <w:p w:rsidR="002F40E4" w:rsidRDefault="002F40E4" w:rsidP="000151FE"/>
    <w:p w:rsidR="00D612CB" w:rsidRDefault="009E0856" w:rsidP="00BE6BF6">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due to lower mutation rates in adapted individuals</w:t>
      </w:r>
      <w:r w:rsidR="00BE6BF6">
        <w:t>, especially between adaptation events</w:t>
      </w:r>
      <w:r w:rsidR="00D612CB">
        <w:t xml:space="preserve">. Alternatively, </w:t>
      </w:r>
      <w:r w:rsidR="00BE6BF6">
        <w:t>it</w:t>
      </w:r>
      <w:r w:rsidR="00D612CB">
        <w:t xml:space="preserve"> could be that SIM purges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DF04C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rPr>
        <w:lastRenderedPageBreak/>
        <w:drawing>
          <wp:inline distT="0" distB="0" distL="0" distR="0" wp14:anchorId="0485D383" wp14:editId="1D0FF46D">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r w:rsidR="003927A6">
        <w:fldChar w:fldCharType="begin"/>
      </w:r>
      <w:r w:rsidR="003927A6">
        <w:instrText xml:space="preserve"> SEQ Figure \* ARABIC </w:instrText>
      </w:r>
      <w:r w:rsidR="003927A6">
        <w:fldChar w:fldCharType="separate"/>
      </w:r>
      <w:r w:rsidR="00DE3D33">
        <w:rPr>
          <w:noProof/>
        </w:rPr>
        <w:t>2</w:t>
      </w:r>
      <w:r w:rsidR="003927A6">
        <w:rPr>
          <w:noProof/>
        </w:rPr>
        <w:fldChar w:fldCharType="end"/>
      </w:r>
      <w:bookmarkEnd w:id="16"/>
      <w:r>
        <w:t xml:space="preserve"> - </w:t>
      </w:r>
      <w:r w:rsidR="003A0243" w:rsidRPr="003A0243">
        <w:t>invasion_SIMvsCMvsNM_pop_1e5_1e6_</w:t>
      </w:r>
      <w:r w:rsidR="003A0243" w:rsidRPr="00EA3603">
        <w:rPr>
          <w:highlight w:val="red"/>
        </w:rPr>
        <w:t>2014-03-09</w:t>
      </w:r>
    </w:p>
    <w:p w:rsidR="0051712D" w:rsidRDefault="0051712D" w:rsidP="0051712D"/>
    <w:p w:rsidR="002A5C34" w:rsidRDefault="00BE6BF6" w:rsidP="00DF3F12">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DF04C6">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beneficial mutators and therefore allow</w:t>
      </w:r>
      <w:r w:rsidR="002A5C34">
        <w:t xml:space="preserve"> mutator alleles to "hitch-hike" with their beneficial mutations </w:t>
      </w:r>
      <w:r w:rsidR="002A5C34">
        <w:fldChar w:fldCharType="begin" w:fldLock="1"/>
      </w:r>
      <w:r w:rsidR="00DF04C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1712D" w:rsidRDefault="00BE3F10" w:rsidP="006B4AE9">
      <w:r>
        <w:t>The effect of population size on the dynamics is explored in Figure 3</w:t>
      </w:r>
      <w:r w:rsidR="005D47D6">
        <w:t xml:space="preserve"> (also see Figure S1)</w:t>
      </w:r>
      <w:r>
        <w:t>. As the population size increases the 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w:t>
      </w:r>
      <w:r w:rsidR="006B4AE9">
        <w:t xml:space="preserve">hardly </w:t>
      </w:r>
      <w:r>
        <w:t xml:space="preserve">affects the fixation probabilities; with </w:t>
      </w:r>
      <w:r w:rsidR="00DF3F12" w:rsidRPr="00DF3F12">
        <w:rPr>
          <w:i/>
          <w:iCs/>
        </w:rPr>
        <w:t>N</w:t>
      </w:r>
      <w:r w:rsidR="00DF3F12">
        <w:t>=</w:t>
      </w:r>
      <w:r w:rsidRPr="00DF3F12">
        <w:t>10</w:t>
      </w:r>
      <w:r w:rsidRPr="00DF3F12">
        <w:rPr>
          <w:vertAlign w:val="superscript"/>
        </w:rPr>
        <w:t>7</w:t>
      </w:r>
      <w:r>
        <w:t xml:space="preserve"> </w:t>
      </w:r>
      <w:r w:rsidR="00810973">
        <w:lastRenderedPageBreak/>
        <w:t xml:space="preserve">(right column) </w:t>
      </w:r>
      <w:r>
        <w:t>recombination has a very significant 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w:t>
      </w:r>
      <w:r w:rsidR="006B4AE9">
        <w:t>45</w:t>
      </w:r>
      <w:r>
        <w:t xml:space="preserve"> when the recombination rate increases from 0 to 0.</w:t>
      </w:r>
      <w:r w:rsidR="00DF3F12">
        <w:t>0</w:t>
      </w:r>
      <w:r w:rsidR="006B4AE9">
        <w:t>0</w:t>
      </w:r>
      <w:r>
        <w:t>3</w:t>
      </w:r>
      <w:r w:rsidR="00DF3F12">
        <w:t xml:space="preserve"> gene conversions per individual per generation</w:t>
      </w:r>
      <w:r>
        <w:t xml:space="preserve">, whereas there is no </w:t>
      </w:r>
      <w:r w:rsidR="006B4AE9">
        <w:t xml:space="preserve">significant </w:t>
      </w:r>
      <w:r>
        <w:t xml:space="preserve">effect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Tenaillon et al. </w:t>
      </w:r>
      <w:r w:rsidR="00184999">
        <w:fldChar w:fldCharType="begin" w:fldLock="1"/>
      </w:r>
      <w:r w:rsidR="00DF04C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6B4AE9">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mall populations will have a smaller number of alleles to sample from</w:t>
      </w:r>
      <w:r>
        <w:t xml:space="preserve"> and therefore </w:t>
      </w:r>
      <w:r w:rsidR="00683F62">
        <w:t xml:space="preserve">individuals will have a smaller chance of acquiring beneficial alleles by </w:t>
      </w:r>
      <w:r>
        <w:t>recombination</w:t>
      </w:r>
      <w:r w:rsidR="00DF3F12">
        <w:t>.</w:t>
      </w:r>
    </w:p>
    <w:p w:rsidR="0051712D" w:rsidRDefault="006B4AE9" w:rsidP="0051712D">
      <w:pPr>
        <w:keepNext/>
        <w:jc w:val="center"/>
      </w:pPr>
      <w:r>
        <w:rPr>
          <w:noProof/>
        </w:rPr>
        <w:drawing>
          <wp:inline distT="0" distB="0" distL="0" distR="0" wp14:anchorId="0820B70B" wp14:editId="6A1AD25F">
            <wp:extent cx="3657600" cy="5486400"/>
            <wp:effectExtent l="0" t="0" r="0" b="0"/>
            <wp:docPr id="6" name="Picture 6" descr="D:\workspace\mamba\simarba\analysis\invasion_SIMvsCMvsNM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sizes_2014-07-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6B4AE9">
      <w:pPr>
        <w:pStyle w:val="Caption"/>
        <w:jc w:val="center"/>
      </w:pPr>
      <w:r>
        <w:t xml:space="preserve">Figure </w:t>
      </w:r>
      <w:r w:rsidR="003927A6">
        <w:fldChar w:fldCharType="begin"/>
      </w:r>
      <w:r w:rsidR="003927A6">
        <w:instrText xml:space="preserve"> SEQ Figure \* ARABIC </w:instrText>
      </w:r>
      <w:r w:rsidR="003927A6">
        <w:fldChar w:fldCharType="separate"/>
      </w:r>
      <w:r w:rsidR="00DE3D33">
        <w:rPr>
          <w:noProof/>
        </w:rPr>
        <w:t>3</w:t>
      </w:r>
      <w:r w:rsidR="003927A6">
        <w:rPr>
          <w:noProof/>
        </w:rPr>
        <w:fldChar w:fldCharType="end"/>
      </w:r>
      <w:r>
        <w:t xml:space="preserve"> - </w:t>
      </w:r>
      <w:r w:rsidR="006B4AE9" w:rsidRPr="006B4AE9">
        <w:t>invasion_SIMvsCMvsNM_pop_sizes_2014-07-22</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BC7E9A">
      <w:pPr>
        <w:pStyle w:val="Heading2"/>
        <w:rPr>
          <w:rFonts w:asciiTheme="minorHAnsi" w:hAnsiTheme="minorHAnsi"/>
        </w:rPr>
      </w:pPr>
      <w:r w:rsidRPr="00721F05">
        <w:rPr>
          <w:rFonts w:asciiTheme="minorHAnsi" w:hAnsiTheme="minorHAnsi"/>
        </w:rPr>
        <w:lastRenderedPageBreak/>
        <w:t xml:space="preserve">Co-evolution of mutators and </w:t>
      </w:r>
      <w:r w:rsidR="00BC7E9A">
        <w:rPr>
          <w:rFonts w:asciiTheme="minorHAnsi" w:hAnsiTheme="minorHAnsi"/>
        </w:rPr>
        <w:t>recombination modifiers</w:t>
      </w:r>
    </w:p>
    <w:p w:rsidR="000151FE" w:rsidRDefault="00D0044C" w:rsidP="006B4AE9">
      <w:r>
        <w:t xml:space="preserve">Next, we considered the fixation of recombination modifiers – alleles that increase the recombination rate </w:t>
      </w:r>
      <w:r w:rsidR="00BC7E9A">
        <w:t>(</w:t>
      </w:r>
      <w:r w:rsidR="00CD0D70">
        <w:t>Figure 4</w:t>
      </w:r>
      <w:r w:rsidR="00BC7E9A">
        <w:t>).</w:t>
      </w:r>
      <w:r w:rsidR="00CD0D70">
        <w:t xml:space="preserve"> </w:t>
      </w:r>
      <w:r w:rsidR="006B4AE9">
        <w:t>C</w:t>
      </w:r>
      <w:r w:rsidR="000151FE" w:rsidRPr="00721F05">
        <w:t>onstitutive</w:t>
      </w:r>
      <w:r w:rsidR="00CD0D70">
        <w:t xml:space="preserve"> </w:t>
      </w:r>
      <w:r w:rsidR="00BC7E9A">
        <w:t xml:space="preserve">recombination modifiers </w:t>
      </w:r>
      <w:r w:rsidR="00CD0D70">
        <w:t>(CR</w:t>
      </w:r>
      <w:r w:rsidR="00810973">
        <w:t xml:space="preserve">; dashed </w:t>
      </w:r>
      <w:r w:rsidR="00184999">
        <w:t>purple</w:t>
      </w:r>
      <w:r w:rsidR="00CD0D70">
        <w:t>) w</w:t>
      </w:r>
      <w:r w:rsidR="00BC7E9A">
        <w:t>in competitions against wildtype m</w:t>
      </w:r>
      <w:r>
        <w:t xml:space="preserve">odifiers (NR), </w:t>
      </w:r>
      <w:r w:rsidR="00BC7E9A">
        <w:t>which hav</w:t>
      </w:r>
      <w:r>
        <w:t>e a basal rate of recombination</w:t>
      </w:r>
      <w:r w:rsidR="006B4AE9">
        <w:t xml:space="preserve"> (orange solid lines are control competitions featuring NR vs. NR). T</w:t>
      </w:r>
      <w:r w:rsidR="00BC7E9A">
        <w:t xml:space="preserve">he recombination modifiers' </w:t>
      </w:r>
      <w:r w:rsidR="00CD0D70">
        <w:t xml:space="preserve">advantage increases with the </w:t>
      </w:r>
      <w:r>
        <w:t>basal</w:t>
      </w:r>
      <w:r w:rsidR="00BC7E9A">
        <w:t xml:space="preserve"> </w:t>
      </w:r>
      <w:r w:rsidR="00CD0D70">
        <w:t>recombination rate</w:t>
      </w:r>
      <w:r w:rsidR="006B4AE9">
        <w:t xml:space="preserve"> (x-axis)</w:t>
      </w:r>
      <w:r w:rsidR="00CD0D70">
        <w:t xml:space="preserve"> and </w:t>
      </w:r>
      <w:r>
        <w:t xml:space="preserve">with </w:t>
      </w:r>
      <w:r w:rsidR="00CD0D70">
        <w:t>the population size</w:t>
      </w:r>
      <w:r w:rsidR="006B4AE9">
        <w:t xml:space="preserve"> (panels from right to left)</w:t>
      </w:r>
      <w:r w:rsidR="00BC7E9A">
        <w:t>, consistent with Figure 3</w:t>
      </w:r>
      <w:r>
        <w:t xml:space="preserve">: </w:t>
      </w:r>
      <w:r w:rsidR="006B4AE9">
        <w:t>recombination</w:t>
      </w:r>
      <w:r>
        <w:t xml:space="preserve"> modifiers depend on the population </w:t>
      </w:r>
      <w:r w:rsidR="006B4AE9">
        <w:t xml:space="preserve">size </w:t>
      </w:r>
      <w:r>
        <w:t xml:space="preserve">for </w:t>
      </w:r>
      <w:r w:rsidR="006B4AE9">
        <w:t xml:space="preserve">the </w:t>
      </w:r>
      <w:r>
        <w:t>generation of genetic variation.</w:t>
      </w:r>
    </w:p>
    <w:p w:rsidR="00CD0D70" w:rsidRDefault="006B4AE9" w:rsidP="00CD0D70">
      <w:pPr>
        <w:keepNext/>
        <w:jc w:val="center"/>
      </w:pPr>
      <w:r>
        <w:rPr>
          <w:noProof/>
        </w:rPr>
        <w:drawing>
          <wp:inline distT="0" distB="0" distL="0" distR="0" wp14:anchorId="22057B41" wp14:editId="47561FF0">
            <wp:extent cx="4572000" cy="5486400"/>
            <wp:effectExtent l="0" t="0" r="0" b="0"/>
            <wp:docPr id="7" name="Picture 7" descr="D:\workspace\mamba\simarba\analysis\invasion_NRvsCR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mba\simarba\analysis\invasion_NRvsCR_pop_sizes_2014-07-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6B4AE9">
      <w:pPr>
        <w:pStyle w:val="Caption"/>
        <w:jc w:val="center"/>
      </w:pPr>
      <w:r>
        <w:t xml:space="preserve">Figure </w:t>
      </w:r>
      <w:r w:rsidR="003927A6">
        <w:fldChar w:fldCharType="begin"/>
      </w:r>
      <w:r w:rsidR="003927A6">
        <w:instrText xml:space="preserve"> SEQ Figure \* ARABIC </w:instrText>
      </w:r>
      <w:r w:rsidR="003927A6">
        <w:fldChar w:fldCharType="separate"/>
      </w:r>
      <w:r w:rsidR="00DE3D33">
        <w:rPr>
          <w:noProof/>
        </w:rPr>
        <w:t>4</w:t>
      </w:r>
      <w:r w:rsidR="003927A6">
        <w:rPr>
          <w:noProof/>
        </w:rPr>
        <w:fldChar w:fldCharType="end"/>
      </w:r>
      <w:r>
        <w:t xml:space="preserve"> - </w:t>
      </w:r>
      <w:r w:rsidR="006B4AE9" w:rsidRPr="006B4AE9">
        <w:t>invasion_NRvsCR_pop_sizes_2014-07-22</w:t>
      </w:r>
      <w:r w:rsidR="006B4AE9">
        <w:t xml:space="preserve"> </w:t>
      </w:r>
      <w:r w:rsidR="00EA3603">
        <w:t>in_pi=NM / in_rho=10</w:t>
      </w:r>
    </w:p>
    <w:p w:rsidR="00E447C4" w:rsidRDefault="00E447C4" w:rsidP="00D0044C"/>
    <w:p w:rsidR="00CD0D70" w:rsidRDefault="00DE72DB" w:rsidP="00AE65BA">
      <w:r>
        <w:t>W</w:t>
      </w:r>
      <w:r w:rsidR="003012BC">
        <w:t xml:space="preserve">hen a modifier allele affects both the mutation and the recombination rate, </w:t>
      </w:r>
      <w:r w:rsidR="0047230E">
        <w:t>the dynamics are more</w:t>
      </w:r>
      <w:r w:rsidR="003012BC">
        <w:t xml:space="preserve"> complex (Figure 5</w:t>
      </w:r>
      <w:r w:rsidR="00AE65BA">
        <w:t xml:space="preserve">). The right panel is the middle row from Figure 3, showing that SIM is more advantageous than CM (and even NM in large population) and that mutators' success decreases with </w:t>
      </w:r>
      <w:r w:rsidR="00AE65BA">
        <w:lastRenderedPageBreak/>
        <w:t>the recombination rate. The left panel integrates these results with the results of Figure 4, showing that (i) a recombination modifier is successful regardless of the interacting mutator; (ii) when mutators interact with a recombination modifier, their fixation probability does not decrease with recombination, but rather increases; (iii) a SIM-CR modifier (left panel, solid blue) is the most successful strategy in competitions with wildtype (sometimes tied with a non-mutator constitutive recombination modifier; left panel, dotted green), and (iv)</w:t>
      </w:r>
      <w:r w:rsidR="003012BC">
        <w:t xml:space="preserve">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381554">
      <w:r>
        <w:t xml:space="preserve">On the other hand, </w:t>
      </w:r>
      <w:r w:rsidR="00381554">
        <w:t xml:space="preserve">SIM facilitates the evolution of </w:t>
      </w:r>
      <w:r w:rsidRPr="00DE72DB">
        <w:rPr>
          <w:b/>
          <w:bCs/>
        </w:rPr>
        <w:t>recombination modifiers</w:t>
      </w:r>
      <w:r w:rsidR="00381554">
        <w:rPr>
          <w:b/>
          <w:bCs/>
        </w:rPr>
        <w:t>, especially when the wildtype recombination rate is low</w:t>
      </w:r>
      <w:r>
        <w:t>. This indicates that stress-induced mutators can have a role in the emergence and maintenance of recombination, at least in adaptive scenarios.</w:t>
      </w:r>
    </w:p>
    <w:p w:rsidR="003012BC" w:rsidRDefault="00E447C4" w:rsidP="003012BC">
      <w:pPr>
        <w:keepNext/>
        <w:jc w:val="center"/>
      </w:pPr>
      <w:r>
        <w:rPr>
          <w:noProof/>
        </w:rPr>
        <w:lastRenderedPageBreak/>
        <w:drawing>
          <wp:inline distT="0" distB="0" distL="0" distR="0" wp14:anchorId="4E142449" wp14:editId="75C0E626">
            <wp:extent cx="5486400" cy="5486400"/>
            <wp:effectExtent l="0" t="0" r="0" b="0"/>
            <wp:docPr id="11" name="Picture 11" descr="D:\workspace\mamba\simarba\analysis\invasion_combined_tau_5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combined_tau_5_pop_sizes_2014-0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21813" w:rsidRPr="00B21813" w:rsidRDefault="003012BC" w:rsidP="00E447C4">
      <w:pPr>
        <w:pStyle w:val="Caption"/>
        <w:jc w:val="center"/>
      </w:pPr>
      <w:r>
        <w:t xml:space="preserve">Figure </w:t>
      </w:r>
      <w:r w:rsidR="003927A6">
        <w:fldChar w:fldCharType="begin"/>
      </w:r>
      <w:r w:rsidR="003927A6">
        <w:instrText xml:space="preserve"> SEQ Figure \* ARABIC </w:instrText>
      </w:r>
      <w:r w:rsidR="003927A6">
        <w:fldChar w:fldCharType="separate"/>
      </w:r>
      <w:r w:rsidR="00DE3D33">
        <w:rPr>
          <w:noProof/>
        </w:rPr>
        <w:t>5</w:t>
      </w:r>
      <w:r w:rsidR="003927A6">
        <w:rPr>
          <w:noProof/>
        </w:rPr>
        <w:fldChar w:fldCharType="end"/>
      </w:r>
      <w:r>
        <w:t xml:space="preserve"> - </w:t>
      </w:r>
      <w:r w:rsidR="00E447C4" w:rsidRPr="00E447C4">
        <w:t>invasion_combined_tau_5_pop_sizes_2014-07-22</w:t>
      </w:r>
    </w:p>
    <w:p w:rsidR="005812EA" w:rsidRDefault="005812EA" w:rsidP="005812EA"/>
    <w:p w:rsidR="00A111C5" w:rsidRDefault="00A111C5" w:rsidP="00E10872">
      <w:r>
        <w:t>So far we focused on scenarios in which the recombination modifier increased the recombination rate by an order of magnitude, for example, from 0.0003 to 0.003. Another type</w:t>
      </w:r>
      <w:r w:rsidR="00E10872">
        <w:t xml:space="preserve"> of recombination modifier may</w:t>
      </w:r>
      <w:r>
        <w:t xml:space="preserve"> </w:t>
      </w:r>
      <w:r w:rsidR="00E10872">
        <w:t xml:space="preserve">turn </w:t>
      </w:r>
      <w:r>
        <w:t>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sexuals.</w:t>
      </w:r>
      <w:r w:rsidR="006E5183">
        <w:t xml:space="preserve"> </w:t>
      </w:r>
    </w:p>
    <w:p w:rsidR="00E26B2F" w:rsidRDefault="00A111C5" w:rsidP="00842034">
      <w:r>
        <w:t xml:space="preserve">Competitions with this kind of recombination modifiers (Figure 6) show that </w:t>
      </w:r>
      <w:r w:rsidR="006E5183">
        <w:t>S</w:t>
      </w:r>
      <w:r>
        <w:t>IM was always most advantageous</w:t>
      </w:r>
      <w:r w:rsidR="00842034">
        <w:t xml:space="preserve"> (blue solid line, left panel</w:t>
      </w:r>
      <w:bookmarkStart w:id="17" w:name="_GoBack"/>
      <w:bookmarkEnd w:id="17"/>
      <w:r w:rsidR="00842034">
        <w:t>)</w:t>
      </w:r>
      <w:r>
        <w:t>;</w:t>
      </w:r>
      <w:r w:rsidR="006E5183">
        <w:t xml:space="preserve"> </w:t>
      </w:r>
      <w:r>
        <w:t xml:space="preserve">however, </w:t>
      </w:r>
      <w:r w:rsidR="006E5183">
        <w:t xml:space="preserve">as the </w:t>
      </w:r>
      <w:r>
        <w:t xml:space="preserve">recombination rate 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E10872" w:rsidP="006E5183">
      <w:pPr>
        <w:keepNext/>
        <w:spacing w:after="200" w:line="276" w:lineRule="auto"/>
        <w:ind w:firstLine="0"/>
        <w:jc w:val="center"/>
      </w:pPr>
      <w:r w:rsidRPr="00E10872">
        <w:lastRenderedPageBreak/>
        <w:drawing>
          <wp:inline distT="0" distB="0" distL="0" distR="0" wp14:anchorId="43FCEFDF" wp14:editId="598B14EE">
            <wp:extent cx="54864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02810"/>
                    </a:xfrm>
                    <a:prstGeom prst="rect">
                      <a:avLst/>
                    </a:prstGeom>
                  </pic:spPr>
                </pic:pic>
              </a:graphicData>
            </a:graphic>
          </wp:inline>
        </w:drawing>
      </w:r>
    </w:p>
    <w:p w:rsidR="006E5183" w:rsidRDefault="006E5183" w:rsidP="00E10872">
      <w:pPr>
        <w:pStyle w:val="Caption"/>
        <w:jc w:val="center"/>
      </w:pPr>
      <w:r>
        <w:t xml:space="preserve">Figure </w:t>
      </w:r>
      <w:r w:rsidR="003927A6">
        <w:fldChar w:fldCharType="begin"/>
      </w:r>
      <w:r w:rsidR="003927A6">
        <w:instrText xml:space="preserve"> SEQ Figure \* ARABIC </w:instrText>
      </w:r>
      <w:r w:rsidR="003927A6">
        <w:fldChar w:fldCharType="separate"/>
      </w:r>
      <w:r w:rsidR="00DE3D33">
        <w:rPr>
          <w:noProof/>
        </w:rPr>
        <w:t>6</w:t>
      </w:r>
      <w:r w:rsidR="003927A6">
        <w:rPr>
          <w:noProof/>
        </w:rPr>
        <w:fldChar w:fldCharType="end"/>
      </w:r>
      <w:r>
        <w:t xml:space="preserve"> - </w:t>
      </w:r>
      <w:r w:rsidRPr="006E5183">
        <w:t>invasion_SIMvsCMvsNM_asexuals</w:t>
      </w:r>
      <w:r w:rsidR="00E10872">
        <w:t xml:space="preserve">_04092014 </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614577">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 xml:space="preserve">the average time until </w:t>
      </w:r>
      <w:r w:rsidR="00614577">
        <w:rPr>
          <w:rFonts w:eastAsiaTheme="majorEastAsia"/>
        </w:rPr>
        <w:t xml:space="preserve">at least half of </w:t>
      </w:r>
      <w:r>
        <w:rPr>
          <w:rFonts w:eastAsiaTheme="majorEastAsia"/>
        </w:rPr>
        <w:t xml:space="preserve">the population </w:t>
      </w:r>
      <w:r w:rsidR="00614577">
        <w:rPr>
          <w:rFonts w:eastAsiaTheme="majorEastAsia"/>
        </w:rPr>
        <w:t xml:space="preserve">adapts to new </w:t>
      </w:r>
      <w:r>
        <w:rPr>
          <w:rFonts w:eastAsiaTheme="majorEastAsia"/>
        </w:rPr>
        <w:t xml:space="preserve">environmental </w:t>
      </w:r>
      <w:r w:rsidR="00614577">
        <w:rPr>
          <w:rFonts w:eastAsiaTheme="majorEastAsia"/>
        </w:rPr>
        <w:t>conditions</w:t>
      </w:r>
      <w:r>
        <w:rPr>
          <w:rFonts w:eastAsiaTheme="majorEastAsia"/>
        </w:rPr>
        <w:t>.</w:t>
      </w:r>
    </w:p>
    <w:p w:rsidR="00E95AD3" w:rsidRDefault="000F32FA" w:rsidP="00614577">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w:t>
      </w:r>
      <w:r w:rsidR="00614577">
        <w:rPr>
          <w:rFonts w:eastAsiaTheme="majorEastAsia"/>
        </w:rPr>
        <w:t>i</w:t>
      </w:r>
      <w:r>
        <w:rPr>
          <w:rFonts w:eastAsiaTheme="majorEastAsia"/>
        </w:rPr>
        <w:t xml:space="preserve"> (</w:t>
      </w:r>
      <w:r w:rsidR="00A111C5">
        <w:rPr>
          <w:rFonts w:eastAsiaTheme="majorEastAsia"/>
          <w:i/>
          <w:iCs/>
        </w:rPr>
        <w:t xml:space="preserve">i.e. </w:t>
      </w:r>
      <w:r w:rsidR="00A111C5">
        <w:rPr>
          <w:rFonts w:eastAsiaTheme="majorEastAsia"/>
        </w:rPr>
        <w:t>the same modifier</w:t>
      </w:r>
      <w:r w:rsidR="00614577">
        <w:rPr>
          <w:rFonts w:eastAsiaTheme="majorEastAsia"/>
        </w:rPr>
        <w:t>s</w:t>
      </w:r>
      <w:r w:rsidR="00A111C5">
        <w:rPr>
          <w:rFonts w:eastAsiaTheme="majorEastAsia"/>
        </w:rPr>
        <w:t xml:space="preserve"> in all individuals</w:t>
      </w:r>
      <w:r>
        <w:rPr>
          <w:rFonts w:eastAsiaTheme="majorEastAsia"/>
        </w:rPr>
        <w:t xml:space="preserve">) with different levels of mutation rate increase </w:t>
      </w:r>
      <w:r w:rsidR="0047230E" w:rsidRPr="00614577">
        <w:rPr>
          <w:rFonts w:eastAsiaTheme="majorEastAsia"/>
          <w:i/>
          <w:iCs/>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tions required for</w:t>
      </w:r>
      <w:r w:rsidR="00614577">
        <w:rPr>
          <w:rFonts w:eastAsiaTheme="majorEastAsia"/>
        </w:rPr>
        <w:t xml:space="preserve"> full</w:t>
      </w:r>
      <w:r w:rsidR="00A111C5">
        <w:rPr>
          <w:rFonts w:eastAsiaTheme="majorEastAsia"/>
        </w:rPr>
        <w:t xml:space="preserve"> adaptation. Note that </w:t>
      </w:r>
      <w:r w:rsidR="00E95AD3">
        <w:rPr>
          <w:rFonts w:eastAsiaTheme="majorEastAsia"/>
        </w:rPr>
        <w:t>fitness effects of all mutations are equal and independent</w:t>
      </w:r>
      <w:r w:rsidR="00B365DB">
        <w:rPr>
          <w:rFonts w:eastAsiaTheme="majorEastAsia"/>
        </w:rPr>
        <w:t xml:space="preserve"> and </w:t>
      </w:r>
      <w:r w:rsidR="00E95AD3">
        <w:rPr>
          <w:rFonts w:eastAsiaTheme="majorEastAsia"/>
        </w:rPr>
        <w:t>there is no epistasis</w:t>
      </w:r>
      <w:r>
        <w:rPr>
          <w:rFonts w:eastAsiaTheme="majorEastAsia"/>
        </w:rPr>
        <w:t xml:space="preserve">. </w:t>
      </w:r>
    </w:p>
    <w:p w:rsidR="000F32FA" w:rsidRDefault="000F32FA" w:rsidP="00614577">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w:t>
      </w:r>
      <w:r w:rsidR="00614577">
        <w:rPr>
          <w:rFonts w:eastAsiaTheme="majorEastAsia"/>
        </w:rPr>
        <w:t>two</w:t>
      </w:r>
      <w:r w:rsidR="00E95AD3">
        <w:rPr>
          <w:rFonts w:eastAsiaTheme="majorEastAsia"/>
        </w:rPr>
        <w:t xml:space="preserve"> beneficial mutations </w:t>
      </w:r>
      <w:r>
        <w:rPr>
          <w:rFonts w:eastAsiaTheme="majorEastAsia"/>
        </w:rPr>
        <w:t>(</w:t>
      </w:r>
      <w:r w:rsidR="00614577">
        <w:rPr>
          <w:rFonts w:eastAsiaTheme="majorEastAsia"/>
        </w:rPr>
        <w:t>right panel</w:t>
      </w:r>
      <w:r>
        <w:rPr>
          <w:rFonts w:eastAsiaTheme="majorEastAsia"/>
        </w:rPr>
        <w:t>)</w:t>
      </w:r>
      <w:r w:rsidR="0047230E">
        <w:rPr>
          <w:rFonts w:eastAsiaTheme="majorEastAsia"/>
        </w:rPr>
        <w:t xml:space="preserve"> in agreement with</w:t>
      </w:r>
      <w:r w:rsidR="00840186">
        <w:rPr>
          <w:rFonts w:eastAsiaTheme="majorEastAsia"/>
        </w:rPr>
        <w:t xml:space="preserve"> Tenaillon et al.</w:t>
      </w:r>
      <w:r w:rsidR="0047230E">
        <w:rPr>
          <w:rFonts w:eastAsiaTheme="majorEastAsia"/>
        </w:rPr>
        <w:t xml:space="preserve"> </w:t>
      </w:r>
      <w:r w:rsidR="0047230E">
        <w:rPr>
          <w:rFonts w:eastAsiaTheme="majorEastAsia"/>
        </w:rPr>
        <w:fldChar w:fldCharType="begin" w:fldLock="1"/>
      </w:r>
      <w:r w:rsidR="00DF04C6">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DF04C6">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lastRenderedPageBreak/>
        <w:t xml:space="preserve">Second, both mutator populations (SIM and CM) adapt much faster than </w:t>
      </w:r>
      <w:r w:rsidR="00E95AD3">
        <w:rPr>
          <w:rFonts w:eastAsiaTheme="majorEastAsia"/>
        </w:rPr>
        <w:t>non-mutator</w:t>
      </w:r>
      <w:r>
        <w:rPr>
          <w:rFonts w:eastAsiaTheme="majorEastAsia"/>
        </w:rPr>
        <w:t xml:space="preserve"> populations</w:t>
      </w:r>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rachet), recombination is not so much an alternative to SIM as it is an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614577" w:rsidP="000F32FA">
      <w:pPr>
        <w:keepNext/>
        <w:jc w:val="center"/>
      </w:pPr>
      <w:r>
        <w:rPr>
          <w:rFonts w:eastAsiaTheme="majorEastAsia" w:cstheme="majorBidi"/>
          <w:b/>
          <w:bCs/>
          <w:noProof/>
          <w:color w:val="4F81BD" w:themeColor="accent1"/>
          <w:sz w:val="26"/>
          <w:szCs w:val="26"/>
        </w:rPr>
        <w:lastRenderedPageBreak/>
        <w:drawing>
          <wp:inline distT="0" distB="0" distL="0" distR="0" wp14:anchorId="3D7E087C" wp14:editId="27185A2F">
            <wp:extent cx="5725160" cy="4913630"/>
            <wp:effectExtent l="0" t="0" r="8890" b="1270"/>
            <wp:docPr id="12" name="Picture 12" descr="D:\workspace\mamba\simarba\analysis\adaptation_NR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adaptation_NR_2014-07-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7817E7" w:rsidRPr="007817E7" w:rsidRDefault="00901526" w:rsidP="00614577">
      <w:pPr>
        <w:pStyle w:val="Caption"/>
        <w:jc w:val="center"/>
      </w:pPr>
      <w:r>
        <w:t xml:space="preserve">Figure </w:t>
      </w:r>
      <w:r w:rsidR="003927A6">
        <w:fldChar w:fldCharType="begin"/>
      </w:r>
      <w:r w:rsidR="003927A6">
        <w:instrText xml:space="preserve"> SEQ Figure \* ARABIC </w:instrText>
      </w:r>
      <w:r w:rsidR="003927A6">
        <w:fldChar w:fldCharType="separate"/>
      </w:r>
      <w:r w:rsidR="00DE3D33">
        <w:rPr>
          <w:noProof/>
        </w:rPr>
        <w:t>7</w:t>
      </w:r>
      <w:r w:rsidR="003927A6">
        <w:rPr>
          <w:noProof/>
        </w:rPr>
        <w:fldChar w:fldCharType="end"/>
      </w:r>
      <w:r>
        <w:t xml:space="preserve"> - </w:t>
      </w:r>
      <w:r w:rsidR="00614577" w:rsidRPr="00614577">
        <w:t>adaptation_NR_2014-07-22</w:t>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Tenaillon </w:t>
      </w:r>
      <w:r w:rsidRPr="00721F05">
        <w:rPr>
          <w:i/>
          <w:iCs/>
        </w:rPr>
        <w:t xml:space="preserve">et al. </w:t>
      </w:r>
      <w:r w:rsidRPr="00721F05">
        <w:fldChar w:fldCharType="begin" w:fldLock="1"/>
      </w:r>
      <w:r w:rsidR="00DF04C6">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942B1">
        <w:rPr>
          <w:rFonts w:eastAsia="Times New Roman"/>
        </w:rPr>
        <w:t>ir results suggest that even rate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942B1">
      <w:pPr>
        <w:rPr>
          <w:rFonts w:eastAsia="Times New Roman"/>
        </w:rPr>
      </w:pPr>
      <w:r w:rsidRPr="00721F05">
        <w:rPr>
          <w:rFonts w:eastAsia="Times New Roman"/>
        </w:rPr>
        <w:t xml:space="preserve">Levin and Cornejo </w:t>
      </w:r>
      <w:r w:rsidRPr="00721F05">
        <w:rPr>
          <w:rFonts w:eastAsia="Times New Roman"/>
        </w:rPr>
        <w:fldChar w:fldCharType="begin" w:fldLock="1"/>
      </w:r>
      <w:r w:rsidR="00DF04C6">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They used computer simulations to show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C861BA" w:rsidRPr="00721F05" w:rsidRDefault="000B2FF0" w:rsidP="00AE1BCC">
      <w:r>
        <w:rPr>
          <w:rFonts w:eastAsia="Times New Roman"/>
        </w:rPr>
        <w:t xml:space="preserve">Dawson </w:t>
      </w:r>
      <w:r>
        <w:rPr>
          <w:rFonts w:eastAsia="Times New Roman"/>
        </w:rPr>
        <w:fldChar w:fldCharType="begin" w:fldLock="1"/>
      </w:r>
      <w:r w:rsidR="00DF04C6">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r w:rsidR="00C861BA" w:rsidRPr="00B360AC">
        <w:t>Sloan and Panjeti</w:t>
      </w:r>
      <w:r w:rsidRPr="00B360AC">
        <w:t xml:space="preserve"> </w:t>
      </w:r>
      <w:r w:rsidRPr="00B360AC">
        <w:fldChar w:fldCharType="begin" w:fldLock="1"/>
      </w:r>
      <w:r w:rsidR="00DF04C6">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Pr="00B360AC">
        <w:fldChar w:fldCharType="separate"/>
      </w:r>
      <w:r w:rsidRPr="00B360AC">
        <w:rPr>
          <w:noProof/>
        </w:rPr>
        <w:t>(2010)</w:t>
      </w:r>
      <w:r w:rsidRPr="00B360AC">
        <w:fldChar w:fldCharType="end"/>
      </w:r>
      <w:r w:rsidR="000A5658">
        <w:t xml:space="preserve"> further studied this interaction between mutation and recombination by simulating</w:t>
      </w:r>
      <w:r>
        <w:t xml:space="preserve"> invasions of asexual</w:t>
      </w:r>
      <w:r w:rsidR="000A5658">
        <w:t xml:space="preserve"> individuals</w:t>
      </w:r>
      <w:r>
        <w:t xml:space="preserve"> into sexual populations at a mutation-selection balance, without beneficial mutations or adaptation, and with </w:t>
      </w:r>
      <w:r w:rsidR="000A5658">
        <w:t>the "</w:t>
      </w:r>
      <w:r>
        <w:t>cost of fidelity". In their simulations</w:t>
      </w:r>
      <w:r w:rsidR="000A5658">
        <w:t>, asexual reproduction</w:t>
      </w:r>
      <w:r>
        <w:t xml:space="preserve"> successfully invaded sexual</w:t>
      </w:r>
      <w:r w:rsidR="000A5658">
        <w:t xml:space="preserve">ly reproducing </w:t>
      </w:r>
      <w:r>
        <w:t>population</w:t>
      </w:r>
      <w:r w:rsidR="000A5658">
        <w:t xml:space="preserve">s </w:t>
      </w:r>
      <w:r>
        <w:t xml:space="preserve">by evolving a lower mutation rate. </w:t>
      </w:r>
      <w:r w:rsidR="000A5658">
        <w:t xml:space="preserve">They claimed that this further exacerbate the paradox of sex, as sex leads to higher mutation rates, making the population sensitive to invasion by asexuals with lower mutation rates. In terms of our study, this suggests that in stable environments modifiers that reduce both the rate of mutation and recombination will successfully invade 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FD5114" w:rsidRDefault="00FD5114" w:rsidP="00E56CE3">
      <w:r>
        <w:t xml:space="preserve">// </w:t>
      </w:r>
      <w:r w:rsidRPr="00984BB7">
        <w:t>Raynes</w:t>
      </w:r>
      <w:r>
        <w:t xml:space="preserve"> &amp; </w:t>
      </w:r>
      <w:r w:rsidRPr="00984BB7">
        <w:t>Sniegowski</w:t>
      </w:r>
      <w:r>
        <w:t xml:space="preserve"> 2011 – recombination and mutation in yeast //</w:t>
      </w:r>
    </w:p>
    <w:p w:rsidR="000E7665" w:rsidRPr="00721F05" w:rsidRDefault="000E7665" w:rsidP="00E56CE3">
      <w:r w:rsidRPr="00721F05">
        <w:lastRenderedPageBreak/>
        <w:t>//Barton 2007 summarizes from Maynard Smith &amp; High – hitch-hiking effect - that "the effect of a sweep on variability is dependent on the ratio r/s; this must be substantially less than 1 for there to be much of an effect".//</w:t>
      </w:r>
    </w:p>
    <w:p w:rsidR="000E7665" w:rsidRPr="00721F05" w:rsidRDefault="000E7665" w:rsidP="00E56CE3"/>
    <w:p w:rsidR="008737FF" w:rsidRPr="00721F05" w:rsidRDefault="009A53A3" w:rsidP="00234877">
      <w:r>
        <w:t>In our model, r</w:t>
      </w:r>
      <w:r w:rsidR="008737FF" w:rsidRPr="00721F05">
        <w:t xml:space="preserve">ecombination occurs by bacterial transformation </w:t>
      </w:r>
      <w:r w:rsidR="00DE534D" w:rsidRPr="00721F05">
        <w:fldChar w:fldCharType="begin" w:fldLock="1"/>
      </w:r>
      <w:r w:rsidR="00DF04C6">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00DE534D" w:rsidRPr="00721F05">
        <w:fldChar w:fldCharType="separate"/>
      </w:r>
      <w:r w:rsidR="008834FE" w:rsidRPr="008834FE">
        <w:rPr>
          <w:noProof/>
        </w:rPr>
        <w:t>(Avery 1944; Redfield 1988)</w:t>
      </w:r>
      <w:r w:rsidR="00DE534D" w:rsidRPr="00721F05">
        <w:fldChar w:fldCharType="end"/>
      </w:r>
      <w:r w:rsidR="008737FF" w:rsidRPr="00721F05">
        <w:t xml:space="preserve">. This mechanism allows individual cells to recombine foreign DNA into their genome. </w:t>
      </w:r>
      <w:r>
        <w:t>We concentrated on this mechanism because, o</w:t>
      </w:r>
      <w:r w:rsidR="008737FF" w:rsidRPr="00721F05">
        <w:t>f the three known mechanisms for bacterial horizontal gene transfer (</w:t>
      </w:r>
      <w:r>
        <w:t xml:space="preserve">together with </w:t>
      </w:r>
      <w:r w:rsidR="008737FF" w:rsidRPr="00721F05">
        <w:t xml:space="preserve">conjugation and transduction), transformation is the only one actively regulated by the cells and the most likely to have evolved due to its adaptive properties </w:t>
      </w:r>
      <w:r w:rsidR="00DE534D" w:rsidRPr="00721F05">
        <w:fldChar w:fldCharType="begin" w:fldLock="1"/>
      </w:r>
      <w:r w:rsidR="00DF04C6">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00DE534D" w:rsidRPr="00721F05">
        <w:fldChar w:fldCharType="separate"/>
      </w:r>
      <w:r w:rsidRPr="009A53A3">
        <w:rPr>
          <w:noProof/>
        </w:rPr>
        <w:t>(Redfield 1993; Matic, Taddei, and Radman 1996; Redfield, Schrag, and Dean 1997; Tenaillon et al. 2001)</w:t>
      </w:r>
      <w:r w:rsidR="00DE534D" w:rsidRPr="00721F05">
        <w:fldChar w:fldCharType="end"/>
      </w:r>
      <w:r w:rsidR="009C5297">
        <w:t>. In addition, transformation has been suggested as the precursor of eukaryotic meiosis</w:t>
      </w:r>
      <w:r w:rsidR="00560532">
        <w:t xml:space="preserve"> and to be regulated by stress</w:t>
      </w:r>
      <w:r w:rsidR="009C5297">
        <w:t xml:space="preserve"> </w:t>
      </w:r>
      <w:r w:rsidR="009C5297">
        <w:fldChar w:fldCharType="begin" w:fldLock="1"/>
      </w:r>
      <w:r w:rsidR="00DF04C6">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rsidR="009C5297">
        <w:fldChar w:fldCharType="separate"/>
      </w:r>
      <w:r w:rsidR="009C5297" w:rsidRPr="009C5297">
        <w:rPr>
          <w:noProof/>
        </w:rPr>
        <w:t>(Bernstein and Bernstein 2010)</w:t>
      </w:r>
      <w:r w:rsidR="009C5297">
        <w:fldChar w:fldCharType="end"/>
      </w:r>
      <w:r>
        <w:t xml:space="preserve">. </w:t>
      </w:r>
      <w:r w:rsidR="00282723">
        <w:t xml:space="preserve">A recent study in </w:t>
      </w:r>
      <w:r w:rsidR="00282723" w:rsidRPr="00282723">
        <w:rPr>
          <w:i/>
          <w:iCs/>
        </w:rPr>
        <w:t>Streptococcus pneumonia</w:t>
      </w:r>
      <w:r w:rsidR="00282723">
        <w:t xml:space="preserve"> </w:t>
      </w:r>
      <w:r w:rsidR="00282723">
        <w:fldChar w:fldCharType="begin" w:fldLock="1"/>
      </w:r>
      <w:r w:rsidR="00DF04C6">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rsidR="00282723">
        <w:fldChar w:fldCharType="separate"/>
      </w:r>
      <w:r w:rsidR="00282723" w:rsidRPr="00282723">
        <w:rPr>
          <w:noProof/>
        </w:rPr>
        <w:t>(Engelmoer, Donaldson, and Rozen 2013)</w:t>
      </w:r>
      <w:r w:rsidR="00282723">
        <w:fldChar w:fldCharType="end"/>
      </w:r>
      <w:r w:rsidR="00282723">
        <w:t xml:space="preserve"> found that transformation is </w:t>
      </w:r>
      <w:r w:rsidR="000A33B4">
        <w:t xml:space="preserve">more favorable under stress; that this advantage is due to the reduction of mutational load; and that it limits the fixation of mutator alleles. </w:t>
      </w:r>
      <w:r w:rsidR="000A33B4" w:rsidRPr="000A33B4">
        <w:rPr>
          <w:highlight w:val="yellow"/>
        </w:rPr>
        <w:t xml:space="preserve">Our theoretical results are in agreement with these results. However, </w:t>
      </w:r>
      <w:r w:rsidR="00234877">
        <w:rPr>
          <w:highlight w:val="yellow"/>
        </w:rPr>
        <w:t xml:space="preserve">stress-induced mutagenesis has been documents in </w:t>
      </w:r>
      <w:r w:rsidR="00234877">
        <w:rPr>
          <w:i/>
          <w:iCs/>
          <w:highlight w:val="yellow"/>
        </w:rPr>
        <w:t xml:space="preserve">S. pneumonia </w:t>
      </w:r>
      <w:r w:rsidR="00234877">
        <w:rPr>
          <w:highlight w:val="yellow"/>
        </w:rPr>
        <w:t xml:space="preserve">under similar stress conditions </w:t>
      </w:r>
      <w:r w:rsidR="00234877">
        <w:rPr>
          <w:highlight w:val="yellow"/>
        </w:rPr>
        <w:fldChar w:fldCharType="begin" w:fldLock="1"/>
      </w:r>
      <w:r w:rsidR="00DF04C6">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sidR="00234877">
        <w:rPr>
          <w:highlight w:val="yellow"/>
        </w:rPr>
        <w:fldChar w:fldCharType="separate"/>
      </w:r>
      <w:r w:rsidR="00234877" w:rsidRPr="00234877">
        <w:rPr>
          <w:noProof/>
          <w:highlight w:val="yellow"/>
        </w:rPr>
        <w:t>(Henderson-Begg, Livermore, and Hall 2006)</w:t>
      </w:r>
      <w:r w:rsidR="00234877">
        <w:rPr>
          <w:highlight w:val="yellow"/>
        </w:rPr>
        <w:fldChar w:fldCharType="end"/>
      </w:r>
      <w:r w:rsidR="00234877">
        <w:rPr>
          <w:highlight w:val="yellow"/>
        </w:rPr>
        <w:t xml:space="preserve">, and </w:t>
      </w:r>
      <w:r w:rsidR="000A33B4" w:rsidRPr="000A33B4">
        <w:rPr>
          <w:highlight w:val="yellow"/>
        </w:rPr>
        <w:t>our results suggest that stress-induced mutators will not be limited by transformation, at least no</w:t>
      </w:r>
      <w:r w:rsidR="00234877">
        <w:rPr>
          <w:highlight w:val="yellow"/>
        </w:rPr>
        <w:t>t</w:t>
      </w:r>
      <w:r w:rsidR="000A33B4" w:rsidRPr="000A33B4">
        <w:rPr>
          <w:highlight w:val="yellow"/>
        </w:rPr>
        <w:t xml:space="preserve"> to the extent that constitutive mutators are.</w:t>
      </w:r>
      <w:r w:rsidR="000A33B4">
        <w:t xml:space="preserve"> </w:t>
      </w:r>
      <w:r w:rsidR="00FD5114">
        <w:t>//</w:t>
      </w:r>
      <w:r w:rsidR="00FD5114" w:rsidRPr="00FD5114">
        <w:t xml:space="preserve"> </w:t>
      </w:r>
      <w:r w:rsidR="00FD5114" w:rsidRPr="00984BB7">
        <w:t>Raynes</w:t>
      </w:r>
      <w:r w:rsidR="00FD5114">
        <w:t xml:space="preserve"> &amp; </w:t>
      </w:r>
      <w:r w:rsidR="00FD5114" w:rsidRPr="00984BB7">
        <w:t>Sniegowski</w:t>
      </w:r>
      <w:r w:rsidR="00FD5114">
        <w:t xml:space="preserve"> 2011 ?//</w:t>
      </w:r>
    </w:p>
    <w:p w:rsidR="00FD5114" w:rsidRDefault="00FD5114" w:rsidP="001D305B"/>
    <w:p w:rsidR="007369B1" w:rsidRDefault="00984CCE" w:rsidP="001D305B">
      <w:r>
        <w:t>In addition to</w:t>
      </w:r>
      <w:r w:rsidR="00B360AC">
        <w:t xml:space="preserve"> stress-induced mutagenesis, which was discussed in the introduction,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(i) s</w:t>
      </w:r>
      <w:r w:rsidR="00C861BA" w:rsidRPr="00721F05">
        <w:t>tress-induced reco</w:t>
      </w:r>
      <w:r w:rsidR="00B360AC">
        <w:t xml:space="preserve">mbination </w:t>
      </w:r>
      <w:r w:rsidR="00C861BA" w:rsidRPr="00721F05">
        <w:t xml:space="preserve">has been documented in bacteria </w:t>
      </w:r>
      <w:r w:rsidR="00C861BA" w:rsidRPr="00721F05">
        <w:fldChar w:fldCharType="begin" w:fldLock="1"/>
      </w:r>
      <w:r w:rsidR="00DF04C6">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DF04C6">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DF04C6">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DF04C6">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 xml:space="preserve">nduction of both recombination and mutation by stress 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DF04C6">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B360AC" w:rsidRPr="00721F05" w:rsidRDefault="00B360AC" w:rsidP="009A53A3"/>
    <w:p w:rsidR="008942B1" w:rsidRPr="00721F05" w:rsidRDefault="001D305B" w:rsidP="001D305B">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DF04C6">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DF04C6">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w:t>
      </w:r>
      <w:r w:rsidR="004979BE">
        <w:lastRenderedPageBreak/>
        <w:t xml:space="preserve">and virulence factors </w:t>
      </w:r>
      <w:r w:rsidR="004979BE" w:rsidRPr="004979BE">
        <w:fldChar w:fldCharType="begin" w:fldLock="1"/>
      </w:r>
      <w:r w:rsidR="00DF04C6">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DF04C6">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DF04C6">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DF04C6">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DF04C6">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p>
    <w:p w:rsidR="007369B1" w:rsidRPr="00721F05" w:rsidRDefault="007369B1" w:rsidP="00E56CE3"/>
    <w:p w:rsidR="007369B1" w:rsidRPr="00721F05" w:rsidRDefault="007369B1" w:rsidP="00E56CE3"/>
    <w:p w:rsidR="00A77B3E" w:rsidRPr="00721F05" w:rsidRDefault="005055C2" w:rsidP="00E56CE3">
      <w:pPr>
        <w:pStyle w:val="Heading1"/>
        <w:divId w:val="1620528373"/>
        <w:rPr>
          <w:rFonts w:asciiTheme="minorHAnsi" w:hAnsiTheme="minorHAnsi"/>
        </w:rPr>
      </w:pPr>
      <w:bookmarkStart w:id="18" w:name="h.34m4hofc43lp"/>
      <w:bookmarkStart w:id="19" w:name="_Toc336511474"/>
      <w:bookmarkEnd w:id="18"/>
      <w:r w:rsidRPr="00721F05">
        <w:rPr>
          <w:rFonts w:asciiTheme="minorHAnsi" w:hAnsiTheme="minorHAnsi"/>
        </w:rPr>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lastRenderedPageBreak/>
        <w:t>Tables</w:t>
      </w:r>
      <w:bookmarkEnd w:id="21"/>
    </w:p>
    <w:p w:rsidR="00EC70E4" w:rsidRPr="00721F05" w:rsidRDefault="00EC70E4" w:rsidP="00E56CE3">
      <w:pPr>
        <w:pStyle w:val="Caption"/>
        <w:divId w:val="1620528373"/>
      </w:pPr>
      <w:bookmarkStart w:id="22" w:name="_Ref332543851"/>
      <w:r w:rsidRPr="00721F05">
        <w:t xml:space="preserve">Table </w:t>
      </w:r>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2"/>
      <w:r w:rsidRPr="00721F05">
        <w:t>.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w:t>
            </w:r>
            <w:r w:rsidR="00C2122E" w:rsidRPr="00721F05">
              <w:rPr>
                <w:rFonts w:cs="Arial"/>
                <w:i/>
                <w:iCs/>
                <w:sz w:val="18"/>
                <w:szCs w:val="18"/>
              </w:rPr>
              <w:t>ϕ</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recombinator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 &amp; recombinator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recombinator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 &amp; recombinator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D35177">
      <w:pPr>
        <w:pStyle w:val="Caption"/>
        <w:divId w:val="1620528373"/>
      </w:pPr>
      <w:r w:rsidRPr="00721F05">
        <w:lastRenderedPageBreak/>
        <w:t xml:space="preserve">Table </w:t>
      </w:r>
      <w:r>
        <w:t xml:space="preserve">2. Evolutionary </w:t>
      </w:r>
      <w:r w:rsidR="00D35177">
        <w:t>processes</w:t>
      </w:r>
      <w:r>
        <w:t xml:space="preserve"> </w:t>
      </w:r>
      <w:r w:rsidR="00D35177">
        <w:t xml:space="preserve">affecting the </w:t>
      </w:r>
      <w:r>
        <w:t xml:space="preserve">evolution </w:t>
      </w:r>
      <w:r w:rsidR="00D35177">
        <w:t>of the mutation rate</w:t>
      </w:r>
    </w:p>
    <w:tbl>
      <w:tblPr>
        <w:tblStyle w:val="LightShading"/>
        <w:tblW w:w="5000" w:type="pct"/>
        <w:tblLayout w:type="fixed"/>
        <w:tblLook w:val="04A0" w:firstRow="1" w:lastRow="0" w:firstColumn="1" w:lastColumn="0" w:noHBand="0" w:noVBand="1"/>
      </w:tblPr>
      <w:tblGrid>
        <w:gridCol w:w="1242"/>
        <w:gridCol w:w="1134"/>
        <w:gridCol w:w="1276"/>
        <w:gridCol w:w="846"/>
        <w:gridCol w:w="1280"/>
        <w:gridCol w:w="1985"/>
        <w:gridCol w:w="1479"/>
      </w:tblGrid>
      <w:tr w:rsidR="00D35177" w:rsidRPr="00721F05" w:rsidTr="00DF04C6">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D35177" w:rsidRDefault="00D35177" w:rsidP="00687518">
            <w:pPr>
              <w:ind w:firstLine="0"/>
              <w:rPr>
                <w:i/>
                <w:iCs/>
                <w:sz w:val="18"/>
                <w:szCs w:val="18"/>
              </w:rPr>
            </w:pPr>
            <w:r>
              <w:rPr>
                <w:i/>
                <w:iCs/>
                <w:sz w:val="18"/>
                <w:szCs w:val="18"/>
              </w:rPr>
              <w:t>Process</w:t>
            </w:r>
          </w:p>
        </w:tc>
        <w:tc>
          <w:tcPr>
            <w:tcW w:w="1134"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276"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111" w:type="dxa"/>
            <w:gridSpan w:val="3"/>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c>
          <w:tcPr>
            <w:tcW w:w="1479" w:type="dxa"/>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References</w:t>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tcPr>
          <w:p w:rsidR="00D35177" w:rsidRPr="00721F05" w:rsidRDefault="00D35177" w:rsidP="00BA6A91">
            <w:pPr>
              <w:ind w:firstLine="0"/>
              <w:rPr>
                <w:i/>
                <w:iCs/>
                <w:sz w:val="18"/>
                <w:szCs w:val="18"/>
              </w:rPr>
            </w:pPr>
          </w:p>
        </w:tc>
        <w:tc>
          <w:tcPr>
            <w:tcW w:w="1134" w:type="dxa"/>
            <w:vMerge/>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276" w:type="dxa"/>
            <w:vMerge/>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846"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3265" w:type="dxa"/>
            <w:gridSpan w:val="2"/>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c>
          <w:tcPr>
            <w:tcW w:w="1479"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6D3E77">
            <w:pPr>
              <w:ind w:firstLine="0"/>
              <w:rPr>
                <w:sz w:val="18"/>
                <w:szCs w:val="18"/>
              </w:rPr>
            </w:pPr>
            <w:r>
              <w:rPr>
                <w:sz w:val="18"/>
                <w:szCs w:val="18"/>
              </w:rPr>
              <w:t>Background trapping / A ruby in the rubbish</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appearing on a deleterious background are less likely to fix</w:t>
            </w:r>
          </w:p>
        </w:tc>
        <w:tc>
          <w:tcPr>
            <w:tcW w:w="1985" w:type="dxa"/>
          </w:tcPr>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can be rescued from deleterious background by recombination</w:t>
            </w:r>
          </w:p>
        </w:tc>
        <w:tc>
          <w:tcPr>
            <w:tcW w:w="1479"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"ITEM-2", "issue" : "3", "issued" : { "date-parts" : [ [ "1994", "6" ] ] }, "page" : "213-27", "title" : "The effect of background selection against deleterious mutations on weakly selected, linked variants.", "type" : "article-journal", "volume" : "63" }, "uris" : [ "http://www.mendeley.com/documents/?uuid=45e7f554-0fef-4524-a7da-bd73ba5224b4"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\n\nFrom Duplicate 2 ( The effect of deleterious alleles on adaptation in asexual populations. - Johnson, Toby; Barton, Nicholas H. )\n\n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\n\n", "page" : "395-411", "title" : "The effect of deleterious alleles on adaptation in asexual populations.", "type" : "article-journal", "volume" : "162" }, "uris" : [ "http://www.mendeley.com/documents/?uuid=1ed7c328-35ec-4cb1-b902-8f40baee63f7" ] } ], "mendeley" : { "previouslyFormattedCitation" : "(Peck 1994; Charlesworth 1994; Johnson and Barton 2002)" }, "properties" : { "noteIndex" : 0 }, "schema" : "https://github.com/citation-style-language/schema/raw/master/csl-citation.json" }</w:instrText>
            </w:r>
            <w:r>
              <w:rPr>
                <w:sz w:val="18"/>
                <w:szCs w:val="18"/>
              </w:rPr>
              <w:fldChar w:fldCharType="separate"/>
            </w:r>
            <w:r w:rsidRPr="00D35177">
              <w:rPr>
                <w:noProof/>
                <w:sz w:val="18"/>
                <w:szCs w:val="18"/>
              </w:rPr>
              <w:t>(Peck 1994; Charlesworth 1994; Johnson and Barton 2002)</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Evolutionary traction (draft?)</w:t>
            </w:r>
          </w:p>
        </w:tc>
        <w:tc>
          <w:tcPr>
            <w:tcW w:w="1134"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276"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 reduces the population mean fitness</w:t>
            </w:r>
          </w:p>
        </w:tc>
        <w:tc>
          <w:tcPr>
            <w:tcW w:w="1985" w:type="dxa"/>
          </w:tcPr>
          <w:p w:rsidR="00D35177" w:rsidRPr="00721F05" w:rsidRDefault="00D35177" w:rsidP="00D351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 mean fitness</w:t>
            </w:r>
          </w:p>
        </w:tc>
        <w:tc>
          <w:tcPr>
            <w:tcW w:w="1479"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"mendeley" : { "previouslyFormattedCitation" : "(Hadany and Feldman 2005)" }, "properties" : { "noteIndex" : 0 }, "schema" : "https://github.com/citation-style-language/schema/raw/master/csl-citation.json" }</w:instrText>
            </w:r>
            <w:r>
              <w:rPr>
                <w:sz w:val="18"/>
                <w:szCs w:val="18"/>
              </w:rPr>
              <w:fldChar w:fldCharType="separate"/>
            </w:r>
            <w:r w:rsidRPr="00D35177">
              <w:rPr>
                <w:noProof/>
                <w:sz w:val="18"/>
                <w:szCs w:val="18"/>
              </w:rPr>
              <w:t>(Hadany and Feldman 2005)</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Mutation accumulation</w:t>
            </w:r>
          </w:p>
        </w:tc>
        <w:tc>
          <w:tcPr>
            <w:tcW w:w="1134"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p>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Serial bottlenecks</w:t>
            </w:r>
          </w:p>
        </w:tc>
        <w:tc>
          <w:tcPr>
            <w:tcW w:w="2126" w:type="dxa"/>
            <w:gridSpan w:val="2"/>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 when occurring on the background of a beneficial mutation, this leads to decreased fixation probability</w:t>
            </w:r>
          </w:p>
        </w:tc>
        <w:tc>
          <w:tcPr>
            <w:tcW w:w="1985" w:type="dxa"/>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 Depends if there is positive or negative epistasis?</w:t>
            </w:r>
          </w:p>
        </w:tc>
        <w:tc>
          <w:tcPr>
            <w:tcW w:w="1479"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\n\nFrom Duplicate 2 ( The effect of deleterious alleles on adaptation in asexual populations. - Johnson, Toby; Barton, Nicholas H. )\n\n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\n\n", "page" : "395-411", "title" : "The effect of deleterious alleles on adaptation in asexual populations.", "type" : "article-journal", "volume" : "162" }, "uris" : [ "http://www.mendeley.com/documents/?uuid=1ed7c328-35ec-4cb1-b902-8f40baee63f7" ] }, { "id" : "ITEM-2", "itemData" : { "DOI" : "10.1038/336435a0", "ISSN" : "0028-0836", "PMID" : "3057385", "abstract" : "The origin and maintenance of sexual reproduction continues to be an important problem in evolutionary biology. If the deleterious mutation rate per genome per generation is greater than 1, then the greater efficiency of selection against these mutations in sexual populations may be responsible for the evolution of sex and related phenomena. In modern human populations detrimental mutations with small individual effects are probably accumulating faster than they are being eliminated by selection.", "author" : [ { "dropping-particle" : "", "family" : "Kondrashov", "given" : "Alexey S.", "non-dropping-particle" : "", "parse-names" : false, "suffix" : "" } ], "container-title" : "Nature", "id" : "ITEM-2", "issue" : "6198", "issued" : { "date-parts" : [ [ "1988", "12", "1" ] ] }, "page" : "435-40", "title" : "Deleterious mutations and the evolution of sexual reproduction.", "type" : "article-journal", "volume" : "336" }, "uris" : [ "http://www.mendeley.com/documents/?uuid=caad6c6a-6624-49b9-8088-4b52dd76b817" ] } ], "mendeley" : { "previouslyFormattedCitation" : "(Johnson and Barton 2002; Kondrashov 1988)" }, "properties" : { "noteIndex" : 0 }, "schema" : "https://github.com/citation-style-language/schema/raw/master/csl-citation.json" }</w:instrText>
            </w:r>
            <w:r>
              <w:rPr>
                <w:sz w:val="18"/>
                <w:szCs w:val="18"/>
              </w:rPr>
              <w:fldChar w:fldCharType="separate"/>
            </w:r>
            <w:r w:rsidRPr="00D35177">
              <w:rPr>
                <w:noProof/>
                <w:sz w:val="18"/>
                <w:szCs w:val="18"/>
              </w:rPr>
              <w:t>(Johnson and Barton 2002; Kondrashov 1988)</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Muller’s ratchet</w:t>
            </w:r>
          </w:p>
        </w:tc>
        <w:tc>
          <w:tcPr>
            <w:tcW w:w="1134" w:type="dxa"/>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746332"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332">
              <w:rPr>
                <w:sz w:val="18"/>
                <w:szCs w:val="18"/>
              </w:rPr>
              <w:t>.</w:t>
            </w:r>
          </w:p>
          <w:p w:rsidR="00D35177" w:rsidRPr="00721F05"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 the early stages of fixation of a beneficial mutation, this reduces fixation probability </w:t>
            </w:r>
          </w:p>
        </w:tc>
        <w:tc>
          <w:tcPr>
            <w:tcW w:w="1985"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c>
          <w:tcPr>
            <w:tcW w:w="1479" w:type="dxa"/>
          </w:tcPr>
          <w:p w:rsidR="00D35177" w:rsidRDefault="00746332"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"id" : "ITEM-2", "itemData" : { "ISSN" : "0016-6731", "PMID" : "10757777", "abstract" : "The accumulation of deleterious mutations due to the process known as Muller's ratchet can lead to the degeneration of nonrecombining populations. We present an analytical approximation for the rate at which this process is expected to occur in a haploid population. The approximation is based on a diffusion equation and is valid when N exp(-u/s) &gt; 1, where N is the population size, u is the rate at which deleterious mutations occur, and s is the effect of each mutation on fitness. Simulation results are presented to show that the approximation estimates the rate of the process better than previous approximations for values of mutation rates and selection coefficients that are compatible with the biological data. Under certain conditions, the ratchet can turn at a biologically significant rate when the deterministic equilibrium number of individuals free of mutations is substantially &gt;100. The relevance of this process for the degeneration of Y or neo-Y chromosomes is discussed.", "author" : [ { "dropping-particle" : "", "family" : "Gordo", "given" : "Isabel", "non-dropping-particle" : "", "parse-names" : false, "suffix" : "" }, { "dropping-particle" : "", "family" : "Charlesworth", "given" : "Brian", "non-dropping-particle" : "", "parse-names" : false, "suffix" : "" } ], "container-title" : "Genetics", "id" : "ITEM-2", "issue" : "3", "issued" : { "date-parts" : [ [ "2000", "3" ] ] }, "page" : "1379-87", "title" : "The degeneration of asexual haploid populations and the speed of Muller's ratchet.", "type" : "article-journal", "volume" : "154" }, "uris" : [ "http://www.mendeley.com/documents/?uuid=0bf4d2ee-2782-46fb-95ee-3829094df34c"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\n\nFrom Duplicate 2 ( The effect of deleterious alleles on adaptation in asexual populations. - Johnson, Toby; Barton, Nicholas H. )\n\n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\n\n", "page" : "395-411", "title" : "The effect of deleterious alleles on adaptation in asexual populations.", "type" : "article-journal", "volume" : "162" }, "uris" : [ "http://www.mendeley.com/documents/?uuid=1ed7c328-35ec-4cb1-b902-8f40baee63f7" ] } ], "mendeley" : { "previouslyFormattedCitation" : "(Haigh 1978; Gordo and Charlesworth 2000; Johnson and Barton 2002)" }, "properties" : { "noteIndex" : 0 }, "schema" : "https://github.com/citation-style-language/schema/raw/master/csl-citation.json" }</w:instrText>
            </w:r>
            <w:r>
              <w:rPr>
                <w:sz w:val="18"/>
                <w:szCs w:val="18"/>
              </w:rPr>
              <w:fldChar w:fldCharType="separate"/>
            </w:r>
            <w:r w:rsidRPr="00746332">
              <w:rPr>
                <w:noProof/>
                <w:sz w:val="18"/>
                <w:szCs w:val="18"/>
              </w:rPr>
              <w:t>(Haigh 1978; Gordo and Charlesworth 2000; Johnson and Barton 2002)</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Appearance of beneficial mutations</w:t>
            </w:r>
            <w:r w:rsidR="00DF04C6">
              <w:rPr>
                <w:sz w:val="18"/>
                <w:szCs w:val="18"/>
              </w:rPr>
              <w:t xml:space="preserve"> / Fisher-Muller effect</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276"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r w:rsidR="00DF04C6">
              <w:rPr>
                <w:sz w:val="18"/>
                <w:szCs w:val="18"/>
              </w:rPr>
              <w:t xml:space="preserve"> but mutations must be accumulated sequentialy</w:t>
            </w:r>
          </w:p>
        </w:tc>
        <w:tc>
          <w:tcPr>
            <w:tcW w:w="1985" w:type="dxa"/>
          </w:tcPr>
          <w:p w:rsidR="00D35177" w:rsidRPr="00721F05" w:rsidRDefault="00746332"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If two or more beneficial mutations must occur together, recombination </w:t>
            </w:r>
            <w:r w:rsidR="00DF04C6">
              <w:rPr>
                <w:sz w:val="18"/>
                <w:szCs w:val="18"/>
              </w:rPr>
              <w:t>can combine mutations generated in separate lineages</w:t>
            </w:r>
          </w:p>
        </w:tc>
        <w:tc>
          <w:tcPr>
            <w:tcW w:w="1479" w:type="dxa"/>
          </w:tcPr>
          <w:p w:rsidR="00D35177" w:rsidRDefault="00746332"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"id" : "ITEM-2",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"ITEM-2", "issue" : "2", "issued" : { "date-parts" : [ [ "1974", "10" ] ] }, "page" : "737-56", "title" : "The evolutionary advantage of recombination.", "type" : "article-journal", "volume" : "78" }, "uris" : [ "http://www.mendeley.com/documents/?uuid=35747c4e-ada8-4ffa-b3e0-8d198d4fff13" ] }, { "id" : "ITEM-3", "itemData" : { "author" : [ { "dropping-particle" : "", "family" : "Fisher", "given" : "R.A.", "non-dropping-particle" : "", "parse-names" : false, "suffix" : "" } ], "id" : "ITEM-3", "issued" : { "date-parts" : [ [ "1930" ] ] }, "page" : "272", "publisher" : "Clarendon Press", "publisher-place" : "Oxford", "title" : "The Genetical Theory of Natural Selection", "type" : "book" }, "uris" : [ "http://www.mendeley.com/documents/?uuid=9a1150dc-e0d3-4e3a-ac63-c866b5764a0f" ] } ], "mendeley" : { "previouslyFormattedCitation" : "(Christiansen et al. 1998; Felsenstein 1974; Fisher 1930)" }, "properties" : { "noteIndex" : 0 }, "schema" : "https://github.com/citation-style-language/schema/raw/master/csl-citation.json" }</w:instrText>
            </w:r>
            <w:r>
              <w:rPr>
                <w:sz w:val="18"/>
                <w:szCs w:val="18"/>
              </w:rPr>
              <w:fldChar w:fldCharType="separate"/>
            </w:r>
            <w:r w:rsidR="00DF04C6" w:rsidRPr="00DF04C6">
              <w:rPr>
                <w:noProof/>
                <w:sz w:val="18"/>
                <w:szCs w:val="18"/>
              </w:rPr>
              <w:t>(Christiansen et al. 1998; Felsenstein 1974; Fisher 1930)</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7C3CAB">
            <w:pPr>
              <w:ind w:firstLine="0"/>
              <w:rPr>
                <w:sz w:val="18"/>
                <w:szCs w:val="18"/>
              </w:rPr>
            </w:pPr>
            <w:r>
              <w:rPr>
                <w:sz w:val="18"/>
                <w:szCs w:val="18"/>
              </w:rPr>
              <w:t>Clonal interference</w:t>
            </w:r>
          </w:p>
        </w:tc>
        <w:tc>
          <w:tcPr>
            <w:tcW w:w="1134"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3D797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beneficial mutations reduce the fixation probability of each other</w:t>
            </w:r>
          </w:p>
        </w:tc>
        <w:tc>
          <w:tcPr>
            <w:tcW w:w="1985" w:type="dxa"/>
          </w:tcPr>
          <w:p w:rsidR="00D35177" w:rsidRPr="00721F05" w:rsidRDefault="00D3517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p>
        </w:tc>
        <w:tc>
          <w:tcPr>
            <w:tcW w:w="1479" w:type="dxa"/>
          </w:tcPr>
          <w:p w:rsidR="00D35177" w:rsidRDefault="00746332"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DF04C6">
              <w:rPr>
                <w:sz w:val="18"/>
                <w:szCs w:val="18"/>
              </w:rPr>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"id" : "ITEM-2",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"ITEM-2",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"id" : "ITEM-3",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"ITEM-3",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"(Felsenstein 1974; Gerrish and Lenski 1998; Martens and Hallatschek 2011)" }, "properties" : { "noteIndex" : 0 }, "schema" : "https://github.com/citation-style-language/schema/raw/master/csl-citation.json" }</w:instrText>
            </w:r>
            <w:r>
              <w:rPr>
                <w:sz w:val="18"/>
                <w:szCs w:val="18"/>
              </w:rPr>
              <w:fldChar w:fldCharType="separate"/>
            </w:r>
            <w:r w:rsidRPr="00746332">
              <w:rPr>
                <w:noProof/>
                <w:sz w:val="18"/>
                <w:szCs w:val="18"/>
              </w:rPr>
              <w:t>(Felsenstein 1974; Gerrish and Lenski 1998; Martens and Hallatschek 2011)</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 xml:space="preserve">Selective </w:t>
            </w:r>
            <w:r>
              <w:rPr>
                <w:sz w:val="18"/>
                <w:szCs w:val="18"/>
              </w:rPr>
              <w:lastRenderedPageBreak/>
              <w:t>sweeps</w:t>
            </w:r>
          </w:p>
        </w:tc>
        <w:tc>
          <w:tcPr>
            <w:tcW w:w="1134"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 xml:space="preserve">Neutral </w:t>
            </w:r>
            <w:r>
              <w:rPr>
                <w:sz w:val="18"/>
                <w:szCs w:val="18"/>
              </w:rPr>
              <w:lastRenderedPageBreak/>
              <w:t>diversity</w:t>
            </w:r>
          </w:p>
        </w:tc>
        <w:tc>
          <w:tcPr>
            <w:tcW w:w="1276"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Adaptation</w:t>
            </w:r>
          </w:p>
        </w:tc>
        <w:tc>
          <w:tcPr>
            <w:tcW w:w="2126" w:type="dxa"/>
            <w:gridSpan w:val="2"/>
          </w:tcPr>
          <w:p w:rsidR="00DF04C6" w:rsidRPr="00721F05" w:rsidRDefault="00DF04C6"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Hitchhiking of neutral </w:t>
            </w:r>
            <w:r>
              <w:rPr>
                <w:sz w:val="18"/>
                <w:szCs w:val="18"/>
              </w:rPr>
              <w:lastRenderedPageBreak/>
              <w:t>mutations with beneficial ones reduces the genetic diversity, which is then restored by mutation</w:t>
            </w:r>
          </w:p>
        </w:tc>
        <w:tc>
          <w:tcPr>
            <w:tcW w:w="1985" w:type="dxa"/>
          </w:tcPr>
          <w:p w:rsidR="00DF04C6" w:rsidRPr="00721F05"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 xml:space="preserve">Recombination </w:t>
            </w:r>
            <w:r>
              <w:rPr>
                <w:sz w:val="18"/>
                <w:szCs w:val="18"/>
              </w:rPr>
              <w:lastRenderedPageBreak/>
              <w:t>regenerates the genetic diversity lost by sweeps and limits the scope of these sweeps</w:t>
            </w:r>
          </w:p>
        </w:tc>
        <w:tc>
          <w:tcPr>
            <w:tcW w:w="1479" w:type="dxa"/>
          </w:tcPr>
          <w:p w:rsidR="00DF04C6"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Pr>
                <w:sz w:val="18"/>
                <w:szCs w:val="18"/>
              </w:rPr>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"10.1534/genetics.104.036947", "ISSN" : "0016-6731",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scenario-standing variation vs. new mutations-is more likely. Adaptations from the standing genetic variation are favored if either the selective advantage is weak or the selection coefficient and the mutation rate are both high. Finally, we analyze the probability of \"soft sweeps,\"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"ITEM-2", "issue" : "4", "issued" : { "date-parts" : [ [ "2005", "4" ] ] }, "page" : "2335-52", "title" : "Soft sweeps: molecular population genetics of adaptation from standing genetic variation.", "type" : "article-journal", "volume" : "169" }, "uris" : [ "http://www.mendeley.com/documents/?uuid=d8c19198-7b83-4c25-a674-bd01ed900ed0" ] } ], "mendeley" : { "previouslyFormattedCitation" : "(Maynard Smith and Haigh 1974; Hermisson and Pennings 2005)" }, "properties" : { "noteIndex" : 0 }, "schema" : "https://github.com/citation-style-language/schema/raw/master/csl-citation.json" }</w:instrText>
            </w:r>
            <w:r>
              <w:rPr>
                <w:sz w:val="18"/>
                <w:szCs w:val="18"/>
              </w:rPr>
              <w:fldChar w:fldCharType="separate"/>
            </w:r>
            <w:r w:rsidRPr="00DF04C6">
              <w:rPr>
                <w:noProof/>
                <w:sz w:val="18"/>
                <w:szCs w:val="18"/>
              </w:rPr>
              <w:t xml:space="preserve">(Maynard Smith </w:t>
            </w:r>
            <w:r w:rsidRPr="00DF04C6">
              <w:rPr>
                <w:noProof/>
                <w:sz w:val="18"/>
                <w:szCs w:val="18"/>
              </w:rPr>
              <w:lastRenderedPageBreak/>
              <w:t>and Haigh 1974; Hermisson and Pennings 2005)</w:t>
            </w:r>
            <w:r>
              <w:rPr>
                <w:sz w:val="18"/>
                <w:szCs w:val="18"/>
              </w:rPr>
              <w:fldChar w:fldCharType="end"/>
            </w:r>
          </w:p>
        </w:tc>
      </w:tr>
      <w:tr w:rsidR="00DF04C6"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lastRenderedPageBreak/>
              <w:t>Background selection</w:t>
            </w:r>
          </w:p>
        </w:tc>
        <w:tc>
          <w:tcPr>
            <w:tcW w:w="1134"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w:t>
            </w:r>
          </w:p>
        </w:tc>
        <w:tc>
          <w:tcPr>
            <w:tcW w:w="2126" w:type="dxa"/>
            <w:gridSpan w:val="2"/>
          </w:tcPr>
          <w:p w:rsidR="00DF04C6" w:rsidRPr="00721F05" w:rsidRDefault="00DF04C6" w:rsidP="00DF04C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Elimination of deleterious mutations reduces the genetic diversity, which is then restored by mutation</w:t>
            </w:r>
          </w:p>
        </w:tc>
        <w:tc>
          <w:tcPr>
            <w:tcW w:w="1985"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c>
          <w:tcPr>
            <w:tcW w:w="1479" w:type="dxa"/>
          </w:tcPr>
          <w:p w:rsidR="00DF04C6"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 "citationItems" : [ { "id" : "ITEM-1",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"ITEM-1", "issue" : "1", "issued" : { "date-parts" : [ [ "2012", "1", "4" ] ] }, "note" : "In this article, I focus exclusively on the effects of deleterious mutations on evolution at linked sites, both in the context of background selection and when purifying selection is sufficiently weak that mutations deviate sub- stantially from their deterministic equilibria as a result of genetic drift", "page" : "5-22", "title" : "The effects of deleterious mutations on evolution at linked sites.", "type" : "article-journal", "volume" : "190" }, "uris" : [ "http://www.mendeley.com/documents/?uuid=f633ca7d-2c92-4826-9cfa-aebb6376febd" ] } ], "mendeley" : { "previouslyFormattedCitation" : "(Charlesworth 2012)" }, "properties" : { "noteIndex" : 0 }, "schema" : "https://github.com/citation-style-language/schema/raw/master/csl-citation.json" }</w:instrText>
            </w:r>
            <w:r>
              <w:rPr>
                <w:sz w:val="18"/>
                <w:szCs w:val="18"/>
              </w:rPr>
              <w:fldChar w:fldCharType="separate"/>
            </w:r>
            <w:r w:rsidRPr="00DF04C6">
              <w:rPr>
                <w:noProof/>
                <w:sz w:val="18"/>
                <w:szCs w:val="18"/>
              </w:rPr>
              <w:t>(Charlesworth 2012)</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Default="00DF04C6" w:rsidP="00BA6A91">
            <w:pPr>
              <w:ind w:firstLine="0"/>
              <w:rPr>
                <w:sz w:val="18"/>
                <w:szCs w:val="18"/>
              </w:rPr>
            </w:pPr>
          </w:p>
        </w:tc>
        <w:tc>
          <w:tcPr>
            <w:tcW w:w="1134"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gridSpan w:val="2"/>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985"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479"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lastRenderedPageBreak/>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3927A6">
      <w:pPr>
        <w:pStyle w:val="Caption"/>
        <w:jc w:val="center"/>
        <w:divId w:val="1620528373"/>
      </w:pPr>
      <w:r>
        <w:t xml:space="preserve">Figure </w:t>
      </w:r>
      <w:r w:rsidR="00901526">
        <w:t>S</w:t>
      </w:r>
      <w:r w:rsidR="003927A6">
        <w:t>1</w:t>
      </w:r>
      <w:r>
        <w:t xml:space="preserve"> - </w:t>
      </w:r>
      <w:r w:rsidRPr="005D47D6">
        <w:t>invasion_SIMvsCM_r_02014-02-26</w:t>
      </w:r>
    </w:p>
    <w:p w:rsidR="0017463F" w:rsidRDefault="0017463F" w:rsidP="0017463F">
      <w:pPr>
        <w:divId w:val="1620528373"/>
      </w:pPr>
    </w:p>
    <w:p w:rsidR="0017463F" w:rsidRDefault="003927A6" w:rsidP="0017463F">
      <w:pPr>
        <w:keepNext/>
        <w:jc w:val="center"/>
        <w:divId w:val="1620528373"/>
      </w:pPr>
      <w:r w:rsidRPr="003927A6">
        <w:rPr>
          <w:noProof/>
        </w:rPr>
        <w:lastRenderedPageBreak/>
        <w:drawing>
          <wp:inline distT="0" distB="0" distL="0" distR="0" wp14:anchorId="778D6F28" wp14:editId="07EE3A49">
            <wp:extent cx="548640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0945"/>
                    </a:xfrm>
                    <a:prstGeom prst="rect">
                      <a:avLst/>
                    </a:prstGeom>
                  </pic:spPr>
                </pic:pic>
              </a:graphicData>
            </a:graphic>
          </wp:inline>
        </w:drawing>
      </w:r>
    </w:p>
    <w:p w:rsidR="0017463F" w:rsidRDefault="0017463F" w:rsidP="003927A6">
      <w:pPr>
        <w:pStyle w:val="Caption"/>
        <w:jc w:val="center"/>
        <w:divId w:val="1620528373"/>
      </w:pPr>
      <w:r w:rsidRPr="00BE6BF6">
        <w:rPr>
          <w:highlight w:val="yellow"/>
        </w:rPr>
        <w:t xml:space="preserve">Figure </w:t>
      </w:r>
      <w:r w:rsidR="003927A6">
        <w:rPr>
          <w:highlight w:val="yellow"/>
        </w:rPr>
        <w:t>S2</w:t>
      </w:r>
      <w:r w:rsidRPr="00BE6BF6">
        <w:rPr>
          <w:highlight w:val="yellow"/>
        </w:rPr>
        <w:t xml:space="preserve"> - </w:t>
      </w:r>
      <w:r w:rsidR="003927A6" w:rsidRPr="003927A6">
        <w:t>invasion_RB</w:t>
      </w:r>
      <w:r w:rsidR="003927A6">
        <w:t>_SIMvsCM_pop_1e6_2014-07-28</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18"/>
      <w:headerReference w:type="default" r:id="rId19"/>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332" w:rsidRDefault="00746332" w:rsidP="00684BC6">
      <w:r>
        <w:separator/>
      </w:r>
    </w:p>
  </w:endnote>
  <w:endnote w:type="continuationSeparator" w:id="0">
    <w:p w:rsidR="00746332" w:rsidRDefault="00746332"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746332" w:rsidRDefault="00746332" w:rsidP="00684BC6">
        <w:pPr>
          <w:pStyle w:val="Footer"/>
        </w:pPr>
        <w:r>
          <w:fldChar w:fldCharType="begin"/>
        </w:r>
        <w:r>
          <w:instrText xml:space="preserve"> PAGE   \* MERGEFORMAT </w:instrText>
        </w:r>
        <w:r>
          <w:fldChar w:fldCharType="separate"/>
        </w:r>
        <w:r w:rsidR="00842034">
          <w:rPr>
            <w:noProof/>
          </w:rPr>
          <w:t>22</w:t>
        </w:r>
        <w:r>
          <w:rPr>
            <w:noProof/>
          </w:rPr>
          <w:fldChar w:fldCharType="end"/>
        </w:r>
      </w:p>
    </w:sdtContent>
  </w:sdt>
  <w:p w:rsidR="00746332" w:rsidRDefault="00746332"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332" w:rsidRDefault="00746332" w:rsidP="00684BC6">
    <w:r>
      <w:fldChar w:fldCharType="begin"/>
    </w:r>
    <w:r>
      <w:instrText>PAGE</w:instrText>
    </w:r>
    <w:r>
      <w:fldChar w:fldCharType="separate"/>
    </w:r>
    <w:r w:rsidR="00842034">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332" w:rsidRDefault="00746332" w:rsidP="00684BC6">
      <w:r>
        <w:separator/>
      </w:r>
    </w:p>
  </w:footnote>
  <w:footnote w:type="continuationSeparator" w:id="0">
    <w:p w:rsidR="00746332" w:rsidRDefault="00746332"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332" w:rsidRDefault="00746332"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332" w:rsidRDefault="00746332" w:rsidP="00684BC6">
    <w:pPr>
      <w:pStyle w:val="Header"/>
    </w:pPr>
    <w:r>
      <w:fldChar w:fldCharType="begin"/>
    </w:r>
    <w:r>
      <w:instrText xml:space="preserve"> DATE \@ "MMMM d, yyyy" </w:instrText>
    </w:r>
    <w:r>
      <w:fldChar w:fldCharType="separate"/>
    </w:r>
    <w:r w:rsidR="00E10872">
      <w:rPr>
        <w:noProof/>
      </w:rPr>
      <w:t>September 4,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D0C"/>
    <w:rsid w:val="0000657B"/>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5B58"/>
    <w:rsid w:val="00127F03"/>
    <w:rsid w:val="001405E7"/>
    <w:rsid w:val="0015245B"/>
    <w:rsid w:val="0015303A"/>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102"/>
    <w:rsid w:val="00263A33"/>
    <w:rsid w:val="0027187C"/>
    <w:rsid w:val="00280E31"/>
    <w:rsid w:val="00282723"/>
    <w:rsid w:val="002833EF"/>
    <w:rsid w:val="002869DA"/>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43CF"/>
    <w:rsid w:val="0036194A"/>
    <w:rsid w:val="00381554"/>
    <w:rsid w:val="003927A6"/>
    <w:rsid w:val="00393F82"/>
    <w:rsid w:val="00396210"/>
    <w:rsid w:val="003A0002"/>
    <w:rsid w:val="003A0243"/>
    <w:rsid w:val="003A3923"/>
    <w:rsid w:val="003A4706"/>
    <w:rsid w:val="003A69ED"/>
    <w:rsid w:val="003C3340"/>
    <w:rsid w:val="003C3829"/>
    <w:rsid w:val="003D0050"/>
    <w:rsid w:val="003D21C1"/>
    <w:rsid w:val="003D7976"/>
    <w:rsid w:val="003E13B9"/>
    <w:rsid w:val="003F5488"/>
    <w:rsid w:val="0041546C"/>
    <w:rsid w:val="00432E8B"/>
    <w:rsid w:val="00434599"/>
    <w:rsid w:val="00434F6A"/>
    <w:rsid w:val="00444F34"/>
    <w:rsid w:val="004470A8"/>
    <w:rsid w:val="00451CA6"/>
    <w:rsid w:val="0045279B"/>
    <w:rsid w:val="00470AD2"/>
    <w:rsid w:val="0047230E"/>
    <w:rsid w:val="00472A91"/>
    <w:rsid w:val="004739EB"/>
    <w:rsid w:val="0047646C"/>
    <w:rsid w:val="00486682"/>
    <w:rsid w:val="00493028"/>
    <w:rsid w:val="004979BE"/>
    <w:rsid w:val="004B18D2"/>
    <w:rsid w:val="004B2D79"/>
    <w:rsid w:val="004B3EE3"/>
    <w:rsid w:val="004B51C1"/>
    <w:rsid w:val="004B53DF"/>
    <w:rsid w:val="004B5703"/>
    <w:rsid w:val="004B68EC"/>
    <w:rsid w:val="004C4129"/>
    <w:rsid w:val="004D3201"/>
    <w:rsid w:val="004D566A"/>
    <w:rsid w:val="004E1DFB"/>
    <w:rsid w:val="004F3A59"/>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4E05"/>
    <w:rsid w:val="005B467E"/>
    <w:rsid w:val="005D47D6"/>
    <w:rsid w:val="005E17FC"/>
    <w:rsid w:val="005E2FC1"/>
    <w:rsid w:val="005E5B74"/>
    <w:rsid w:val="005E79F1"/>
    <w:rsid w:val="005F544C"/>
    <w:rsid w:val="005F5641"/>
    <w:rsid w:val="005F5AA7"/>
    <w:rsid w:val="006036F1"/>
    <w:rsid w:val="00606643"/>
    <w:rsid w:val="006115D1"/>
    <w:rsid w:val="00614577"/>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B4AE9"/>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46332"/>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10973"/>
    <w:rsid w:val="008234EB"/>
    <w:rsid w:val="00840186"/>
    <w:rsid w:val="00842034"/>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6396"/>
    <w:rsid w:val="008C6A6B"/>
    <w:rsid w:val="008D4F11"/>
    <w:rsid w:val="008E4223"/>
    <w:rsid w:val="00901526"/>
    <w:rsid w:val="00904140"/>
    <w:rsid w:val="00913300"/>
    <w:rsid w:val="00916129"/>
    <w:rsid w:val="009161B7"/>
    <w:rsid w:val="0091743C"/>
    <w:rsid w:val="00950356"/>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5110"/>
    <w:rsid w:val="00AD66E9"/>
    <w:rsid w:val="00AD6C4A"/>
    <w:rsid w:val="00AE00F8"/>
    <w:rsid w:val="00AE1BCC"/>
    <w:rsid w:val="00AE39F0"/>
    <w:rsid w:val="00AE5E3A"/>
    <w:rsid w:val="00AE65BA"/>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273"/>
    <w:rsid w:val="00D06B86"/>
    <w:rsid w:val="00D113A8"/>
    <w:rsid w:val="00D22B44"/>
    <w:rsid w:val="00D3013A"/>
    <w:rsid w:val="00D31778"/>
    <w:rsid w:val="00D35177"/>
    <w:rsid w:val="00D4253F"/>
    <w:rsid w:val="00D546DC"/>
    <w:rsid w:val="00D55250"/>
    <w:rsid w:val="00D57534"/>
    <w:rsid w:val="00D612CB"/>
    <w:rsid w:val="00D61EE2"/>
    <w:rsid w:val="00D66FD1"/>
    <w:rsid w:val="00D76359"/>
    <w:rsid w:val="00DA10A1"/>
    <w:rsid w:val="00DB303F"/>
    <w:rsid w:val="00DB3CE0"/>
    <w:rsid w:val="00DC25EE"/>
    <w:rsid w:val="00DC3FF4"/>
    <w:rsid w:val="00DE0061"/>
    <w:rsid w:val="00DE3D33"/>
    <w:rsid w:val="00DE534D"/>
    <w:rsid w:val="00DE72DB"/>
    <w:rsid w:val="00DF04C6"/>
    <w:rsid w:val="00DF3F12"/>
    <w:rsid w:val="00E10872"/>
    <w:rsid w:val="00E154A6"/>
    <w:rsid w:val="00E15D4F"/>
    <w:rsid w:val="00E26B2F"/>
    <w:rsid w:val="00E41381"/>
    <w:rsid w:val="00E447C4"/>
    <w:rsid w:val="00E56CE3"/>
    <w:rsid w:val="00E65857"/>
    <w:rsid w:val="00E65D1C"/>
    <w:rsid w:val="00E663AE"/>
    <w:rsid w:val="00E76D7C"/>
    <w:rsid w:val="00E8137A"/>
    <w:rsid w:val="00E95AD3"/>
    <w:rsid w:val="00E96C82"/>
    <w:rsid w:val="00E96D68"/>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56B46"/>
    <w:rsid w:val="00F6288C"/>
    <w:rsid w:val="00F638EB"/>
    <w:rsid w:val="00F908E6"/>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631AD-9FA1-4841-B95E-C770798B4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20857</TotalTime>
  <Pages>24</Pages>
  <Words>48862</Words>
  <Characters>244314</Characters>
  <Application>Microsoft Office Word</Application>
  <DocSecurity>0</DocSecurity>
  <Lines>2035</Lines>
  <Paragraphs>585</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292591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54</cp:revision>
  <cp:lastPrinted>2014-06-17T09:28:00Z</cp:lastPrinted>
  <dcterms:created xsi:type="dcterms:W3CDTF">2012-09-27T08:48:00Z</dcterms:created>
  <dcterms:modified xsi:type="dcterms:W3CDTF">2014-09-04T13:26:00Z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