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794A76" w:rsidP="00794A76">
      <w:pPr>
        <w:pStyle w:val="Subtitle"/>
        <w:spacing w:line="360" w:lineRule="auto"/>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Pr>
          <w:rFonts w:ascii="Georgia" w:hAnsi="Georgia"/>
          <w:noProof/>
        </w:rPr>
        <w:t>12/15/2013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Default="005378F2" w:rsidP="005378F2">
      <w:pPr>
        <w:pStyle w:val="ListParagraph"/>
        <w:numPr>
          <w:ilvl w:val="0"/>
          <w:numId w:val="18"/>
        </w:numPr>
        <w:bidi w:val="0"/>
        <w:spacing w:line="360" w:lineRule="auto"/>
        <w:rPr>
          <w:rFonts w:ascii="Georgia" w:hAnsi="Georgia"/>
        </w:rPr>
      </w:pPr>
      <w:r>
        <w:rPr>
          <w:rFonts w:ascii="Georgia" w:hAnsi="Georgia"/>
        </w:rPr>
        <w:t>All deleterious mutations induce stress</w:t>
      </w:r>
    </w:p>
    <w:p w:rsidR="005378F2" w:rsidRPr="005378F2" w:rsidRDefault="005378F2" w:rsidP="005378F2">
      <w:pPr>
        <w:bidi w:val="0"/>
        <w:spacing w:line="360" w:lineRule="auto"/>
        <w:rPr>
          <w:rFonts w:ascii="Georgia" w:hAnsi="Georgia"/>
        </w:rPr>
      </w:pPr>
      <w:r>
        <w:rPr>
          <w:rFonts w:ascii="Georgia" w:hAnsi="Georgia"/>
        </w:rPr>
        <w:t xml:space="preserve">Our model of SIM assumes a threshold relationship between fitness and the mutation rate. Therefore, the mutation rate is affected by deleterious mutations in all loci, </w:t>
      </w:r>
      <w:proofErr w:type="spellStart"/>
      <w:r>
        <w:rPr>
          <w:rFonts w:ascii="Georgia" w:hAnsi="Georgia"/>
        </w:rPr>
        <w:t>no</w:t>
      </w:r>
      <w:proofErr w:type="spellEnd"/>
      <w:r>
        <w:rPr>
          <w:rFonts w:ascii="Georgia" w:hAnsi="Georgia"/>
        </w:rPr>
        <w:t xml:space="preserve"> only the specific loci. This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Default="00794A76" w:rsidP="005378F2">
      <w:pPr>
        <w:pStyle w:val="ListParagraph"/>
        <w:numPr>
          <w:ilvl w:val="0"/>
          <w:numId w:val="18"/>
        </w:numPr>
        <w:bidi w:val="0"/>
        <w:spacing w:line="360" w:lineRule="auto"/>
        <w:rPr>
          <w:rFonts w:ascii="Georgia" w:hAnsi="Georgia"/>
        </w:rPr>
      </w:pPr>
      <w:r>
        <w:rPr>
          <w:rFonts w:ascii="Georgia" w:hAnsi="Georgia"/>
        </w:rPr>
        <w:t>Competitions</w:t>
      </w:r>
      <w:r w:rsidR="00395E7C">
        <w:rPr>
          <w:rFonts w:ascii="Georgia" w:hAnsi="Georgia"/>
        </w:rPr>
        <w:tab/>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w:t>
      </w:r>
      <w:proofErr w:type="gramStart"/>
      <w:r>
        <w:rPr>
          <w:rFonts w:ascii="Georgia" w:hAnsi="Georgia"/>
        </w:rPr>
        <w:t>added  section</w:t>
      </w:r>
      <w:proofErr w:type="gramEnd"/>
      <w:r>
        <w:rPr>
          <w:rFonts w:ascii="Georgia" w:hAnsi="Georgia"/>
        </w:rPr>
        <w:t xml:space="preserve">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Default="005378F2" w:rsidP="00794A76">
      <w:pPr>
        <w:pStyle w:val="ListParagraph"/>
        <w:numPr>
          <w:ilvl w:val="0"/>
          <w:numId w:val="18"/>
        </w:numPr>
        <w:bidi w:val="0"/>
        <w:spacing w:line="360" w:lineRule="auto"/>
        <w:rPr>
          <w:rFonts w:ascii="Georgia" w:hAnsi="Georgia"/>
        </w:rPr>
      </w:pPr>
      <w:r>
        <w:rPr>
          <w:rFonts w:ascii="Georgia" w:hAnsi="Georgia"/>
        </w:rPr>
        <w:t>Continuous relationships between fitness and mutation rate</w:t>
      </w:r>
    </w:p>
    <w:p w:rsidR="005378F2" w:rsidRPr="005378F2" w:rsidRDefault="005378F2" w:rsidP="005378F2">
      <w:pPr>
        <w:bidi w:val="0"/>
        <w:spacing w:line="360" w:lineRule="auto"/>
        <w:rPr>
          <w:rFonts w:ascii="Georgia" w:hAnsi="Georgia"/>
        </w:rPr>
      </w:pPr>
      <w:r>
        <w:rPr>
          <w:rFonts w:ascii="Georgia" w:hAnsi="Georgia"/>
        </w:rPr>
        <w:t xml:space="preserve">We simulated adaptation with SIM with a continuous relationship between fitness and mutation rate, based on the function used by Agrawal </w:t>
      </w:r>
      <w:r>
        <w:rPr>
          <w:rFonts w:ascii="Georgia" w:hAnsi="Georgia"/>
        </w:rPr>
        <w:fldChar w:fldCharType="begin" w:fldLock="1"/>
      </w:r>
      <w:r>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rFonts w:ascii="Georgia" w:hAnsi="Georgia"/>
        </w:rPr>
        <w:fldChar w:fldCharType="separate"/>
      </w:r>
      <w:r w:rsidRPr="005378F2">
        <w:rPr>
          <w:rFonts w:ascii="Georgia" w:hAnsi="Georgia"/>
          <w:noProof/>
        </w:rPr>
        <w:t>(2002)</w:t>
      </w:r>
      <w:r>
        <w:rPr>
          <w:rFonts w:ascii="Georgia" w:hAnsi="Georgia"/>
        </w:rPr>
        <w:fldChar w:fldCharType="end"/>
      </w:r>
      <w:r>
        <w:rPr>
          <w:rFonts w:ascii="Georgia" w:hAnsi="Georgia"/>
        </w:rPr>
        <w:t xml:space="preserve"> and later by Shaw &amp; Baer </w:t>
      </w:r>
      <w:r>
        <w:rPr>
          <w:rFonts w:ascii="Georgia" w:hAnsi="Georgia"/>
        </w:rPr>
        <w:fldChar w:fldCharType="begin" w:fldLock="1"/>
      </w:r>
      <w:r>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Pr>
          <w:rFonts w:ascii="Georgia" w:hAnsi="Georgia"/>
        </w:rPr>
        <w:fldChar w:fldCharType="separate"/>
      </w:r>
      <w:r w:rsidRPr="005378F2">
        <w:rPr>
          <w:rFonts w:ascii="Georgia" w:hAnsi="Georgia"/>
          <w:noProof/>
        </w:rPr>
        <w:t>(2011)</w:t>
      </w:r>
      <w:r>
        <w:rPr>
          <w:rFonts w:ascii="Georgia" w:hAnsi="Georgia"/>
        </w:rPr>
        <w:fldChar w:fldCharType="end"/>
      </w:r>
      <w:r>
        <w:rPr>
          <w:rFonts w:ascii="Georgia" w:hAnsi="Georgia"/>
        </w:rPr>
        <w:t xml:space="preserve">. The results are summarized in section 3.4 and Figure 2B. In short, the adaptation rate with each continuous strategy is mainly determined by the ratio of the mutation rates of </w:t>
      </w:r>
      <w:proofErr w:type="spellStart"/>
      <w:r w:rsidRPr="005378F2">
        <w:rPr>
          <w:rFonts w:ascii="Georgia" w:hAnsi="Georgia"/>
        </w:rPr>
        <w:t>w</w:t>
      </w:r>
      <w:r>
        <w:rPr>
          <w:rFonts w:ascii="Georgia" w:hAnsi="Georgia"/>
        </w:rPr>
        <w:t>ildtypes</w:t>
      </w:r>
      <w:proofErr w:type="spellEnd"/>
      <w:r>
        <w:rPr>
          <w:rFonts w:ascii="Georgia" w:hAnsi="Georgia"/>
        </w:rPr>
        <w:t xml:space="preserve"> and single </w:t>
      </w:r>
      <w:proofErr w:type="spellStart"/>
      <w:r>
        <w:rPr>
          <w:rFonts w:ascii="Georgia" w:hAnsi="Georgia"/>
        </w:rPr>
        <w:t>mutatns</w:t>
      </w:r>
      <w:proofErr w:type="spellEnd"/>
      <w:r>
        <w:rPr>
          <w:rFonts w:ascii="Georgia" w:hAnsi="Georgia"/>
        </w:rPr>
        <w:t xml:space="preserve">. Therefore, the adaptation rate can be approximated by a SIM strategy with a threshold relationship that induces synchronizes the mutation rates of </w:t>
      </w:r>
      <w:proofErr w:type="spellStart"/>
      <w:r>
        <w:rPr>
          <w:rFonts w:ascii="Georgia" w:hAnsi="Georgia"/>
        </w:rPr>
        <w:t>wildtypes</w:t>
      </w:r>
      <w:proofErr w:type="spellEnd"/>
      <w:r>
        <w:rPr>
          <w:rFonts w:ascii="Georgia" w:hAnsi="Georgia"/>
        </w:rPr>
        <w:t xml:space="preserve"> and single mutants with those of the continuous relationship.</w:t>
      </w:r>
    </w:p>
    <w:p w:rsidR="00794A76" w:rsidRDefault="00794A76" w:rsidP="00794A76">
      <w:pPr>
        <w:pStyle w:val="ListParagraph"/>
        <w:numPr>
          <w:ilvl w:val="0"/>
          <w:numId w:val="18"/>
        </w:numPr>
        <w:bidi w:val="0"/>
        <w:spacing w:line="360" w:lineRule="auto"/>
        <w:rPr>
          <w:rFonts w:ascii="Georgia" w:hAnsi="Georgia"/>
        </w:rPr>
      </w:pPr>
      <w:r>
        <w:rPr>
          <w:rFonts w:ascii="Georgia" w:hAnsi="Georgia"/>
        </w:rPr>
        <w:t xml:space="preserve">Correction of </w:t>
      </w:r>
      <w:r w:rsidRPr="0085768F">
        <w:rPr>
          <w:rFonts w:ascii="Georgia" w:hAnsi="Georgia"/>
          <w:i/>
          <w:iCs/>
        </w:rPr>
        <w:t xml:space="preserve">q </w:t>
      </w:r>
      <w:r>
        <w:rPr>
          <w:rFonts w:ascii="Georgia" w:hAnsi="Georgia"/>
        </w:rPr>
        <w:t>equations</w:t>
      </w:r>
    </w:p>
    <w:p w:rsidR="005378F2" w:rsidRPr="00DE6B5E" w:rsidRDefault="005378F2" w:rsidP="00DE6B5E">
      <w:pPr>
        <w:bidi w:val="0"/>
        <w:spacing w:line="360" w:lineRule="auto"/>
        <w:rPr>
          <w:rFonts w:ascii="Georgia" w:hAnsi="Georgia"/>
          <w:i/>
          <w:iCs/>
        </w:rPr>
      </w:pPr>
      <w:r>
        <w:rPr>
          <w:rFonts w:ascii="Georgia" w:hAnsi="Georgia"/>
        </w:rPr>
        <w:lastRenderedPageBreak/>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EB274C" w:rsidRDefault="00EB274C" w:rsidP="00794A76">
      <w:pPr>
        <w:bidi w:val="0"/>
        <w:spacing w:line="360" w:lineRule="auto"/>
        <w:rPr>
          <w:rFonts w:ascii="Arial" w:hAnsi="Arial" w:cs="Arial"/>
          <w:i/>
          <w:iCs/>
          <w:color w:val="222222"/>
          <w:sz w:val="19"/>
          <w:szCs w:val="19"/>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DE6B5E"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We simulated direct competitions between NM, CM, and SIM. The results favor SIM and are presented in section 3.5 and Figure 5.</w:t>
      </w:r>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bookmarkStart w:id="0" w:name="_GoBack"/>
      <w:bookmarkEnd w:id="0"/>
      <w:r w:rsidR="00DE6B5E">
        <w:rPr>
          <w:rFonts w:ascii="Georgia" w:hAnsi="Georgia"/>
        </w:rPr>
        <w:t>:</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EB274C">
        <w:rPr>
          <w:rFonts w:ascii="Arial" w:hAnsi="Arial" w:cs="Arial"/>
          <w:i/>
          <w:iCs/>
          <w:color w:val="222222"/>
          <w:sz w:val="19"/>
          <w:szCs w:val="19"/>
          <w:shd w:val="clear" w:color="auto" w:fill="FFFFFF"/>
        </w:rPr>
        <w:t>aB</w:t>
      </w:r>
      <w:proofErr w:type="spellEnd"/>
      <w:r w:rsidRPr="00EB274C">
        <w:rPr>
          <w:rFonts w:ascii="Arial" w:hAnsi="Arial" w:cs="Arial"/>
          <w:i/>
          <w:iCs/>
          <w:color w:val="222222"/>
          <w:sz w:val="19"/>
          <w:szCs w:val="19"/>
          <w:shd w:val="clear" w:color="auto" w:fill="FFFFFF"/>
        </w:rPr>
        <w:t xml:space="preserve"> and why these mutants should have higher mutation rates than the ab genotype which carries FEWER adaptive alleles?</w:t>
      </w:r>
      <w:r w:rsidRPr="00EB274C">
        <w:rPr>
          <w:rFonts w:ascii="Arial" w:hAnsi="Arial" w:cs="Arial"/>
          <w:i/>
          <w:iCs/>
          <w:color w:val="222222"/>
          <w:sz w:val="19"/>
          <w:szCs w:val="19"/>
        </w:rPr>
        <w:br/>
      </w:r>
      <w:r w:rsidRPr="00EB274C">
        <w:rPr>
          <w:rFonts w:ascii="Arial" w:hAnsi="Arial" w:cs="Arial"/>
          <w:i/>
          <w:iCs/>
          <w:color w:val="222222"/>
          <w:sz w:val="19"/>
          <w:szCs w:val="19"/>
        </w:rPr>
        <w:lastRenderedPageBreak/>
        <w:br/>
      </w:r>
      <w:r w:rsidRPr="00EB274C">
        <w:rPr>
          <w:rFonts w:ascii="Arial" w:hAnsi="Arial" w:cs="Arial"/>
          <w:i/>
          <w:iCs/>
          <w:color w:val="222222"/>
          <w:sz w:val="19"/>
          <w:szCs w:val="19"/>
          <w:shd w:val="clear" w:color="auto" w:fill="FFFFFF"/>
        </w:rPr>
        <w:t xml:space="preserve">Ln 95 says that it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 xml:space="preserve">u/s)^2 &lt; 1.  However, that ignores the “background mutations”.  Don’t you requires </w:t>
      </w:r>
      <w:proofErr w:type="gramStart"/>
      <w:r w:rsidRPr="00EB274C">
        <w:rPr>
          <w:rFonts w:ascii="Arial" w:hAnsi="Arial" w:cs="Arial"/>
          <w:i/>
          <w:iCs/>
          <w:color w:val="222222"/>
          <w:sz w:val="19"/>
          <w:szCs w:val="19"/>
          <w:shd w:val="clear" w:color="auto" w:fill="FFFFFF"/>
        </w:rPr>
        <w:t>N(</w:t>
      </w:r>
      <w:proofErr w:type="gramEnd"/>
      <w:r w:rsidRPr="00EB274C">
        <w:rPr>
          <w:rFonts w:ascii="Arial" w:hAnsi="Arial" w:cs="Arial"/>
          <w:i/>
          <w:iCs/>
          <w:color w:val="222222"/>
          <w:sz w:val="19"/>
          <w:szCs w:val="19"/>
          <w:shd w:val="clear" w:color="auto" w:fill="FFFFFF"/>
        </w:rPr>
        <w:t>e^-U/s)(u/s)^2 &lt; 1.  A similar issue applies to Ln 96</w:t>
      </w:r>
    </w:p>
    <w:p w:rsidR="00EB274C" w:rsidRPr="0045544D" w:rsidRDefault="00EB274C" w:rsidP="00A829B4">
      <w:pPr>
        <w:pStyle w:val="ListParagraph"/>
        <w:numPr>
          <w:ilvl w:val="0"/>
          <w:numId w:val="1"/>
        </w:numPr>
        <w:bidi w:val="0"/>
        <w:spacing w:line="360" w:lineRule="auto"/>
        <w:rPr>
          <w:rFonts w:ascii="Georgia" w:hAnsi="Georgia"/>
        </w:rPr>
      </w:pPr>
      <w:r w:rsidRPr="0045544D">
        <w:rPr>
          <w:rFonts w:ascii="Georgia" w:hAnsi="Georgia"/>
        </w:rPr>
        <w:t>We corrected the relevant expressions.</w:t>
      </w:r>
    </w:p>
    <w:p w:rsidR="00EB274C" w:rsidRDefault="00EB274C" w:rsidP="00A829B4">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approximation.</w:t>
      </w:r>
    </w:p>
    <w:p w:rsidR="00EB274C" w:rsidRDefault="00EB274C" w:rsidP="00A829B4">
      <w:pPr>
        <w:pStyle w:val="ListParagraph"/>
        <w:numPr>
          <w:ilvl w:val="0"/>
          <w:numId w:val="1"/>
        </w:numPr>
        <w:bidi w:val="0"/>
        <w:spacing w:line="360" w:lineRule="auto"/>
        <w:rPr>
          <w:rFonts w:ascii="Georgia" w:hAnsi="Georgia"/>
        </w:rPr>
      </w:pPr>
      <w:r w:rsidRPr="0045544D">
        <w:rPr>
          <w:rFonts w:ascii="Georgia" w:hAnsi="Georgia"/>
        </w:rPr>
        <w:t xml:space="preserve">Eq. 1 doesn't ignore selection - we use the MSB frequencies of </w:t>
      </w:r>
      <w:r w:rsidRPr="0045544D">
        <w:rPr>
          <w:rFonts w:ascii="Georgia" w:hAnsi="Georgia"/>
          <w:i/>
          <w:iCs/>
        </w:rPr>
        <w:t>ab</w:t>
      </w:r>
      <w:r w:rsidRPr="0045544D">
        <w:rPr>
          <w:rFonts w:ascii="Georgia" w:hAnsi="Georgia"/>
        </w:rPr>
        <w:t xml:space="preserve">, </w:t>
      </w:r>
      <w:r w:rsidRPr="0045544D">
        <w:rPr>
          <w:rFonts w:ascii="Georgia" w:hAnsi="Georgia"/>
          <w:i/>
          <w:iCs/>
        </w:rPr>
        <w:t>Ab</w:t>
      </w:r>
      <w:r w:rsidRPr="0045544D">
        <w:rPr>
          <w:rFonts w:ascii="Georgia" w:hAnsi="Georgia"/>
        </w:rPr>
        <w:t xml:space="preserve">, and </w:t>
      </w:r>
      <w:r w:rsidRPr="0045544D">
        <w:rPr>
          <w:rFonts w:ascii="Georgia" w:hAnsi="Georgia"/>
          <w:i/>
          <w:iCs/>
        </w:rPr>
        <w:t>Ab</w:t>
      </w:r>
      <w:r w:rsidRPr="0045544D">
        <w:rPr>
          <w:rFonts w:ascii="Georgia" w:hAnsi="Georgia"/>
        </w:rPr>
        <w:t>, which already include the effect of selection before mutation</w:t>
      </w:r>
      <w:r w:rsidRPr="0045544D">
        <w:rPr>
          <w:rFonts w:ascii="Georgia" w:hAnsi="Georgia"/>
          <w:i/>
          <w:iCs/>
        </w:rPr>
        <w:t xml:space="preserve">. </w:t>
      </w:r>
      <w:r w:rsidRPr="0045544D">
        <w:rPr>
          <w:rFonts w:ascii="Georgia" w:hAnsi="Georgia"/>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Default="00EB274C" w:rsidP="00A829B4">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adaptability to the legend of figure 4.</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In the Discussion, the authors should be clear about which results are likely to be limited to asexual taxa.</w:t>
      </w:r>
    </w:p>
    <w:p w:rsidR="00EB274C" w:rsidRPr="0045544D" w:rsidRDefault="00EB274C" w:rsidP="00A829B4">
      <w:pPr>
        <w:pStyle w:val="ListParagraph"/>
        <w:numPr>
          <w:ilvl w:val="0"/>
          <w:numId w:val="1"/>
        </w:numPr>
        <w:bidi w:val="0"/>
        <w:spacing w:line="360" w:lineRule="auto"/>
        <w:rPr>
          <w:rFonts w:ascii="Georgia" w:hAnsi="Georgia"/>
        </w:rPr>
      </w:pPr>
      <w:r w:rsidRPr="0045544D">
        <w:rPr>
          <w:rFonts w:ascii="Georgia" w:hAnsi="Georgia"/>
        </w:rPr>
        <w:t>We emphasized that our model is strictly asexual without recombination or segregation and discuss th</w:t>
      </w:r>
      <w:r>
        <w:rPr>
          <w:rFonts w:ascii="Georgia" w:hAnsi="Georgia"/>
        </w:rPr>
        <w:t>is limitation in the discussion.</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lastRenderedPageBreak/>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 and theoretical results. Also, we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r w:rsidRPr="00EB274C">
        <w:rPr>
          <w:rFonts w:ascii="Georgia" w:hAnsi="Georgia"/>
        </w:rPr>
        <w:t>Denamur</w:t>
      </w:r>
      <w:proofErr w:type="spell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presence of stress-induced mutator alleles?</w:t>
      </w:r>
    </w:p>
    <w:p w:rsidR="00EB274C" w:rsidRDefault="00EB274C"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added more references and clarified the section on evidence of SIM.</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This exposition is important in explaining to the reader if the authors are explaining the evolution of an observed mechanism, or whether this is a more conceptual paper to fill a theoretical gap. Both approaches have their merits, but it nevertheless needs to be outlined.</w:t>
      </w:r>
    </w:p>
    <w:p w:rsidR="00EB274C" w:rsidRPr="00EB274C" w:rsidRDefault="00EB274C" w:rsidP="00A829B4">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rPr>
        <w:t xml:space="preserve">We emphasized the main question of the manuscript in the introduction - How does SIM affect complex adaptation? Also, we added a recap of our previous results on the evolution of SIM (Ram &amp; </w:t>
      </w:r>
      <w:proofErr w:type="spellStart"/>
      <w:r w:rsidRPr="00EB274C">
        <w:rPr>
          <w:rFonts w:ascii="Georgia" w:hAnsi="Georgia"/>
        </w:rPr>
        <w:t>Hadany</w:t>
      </w:r>
      <w:proofErr w:type="spellEnd"/>
      <w:r w:rsidRPr="00EB274C">
        <w:rPr>
          <w:rFonts w:ascii="Georgia" w:hAnsi="Georgia"/>
        </w:rPr>
        <w:t xml:space="preserve"> 2012) to the introduction and expanded on them in the discussion. We also added results of direct competitions between the different mutation strategies that suggest that SIM is favored by selection.</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w:t>
      </w:r>
      <w:r w:rsidRPr="00EB274C">
        <w:rPr>
          <w:rFonts w:ascii="Arial" w:hAnsi="Arial" w:cs="Arial"/>
          <w:i/>
          <w:iCs/>
          <w:color w:val="222222"/>
          <w:sz w:val="19"/>
          <w:szCs w:val="19"/>
          <w:shd w:val="clear" w:color="auto" w:fill="FFFFFF"/>
        </w:rPr>
        <w:lastRenderedPageBreak/>
        <w:t>(background)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We have revised the section defining how mutation operates in our model in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emphasized that our model is strictly asexual without recombination or segregation and discuss this limitation in the discussion.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Approximations and production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proofErr w:type="gramStart"/>
      <w:r w:rsidRPr="00433A16">
        <w:rPr>
          <w:rFonts w:ascii="Georgia" w:hAnsi="Georgia"/>
        </w:rPr>
        <w:t>we</w:t>
      </w:r>
      <w:proofErr w:type="gramEnd"/>
      <w:r w:rsidRPr="00433A16">
        <w:rPr>
          <w:rFonts w:ascii="Georgia" w:hAnsi="Georgia"/>
        </w:rPr>
        <w:t xml:space="preserve"> added a comment about the assumptions made on the model parameters; added the missing factor of 2 to the left-hand-side of the first equation in L407; added missing &lt;&lt; in L414; added an explicit </w:t>
      </w:r>
      <w:proofErr w:type="spellStart"/>
      <w:r w:rsidRPr="00433A16">
        <w:rPr>
          <w:rFonts w:ascii="Georgia" w:hAnsi="Georgia"/>
          <w:i/>
          <w:iCs/>
        </w:rPr>
        <w:t>sH</w:t>
      </w:r>
      <w:proofErr w:type="spellEnd"/>
      <w:r w:rsidRPr="00433A16">
        <w:rPr>
          <w:rFonts w:ascii="Georgia" w:hAnsi="Georgia"/>
        </w:rPr>
        <w:t>&lt;&lt;1 note in L432; added a comment at L111 that all the simplifications can be found in the appendix and a reference to Fig. S1 that shows a comparison of the analytic results and the simulation results.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Simulations: Some details in the description of the simulations are also lacking. Why did the authors not decide to replicate several environmental changes from the same starting backgrounds, as in other papers? How many replicates were ran per point in the figures (this is </w:t>
      </w:r>
      <w:r w:rsidRPr="00EB274C">
        <w:rPr>
          <w:rFonts w:ascii="Arial" w:hAnsi="Arial" w:cs="Arial"/>
          <w:i/>
          <w:iCs/>
          <w:color w:val="222222"/>
          <w:sz w:val="19"/>
          <w:szCs w:val="19"/>
          <w:shd w:val="clear" w:color="auto" w:fill="FFFFFF"/>
        </w:rPr>
        <w:lastRenderedPageBreak/>
        <w:t>listed in some figure legends, but this really should be in the methods description)? If bootstraps were performed, how many per point?</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simulations description will be clearer.</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expanded on Fig. 3 in the text, at the beginning of section 3.2, and added a note in L182 about the source of the small advantage of SIM in adaptedness.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revised the abstract and the first two paragraphs of the introduction to give more details about the literature on mutation rate evolution and the trade-off between </w:t>
      </w:r>
      <w:r w:rsidRPr="00433A16">
        <w:rPr>
          <w:rFonts w:ascii="Georgia" w:hAnsi="Georgia"/>
          <w:i/>
          <w:iCs/>
        </w:rPr>
        <w:t>adaptability</w:t>
      </w:r>
      <w:r w:rsidRPr="00433A16">
        <w:rPr>
          <w:rFonts w:ascii="Georgia" w:hAnsi="Georgia"/>
        </w:rPr>
        <w:t xml:space="preserve"> and </w:t>
      </w:r>
      <w:r w:rsidRPr="00433A16">
        <w:rPr>
          <w:rFonts w:ascii="Georgia" w:hAnsi="Georgia"/>
          <w:i/>
          <w:iCs/>
        </w:rPr>
        <w:t>adaptedness.</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added a note about the difference between Agrawal 2002 and Shaw &amp; Baer 2011 in L50.</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p>
    <w:p w:rsidR="00433A16" w:rsidRPr="0045544D" w:rsidRDefault="00433A16" w:rsidP="00A829B4">
      <w:pPr>
        <w:pStyle w:val="ListParagraph"/>
        <w:numPr>
          <w:ilvl w:val="0"/>
          <w:numId w:val="1"/>
        </w:numPr>
        <w:bidi w:val="0"/>
        <w:spacing w:line="360" w:lineRule="auto"/>
        <w:rPr>
          <w:rFonts w:ascii="Georgia" w:hAnsi="Georgia"/>
          <w:u w:val="single"/>
        </w:rPr>
      </w:pPr>
      <w:r w:rsidRPr="0045544D">
        <w:rPr>
          <w:rFonts w:ascii="Georgia" w:hAnsi="Georgia" w:cs="Arial"/>
          <w:color w:val="222222"/>
          <w:shd w:val="clear" w:color="auto" w:fill="FFFFFF"/>
        </w:rPr>
        <w:lastRenderedPageBreak/>
        <w:t>We revised the last paragraph of the introduction to make our research goal clearer</w:t>
      </w:r>
      <w:r w:rsidRPr="0045544D">
        <w:rPr>
          <w:rFonts w:ascii="Georgia" w:hAnsi="Georgia"/>
        </w:rPr>
        <w:t xml:space="preserve"> – </w:t>
      </w:r>
      <w:proofErr w:type="gramStart"/>
      <w:r w:rsidRPr="0045544D">
        <w:rPr>
          <w:rFonts w:ascii="Georgia" w:hAnsi="Georgia"/>
        </w:rPr>
        <w:t>" we</w:t>
      </w:r>
      <w:proofErr w:type="gramEnd"/>
      <w:r w:rsidRPr="0045544D">
        <w:rPr>
          <w:rFonts w:ascii="Georgia" w:hAnsi="Georgia"/>
        </w:rPr>
        <w:t xml:space="preserve"> explore the effect of stress-induced mutagenesis on the rate of fitness valley crossing… </w:t>
      </w:r>
      <w:r w:rsidRPr="0045544D">
        <w:rPr>
          <w:rFonts w:ascii="Georgia" w:hAnsi="Georgia"/>
          <w:lang w:bidi="hi-IN"/>
        </w:rPr>
        <w:t xml:space="preserve">We show that </w:t>
      </w:r>
      <w:r w:rsidRPr="0045544D">
        <w:rPr>
          <w:rFonts w:ascii="Georgia" w:hAnsi="Georgia"/>
        </w:rPr>
        <w:t>stress-induced</w:t>
      </w:r>
      <w:r w:rsidRPr="0045544D">
        <w:rPr>
          <w:rFonts w:ascii="Georgia" w:hAnsi="Georgia"/>
          <w:lang w:bidi="hi-IN"/>
        </w:rPr>
        <w:t xml:space="preserve"> mutagenesis breaks the trade-off between </w:t>
      </w:r>
      <w:r w:rsidRPr="0045544D">
        <w:rPr>
          <w:rFonts w:ascii="Georgia" w:hAnsi="Georgia"/>
          <w:i/>
          <w:iCs/>
          <w:lang w:bidi="hi-IN"/>
        </w:rPr>
        <w:t>adaptability</w:t>
      </w:r>
      <w:r w:rsidRPr="0045544D">
        <w:rPr>
          <w:rFonts w:ascii="Georgia" w:hAnsi="Georgia"/>
          <w:lang w:bidi="hi-IN"/>
        </w:rPr>
        <w:t xml:space="preserve"> and </w:t>
      </w:r>
      <w:r w:rsidRPr="0045544D">
        <w:rPr>
          <w:rFonts w:ascii="Georgia" w:hAnsi="Georgia"/>
          <w:i/>
          <w:iCs/>
          <w:lang w:bidi="hi-IN"/>
        </w:rPr>
        <w:t>adaptedness</w:t>
      </w:r>
      <w:r w:rsidRPr="0045544D">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what the simulations were used for.</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 xml:space="preserve">P7 L121: “...but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Indeed, all mutations have the same effect on fitness. We added a note in the model overview to avoid confusion.</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included more details on proposed solutions to the "adaptive peak shifts" problem; </w:t>
      </w:r>
      <w:proofErr w:type="gramStart"/>
      <w:r w:rsidRPr="00433A16">
        <w:rPr>
          <w:rFonts w:ascii="Georgia" w:hAnsi="Georgia"/>
        </w:rPr>
        <w:t>We</w:t>
      </w:r>
      <w:proofErr w:type="gramEnd"/>
      <w:r w:rsidRPr="00433A16">
        <w:rPr>
          <w:rFonts w:ascii="Georgia" w:hAnsi="Georgia"/>
        </w:rPr>
        <w:t xml:space="preserve"> rephrased the last sentence of the paragraph to explain which problem SIM may help resolve.</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w:t>
      </w:r>
      <w:proofErr w:type="gramStart"/>
      <w:r w:rsidRPr="00EB274C">
        <w:rPr>
          <w:rFonts w:ascii="Arial" w:hAnsi="Arial" w:cs="Arial"/>
          <w:i/>
          <w:iCs/>
          <w:color w:val="222222"/>
          <w:sz w:val="19"/>
          <w:szCs w:val="19"/>
          <w:shd w:val="clear" w:color="auto" w:fill="FFFFFF"/>
        </w:rPr>
        <w:t>introduced</w:t>
      </w:r>
      <w:proofErr w:type="gramEnd"/>
      <w:r w:rsidRPr="00EB274C">
        <w:rPr>
          <w:rFonts w:ascii="Arial" w:hAnsi="Arial" w:cs="Arial"/>
          <w:i/>
          <w:iCs/>
          <w:color w:val="222222"/>
          <w:sz w:val="19"/>
          <w:szCs w:val="19"/>
          <w:shd w:val="clear" w:color="auto" w:fill="FFFFFF"/>
        </w:rPr>
        <w:t xml:space="preserve">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we considered the suggestion and decided to leave the table in its current </w:t>
      </w:r>
      <w:r w:rsidR="00A829B4">
        <w:rPr>
          <w:rFonts w:ascii="Georgia" w:hAnsi="Georgia"/>
        </w:rPr>
        <w:t>R</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P6 L101: Write “Combining these two limitations” perhaps, instead of “Combining these two </w:t>
      </w:r>
      <w:r w:rsidRPr="00EB274C">
        <w:rPr>
          <w:rFonts w:ascii="Arial" w:hAnsi="Arial" w:cs="Arial"/>
          <w:i/>
          <w:iCs/>
          <w:color w:val="222222"/>
          <w:sz w:val="19"/>
          <w:szCs w:val="19"/>
          <w:shd w:val="clear" w:color="auto" w:fill="FFFFFF"/>
        </w:rPr>
        <w:lastRenderedPageBreak/>
        <w:t>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selection coefficient as at non-­‐specific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A829B4" w:rsidP="00A829B4">
      <w:pPr>
        <w:pStyle w:val="ListParagraph"/>
        <w:numPr>
          <w:ilvl w:val="0"/>
          <w:numId w:val="1"/>
        </w:numPr>
        <w:bidi w:val="0"/>
        <w:spacing w:line="360" w:lineRule="auto"/>
        <w:rPr>
          <w:rFonts w:ascii="Georgia" w:hAnsi="Georgia"/>
        </w:rPr>
      </w:pPr>
      <w:proofErr w:type="gramStart"/>
      <w:r w:rsidRPr="0045544D">
        <w:rPr>
          <w:rFonts w:ascii="Georgia" w:hAnsi="Georgia"/>
        </w:rPr>
        <w:t>we</w:t>
      </w:r>
      <w:proofErr w:type="gramEnd"/>
      <w:r w:rsidRPr="0045544D">
        <w:rPr>
          <w:rFonts w:ascii="Georgia" w:hAnsi="Georgia"/>
        </w:rPr>
        <w:t xml:space="preserve"> revised the model overview to emphasize that all deleterious mutations (in the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Pr="0045544D">
        <w:rPr>
          <w:rFonts w:ascii="Georgia" w:hAnsi="Georgia"/>
          <w:i/>
          <w:iCs/>
        </w:rPr>
        <w:t>U</w:t>
      </w:r>
      <w:r w:rsidRPr="0045544D">
        <w:rPr>
          <w:rFonts w:ascii="Georgia" w:hAnsi="Georgia"/>
        </w:rPr>
        <w:t xml:space="preserve"> if the fitness is </w:t>
      </w:r>
      <w:r w:rsidRPr="0045544D">
        <w:rPr>
          <w:rFonts w:ascii="Georgia" w:hAnsi="Georgia" w:cs="Arial"/>
        </w:rPr>
        <w:t>≥</w:t>
      </w:r>
      <w:r w:rsidRPr="0045544D">
        <w:rPr>
          <w:rFonts w:ascii="Georgia" w:hAnsi="Georgia"/>
        </w:rPr>
        <w:t xml:space="preserve"> 1 and </w:t>
      </w:r>
      <w:proofErr w:type="spellStart"/>
      <w:r w:rsidRPr="0045544D">
        <w:rPr>
          <w:rFonts w:ascii="Georgia" w:hAnsi="Georgia"/>
          <w:i/>
          <w:iCs/>
        </w:rPr>
        <w:t>τU</w:t>
      </w:r>
      <w:proofErr w:type="spellEnd"/>
      <w:r w:rsidRPr="0045544D">
        <w:rPr>
          <w:rFonts w:ascii="Georgia" w:hAnsi="Georgia"/>
        </w:rPr>
        <w:t xml:space="preserve"> otherwise (in section 3.3 it is </w:t>
      </w:r>
      <w:r w:rsidRPr="0045544D">
        <w:rPr>
          <w:rFonts w:ascii="Georgia" w:hAnsi="Georgia"/>
          <w:i/>
          <w:iCs/>
        </w:rPr>
        <w:t>U</w:t>
      </w:r>
      <w:r w:rsidRPr="0045544D">
        <w:rPr>
          <w:rFonts w:ascii="Georgia" w:hAnsi="Georgia"/>
        </w:rPr>
        <w:t xml:space="preserve"> if fitness is &gt; 1 and </w:t>
      </w:r>
      <w:proofErr w:type="spellStart"/>
      <w:r w:rsidRPr="0045544D">
        <w:rPr>
          <w:rFonts w:ascii="Georgia" w:hAnsi="Georgia"/>
          <w:i/>
          <w:iCs/>
        </w:rPr>
        <w:t>τU</w:t>
      </w:r>
      <w:proofErr w:type="spellEnd"/>
      <w:r w:rsidRPr="0045544D">
        <w:rPr>
          <w:rFonts w:ascii="Georgia" w:hAnsi="Georgia"/>
        </w:rPr>
        <w:t xml:space="preserve"> otherwise).</w:t>
      </w:r>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r w:rsidRPr="0045544D">
        <w:rPr>
          <w:rFonts w:ascii="Georgia" w:hAnsi="Georgia"/>
        </w:rPr>
        <w:t xml:space="preserve">We ran simulations in which the mutation rate is a continuous function of the mean fitness. We used the functions 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 xml:space="preserve">specific deleterious </w:t>
      </w:r>
      <w:r w:rsidRPr="00A829B4">
        <w:rPr>
          <w:rFonts w:ascii="Arial" w:eastAsiaTheme="minorHAnsi" w:hAnsi="Arial" w:cs="Arial"/>
          <w:i/>
          <w:iCs/>
          <w:color w:val="222222"/>
          <w:sz w:val="19"/>
          <w:szCs w:val="19"/>
          <w:shd w:val="clear" w:color="auto" w:fill="FFFFFF"/>
          <w:lang w:bidi="he-IL"/>
        </w:rPr>
        <w:lastRenderedPageBreak/>
        <w:t>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 xml:space="preserve">Fisher model that assumes a constant population size.   In my opinion, a more robust paper would [a] allow for non-­‐specific deleterious mutations to affect mutation rate, [b] have </w:t>
      </w:r>
      <w:proofErr w:type="gramStart"/>
      <w:r w:rsidRPr="00A829B4">
        <w:rPr>
          <w:rFonts w:ascii="Arial" w:eastAsiaTheme="minorHAnsi" w:hAnsi="Arial" w:cs="Arial"/>
          <w:i/>
          <w:iCs/>
          <w:color w:val="222222"/>
          <w:sz w:val="19"/>
          <w:szCs w:val="19"/>
          <w:shd w:val="clear" w:color="auto" w:fill="FFFFFF"/>
          <w:lang w:bidi="he-IL"/>
        </w:rPr>
        <w:t>SIM  be</w:t>
      </w:r>
      <w:proofErr w:type="gramEnd"/>
      <w:r w:rsidRPr="00A829B4">
        <w:rPr>
          <w:rFonts w:ascii="Arial" w:eastAsiaTheme="minorHAnsi" w:hAnsi="Arial" w:cs="Arial"/>
          <w:i/>
          <w:iCs/>
          <w:color w:val="222222"/>
          <w:sz w:val="19"/>
          <w:szCs w:val="19"/>
          <w:shd w:val="clear" w:color="auto" w:fill="FFFFFF"/>
          <w:lang w:bidi="he-IL"/>
        </w:rPr>
        <w:t xml:space="preserv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F43363">
        <w:rPr>
          <w:rFonts w:ascii="Georgia" w:hAnsi="Georgia"/>
          <w:highlight w:val="yellow"/>
        </w:rPr>
        <w:t>We respond to [a] and [b] above.</w:t>
      </w:r>
      <w:r>
        <w:rPr>
          <w:rFonts w:ascii="Georgia" w:hAnsi="Georgia"/>
        </w:rPr>
        <w:t xml:space="preserve"> We respond to [c] here: </w:t>
      </w:r>
      <w:r w:rsidRPr="0045544D">
        <w:rPr>
          <w:rFonts w:ascii="Georgia" w:hAnsi="Georgia"/>
        </w:rPr>
        <w:t xml:space="preserve">If SIM is already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We added the mean of the Poisson distribution to L85.</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lastRenderedPageBreak/>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assuming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The last approximation is discussed above in (1).</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We added "expected" in L95 and L96.</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Thank you for finding the mistake in eq. 1 and 2 and in Appendix 1 in the calculation of </w:t>
      </w:r>
      <w:r w:rsidRPr="0045544D">
        <w:rPr>
          <w:rFonts w:ascii="Georgia" w:hAnsi="Georgia"/>
          <w:i/>
          <w:iCs/>
        </w:rPr>
        <w:t>q</w:t>
      </w:r>
      <w:r w:rsidRPr="0045544D">
        <w:rPr>
          <w:rFonts w:ascii="Georgia" w:hAnsi="Georgia"/>
        </w:rPr>
        <w:t xml:space="preserve"> the appearance probability. We corrected the expressions, which led also to corrections in </w:t>
      </w:r>
      <w:proofErr w:type="spellStart"/>
      <w:r w:rsidRPr="0045544D">
        <w:rPr>
          <w:rFonts w:ascii="Georgia" w:hAnsi="Georgia"/>
        </w:rPr>
        <w:t>eqs</w:t>
      </w:r>
      <w:proofErr w:type="spellEnd"/>
      <w:r w:rsidRPr="0045544D">
        <w:rPr>
          <w:rFonts w:ascii="Georgia" w:hAnsi="Georgia"/>
        </w:rPr>
        <w:t xml:space="preserve">. 5-7 (in the original </w:t>
      </w:r>
      <w:proofErr w:type="spellStart"/>
      <w:r w:rsidRPr="0045544D">
        <w:rPr>
          <w:rFonts w:ascii="Georgia" w:hAnsi="Georgia"/>
        </w:rPr>
        <w:t>ms</w:t>
      </w:r>
      <w:proofErr w:type="spellEnd"/>
      <w:r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a note about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Pr="0045544D">
        <w:rPr>
          <w:rFonts w:ascii="Georgia" w:hAnsi="Georgia"/>
        </w:rPr>
        <w:t xml:space="preserve"> to appendix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 xml:space="preserve">We emphasized in the figure legend that genotypes with ellipses are stressed and genotypes wit squares are not, and that with SIM only </w:t>
      </w:r>
      <w:r w:rsidRPr="0045544D">
        <w:rPr>
          <w:rFonts w:ascii="Georgia" w:hAnsi="Georgia"/>
        </w:rPr>
        <w:lastRenderedPageBreak/>
        <w:t xml:space="preserve">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F43363" w:rsidRDefault="00F43363" w:rsidP="00F43363">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revised. We hope that the motivation for this extension is clearer now.</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C31986">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 see also (</w:t>
      </w:r>
      <w:r w:rsidRPr="0045544D">
        <w:rPr>
          <w:rFonts w:ascii="Georgia" w:hAnsi="Georgia"/>
        </w:rPr>
        <w:fldChar w:fldCharType="begin"/>
      </w:r>
      <w:r w:rsidRPr="0045544D">
        <w:rPr>
          <w:rFonts w:ascii="Georgia" w:hAnsi="Georgia"/>
        </w:rPr>
        <w:instrText xml:space="preserve"> REF _Ref374694581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11</w:t>
      </w:r>
      <w:r w:rsidRPr="0045544D">
        <w:rPr>
          <w:rFonts w:ascii="Georgia" w:hAnsi="Georgia"/>
        </w:rPr>
        <w:fldChar w:fldCharType="end"/>
      </w:r>
      <w:r w:rsidRPr="0045544D">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C31986">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 the legend, and the text so that it would be clearer that the figure axes are relative measures in comparison to NM; added a note about limit the limit on τ (</w:t>
      </w:r>
      <w:proofErr w:type="spellStart"/>
      <w:r w:rsidRPr="0045544D">
        <w:rPr>
          <w:rFonts w:ascii="Georgia" w:hAnsi="Georgia"/>
          <w:i/>
          <w:iCs/>
        </w:rPr>
        <w:t>τU</w:t>
      </w:r>
      <w:proofErr w:type="spellEnd"/>
      <w:r w:rsidRPr="0045544D">
        <w:rPr>
          <w:rFonts w:ascii="Georgia" w:hAnsi="Georgia"/>
        </w:rPr>
        <w:t xml:space="preserve">&lt;&lt;1) to the figure legend – for CM this is equivalent to the constraint </w:t>
      </w:r>
      <w:r w:rsidRPr="0045544D">
        <w:rPr>
          <w:rFonts w:ascii="Georgia" w:hAnsi="Georgia"/>
          <w:i/>
          <w:iCs/>
        </w:rPr>
        <w:t>U</w:t>
      </w:r>
      <w:r w:rsidRPr="0045544D">
        <w:rPr>
          <w:rFonts w:ascii="Georgia" w:hAnsi="Georgia"/>
        </w:rPr>
        <w:t>&lt;&lt;1 used throughout the manuscript, for SIM this is a constraint that ensures that single mutants don't become rare due to mutational load.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of SIM.</w:t>
      </w:r>
    </w:p>
    <w:p w:rsidR="00C31986" w:rsidRPr="00A829B4" w:rsidRDefault="00C31986" w:rsidP="00C31986">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45544D">
        <w:rPr>
          <w:rFonts w:ascii="Georgia" w:hAnsi="Georgia"/>
        </w:rPr>
        <w:t xml:space="preserve">We added a paragraph to the introduction and also expanded in the discussion about our former findings (Ram &amp; </w:t>
      </w:r>
      <w:proofErr w:type="spellStart"/>
      <w:r w:rsidRPr="0045544D">
        <w:rPr>
          <w:rFonts w:ascii="Georgia" w:hAnsi="Georgia"/>
        </w:rPr>
        <w:t>Hadany</w:t>
      </w:r>
      <w:proofErr w:type="spellEnd"/>
      <w:r w:rsidRPr="0045544D">
        <w:rPr>
          <w:rFonts w:ascii="Georgia" w:hAnsi="Georgia"/>
        </w:rPr>
        <w:t xml:space="preserve"> 2012) in which we've shown that SIM can be selected for (see also (</w:t>
      </w:r>
      <w:r w:rsidRPr="0045544D">
        <w:rPr>
          <w:rFonts w:ascii="Georgia" w:hAnsi="Georgia"/>
        </w:rPr>
        <w:fldChar w:fldCharType="begin"/>
      </w:r>
      <w:r w:rsidRPr="0045544D">
        <w:rPr>
          <w:rFonts w:ascii="Georgia" w:hAnsi="Georgia"/>
        </w:rPr>
        <w:instrText xml:space="preserve"> REF _Ref374694565 \r \h  \* MERGEFORMAT </w:instrText>
      </w:r>
      <w:r w:rsidRPr="0045544D">
        <w:rPr>
          <w:rFonts w:ascii="Georgia" w:hAnsi="Georgia"/>
        </w:rPr>
      </w:r>
      <w:r w:rsidRPr="0045544D">
        <w:rPr>
          <w:rFonts w:ascii="Georgia" w:hAnsi="Georgia"/>
        </w:rPr>
        <w:fldChar w:fldCharType="separate"/>
      </w:r>
      <w:r w:rsidRPr="0045544D">
        <w:rPr>
          <w:rFonts w:ascii="Georgia" w:hAnsi="Georgia"/>
          <w:cs/>
        </w:rPr>
        <w:t>‎</w:t>
      </w:r>
      <w:r w:rsidRPr="0045544D">
        <w:rPr>
          <w:rFonts w:ascii="Georgia" w:hAnsi="Georgia"/>
        </w:rPr>
        <w:t>6</w:t>
      </w:r>
      <w:r w:rsidRPr="0045544D">
        <w:rPr>
          <w:rFonts w:ascii="Georgia" w:hAnsi="Georgia"/>
        </w:rPr>
        <w:fldChar w:fldCharType="end"/>
      </w:r>
      <w:r w:rsidRPr="0045544D">
        <w:rPr>
          <w:rFonts w:ascii="Georgia" w:hAnsi="Georgia"/>
        </w:rPr>
        <w:t>) above). Also, we added the results of competitions between the different mutational strategies to show that indeed SIM can be selected for in this model – section 3.5 and Figure 5.</w:t>
      </w:r>
    </w:p>
    <w:p w:rsidR="00A829B4"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Furthermore, if individuals assess condition and adjust mutation accordingly, then should the </w:t>
      </w:r>
      <w:r w:rsidRPr="00A829B4">
        <w:rPr>
          <w:rFonts w:ascii="Arial" w:eastAsiaTheme="minorHAnsi" w:hAnsi="Arial" w:cs="Arial"/>
          <w:i/>
          <w:iCs/>
          <w:color w:val="222222"/>
          <w:sz w:val="19"/>
          <w:szCs w:val="19"/>
          <w:shd w:val="clear" w:color="auto" w:fill="FFFFFF"/>
          <w:lang w:bidi="he-IL"/>
        </w:rPr>
        <w:lastRenderedPageBreak/>
        <w:t>author’s consider an allocation of resources to this process and therefore the potential for a cost of the SIM process besides higher deleterious mutation rate?</w:t>
      </w:r>
      <w:r w:rsidR="00C31986">
        <w:rPr>
          <w:rFonts w:ascii="Arial" w:eastAsiaTheme="minorHAnsi" w:hAnsi="Arial" w:cs="Arial"/>
          <w:i/>
          <w:iCs/>
          <w:color w:val="222222"/>
          <w:sz w:val="19"/>
          <w:szCs w:val="19"/>
          <w:shd w:val="clear" w:color="auto" w:fill="FFFFFF"/>
          <w:lang w:bidi="he-IL"/>
        </w:rPr>
        <w:t xml:space="preserve"> </w:t>
      </w:r>
    </w:p>
    <w:p w:rsidR="00C31986" w:rsidRPr="00C31986" w:rsidRDefault="00C31986" w:rsidP="00C31986">
      <w:pPr>
        <w:pStyle w:val="ListParagraph"/>
        <w:numPr>
          <w:ilvl w:val="0"/>
          <w:numId w:val="1"/>
        </w:numPr>
        <w:bidi w:val="0"/>
        <w:spacing w:line="360" w:lineRule="auto"/>
        <w:rPr>
          <w:rFonts w:ascii="Arial" w:hAnsi="Arial" w:cs="Arial"/>
          <w:i/>
          <w:iCs/>
          <w:color w:val="222222"/>
          <w:sz w:val="19"/>
          <w:szCs w:val="19"/>
          <w:shd w:val="clear" w:color="auto" w:fill="FFFFFF"/>
        </w:rPr>
      </w:pPr>
      <w:r w:rsidRPr="00C31986">
        <w:rPr>
          <w:rFonts w:ascii="Georgia" w:hAnsi="Georgia"/>
        </w:rPr>
        <w:t>We added a paragraph on direct fitness costs to the discussion section. In short, we agree that assessing the individual's 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 </w:t>
      </w:r>
    </w:p>
    <w:p w:rsidR="00C31986"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p w:rsidR="00A829B4" w:rsidRPr="00A829B4"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Extraneous comment: In bacteria frequency dependent processes have been commonly reported in experimental systems. How would SIM play out under frequency-­</w:t>
      </w:r>
      <w:r w:rsidRPr="00C31986">
        <w:rPr>
          <w:rFonts w:ascii="Cambria Math" w:eastAsiaTheme="minorHAnsi" w:hAnsi="Cambria Math" w:cs="Cambria Math"/>
          <w:i/>
          <w:iCs/>
          <w:color w:val="222222"/>
          <w:sz w:val="19"/>
          <w:szCs w:val="19"/>
          <w:shd w:val="clear" w:color="auto" w:fill="FFFFFF"/>
          <w:lang w:bidi="he-IL"/>
        </w:rPr>
        <w:t>‐</w:t>
      </w:r>
      <w:r w:rsidRPr="00C31986">
        <w:rPr>
          <w:rFonts w:ascii="Arial" w:eastAsiaTheme="minorHAnsi" w:hAnsi="Arial" w:cs="Arial"/>
          <w:i/>
          <w:iCs/>
          <w:color w:val="222222"/>
          <w:sz w:val="19"/>
          <w:szCs w:val="19"/>
          <w:shd w:val="clear" w:color="auto" w:fill="FFFFFF"/>
          <w:lang w:bidi="he-IL"/>
        </w:rPr>
        <w:t>dependent selection, where stress is caused by intraspecific competition?</w:t>
      </w:r>
    </w:p>
    <w:sectPr w:rsidR="00A829B4" w:rsidRPr="00A829B4"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5EC" w:rsidRDefault="008235EC" w:rsidP="00794A76">
      <w:pPr>
        <w:spacing w:after="0" w:line="240" w:lineRule="auto"/>
      </w:pPr>
      <w:r>
        <w:separator/>
      </w:r>
    </w:p>
  </w:endnote>
  <w:endnote w:type="continuationSeparator" w:id="0">
    <w:p w:rsidR="008235EC" w:rsidRDefault="008235EC"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Content>
      <w:p w:rsidR="00794A76" w:rsidRDefault="00794A76">
        <w:pPr>
          <w:pStyle w:val="Footer"/>
          <w:jc w:val="center"/>
        </w:pPr>
        <w:r>
          <w:fldChar w:fldCharType="begin"/>
        </w:r>
        <w:r>
          <w:instrText xml:space="preserve"> PAGE   \* MERGEFORMAT </w:instrText>
        </w:r>
        <w:r>
          <w:fldChar w:fldCharType="separate"/>
        </w:r>
        <w:r w:rsidR="00DE6B5E">
          <w:rPr>
            <w:noProof/>
            <w:rtl/>
          </w:rPr>
          <w:t>2</w:t>
        </w:r>
        <w:r>
          <w:rPr>
            <w:noProof/>
          </w:rPr>
          <w:fldChar w:fldCharType="end"/>
        </w:r>
      </w:p>
    </w:sdtContent>
  </w:sdt>
  <w:p w:rsidR="00794A76" w:rsidRDefault="00794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5EC" w:rsidRDefault="008235EC" w:rsidP="00794A76">
      <w:pPr>
        <w:spacing w:after="0" w:line="240" w:lineRule="auto"/>
      </w:pPr>
      <w:r>
        <w:separator/>
      </w:r>
    </w:p>
  </w:footnote>
  <w:footnote w:type="continuationSeparator" w:id="0">
    <w:p w:rsidR="008235EC" w:rsidRDefault="008235EC"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6BC6E5E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E1B02"/>
    <w:rsid w:val="00322C2A"/>
    <w:rsid w:val="00395E7C"/>
    <w:rsid w:val="004044AC"/>
    <w:rsid w:val="00433A16"/>
    <w:rsid w:val="005378F2"/>
    <w:rsid w:val="00794A76"/>
    <w:rsid w:val="008235EC"/>
    <w:rsid w:val="00A829B4"/>
    <w:rsid w:val="00C31986"/>
    <w:rsid w:val="00DE6B5E"/>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6AE"/>
    <w:rsid w:val="00A646AE"/>
    <w:rsid w:val="00E70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6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5658</Words>
  <Characters>28290</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7</cp:revision>
  <dcterms:created xsi:type="dcterms:W3CDTF">2013-12-15T15:02:00Z</dcterms:created>
  <dcterms:modified xsi:type="dcterms:W3CDTF">2013-12-15T16:11:00Z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