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1639B1">
        <w:rPr>
          <w:rFonts w:ascii="cmr17" w:hAnsi="cmr17"/>
          <w:noProof/>
          <w:lang w:val="en-US"/>
        </w:rPr>
        <w:t>21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1639B1" w:rsidRPr="00317C1F">
        <w:t xml:space="preserve">Figure </w:t>
      </w:r>
      <w:r w:rsidR="001639B1">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76566D2A" wp14:editId="6CA6DF10">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58C85DED" wp14:editId="19C82358">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1"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001639B1">
        <w:rPr>
          <w:noProof/>
          <w:color w:val="auto"/>
        </w:rPr>
        <w:t>1</w:t>
      </w:r>
      <w:r w:rsidRPr="00317C1F">
        <w:rPr>
          <w:color w:val="auto"/>
        </w:rPr>
        <w:fldChar w:fldCharType="end"/>
      </w:r>
      <w:bookmarkEnd w:id="1"/>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 xml:space="preserve">Arrows define the direction of mutation.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639B1">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1639B1"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639B1">
              <w:rPr>
                <w:noProof/>
                <w:lang w:val="en-US"/>
              </w:rPr>
              <w:t>2</w:t>
            </w:r>
            <w:r w:rsidR="00F95F72">
              <w:rPr>
                <w:lang w:val="en-US"/>
              </w:rPr>
              <w:fldChar w:fldCharType="end"/>
            </w:r>
            <w:r>
              <w:rPr>
                <w:lang w:val="en-US"/>
              </w:rPr>
              <w:t>)</w:t>
            </w:r>
            <w:bookmarkEnd w:id="3"/>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1639B1">
        <w:rPr>
          <w:b/>
          <w:bCs/>
          <w:lang w:val="en-US"/>
        </w:rPr>
        <w:t xml:space="preserve">Error! Reference source not </w:t>
      </w:r>
      <w:proofErr w:type="gramStart"/>
      <w:r w:rsidR="001639B1">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639B1"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w:t>
      </w:r>
      <w:proofErr w:type="spellStart"/>
      <w:r w:rsidR="00C74586">
        <w:rPr>
          <w:lang w:val="en-US"/>
        </w:rPr>
        <w:t>ean</w:t>
      </w:r>
      <w:proofErr w:type="spellEnd"/>
      <w:r w:rsidR="00C74586">
        <w:rPr>
          <w:lang w:val="en-US"/>
        </w:rPr>
        <w:t xml:space="preserve">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10</w:t>
            </w:r>
            <w:r>
              <w:rPr>
                <w:lang w:val="en-US"/>
              </w:rPr>
              <w:fldChar w:fldCharType="end"/>
            </w:r>
            <w:r>
              <w:rPr>
                <w:lang w:val="en-US"/>
              </w:rPr>
              <w:t>)</w:t>
            </w:r>
          </w:p>
        </w:tc>
      </w:tr>
    </w:tbl>
    <w:p w:rsidR="001C3939" w:rsidRDefault="001C3939" w:rsidP="00CC2E91">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1639B1">
        <w:rPr>
          <w:lang w:val="en-US"/>
        </w:rPr>
        <w:t>(</w:t>
      </w:r>
      <w:r w:rsidR="001639B1">
        <w:rPr>
          <w:noProof/>
          <w:lang w:val="en-US"/>
        </w:rPr>
        <w:t>6</w:t>
      </w:r>
      <w:r w:rsidR="001639B1">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1639B1">
        <w:rPr>
          <w:lang w:val="en-US"/>
        </w:rPr>
        <w:t>(</w:t>
      </w:r>
      <w:r w:rsidR="001639B1">
        <w:rPr>
          <w:noProof/>
          <w:lang w:val="en-US"/>
        </w:rPr>
        <w:t>7</w:t>
      </w:r>
      <w:r w:rsidR="001639B1">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639B1"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1639B1">
        <w:rPr>
          <w:lang w:val="en-US"/>
        </w:rPr>
        <w:t>(</w:t>
      </w:r>
      <w:r w:rsidR="001639B1">
        <w:rPr>
          <w:noProof/>
          <w:lang w:val="en-US"/>
        </w:rPr>
        <w:t>2</w:t>
      </w:r>
      <w:r w:rsidR="001639B1">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12</w:t>
            </w:r>
            <w:r>
              <w:rPr>
                <w:lang w:val="en-US"/>
              </w:rPr>
              <w:fldChar w:fldCharType="end"/>
            </w:r>
            <w:r>
              <w:rPr>
                <w:lang w:val="en-US"/>
              </w:rPr>
              <w:t>)</w:t>
            </w:r>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1639B1">
        <w:rPr>
          <w:lang w:val="en-US"/>
        </w:rPr>
        <w:t>(</w:t>
      </w:r>
      <w:r w:rsidR="001639B1">
        <w:rPr>
          <w:noProof/>
          <w:lang w:val="en-US"/>
        </w:rPr>
        <w:t>3</w:t>
      </w:r>
      <w:r w:rsidR="001639B1">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1639B1">
        <w:rPr>
          <w:lang w:val="en-US"/>
        </w:rPr>
        <w:t>(</w:t>
      </w:r>
      <w:r w:rsidR="001639B1">
        <w:rPr>
          <w:noProof/>
          <w:lang w:val="en-US"/>
        </w:rPr>
        <w:t>4</w:t>
      </w:r>
      <w:r w:rsidR="001639B1">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1639B1">
        <w:rPr>
          <w:lang w:val="en-US"/>
        </w:rPr>
        <w:t>(</w:t>
      </w:r>
      <w:r w:rsidR="001639B1">
        <w:rPr>
          <w:noProof/>
          <w:lang w:val="en-US"/>
        </w:rPr>
        <w:t>9</w:t>
      </w:r>
      <w:r w:rsidR="001639B1">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1639B1">
        <w:rPr>
          <w:lang w:val="en-US"/>
        </w:rPr>
        <w:t>(</w:t>
      </w:r>
      <w:r w:rsidR="001639B1">
        <w:rPr>
          <w:noProof/>
          <w:lang w:val="en-US"/>
        </w:rPr>
        <w:t>11</w:t>
      </w:r>
      <w:r w:rsidR="001639B1">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1639B1">
        <w:rPr>
          <w:lang w:val="en-US"/>
        </w:rPr>
        <w:t>(</w:t>
      </w:r>
      <w:r w:rsidR="001639B1">
        <w:rPr>
          <w:noProof/>
          <w:lang w:val="en-US"/>
        </w:rPr>
        <w:t>1</w:t>
      </w:r>
      <w:r w:rsidR="001639B1">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1639B1">
        <w:rPr>
          <w:lang w:val="en-US"/>
        </w:rPr>
        <w:t>(</w:t>
      </w:r>
      <w:r w:rsidR="001639B1">
        <w:rPr>
          <w:noProof/>
          <w:lang w:val="en-US"/>
        </w:rPr>
        <w:t>2</w:t>
      </w:r>
      <w:r w:rsidR="001639B1">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8C4AC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1639B1">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1639B1">
        <w:rPr>
          <w:lang w:val="en-US"/>
        </w:rPr>
        <w:t>(</w:t>
      </w:r>
      <w:r w:rsidR="001639B1">
        <w:rPr>
          <w:noProof/>
          <w:lang w:val="en-US"/>
        </w:rPr>
        <w:t>2</w:t>
      </w:r>
      <w:r w:rsidR="001639B1">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11" w:name="_Ref354151750"/>
      <w:r>
        <w:rPr>
          <w:lang w:val="en-US"/>
        </w:rPr>
        <w:t>Methods</w:t>
      </w:r>
      <w:bookmarkEnd w:id="11"/>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r>
        <w:rPr>
          <w:lang w:val="en-US"/>
        </w:rPr>
        <w:t>Fixation probability with stress-induced mutation</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1639B1"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p w:rsidR="001639B1" w:rsidRPr="001639B1" w:rsidRDefault="001639B1"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1639B1"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r>
                    <w:rPr>
                      <w:rFonts w:ascii="Cambria Math" w:hAnsi="Cambria Math"/>
                      <w:lang w:val="en-US"/>
                    </w:rPr>
                    <m:t>-τU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8D6D56"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8D6D56"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8D6D5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r>
        <w:rPr>
          <w:lang w:val="en-US"/>
        </w:rPr>
        <w:t>First-order approximations</w:t>
      </w:r>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1639B1">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1639B1">
        <w:rPr>
          <w:lang w:val="en-US"/>
        </w:rPr>
        <w:t>(</w:t>
      </w:r>
      <w:r w:rsidR="001639B1">
        <w:rPr>
          <w:noProof/>
          <w:lang w:val="en-US"/>
        </w:rPr>
        <w:t>3</w:t>
      </w:r>
      <w:r w:rsidR="001639B1">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1639B1"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1639B1"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P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D20B2" w:rsidTr="00E455D1">
        <w:tc>
          <w:tcPr>
            <w:tcW w:w="4500" w:type="pct"/>
            <w:vAlign w:val="center"/>
          </w:tcPr>
          <w:p w:rsidR="00AD20B2" w:rsidRDefault="001639B1" w:rsidP="00E455D1">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AD20B2" w:rsidRDefault="00AD20B2" w:rsidP="00E455D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13</w:t>
            </w:r>
            <w:r>
              <w:rPr>
                <w:lang w:val="en-US"/>
              </w:rPr>
              <w:fldChar w:fldCharType="end"/>
            </w:r>
            <w:r>
              <w:rPr>
                <w:lang w:val="en-US"/>
              </w:rPr>
              <w:t>)</w:t>
            </w:r>
          </w:p>
        </w:tc>
      </w:tr>
    </w:tbl>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1639B1">
        <w:rPr>
          <w:lang w:val="en-US"/>
        </w:rPr>
        <w:t>(</w:t>
      </w:r>
      <w:r w:rsidR="001639B1">
        <w:rPr>
          <w:noProof/>
          <w:lang w:val="en-US"/>
        </w:rPr>
        <w:t>4</w:t>
      </w:r>
      <w:r w:rsidR="001639B1">
        <w:rPr>
          <w:lang w:val="en-US"/>
        </w:rPr>
        <w:t>)</w:t>
      </w:r>
      <w:r>
        <w:rPr>
          <w:lang w:val="en-US"/>
        </w:rPr>
        <w:fldChar w:fldCharType="end"/>
      </w:r>
      <w:r>
        <w:rPr>
          <w:lang w:val="en-US"/>
        </w:rPr>
        <w:t>:</w:t>
      </w:r>
    </w:p>
    <w:p w:rsidR="00AD20B2" w:rsidRPr="00AD20B2" w:rsidRDefault="001639B1"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1639B1"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1639B1"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P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E251B2" w:rsidTr="00E455D1">
        <w:tc>
          <w:tcPr>
            <w:tcW w:w="4500" w:type="pct"/>
            <w:vAlign w:val="center"/>
          </w:tcPr>
          <w:p w:rsidR="00E251B2" w:rsidRDefault="001639B1" w:rsidP="00E251B2">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E251B2" w:rsidRDefault="00E251B2" w:rsidP="00E455D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639B1">
              <w:rPr>
                <w:noProof/>
                <w:lang w:val="en-US"/>
              </w:rPr>
              <w:t>14</w:t>
            </w:r>
            <w:r>
              <w:rPr>
                <w:lang w:val="en-US"/>
              </w:rPr>
              <w:fldChar w:fldCharType="end"/>
            </w:r>
            <w:r>
              <w:rPr>
                <w:lang w:val="en-US"/>
              </w:rPr>
              <w:t>)</w:t>
            </w:r>
          </w:p>
        </w:tc>
      </w:tr>
    </w:tbl>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 xml:space="preserve">The fixation probability without stress-induced mutation is described and approximated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Pr>
          <w:lang w:val="en-US"/>
        </w:rPr>
        <w:t>(</w:t>
      </w:r>
      <w:r>
        <w:rPr>
          <w:noProof/>
          <w:lang w:val="en-US"/>
        </w:rPr>
        <w:t>8</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Pr>
          <w:lang w:val="en-US"/>
        </w:rPr>
        <w:t>(</w:t>
      </w:r>
      <w:r>
        <w:rPr>
          <w:noProof/>
          <w:lang w:val="en-US"/>
        </w:rPr>
        <w:t>9</w:t>
      </w:r>
      <w:r>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Pr>
          <w:lang w:val="en-US"/>
        </w:rPr>
        <w:t>(</w:t>
      </w:r>
      <w:r>
        <w:rPr>
          <w:noProof/>
          <w:lang w:val="en-US"/>
        </w:rPr>
        <w:t>11</w:t>
      </w:r>
      <w:r>
        <w:rPr>
          <w:lang w:val="en-US"/>
        </w:rPr>
        <w:t>)</w:t>
      </w:r>
      <w:r>
        <w:rPr>
          <w:lang w:val="en-US"/>
        </w:rPr>
        <w:fldChar w:fldCharType="end"/>
      </w:r>
      <w:r>
        <w:rPr>
          <w:lang w:val="en-US"/>
        </w:rPr>
        <w:t>)</w:t>
      </w:r>
      <w:r w:rsidR="00171BAE">
        <w:rPr>
          <w:lang w:val="en-US"/>
        </w:rPr>
        <w:t xml:space="preserve"> can be approximated by</w:t>
      </w:r>
      <w:bookmarkStart w:id="12" w:name="_GoBack"/>
      <w:bookmarkEnd w:id="12"/>
      <w:r>
        <w:rPr>
          <w:lang w:val="en-US"/>
        </w:rPr>
        <w:t>:</w:t>
      </w:r>
    </w:p>
    <w:p w:rsidR="001639B1" w:rsidRPr="001639B1" w:rsidRDefault="001639B1"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m:t>
          </m:r>
          <m:r>
            <w:rPr>
              <w:rFonts w:ascii="Cambria Math" w:hAnsi="Cambria Math"/>
              <w:lang w:val="en-US"/>
            </w:rPr>
            <m:t>2</m:t>
          </m:r>
          <m:r>
            <w:rPr>
              <w:rFonts w:ascii="Cambria Math" w:hAnsi="Cambria Math"/>
              <w:lang w:val="en-US"/>
            </w:rPr>
            <m:t>=</m:t>
          </m:r>
          <m:r>
            <w:rPr>
              <w:rFonts w:ascii="Cambria Math" w:hAnsi="Cambria Math"/>
              <w:lang w:val="en-US"/>
            </w:rPr>
            <m:t>1</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m:t>
              </m:r>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31783A" w:rsidTr="00FC0DE4">
        <w:tc>
          <w:tcPr>
            <w:tcW w:w="4500" w:type="pct"/>
            <w:vAlign w:val="center"/>
          </w:tcPr>
          <w:p w:rsidR="0031783A" w:rsidRDefault="0031783A" w:rsidP="00FC0DE4">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31783A" w:rsidRDefault="0031783A" w:rsidP="00FC0DE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15</w:t>
            </w:r>
            <w:r>
              <w:rPr>
                <w:lang w:val="en-US"/>
              </w:rPr>
              <w:fldChar w:fldCharType="end"/>
            </w:r>
            <w:r>
              <w:rPr>
                <w:lang w:val="en-US"/>
              </w:rPr>
              <w:t>)</w:t>
            </w:r>
          </w:p>
        </w:tc>
      </w:tr>
    </w:tbl>
    <w:p w:rsidR="00AB1C75" w:rsidRPr="00AB1C75" w:rsidRDefault="00AB1C75" w:rsidP="00AB1C75">
      <w:pPr>
        <w:pStyle w:val="Heading3"/>
        <w:rPr>
          <w:lang w:val="en-US"/>
        </w:rPr>
      </w:pPr>
      <w:r w:rsidRPr="00AB1C75">
        <w:rPr>
          <w:lang w:val="en-US"/>
        </w:rPr>
        <w:t>Total adaptation time</w:t>
      </w:r>
    </w:p>
    <w:sectPr w:rsidR="00AB1C75" w:rsidRPr="00AB1C75">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95B" w:rsidRDefault="0059395B">
      <w:pPr>
        <w:spacing w:line="240" w:lineRule="auto"/>
      </w:pPr>
      <w:r>
        <w:separator/>
      </w:r>
    </w:p>
  </w:endnote>
  <w:endnote w:type="continuationSeparator" w:id="0">
    <w:p w:rsidR="0059395B" w:rsidRDefault="00593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9B1" w:rsidRDefault="001639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39B1" w:rsidRDefault="001639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9B1" w:rsidRDefault="001639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1BAE">
      <w:rPr>
        <w:rStyle w:val="PageNumber"/>
        <w:noProof/>
      </w:rPr>
      <w:t>10</w:t>
    </w:r>
    <w:r>
      <w:rPr>
        <w:rStyle w:val="PageNumber"/>
      </w:rPr>
      <w:fldChar w:fldCharType="end"/>
    </w:r>
  </w:p>
  <w:p w:rsidR="001639B1" w:rsidRDefault="00163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95B" w:rsidRDefault="0059395B">
      <w:pPr>
        <w:spacing w:line="240" w:lineRule="auto"/>
      </w:pPr>
      <w:r>
        <w:separator/>
      </w:r>
    </w:p>
  </w:footnote>
  <w:footnote w:type="continuationSeparator" w:id="0">
    <w:p w:rsidR="0059395B" w:rsidRDefault="0059395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0565"/>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44047"/>
    <w:rsid w:val="002473DC"/>
    <w:rsid w:val="002830F7"/>
    <w:rsid w:val="00291184"/>
    <w:rsid w:val="0029554C"/>
    <w:rsid w:val="002A228F"/>
    <w:rsid w:val="002E1D1A"/>
    <w:rsid w:val="002E568C"/>
    <w:rsid w:val="0031783A"/>
    <w:rsid w:val="00317C1F"/>
    <w:rsid w:val="00324A58"/>
    <w:rsid w:val="00332A32"/>
    <w:rsid w:val="00332D67"/>
    <w:rsid w:val="00355FB0"/>
    <w:rsid w:val="00374508"/>
    <w:rsid w:val="00391ECF"/>
    <w:rsid w:val="003C0856"/>
    <w:rsid w:val="003F62E3"/>
    <w:rsid w:val="00405B25"/>
    <w:rsid w:val="0043263E"/>
    <w:rsid w:val="0045091F"/>
    <w:rsid w:val="00476190"/>
    <w:rsid w:val="00482829"/>
    <w:rsid w:val="004E5EBE"/>
    <w:rsid w:val="004F2E22"/>
    <w:rsid w:val="00555F3C"/>
    <w:rsid w:val="005579CA"/>
    <w:rsid w:val="0059395B"/>
    <w:rsid w:val="00593A0A"/>
    <w:rsid w:val="00656818"/>
    <w:rsid w:val="006838FD"/>
    <w:rsid w:val="006E7AC6"/>
    <w:rsid w:val="007D450D"/>
    <w:rsid w:val="008A370E"/>
    <w:rsid w:val="008B5F8B"/>
    <w:rsid w:val="008C4AC6"/>
    <w:rsid w:val="008D6D56"/>
    <w:rsid w:val="009073FB"/>
    <w:rsid w:val="00A37911"/>
    <w:rsid w:val="00A46AFF"/>
    <w:rsid w:val="00A532CE"/>
    <w:rsid w:val="00A8498D"/>
    <w:rsid w:val="00AB1C75"/>
    <w:rsid w:val="00AC5B39"/>
    <w:rsid w:val="00AC64E4"/>
    <w:rsid w:val="00AD20B2"/>
    <w:rsid w:val="00AD6356"/>
    <w:rsid w:val="00AD779D"/>
    <w:rsid w:val="00B01CEE"/>
    <w:rsid w:val="00B13C26"/>
    <w:rsid w:val="00B24EE5"/>
    <w:rsid w:val="00B619E9"/>
    <w:rsid w:val="00C02FE0"/>
    <w:rsid w:val="00C74586"/>
    <w:rsid w:val="00CC2E91"/>
    <w:rsid w:val="00CE3194"/>
    <w:rsid w:val="00D04B58"/>
    <w:rsid w:val="00D24523"/>
    <w:rsid w:val="00D516F5"/>
    <w:rsid w:val="00DD0F4F"/>
    <w:rsid w:val="00E146D3"/>
    <w:rsid w:val="00E251B2"/>
    <w:rsid w:val="00E455D1"/>
    <w:rsid w:val="00E72C13"/>
    <w:rsid w:val="00E91107"/>
    <w:rsid w:val="00E96A4E"/>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6A436-FF37-4509-8A77-487B78DC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2820</TotalTime>
  <Pages>10</Pages>
  <Words>7444</Words>
  <Characters>37225</Characters>
  <Application>Microsoft Office Word</Application>
  <DocSecurity>0</DocSecurity>
  <Lines>310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62</cp:revision>
  <cp:lastPrinted>2013-04-19T14:06:00Z</cp:lastPrinted>
  <dcterms:created xsi:type="dcterms:W3CDTF">2013-04-05T12:49:00Z</dcterms:created>
  <dcterms:modified xsi:type="dcterms:W3CDTF">2013-04-21T11:41:00Z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