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ED2C37">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05274">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05274">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"[2]" }, "properties" : { "noteIndex" : 0 }, "schema" : "https://github.com/citation-style-language/schema/raw/master/csl-citation.json" }</w:instrText>
      </w:r>
      <w:r w:rsidR="00B24EE5">
        <w:rPr>
          <w:lang w:val="en-US"/>
        </w:rPr>
        <w:fldChar w:fldCharType="separate"/>
      </w:r>
      <w:r w:rsidR="00505274" w:rsidRPr="00505274">
        <w:rPr>
          <w:noProof/>
          <w:lang w:val="en-US"/>
        </w:rPr>
        <w:t>[2]</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w:t>
      </w:r>
      <w:r>
        <w:rPr>
          <w:lang w:val="en-US"/>
        </w:rPr>
        <w:lastRenderedPageBreak/>
        <w:t xml:space="preserve">most mutations are deleterious and the mutation rate is reduced by natural selection to very low levels </w:t>
      </w:r>
      <w:r>
        <w:rPr>
          <w:lang w:val="en-US"/>
        </w:rPr>
        <w:fldChar w:fldCharType="begin" w:fldLock="1"/>
      </w:r>
      <w:r w:rsidR="00505274">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"[3, 4]" }, "properties" : { "noteIndex" : 0 }, "schema" : "https://github.com/citation-style-language/schema/raw/master/csl-citation.json" }</w:instrText>
      </w:r>
      <w:r>
        <w:rPr>
          <w:lang w:val="en-US"/>
        </w:rPr>
        <w:fldChar w:fldCharType="separate"/>
      </w:r>
      <w:r w:rsidR="00505274" w:rsidRPr="00505274">
        <w:rPr>
          <w:noProof/>
          <w:lang w:val="en-US"/>
        </w:rPr>
        <w:t>[3, 4]</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05274">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"[5\u20137]" }, "properties" : { "noteIndex" : 0 }, "schema" : "https://github.com/citation-style-language/schema/raw/master/csl-citation.json" }</w:instrText>
      </w:r>
      <w:r>
        <w:rPr>
          <w:lang w:val="en-US"/>
        </w:rPr>
        <w:fldChar w:fldCharType="separate"/>
      </w:r>
      <w:r w:rsidR="00505274" w:rsidRPr="00505274">
        <w:rPr>
          <w:noProof/>
          <w:lang w:val="en-US"/>
        </w:rPr>
        <w:t>[5</w:t>
      </w:r>
      <w:r w:rsidR="00505274" w:rsidRPr="00505274">
        <w:rPr>
          <w:rFonts w:ascii="Arial" w:hAnsi="Arial" w:cs="Arial"/>
          <w:noProof/>
          <w:lang w:val="en-US"/>
        </w:rPr>
        <w:t>–</w:t>
      </w:r>
      <w:r w:rsidR="00505274" w:rsidRPr="00505274">
        <w:rPr>
          <w:noProof/>
          <w:lang w:val="en-US"/>
        </w:rPr>
        <w:t>7]</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lastRenderedPageBreak/>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CB17DA" w:rsidRPr="00317C1F">
        <w:t xml:space="preserve">Figure </w:t>
      </w:r>
      <w:r w:rsidR="00CB17DA">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drawing>
          <wp:inline distT="0" distB="0" distL="0" distR="0" wp14:anchorId="0E2E3B72" wp14:editId="1EAB393E">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29BFB52C" wp14:editId="3A9634EC">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B17DA">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Genotypes </w:t>
      </w:r>
      <w:r>
        <w:rPr>
          <w:b w:val="0"/>
          <w:bCs w:val="0"/>
        </w:rPr>
        <w:t xml:space="preserve">are composed of the 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specified by the number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mutation rate used</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Pr>
          <w:b w:val="0"/>
          <w:bCs w:val="0"/>
        </w:rPr>
        <w:t xml:space="preserve"> the fitness of a genotype, from pale </w:t>
      </w:r>
      <w:r w:rsidR="00C84F6C">
        <w:rPr>
          <w:b w:val="0"/>
          <w:bCs w:val="0"/>
        </w:rPr>
        <w:t>brown</w:t>
      </w:r>
      <w:r>
        <w:rPr>
          <w:b w:val="0"/>
          <w:bCs w:val="0"/>
        </w:rPr>
        <w:t xml:space="preserve"> for </w:t>
      </w:r>
      <w:r w:rsidR="00C84F6C">
        <w:rPr>
          <w:b w:val="0"/>
          <w:bCs w:val="0"/>
        </w:rPr>
        <w:t>maximum</w:t>
      </w:r>
      <w:r>
        <w:rPr>
          <w:b w:val="0"/>
          <w:bCs w:val="0"/>
        </w:rPr>
        <w:t xml:space="preserve"> 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lastRenderedPageBreak/>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B17DA">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2077A2"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B17DA">
              <w:rPr>
                <w:noProof/>
                <w:lang w:val="en-US"/>
              </w:rPr>
              <w:t>2</w:t>
            </w:r>
            <w:r w:rsidR="00F95F72">
              <w:rPr>
                <w:lang w:val="en-US"/>
              </w:rPr>
              <w:fldChar w:fldCharType="end"/>
            </w:r>
            <w:r>
              <w:rPr>
                <w:lang w:val="en-US"/>
              </w:rPr>
              <w:t>)</w:t>
            </w:r>
            <w:bookmarkEnd w:id="4"/>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05274">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"[8]" }, "properties" : { "noteIndex" : 0 }, "schema" : "https://github.com/citation-style-language/schema/raw/master/csl-citation.json" }</w:instrText>
      </w:r>
      <w:r w:rsidR="00324A58">
        <w:rPr>
          <w:lang w:val="en-US"/>
        </w:rPr>
        <w:fldChar w:fldCharType="separate"/>
      </w:r>
      <w:r w:rsidR="00505274" w:rsidRPr="00505274">
        <w:rPr>
          <w:noProof/>
          <w:lang w:val="en-US"/>
        </w:rPr>
        <w:t>[8]</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0527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"[9]" }, "properties" : { "noteIndex" : 0 }, "schema" : "https://github.com/citation-style-language/schema/raw/master/csl-citation.json" }</w:instrText>
      </w:r>
      <w:r w:rsidRPr="001A482B">
        <w:rPr>
          <w:lang w:val="en-US"/>
        </w:rPr>
        <w:fldChar w:fldCharType="separate"/>
      </w:r>
      <w:r w:rsidR="00505274" w:rsidRPr="00505274">
        <w:rPr>
          <w:noProof/>
          <w:lang w:val="en-US"/>
        </w:rPr>
        <w:t>[9]</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05274">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"[10]" }, "properties" : { "noteIndex" : 0 }, "schema" : "https://github.com/citation-style-language/schema/raw/master/csl-citation.json" }</w:instrText>
      </w:r>
      <w:r w:rsidRPr="001A482B">
        <w:rPr>
          <w:rFonts w:cstheme="majorBidi"/>
          <w:lang w:val="en-US"/>
        </w:rPr>
        <w:fldChar w:fldCharType="separate"/>
      </w:r>
      <w:r w:rsidR="00505274" w:rsidRPr="00505274">
        <w:rPr>
          <w:rFonts w:cstheme="majorBidi"/>
          <w:noProof/>
          <w:lang w:val="en-US"/>
        </w:rPr>
        <w:t>[10]</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3277CF">
      <w:pPr>
        <w:pStyle w:val="Heading3"/>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CB17DA">
        <w:rPr>
          <w:lang w:val="en-US"/>
        </w:rPr>
        <w:t>(</w:t>
      </w:r>
      <w:r w:rsidR="00CB17DA">
        <w:rPr>
          <w:noProof/>
          <w:lang w:val="en-US"/>
        </w:rPr>
        <w:t>2</w:t>
      </w:r>
      <w:r w:rsidR="00CB17DA">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05274">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"[11]" }, "properties" : { "noteIndex" : 0 }, "schema" : "https://github.com/citation-style-language/schema/raw/master/csl-citation.json" }</w:instrText>
      </w:r>
      <w:r w:rsidR="00555F3C">
        <w:rPr>
          <w:lang w:val="en-US"/>
        </w:rPr>
        <w:fldChar w:fldCharType="separate"/>
      </w:r>
      <w:r w:rsidR="00505274" w:rsidRPr="00505274">
        <w:rPr>
          <w:noProof/>
          <w:lang w:val="en-US"/>
        </w:rPr>
        <w:t>[11]</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2077A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4</w:t>
            </w:r>
            <w:r>
              <w:rPr>
                <w:lang w:val="en-US"/>
              </w:rPr>
              <w:fldChar w:fldCharType="end"/>
            </w:r>
            <w:r>
              <w:rPr>
                <w:lang w:val="en-US"/>
              </w:rPr>
              <w:t>)</w:t>
            </w:r>
            <w:bookmarkEnd w:id="6"/>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2077A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lastRenderedPageBreak/>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505274">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"[12]" }, "properties" : { "noteIndex" : 0 }, "schema" : "https://github.com/citation-style-language/schema/raw/master/csl-citation.json" }</w:instrText>
      </w:r>
      <w:r>
        <w:rPr>
          <w:lang w:val="en-US"/>
        </w:rPr>
        <w:fldChar w:fldCharType="separate"/>
      </w:r>
      <w:r w:rsidR="00505274" w:rsidRPr="00505274">
        <w:rPr>
          <w:noProof/>
          <w:lang w:val="en-US"/>
        </w:rPr>
        <w:t>[12]</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6</w:t>
            </w:r>
            <w:r>
              <w:rPr>
                <w:lang w:val="en-US"/>
              </w:rPr>
              <w:fldChar w:fldCharType="end"/>
            </w:r>
            <w:r>
              <w:rPr>
                <w:lang w:val="en-US"/>
              </w:rPr>
              <w:t>)</w:t>
            </w:r>
            <w:bookmarkEnd w:id="7"/>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7</w:t>
            </w:r>
            <w:r>
              <w:rPr>
                <w:lang w:val="en-US"/>
              </w:rPr>
              <w:fldChar w:fldCharType="end"/>
            </w:r>
            <w:r>
              <w:rPr>
                <w:lang w:val="en-US"/>
              </w:rPr>
              <w:t>)</w:t>
            </w:r>
            <w:bookmarkEnd w:id="8"/>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505274">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"[13]" }, "properties" : { "noteIndex" : 0 }, "schema" : "https://github.com/citation-style-language/schema/raw/master/csl-citation.json" }</w:instrText>
      </w:r>
      <w:r>
        <w:rPr>
          <w:lang w:val="en-US"/>
        </w:rPr>
        <w:fldChar w:fldCharType="separate"/>
      </w:r>
      <w:r w:rsidR="00505274" w:rsidRPr="00505274">
        <w:rPr>
          <w:noProof/>
          <w:lang w:val="en-US"/>
        </w:rPr>
        <w:t>[13]</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2077A2"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9</w:t>
            </w:r>
            <w:r>
              <w:rPr>
                <w:lang w:val="en-US"/>
              </w:rPr>
              <w:fldChar w:fldCharType="end"/>
            </w:r>
            <w:r>
              <w:rPr>
                <w:lang w:val="en-US"/>
              </w:rPr>
              <w:t>)</w:t>
            </w:r>
            <w:bookmarkEnd w:id="10"/>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50527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"[14]" }, "properties" : { "noteIndex" : 0 }, "schema" : "https://github.com/citation-style-language/schema/raw/master/csl-citation.json" }</w:instrText>
      </w:r>
      <w:r>
        <w:rPr>
          <w:lang w:val="en-US"/>
        </w:rPr>
        <w:fldChar w:fldCharType="separate"/>
      </w:r>
      <w:r w:rsidR="00505274" w:rsidRPr="00505274">
        <w:rPr>
          <w:noProof/>
          <w:lang w:val="en-US"/>
        </w:rPr>
        <w:t>[14]</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2077A2"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6</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7</w:t>
      </w:r>
      <w:r w:rsidR="00CB17DA">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B17DA">
        <w:rPr>
          <w:rFonts w:hint="eastAsia"/>
          <w:cs/>
          <w:lang w:val="en-US"/>
        </w:rPr>
        <w:t>‎</w:t>
      </w:r>
      <w:r w:rsidR="00CB17DA">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2077A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11</w:t>
            </w:r>
            <w:r>
              <w:rPr>
                <w:lang w:val="en-US"/>
              </w:rPr>
              <w:fldChar w:fldCharType="end"/>
            </w:r>
            <w:r>
              <w:rPr>
                <w:lang w:val="en-US"/>
              </w:rPr>
              <w:t>)</w:t>
            </w:r>
            <w:bookmarkEnd w:id="11"/>
          </w:p>
        </w:tc>
      </w:tr>
    </w:tbl>
    <w:p w:rsidR="000F696F" w:rsidRPr="000F696F" w:rsidRDefault="000F696F" w:rsidP="00CC2E91">
      <w:pPr>
        <w:ind w:firstLine="0"/>
        <w:rPr>
          <w:lang w:val="en-US"/>
        </w:rPr>
      </w:pPr>
      <w:r>
        <w:rPr>
          <w:lang w:val="en-US"/>
        </w:rPr>
        <w:lastRenderedPageBreak/>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3277CF">
      <w:pPr>
        <w:pStyle w:val="Heading3"/>
        <w:rPr>
          <w:lang w:val="en-US"/>
        </w:rPr>
      </w:pPr>
      <w:r>
        <w:rPr>
          <w:lang w:val="en-US"/>
        </w:rPr>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12</w:t>
            </w:r>
            <w:r>
              <w:rPr>
                <w:lang w:val="en-US"/>
              </w:rPr>
              <w:fldChar w:fldCharType="end"/>
            </w:r>
            <w:r>
              <w:rPr>
                <w:lang w:val="en-US"/>
              </w:rPr>
              <w:t>)</w:t>
            </w:r>
            <w:bookmarkEnd w:id="12"/>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3</w:t>
      </w:r>
      <w:r w:rsidR="00CB17DA">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4</w:t>
      </w:r>
      <w:r w:rsidR="00CB17DA">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11</w:t>
      </w:r>
      <w:r w:rsidR="00CB17DA">
        <w:rPr>
          <w:lang w:val="en-US"/>
        </w:rPr>
        <w:t>)</w:t>
      </w:r>
      <w:r>
        <w:rPr>
          <w:lang w:val="en-US"/>
        </w:rPr>
        <w:fldChar w:fldCharType="end"/>
      </w:r>
      <w:r>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CB17DA">
        <w:rPr>
          <w:lang w:val="en-US"/>
        </w:rPr>
        <w:t>(</w:t>
      </w:r>
      <w:r w:rsidR="00CB17DA">
        <w:rPr>
          <w:noProof/>
          <w:lang w:val="en-US"/>
        </w:rPr>
        <w:t>1</w:t>
      </w:r>
      <w:r w:rsidR="00CB17DA">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CB17DA">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w:t>
      </w:r>
      <w:r>
        <w:rPr>
          <w:lang w:val="en-US"/>
        </w:rPr>
        <w:lastRenderedPageBreak/>
        <w:t xml:space="preserve">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r>
        <w:rPr>
          <w:lang w:val="en-US"/>
        </w:rPr>
        <w:t>).</w:t>
      </w:r>
    </w:p>
    <w:p w:rsidR="002E1D1A" w:rsidRDefault="002E1D1A" w:rsidP="002E1D1A">
      <w:pPr>
        <w:ind w:firstLine="0"/>
        <w:rPr>
          <w:lang w:val="en-US"/>
        </w:rPr>
      </w:pPr>
      <w:r>
        <w:rPr>
          <w:lang w:val="en-US"/>
        </w:rPr>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CB17DA">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CB17DA">
        <w:rPr>
          <w:rFonts w:hint="eastAsia"/>
          <w:cs/>
          <w:lang w:val="en-US"/>
        </w:rPr>
        <w:t>‎</w:t>
      </w:r>
      <w:r w:rsidR="00CB17DA">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2077A2"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2077A2"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14</w:t>
            </w:r>
            <w:r>
              <w:rPr>
                <w:lang w:val="en-US"/>
              </w:rPr>
              <w:fldChar w:fldCharType="end"/>
            </w:r>
            <w:r>
              <w:rPr>
                <w:lang w:val="en-US"/>
              </w:rPr>
              <w:t>)</w:t>
            </w:r>
            <w:bookmarkEnd w:id="16"/>
          </w:p>
        </w:tc>
      </w:tr>
    </w:tbl>
    <w:p w:rsidR="0069172E" w:rsidRDefault="00815CB8" w:rsidP="0069172E">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B17DA">
        <w:rPr>
          <w:lang w:val="en-US"/>
        </w:rPr>
        <w:t>(</w:t>
      </w:r>
      <w:r w:rsidR="00CB17DA">
        <w:rPr>
          <w:noProof/>
          <w:lang w:val="en-US"/>
        </w:rPr>
        <w:t>14</w:t>
      </w:r>
      <w:r w:rsidR="00CB17DA">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FE1408">
      <w:pPr>
        <w:pStyle w:val="Heading3"/>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CB17DA">
        <w:rPr>
          <w:rFonts w:hint="eastAsia"/>
          <w:cs/>
          <w:lang w:val="en-US"/>
        </w:rPr>
        <w:t>‎</w:t>
      </w:r>
      <w:r w:rsidR="00CB17DA">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2077A2"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2077A2"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7" w:name="_Ref35432160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15</w:t>
            </w:r>
            <w:r>
              <w:rPr>
                <w:lang w:val="en-US"/>
              </w:rPr>
              <w:fldChar w:fldCharType="end"/>
            </w:r>
            <w:r>
              <w:rPr>
                <w:lang w:val="en-US"/>
              </w:rPr>
              <w:t>)</w:t>
            </w:r>
            <w:bookmarkEnd w:id="17"/>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 xml:space="preserve">stress-induced mutation increases the fixation probability of the double mutant. </w:t>
      </w:r>
      <w:r w:rsidR="00A94E1E">
        <w:rPr>
          <w:lang w:val="en-US"/>
        </w:rPr>
        <w:lastRenderedPageBreak/>
        <w:t>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B17DA">
        <w:rPr>
          <w:lang w:val="en-US"/>
        </w:rPr>
        <w:t>(</w:t>
      </w:r>
      <w:r w:rsidR="00CB17DA">
        <w:rPr>
          <w:noProof/>
          <w:lang w:val="en-US"/>
        </w:rPr>
        <w:t>12</w:t>
      </w:r>
      <w:r w:rsidR="00CB17DA">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815CB8">
      <w:pPr>
        <w:ind w:firstLine="0"/>
        <w:rPr>
          <w:lang w:val="en-US"/>
        </w:rPr>
      </w:pPr>
      <w:r>
        <w:rPr>
          <w:lang w:val="en-US"/>
        </w:rPr>
        <w:t>The adaptation rate is the inverse of the expected adaptation time</w:t>
      </w:r>
      <w:r w:rsidR="00815CB8">
        <w:rPr>
          <w:lang w:val="en-US"/>
        </w:rPr>
        <w:t xml:space="preserve"> - </w:t>
      </w:r>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B17DA">
        <w:rPr>
          <w:lang w:val="en-US"/>
        </w:rPr>
        <w:t>(</w:t>
      </w:r>
      <w:r w:rsidR="00CB17DA">
        <w:rPr>
          <w:noProof/>
          <w:lang w:val="en-US"/>
        </w:rPr>
        <w:t>9</w:t>
      </w:r>
      <w:r w:rsidR="00CB17DA">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B17DA">
        <w:rPr>
          <w:lang w:val="en-US"/>
        </w:rPr>
        <w:t>(</w:t>
      </w:r>
      <w:r w:rsidR="00CB17DA">
        <w:rPr>
          <w:noProof/>
          <w:lang w:val="en-US"/>
        </w:rPr>
        <w:t>13</w:t>
      </w:r>
      <w:r w:rsidR="00CB17DA">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2077A2"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8" w:name="_Ref35432254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16</w:t>
            </w:r>
            <w:r>
              <w:rPr>
                <w:lang w:val="en-US"/>
              </w:rPr>
              <w:fldChar w:fldCharType="end"/>
            </w:r>
            <w:r>
              <w:rPr>
                <w:lang w:val="en-US"/>
              </w:rPr>
              <w:t>)</w:t>
            </w:r>
            <w:bookmarkEnd w:id="18"/>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B17DA">
        <w:rPr>
          <w:lang w:val="en-US"/>
        </w:rPr>
        <w:t>(</w:t>
      </w:r>
      <w:r w:rsidR="00CB17DA">
        <w:rPr>
          <w:noProof/>
          <w:lang w:val="en-US"/>
        </w:rPr>
        <w:t>14</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B17DA">
        <w:rPr>
          <w:lang w:val="en-US"/>
        </w:rPr>
        <w:t>(</w:t>
      </w:r>
      <w:r w:rsidR="00CB17DA">
        <w:rPr>
          <w:noProof/>
          <w:lang w:val="en-US"/>
        </w:rPr>
        <w:t>15</w:t>
      </w:r>
      <w:r w:rsidR="00CB17DA">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2077A2"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9" w:name="_Ref354322545"/>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17</w:t>
            </w:r>
            <w:r>
              <w:rPr>
                <w:lang w:val="en-US"/>
              </w:rPr>
              <w:fldChar w:fldCharType="end"/>
            </w:r>
            <w:r>
              <w:rPr>
                <w:lang w:val="en-US"/>
              </w:rPr>
              <w:t>)</w:t>
            </w:r>
            <w:bookmarkEnd w:id="19"/>
          </w:p>
        </w:tc>
      </w:tr>
    </w:tbl>
    <w:p w:rsidR="009C6C69" w:rsidRDefault="008C5BF9" w:rsidP="00815CB8">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CB17DA">
        <w:rPr>
          <w:rFonts w:hint="eastAsia"/>
          <w:cs/>
          <w:lang w:val="en-US"/>
        </w:rPr>
        <w:t>‎</w:t>
      </w:r>
      <w:r w:rsidR="00CB17DA">
        <w:rPr>
          <w:lang w:val="en-US"/>
        </w:rPr>
        <w:t>6.3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sidR="0050527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"[9]" }, "properties" : { "noteIndex" : 0 }, "schema" : "https://github.com/citation-style-language/schema/raw/master/csl-citation.json" }</w:instrText>
      </w:r>
      <w:r>
        <w:rPr>
          <w:lang w:val="en-US"/>
        </w:rPr>
        <w:fldChar w:fldCharType="separate"/>
      </w:r>
      <w:r w:rsidR="00505274" w:rsidRPr="00505274">
        <w:rPr>
          <w:noProof/>
          <w:lang w:val="en-US"/>
        </w:rPr>
        <w:t>[9]</w:t>
      </w:r>
      <w:r>
        <w:rPr>
          <w:lang w:val="en-US"/>
        </w:rPr>
        <w:fldChar w:fldCharType="end"/>
      </w:r>
      <w:r>
        <w:rPr>
          <w:lang w:val="en-US"/>
        </w:rPr>
        <w:t xml:space="preserve"> and 0.003 </w:t>
      </w:r>
      <w:r>
        <w:rPr>
          <w:lang w:val="en-US"/>
        </w:rPr>
        <w:fldChar w:fldCharType="begin" w:fldLock="1"/>
      </w:r>
      <w:r w:rsidR="00505274">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"[15]" }, "properties" : { "noteIndex" : 0 }, "schema" : "https://github.com/citation-style-language/schema/raw/master/csl-citation.json" }</w:instrText>
      </w:r>
      <w:r>
        <w:rPr>
          <w:lang w:val="en-US"/>
        </w:rPr>
        <w:fldChar w:fldCharType="separate"/>
      </w:r>
      <w:r w:rsidR="00505274" w:rsidRPr="00505274">
        <w:rPr>
          <w:noProof/>
          <w:lang w:val="en-US"/>
        </w:rPr>
        <w:t>[15]</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bookmarkStart w:id="20" w:name="_GoBack"/>
      <w:r>
        <w:rPr>
          <w:lang w:val="en-US"/>
        </w:rPr>
        <w:t>Simulation results</w:t>
      </w:r>
    </w:p>
    <w:bookmarkEnd w:id="20"/>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proofErr w:type="gramStart"/>
      <w:r w:rsidR="00C9636A">
        <w:rPr>
          <w:lang w:val="en-US"/>
        </w:rPr>
        <w:t>Stochastic</w:t>
      </w:r>
      <w:proofErr w:type="gramEnd"/>
      <w:r w:rsidR="00C9636A">
        <w:rPr>
          <w:lang w:val="en-US"/>
        </w:rPr>
        <w:t xml:space="preserve">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lastRenderedPageBreak/>
        <w:drawing>
          <wp:inline distT="0" distB="0" distL="0" distR="0" wp14:anchorId="0B30DD9B" wp14:editId="6CB23176">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B17DA">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B17DA" w:rsidRPr="00CB17DA">
        <w:rPr>
          <w:b w:val="0"/>
          <w:bCs w:val="0"/>
          <w:lang w:val="en-US"/>
        </w:rPr>
        <w:t>(</w:t>
      </w:r>
      <w:r w:rsidR="00CB17DA" w:rsidRPr="00CB17DA">
        <w:rPr>
          <w:b w:val="0"/>
          <w:bCs w:val="0"/>
          <w:noProof/>
          <w:lang w:val="en-US"/>
        </w:rPr>
        <w:t>12</w:t>
      </w:r>
      <w:r w:rsidR="00CB17DA" w:rsidRPr="00CB17DA">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B17DA" w:rsidRPr="00CB17DA">
        <w:rPr>
          <w:b w:val="0"/>
          <w:bCs w:val="0"/>
          <w:lang w:val="en-US"/>
        </w:rPr>
        <w:t>(</w:t>
      </w:r>
      <w:r w:rsidR="00CB17DA" w:rsidRPr="00CB17DA">
        <w:rPr>
          <w:b w:val="0"/>
          <w:bCs w:val="0"/>
          <w:noProof/>
          <w:lang w:val="en-US"/>
        </w:rPr>
        <w:t>17</w:t>
      </w:r>
      <w:r w:rsidR="00CB17DA" w:rsidRPr="00CB17DA">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2077A2"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2077A2"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2077A2"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2077A2"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2077A2"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2077A2"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2077A2"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2077A2"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B17DA">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B17DA">
        <w:rPr>
          <w:lang w:val="en-US"/>
        </w:rPr>
        <w:t>(</w:t>
      </w:r>
      <w:r w:rsidR="00CB17DA">
        <w:rPr>
          <w:noProof/>
          <w:lang w:val="en-US"/>
        </w:rPr>
        <w:t>3</w:t>
      </w:r>
      <w:r w:rsidR="00CB17DA">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2077A2"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2077A2"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2077A2"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2077A2"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B17DA">
        <w:rPr>
          <w:lang w:val="en-US"/>
        </w:rPr>
        <w:t>(</w:t>
      </w:r>
      <w:r w:rsidR="00CB17DA">
        <w:rPr>
          <w:noProof/>
          <w:lang w:val="en-US"/>
        </w:rPr>
        <w:t>4</w:t>
      </w:r>
      <w:r w:rsidR="00CB17DA">
        <w:rPr>
          <w:lang w:val="en-US"/>
        </w:rPr>
        <w:t>)</w:t>
      </w:r>
      <w:r>
        <w:rPr>
          <w:lang w:val="en-US"/>
        </w:rPr>
        <w:fldChar w:fldCharType="end"/>
      </w:r>
      <w:r>
        <w:rPr>
          <w:lang w:val="en-US"/>
        </w:rPr>
        <w:t>:</w:t>
      </w:r>
    </w:p>
    <w:p w:rsidR="00AD20B2" w:rsidRPr="00AD20B2" w:rsidRDefault="002077A2"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2077A2"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2077A2"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2077A2"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2077A2"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B17DA">
        <w:rPr>
          <w:lang w:val="en-US"/>
        </w:rPr>
        <w:t>(</w:t>
      </w:r>
      <w:r w:rsidR="00CB17DA">
        <w:rPr>
          <w:noProof/>
          <w:lang w:val="en-US"/>
        </w:rPr>
        <w:t>8</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B17DA">
        <w:rPr>
          <w:lang w:val="en-US"/>
        </w:rPr>
        <w:t>(</w:t>
      </w:r>
      <w:r w:rsidR="00CB17DA">
        <w:rPr>
          <w:noProof/>
          <w:lang w:val="en-US"/>
        </w:rPr>
        <w:t>11</w:t>
      </w:r>
      <w:r w:rsidR="00CB17DA">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2077A2"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2077A2"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B17DA">
        <w:rPr>
          <w:lang w:val="en-US"/>
        </w:rPr>
        <w:t>(</w:t>
      </w:r>
      <w:r w:rsidR="00CB17DA">
        <w:rPr>
          <w:noProof/>
          <w:lang w:val="en-US"/>
        </w:rPr>
        <w:t>16</w:t>
      </w:r>
      <w:r w:rsidR="00CB17DA">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B17DA">
        <w:rPr>
          <w:lang w:val="en-US"/>
        </w:rPr>
        <w:t>(</w:t>
      </w:r>
      <w:r w:rsidR="00CB17DA">
        <w:rPr>
          <w:noProof/>
          <w:lang w:val="en-US"/>
        </w:rPr>
        <w:t>17</w:t>
      </w:r>
      <w:r w:rsidR="00CB17DA">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lastRenderedPageBreak/>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7A2" w:rsidRDefault="002077A2">
      <w:pPr>
        <w:spacing w:line="240" w:lineRule="auto"/>
      </w:pPr>
      <w:r>
        <w:separator/>
      </w:r>
    </w:p>
  </w:endnote>
  <w:endnote w:type="continuationSeparator" w:id="0">
    <w:p w:rsidR="002077A2" w:rsidRDefault="00207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636A">
      <w:rPr>
        <w:rStyle w:val="PageNumber"/>
        <w:noProof/>
      </w:rPr>
      <w:t>9</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7A2" w:rsidRDefault="002077A2">
      <w:pPr>
        <w:spacing w:line="240" w:lineRule="auto"/>
      </w:pPr>
      <w:r>
        <w:separator/>
      </w:r>
    </w:p>
  </w:footnote>
  <w:footnote w:type="continuationSeparator" w:id="0">
    <w:p w:rsidR="002077A2" w:rsidRDefault="002077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833F9"/>
    <w:rsid w:val="000D0532"/>
    <w:rsid w:val="000F0565"/>
    <w:rsid w:val="000F177F"/>
    <w:rsid w:val="000F696F"/>
    <w:rsid w:val="00105953"/>
    <w:rsid w:val="00113AE4"/>
    <w:rsid w:val="001449C0"/>
    <w:rsid w:val="00145C26"/>
    <w:rsid w:val="001639B1"/>
    <w:rsid w:val="00171BAE"/>
    <w:rsid w:val="001752B4"/>
    <w:rsid w:val="00183F36"/>
    <w:rsid w:val="001A482B"/>
    <w:rsid w:val="001C3939"/>
    <w:rsid w:val="001E0EBF"/>
    <w:rsid w:val="001F1352"/>
    <w:rsid w:val="00200EDA"/>
    <w:rsid w:val="00207370"/>
    <w:rsid w:val="002077A2"/>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D4177"/>
    <w:rsid w:val="003F62E3"/>
    <w:rsid w:val="00405B25"/>
    <w:rsid w:val="00405E77"/>
    <w:rsid w:val="0043263E"/>
    <w:rsid w:val="0045091F"/>
    <w:rsid w:val="00476190"/>
    <w:rsid w:val="00482829"/>
    <w:rsid w:val="004E5EBE"/>
    <w:rsid w:val="004F2E22"/>
    <w:rsid w:val="00505274"/>
    <w:rsid w:val="00510EF6"/>
    <w:rsid w:val="005219B2"/>
    <w:rsid w:val="00531BBB"/>
    <w:rsid w:val="00555F3C"/>
    <w:rsid w:val="005579CA"/>
    <w:rsid w:val="00593A0A"/>
    <w:rsid w:val="00656818"/>
    <w:rsid w:val="006838FD"/>
    <w:rsid w:val="0069172E"/>
    <w:rsid w:val="006C426A"/>
    <w:rsid w:val="006E7AC6"/>
    <w:rsid w:val="00710D61"/>
    <w:rsid w:val="007D450D"/>
    <w:rsid w:val="00800408"/>
    <w:rsid w:val="00815CB8"/>
    <w:rsid w:val="008A370E"/>
    <w:rsid w:val="008B5F8B"/>
    <w:rsid w:val="008C0579"/>
    <w:rsid w:val="008C4AC6"/>
    <w:rsid w:val="008C5BF9"/>
    <w:rsid w:val="008D6D56"/>
    <w:rsid w:val="009073FB"/>
    <w:rsid w:val="009401F7"/>
    <w:rsid w:val="00940B3F"/>
    <w:rsid w:val="0096728E"/>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84F6C"/>
    <w:rsid w:val="00C9636A"/>
    <w:rsid w:val="00CB17DA"/>
    <w:rsid w:val="00CC2E91"/>
    <w:rsid w:val="00CE3194"/>
    <w:rsid w:val="00D00BF8"/>
    <w:rsid w:val="00D04B58"/>
    <w:rsid w:val="00D24523"/>
    <w:rsid w:val="00D42AA6"/>
    <w:rsid w:val="00D516F5"/>
    <w:rsid w:val="00D56B7E"/>
    <w:rsid w:val="00D6008A"/>
    <w:rsid w:val="00DA66F3"/>
    <w:rsid w:val="00DD0F4F"/>
    <w:rsid w:val="00E146D3"/>
    <w:rsid w:val="00E251B2"/>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9087D-1721-4755-BBD0-1CAF1861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3150</TotalTime>
  <Pages>13</Pages>
  <Words>9326</Words>
  <Characters>46635</Characters>
  <Application>Microsoft Office Word</Application>
  <DocSecurity>0</DocSecurity>
  <Lines>388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99</cp:revision>
  <cp:lastPrinted>2013-04-23T08:26:00Z</cp:lastPrinted>
  <dcterms:created xsi:type="dcterms:W3CDTF">2013-04-05T12:49:00Z</dcterms:created>
  <dcterms:modified xsi:type="dcterms:W3CDTF">2013-04-23T11:31:00Z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