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4F2E22" w:rsidP="004F2E22">
            <w:pPr>
              <w:ind w:left="340" w:firstLine="0"/>
              <w:rPr>
                <w:lang w:val="en-US"/>
              </w:rPr>
            </w:pPr>
            <m:oMathPara>
              <m:oMath>
                <m:r>
                  <w:rPr>
                    <w:rFonts w:ascii="Cambria Math" w:hAnsi="Cambria Math"/>
                    <w:lang w:val="en-US"/>
                  </w:rPr>
                  <w:lastRenderedPageBreak/>
                  <m:t>N&lt;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p>
        </w:tc>
      </w:tr>
      <w:tr w:rsidR="004F2E22" w:rsidTr="004F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4F2E22" w:rsidRDefault="004F2E22" w:rsidP="004F2E22">
            <w:pPr>
              <w:ind w:left="340" w:firstLine="0"/>
              <w:rPr>
                <w:lang w:val="en-US"/>
              </w:rPr>
            </w:pPr>
            <m:oMathPara>
              <m:oMath>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&gt;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oMath>
            </m:oMathPara>
          </w:p>
        </w:tc>
        <w:tc>
          <w:tcPr>
            <w:tcW w:w="500" w:type="pct"/>
            <w:tcBorders>
              <w:top w:val="nil"/>
              <w:left w:val="nil"/>
              <w:bottom w:val="nil"/>
              <w:right w:val="nil"/>
            </w:tcBorders>
            <w:vAlign w:val="center"/>
          </w:tcPr>
          <w:p w:rsidR="004F2E22" w:rsidRDefault="004F2E22" w:rsidP="00F95F72">
            <w:pPr>
              <w:keepNext/>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3</w:t>
            </w:r>
            <w:r w:rsidR="00F95F72">
              <w:rPr>
                <w:lang w:val="en-US"/>
              </w:rPr>
              <w:fldChar w:fldCharType="end"/>
            </w:r>
            <w:r>
              <w:rPr>
                <w:lang w:val="en-US"/>
              </w:rPr>
              <w:t>)</w:t>
            </w:r>
          </w:p>
        </w:tc>
      </w:tr>
    </w:tbl>
    <w:p w:rsidR="00B13C26" w:rsidRPr="00B13C26" w:rsidRDefault="00B13C26" w:rsidP="00B13C26">
      <w:pPr>
        <w:ind w:left="340" w:firstLine="0"/>
        <w:rPr>
          <w:lang w:val="en-US"/>
        </w:rPr>
      </w:pPr>
      <w:bookmarkStart w:id="0" w:name="_GoBack"/>
      <w:bookmarkEnd w:id="0"/>
    </w:p>
    <w:sectPr w:rsidR="00B13C26" w:rsidRPr="00B13C26">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762" w:rsidRDefault="006D5762">
      <w:pPr>
        <w:spacing w:line="240" w:lineRule="auto"/>
      </w:pPr>
      <w:r>
        <w:separator/>
      </w:r>
    </w:p>
  </w:endnote>
  <w:endnote w:type="continuationSeparator" w:id="0">
    <w:p w:rsidR="006D5762" w:rsidRDefault="006D5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5F72">
      <w:rPr>
        <w:rStyle w:val="PageNumber"/>
        <w:noProof/>
      </w:rPr>
      <w:t>3</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762" w:rsidRDefault="006D5762">
      <w:pPr>
        <w:spacing w:line="240" w:lineRule="auto"/>
      </w:pPr>
      <w:r>
        <w:separator/>
      </w:r>
    </w:p>
  </w:footnote>
  <w:footnote w:type="continuationSeparator" w:id="0">
    <w:p w:rsidR="006D5762" w:rsidRDefault="006D5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105953"/>
    <w:rsid w:val="00183F36"/>
    <w:rsid w:val="00200EDA"/>
    <w:rsid w:val="00207370"/>
    <w:rsid w:val="002473DC"/>
    <w:rsid w:val="002830F7"/>
    <w:rsid w:val="00291184"/>
    <w:rsid w:val="002A228F"/>
    <w:rsid w:val="00332D67"/>
    <w:rsid w:val="004E5EBE"/>
    <w:rsid w:val="004F2E22"/>
    <w:rsid w:val="00593A0A"/>
    <w:rsid w:val="00656818"/>
    <w:rsid w:val="006838FD"/>
    <w:rsid w:val="006D5762"/>
    <w:rsid w:val="008B5F8B"/>
    <w:rsid w:val="00A46AFF"/>
    <w:rsid w:val="00A8498D"/>
    <w:rsid w:val="00AC5B39"/>
    <w:rsid w:val="00AC64E4"/>
    <w:rsid w:val="00AD6356"/>
    <w:rsid w:val="00B13C26"/>
    <w:rsid w:val="00B24EE5"/>
    <w:rsid w:val="00C02FE0"/>
    <w:rsid w:val="00CE3194"/>
    <w:rsid w:val="00D24523"/>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96D0C-8071-4EE9-A29B-4391D84A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620</TotalTime>
  <Pages>3</Pages>
  <Words>2983</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21</cp:revision>
  <cp:lastPrinted>2001-05-04T18:36:00Z</cp:lastPrinted>
  <dcterms:created xsi:type="dcterms:W3CDTF">2013-04-05T12:49:00Z</dcterms:created>
  <dcterms:modified xsi:type="dcterms:W3CDTF">2013-04-19T05:35:00Z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