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62347C">
        <w:rPr>
          <w:rFonts w:ascii="cmr17" w:hAnsi="cmr17"/>
          <w:noProof/>
          <w:lang w:val="en-US"/>
        </w:rPr>
        <w:t>29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BA5858" w:rsidP="00BA5858">
      <w:pPr>
        <w:rPr>
          <w:lang w:val="en-US"/>
        </w:rPr>
      </w:pPr>
      <w:r w:rsidRPr="00BA5858">
        <w:rPr>
          <w:lang w:val="en-US"/>
        </w:rPr>
        <w:t>The evolution of complex traits, coded by multiple genes, presents an open evolutionary question, first described by Sewall Wright in 1931</w:t>
      </w:r>
      <w:r>
        <w:rPr>
          <w:lang w:val="en-US"/>
        </w:rPr>
        <w:t xml:space="preserve"> </w:t>
      </w:r>
      <w:r>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Pr>
          <w:lang w:val="en-US"/>
        </w:rPr>
        <w:fldChar w:fldCharType="separate"/>
      </w:r>
      <w:r w:rsidRPr="00505274">
        <w:rPr>
          <w:noProof/>
          <w:lang w:val="en-US"/>
        </w:rPr>
        <w:t>[1]</w:t>
      </w:r>
      <w:r>
        <w:rPr>
          <w:lang w:val="en-US"/>
        </w:rPr>
        <w:fldChar w:fldCharType="end"/>
      </w:r>
      <w:r w:rsidRPr="00BA5858">
        <w:rPr>
          <w:lang w:val="en-US"/>
        </w:rPr>
        <w:t>: if different alleles are separately deleterious but jointly advantageous, how can a population evolve from one co-adapted gene complex to a better one?</w:t>
      </w:r>
      <w:r>
        <w:rPr>
          <w:lang w:val="en-US"/>
        </w:rPr>
        <w:t xml:space="preserve"> </w:t>
      </w:r>
      <w:r w:rsidR="008D0702">
        <w:rPr>
          <w:lang w:val="en-US"/>
        </w:rPr>
        <w:t xml:space="preserve">Or, in </w:t>
      </w:r>
      <w:r>
        <w:rPr>
          <w:lang w:val="en-US"/>
        </w:rPr>
        <w:t xml:space="preserve">the </w:t>
      </w:r>
      <w:r w:rsidR="008D0702">
        <w:rPr>
          <w:lang w:val="en-US"/>
        </w:rPr>
        <w:t>terms of fitness landscapes</w:t>
      </w:r>
      <w:r w:rsidR="00450E7D">
        <w:rPr>
          <w:lang w:val="en-US"/>
        </w:rPr>
        <w:t xml:space="preserve"> </w:t>
      </w:r>
      <w:r w:rsidR="00450E7D">
        <w:rPr>
          <w:lang w:val="en-US"/>
        </w:rPr>
        <w:fldChar w:fldCharType="begin" w:fldLock="1"/>
      </w:r>
      <w:r w:rsidR="00195D75">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332D67" w:rsidP="00195D75">
      <w:pPr>
        <w:rPr>
          <w:lang w:val="en-US"/>
        </w:rPr>
      </w:pPr>
      <w:r>
        <w:rPr>
          <w:lang w:val="en-US"/>
        </w:rPr>
        <w:t xml:space="preserve">Wright </w:t>
      </w:r>
      <w:r w:rsidR="00BA5858">
        <w:rPr>
          <w:lang w:val="en-US"/>
        </w:rPr>
        <w:t xml:space="preserve">suggest a solution, </w:t>
      </w:r>
      <w:r>
        <w:rPr>
          <w:lang w:val="en-US"/>
        </w:rPr>
        <w:t xml:space="preserve">called </w:t>
      </w:r>
      <w:r w:rsidR="00C02FE0">
        <w:rPr>
          <w:lang w:val="en-US"/>
        </w:rPr>
        <w:t xml:space="preserve">the </w:t>
      </w:r>
      <w:r>
        <w:rPr>
          <w:lang w:val="en-US"/>
        </w:rPr>
        <w:t>"</w:t>
      </w:r>
      <w:r w:rsidR="00C02FE0">
        <w:rPr>
          <w:lang w:val="en-US"/>
        </w:rPr>
        <w:t>shifting-balance theory</w:t>
      </w:r>
      <w:r w:rsidR="00C77EAF">
        <w:rPr>
          <w:lang w:val="en-US"/>
        </w:rPr>
        <w:t xml:space="preserve"> of evolution</w:t>
      </w:r>
      <w:r w:rsidR="00C02FE0">
        <w:rPr>
          <w:lang w:val="en-US"/>
        </w:rPr>
        <w:t xml:space="preserve">" </w:t>
      </w:r>
      <w:r w:rsidR="00CF2388">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BA5858">
        <w:rPr>
          <w:lang w:val="en-US"/>
        </w:rPr>
        <w:t>, which</w:t>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sidR="00C02FE0">
        <w:rPr>
          <w:lang w:val="en-US"/>
        </w:rPr>
        <w:t xml:space="preserve"> appears to be valid </w:t>
      </w:r>
      <w:r w:rsidR="00C8697D">
        <w:rPr>
          <w:lang w:val="en-US"/>
        </w:rPr>
        <w:fldChar w:fldCharType="begin" w:fldLock="1"/>
      </w:r>
      <w:r w:rsidR="00195D75">
        <w:rPr>
          <w:lang w:val="en-US"/>
        </w:rPr>
        <w:instrText>ADDIN CSL_CITATION { "citationItems" : [ { "id" : "ITEM-1", "itemData" : { "abstract" : "We examine the third phase of Wright's shifting-balance theory of evolution, the ex- portation by migration of favorable gene combinations from a fitter subgroup to the rest of the population. The equations are deterministic and are studied numerically. Most of the models studied involve 2-9 loci in which all intermediates between two extreme genotypes are equally unfit. If the favored combination consists of dominant alleles, it is usually fixed even if the migration rate is two orders of magnitude less than the selection coefficient, and if the combination is recessive, one order. Although Wright thought of migration as being essentially one-way, two-way migration does not significantly alter the results. We conclude that, whatever weaknesses the Wright theory may have, they are not in phase III.", "author" : [ { "dropping-particle" : "", "family" : "Crow", "given" : "James F.", "non-dropping-particle" : "", "parse-names" : false, "suffix" : "" }, { "dropping-particle" : "", "family" : "Engels", "given" : "W. R.", "non-dropping-particle" : "", "parse-names" : false, "suffix" : "" }, { "dropping-particle" : "", "family" : "Denniston", "given" : "C.", "non-dropping-particle" : "", "parse-names" : false, "suffix" : "" } ], "container-title" : "Evolution", "id" : "ITEM-1", "issue" : "2", "issued" : { "date-parts" : [ [ "1990" ] ] }, "page" : "233-247", "title" : "Phase Three of Wright's Shifting-Balance Theory", "type" : "article-journal", "volume" : "44" }, "uris" : [ "http://www.mendeley.com/documents/?uuid=eb0ad4d7-6c96-4e8e-988e-fd0c6e6d3d95" ] }, { "id" : "ITEM-2", "itemData" : { "DOI" : "10.1126/science.1887214", "abstract" : "Experimental confirmation of Wright's shifting balance theory of evolution, one of the most comprehensive theories of adaptive evolution, is presented. The theory is regarded by many as a cornerstone of modern evolutionary thought, but there has been little direct empirical evidence supporting it. Some of its underlying assumptions are viewed as contradictory, and the existence and efficacy of the theory's fundamental adaptive process, interdemic selection, is the focus of controversy. Interdemic selection was imposed on large arrays of laboratory populations of the flour beetle Tribolium castaneum in the manner described by Wright: the differential dispersion of individuals from demes of high fitness into demes of low fitness. A significant increase in average fitness was observed in the experimental arrays when compared to control populations with equivalent but random migration rates. The response was not proportional to the selection differential: The largest response occurred with interdemic selection every two generations rather than every generation or every three generations. The results indicate that the interdemic phase of Wright's shifting balance theory can increase average fitness and suggest that gene interactions are involved in the observed response.", "author" : [ { "dropping-particle" : "", "family" : "Wade", "given" : "M.", "non-dropping-particle" : "", "parse-names" : false, "suffix" : "" }, { "dropping-particle" : "", "family" : "Goodnight", "given" : "C.", "non-dropping-particle" : "", "parse-names" : false, "suffix" : "" } ], "container-title" : "Science", "id" : "ITEM-2", "issue" : "5023", "issued" : { "date-parts" : [ [ "1991", "8", "30" ] ] }, "page" : "1015-1018", "title" : "Wright's shifting balance theory: an experimental study", "type" : "article-journal", "volume" : "253" }, "uris" : [ "http://www.mendeley.com/documents/?uuid=d725fa05-85e6-495e-ae07-6b39be7ad80d" ] }, { "id" : "ITEM-3", "itemData" : { "author" : [ { "dropping-particle" : "", "family" : "Peck", "given" : "S L", "non-dropping-particle" : "", "parse-names" : false, "suffix" : "" }, { "dropping-particle" : "", "family" : "Ellner", "given" : "S P", "non-dropping-particle" : "", "parse-names" : false, "suffix" : "" }, { "dropping-particle" : "", "family" : "Gould", "given" : "F", "non-dropping-particle" : "", "parse-names" : false, "suffix" : "" } ], "container-title" : "Evolution; international journal of organic evolution", "id" : "ITEM-3", "issue" : "1", "issued" : { "date-parts" : [ [ "2000", "2" ] ] }, "page" : "324-7", "title" : "Varying migration and deme size and the feasibility of the shifting balance.", "type" : "article-journal", "volume" : "54" }, "uris" : [ "http://www.mendeley.com/documents/?uuid=fbf15705-5450-4334-a9ad-0af20e58365f" ] } ], "mendeley" : { "previouslyFormattedCitation" : "[4\u20136]" }, "properties" : { "noteIndex" : 0 }, "schema" : "https://github.com/citation-style-language/schema/raw/master/csl-citation.json" }</w:instrText>
      </w:r>
      <w:r w:rsidR="00C8697D">
        <w:rPr>
          <w:lang w:val="en-US"/>
        </w:rPr>
        <w:fldChar w:fldCharType="separate"/>
      </w:r>
      <w:r w:rsidR="00195D75" w:rsidRPr="00195D75">
        <w:rPr>
          <w:noProof/>
          <w:lang w:val="en-US"/>
        </w:rPr>
        <w:t>[4</w:t>
      </w:r>
      <w:r w:rsidR="00195D75" w:rsidRPr="00195D75">
        <w:rPr>
          <w:rFonts w:ascii="Arial" w:hAnsi="Arial" w:cs="Arial"/>
          <w:noProof/>
          <w:lang w:val="en-US"/>
        </w:rPr>
        <w:t>–</w:t>
      </w:r>
      <w:r w:rsidR="00195D75" w:rsidRPr="00195D75">
        <w:rPr>
          <w:noProof/>
          <w:lang w:val="en-US"/>
        </w:rPr>
        <w:t>6]</w:t>
      </w:r>
      <w:r w:rsidR="00C8697D">
        <w:rPr>
          <w:lang w:val="en-US"/>
        </w:rPr>
        <w:fldChar w:fldCharType="end"/>
      </w:r>
      <w:r w:rsidR="00C02FE0">
        <w:rPr>
          <w:lang w:val="en-US"/>
        </w:rPr>
        <w:t xml:space="preserve"> but it seems that the range of parameters for which it works is limited</w:t>
      </w:r>
      <w:r w:rsidR="00C8697D">
        <w:rPr>
          <w:lang w:val="en-US"/>
        </w:rPr>
        <w:t xml:space="preserve"> </w:t>
      </w:r>
      <w:r w:rsidR="00C8697D">
        <w:rPr>
          <w:lang w:val="en-US"/>
        </w:rPr>
        <w:fldChar w:fldCharType="begin" w:fldLock="1"/>
      </w:r>
      <w:r w:rsidR="00195D75">
        <w:rPr>
          <w:lang w:val="en-US"/>
        </w:rPr>
        <w:instrText>ADDIN CSL_CITATION { "citationItems" : [ { "id" : "ITEM-1", "itemData" : { "abstract" : "Wright partitioned the shifting-balance process into three phases. Phase one is the shift of a deme within a population to the domain of a higher adaptive peak from that of the historical peak. Phase two is mass selection within a deme towards that higher peak. Phase three is the conversion of additional demes to the higher peak. The migration rate between demes is critical for the existence of phases one and three. Phase one requires small effective population sizes, hence low migration rates. Phase three is optimal under high migration rates that spread the most-fit genotype from deme to deme. Thus, a population-wide peak shift requires intermediate levels of migration. By altering the rates of phases one and three, migration affects the predominant direction of mass selection within a population. This study examines the degree to which migration, through its effects on phases one and three, determines the probability of a simulated population arriving at its genotypic optimum after 12,000 generations. These simulations reveal that there is a range of migration rates for which an entire population might be expected to shift to a higher peak. Below m = 0.001 peak shifts occur frequently (phases I and II) but are not successfully exported out of subpopulations (phase III), and above 0.01 peak shifts within demes (phase I and II), required to initiate phase III, become increasingly uncommon. Because it is unlikely that real populations will have uniform migration rates from generation to generation, the probable effects of varying migration rates on broadening the range of conditions producing peak shifts are discussed.", "author" : [ { "dropping-particle" : "", "family" : "Moore", "given" : "F B G", "non-dropping-particle" : "", "parse-names" : false, "suffix" : "" }, { "dropping-particle" : "", "family" : "Tonsor", "given" : "S J", "non-dropping-particle" : "", "parse-names" : false, "suffix" : "" } ], "container-title" : "Evolution", "id" : "ITEM-1", "issue" : "1", "issued" : { "date-parts" : [ [ "1994" ] ] }, "page" : "69-80", "title" : "A Simulation of Wright Shifting-Balance Process - Migration and the Three Phases", "type" : "article-journal", "volume" : "48" }, "uris" : [ "http://www.mendeley.com/documents/?uuid=d50f1f34-1629-47dd-babe-470839754b68" ] }, { "id" : "ITEM-2", "itemData" : { "DOI" : "10.2307/2410644", "abstract" : "A common conclusion in several recent publications devoted to the deterministic analysis of the third phase of Wright's shifting-balance theory is that under reasonable conditions phase three should proceed easily. I argue that the mathematical equations analyzed in these papers do not correspond to the biological situation they were meant to describe. I present a more appropriate study of the third base of the shifting balance. My results show that the third phase can proceed only under much more restricted conditions than the previous studies suggested. Migration should be neither too strong not too weak relative to selection. The higher peak should be sufficiently dominant over the lower peak. Recombination can greatly reduce the plausibility of this phase or completely preclude peak shifts. A very important determinant of the ultimate outcome of the competition between different peaks is the topological structure of the network of demes. Peak shifts in two-dimensional networks of demes are more difficult than in one-dimensional networks. Phase three can be accomplished easiest if it is initialed in one of the peripheral demes.", "author" : [ { "dropping-particle" : "", "family" : "Gavrilets", "given" : "S", "non-dropping-particle" : "", "parse-names" : false, "suffix" : "" } ], "container-title" : "Evolution", "id" : "ITEM-2", "issue" : "3", "issued" : { "date-parts" : [ [ "1996" ] ] }, "page" : "1034-1041", "publisher" : "JSTOR", "title" : "On phase three of the shifting-balance theory", "type" : "article-journal", "volume" : "50" }, "uris" : [ "http://www.mendeley.com/documents/?uuid=2a4576a3-7857-4468-9c6f-9de873a47a7c" ] }, { "id" : "ITEM-3", "itemData" : { "abstract" : "In highly integrated genetic systems, changes in any one component may have a deleterious effect on fitness, but coordinated, or compensatory, change in these components could lead to an overall increase in fitness compared with the current state. Wright designed his shifting-balance theory to account for evolutionary change in such systems, since natural selection alone can not lead to the new optimal state. A largely untreated aspect of the shifting-balance theory, that of the limiting impact of waiting for the production of new mutations, is analysed here. It is shown that the average time to double fixation of compensatory mutations is extremely long (of the order of tens or hundreds of thousands of generations), because selection is too effective in large populations, and mutations are too rare in small populations. Further, the probability that a new mutant will arise and undergo fixation quickly is extremely small. Tight linkage can reduce the time to fixation somewhat, but only in models in which the double heterozygote does not have reduced fitness. It is argued that the only reasonable way for compensatory mutations to become fixed in a population is if the new mutants are first allowed to achieve a moderate frequency through the relaxation of selection. Under these conditions, the time required to reach fixation is reasonably low, although the probability of being fixed is still small when the initial allele frequencies are low. It is likely that the waiting time for fixation of new mutants, which is here called phase zero, is the major limiting factor for the success of the shifting-balance process.", "author" : [ { "dropping-particle" : "", "family" : "Phillips", "given" : "P C", "non-dropping-particle" : "", "parse-names" : false, "suffix" : "" } ], "container-title" : "Genetical Research", "id" : "ITEM-3", "issue" : "3", "issued" : { "date-parts" : [ [ "1996" ] ] }, "page" : "271-283", "publisher" : "Cambridge Univ Press", "title" : "Waiting for a compensatory mutation: phase zero of the shifting-balance process.", "type" : "article-journal", "volume" : "67" }, "uris" : [ "http://www.mendeley.com/documents/?uuid=22ae0d8b-0799-4e25-b661-85ddd23ab7e9" ] }, { "id" : "ITEM-4", "itemData" : { "DOI" : "10.2307/2411143",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"ITEM-4", "issue" : "3", "issued" : { "date-parts" : [ [ "1997", "6" ] ] }, "page" : "643", "title" : "Perspective: A Critique of Sewall Wright's Shifting Balance Theory of Evolution", "type" : "article-journal", "volume" : "51" }, "uris" : [ "http://www.mendeley.com/documents/?uuid=ed308e8f-d324-47f3-b0e3-e31e77847a3d" ] } ], "mendeley" : { "previouslyFormattedCitation" : "[7\u201310]" }, "properties" : { "noteIndex" : 0 }, "schema" : "https://github.com/citation-style-language/schema/raw/master/csl-citation.json" }</w:instrText>
      </w:r>
      <w:r w:rsidR="00C8697D">
        <w:rPr>
          <w:lang w:val="en-US"/>
        </w:rPr>
        <w:fldChar w:fldCharType="separate"/>
      </w:r>
      <w:r w:rsidR="00195D75" w:rsidRPr="00195D75">
        <w:rPr>
          <w:noProof/>
          <w:lang w:val="en-US"/>
        </w:rPr>
        <w:t>[7</w:t>
      </w:r>
      <w:r w:rsidR="00195D75" w:rsidRPr="00195D75">
        <w:rPr>
          <w:rFonts w:ascii="Arial" w:hAnsi="Arial" w:cs="Arial"/>
          <w:noProof/>
          <w:lang w:val="en-US"/>
        </w:rPr>
        <w:t>–</w:t>
      </w:r>
      <w:r w:rsidR="00195D75" w:rsidRPr="00195D75">
        <w:rPr>
          <w:noProof/>
          <w:lang w:val="en-US"/>
        </w:rPr>
        <w:t>10]</w:t>
      </w:r>
      <w:r w:rsidR="00C8697D">
        <w:rPr>
          <w:lang w:val="en-US"/>
        </w:rPr>
        <w:fldChar w:fldCharType="end"/>
      </w:r>
      <w:r w:rsidR="00BA5858">
        <w:rPr>
          <w:lang w:val="en-US"/>
        </w:rPr>
        <w:t xml:space="preserve">. As a result, there </w:t>
      </w:r>
      <w:r w:rsidR="00BA5858">
        <w:rPr>
          <w:lang w:val="en-US"/>
        </w:rPr>
        <w:lastRenderedPageBreak/>
        <w:t xml:space="preserve">is a disagreement if the "shifting-balance theory" is an important process in evolution </w:t>
      </w:r>
      <w:r w:rsidR="00C97081">
        <w:rPr>
          <w:lang w:val="en-US"/>
        </w:rPr>
        <w:fldChar w:fldCharType="begin" w:fldLock="1"/>
      </w:r>
      <w:r w:rsidR="00195D75">
        <w:rPr>
          <w:lang w:val="en-US"/>
        </w:rPr>
        <w:instrText>ADDIN CSL_CITATION { "citationItems" : [ { "id" : "ITEM-1", "itemData" : { "DOI" : "10.1111/j.0014-3820.2000.tb00033.x",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"ITEM-1", "issue" : "1", "issued" : { "date-parts" : [ [ "2000", "2" ] ] }, "page" : "306-317", "title" : "IS WRIGHT'S SHIFTING BALANCE PROCESS IMPORTANT IN EVOLUTION?", "type" : "article-journal", "volume" : "54" }, "uris" : [ "http://www.mendeley.com/documents/?uuid=bfc90c03-d5e0-414d-a8c7-d6840ae8d2fd" ] }, { "id" : "ITEM-2", "itemData" : { "abstract" : "Coyne et al. are trying to bury the corpse of the SBT. Why its enduring attraction? First, Wright's metaphor of evolution on an adaptive landscape is one of the most compelling in evolutionary biology. Seemingly, it reduces a complex set of interacting forces to a simple graphical form. However, multidimensional landscapes are likely to be quite complicated and to possess emergent properties not easily represented in simple diagrams. For instance, adaptive peaks in two dimensions might be spanned by ridges of higher fitness in other dimensions, therefore, not requiring drift for evolution on a rugged landscape15 and 16. Second, the SBT directly confronts the evolution of complexity. The basic mechanisms of biological systems suggest that they are composed of complexes of interacting components whose individual roles seem crucial to the successful functioning of the whole. Complexity in, and of, itself does not necessitate a shifting-balance process; components can be added to complex systems independently, as long as they exhibit some initial advantageous function. It is also possible that many parts of existing systems are stuck at local optima as Wright envisioned, but that overall evolutionary change does not cease because there is nearly always some dimension in which the system as a whole can improve 1. Third, the SBT is the most synthetic theory of evolutionary change ever formulated. Of the major forces on evolution, only mutation does not play a central and determinative role in Wright's account of the theory 17, although it is included in the equilibrium solutions. The SBT is a powerful pedagogical tool because it forces one to appreciate the potential importance of the balance and tradeoffs among evolutionary forces.", "author" : [ { "dropping-particle" : "", "family" : "Whitlock", "given" : "Michael C.", "non-dropping-particle" : "", "parse-names" : false, "suffix" : "" }, { "dropping-particle" : "", "family" : "Phillips", "given" : "P C", "non-dropping-particle" : "", "parse-names" : false, "suffix" : "" } ], "container-title" : "Trends in Ecology and Evolution", "id" : "ITEM-2", "issue" : "9", "issued" : { "date-parts" : [ [ "2000" ] ] }, "page" : "347-348", "title" : "The exquisite corpse: a shifting view of the shifting balance", "type" : "article-journal", "volume" : "15" }, "uris" : [ "http://www.mendeley.com/documents/?uuid=b48f5779-e3ce-4778-a096-b532180cbb17" ] } ], "mendeley" : { "previouslyFormattedCitation" : "[11, 12]" }, "properties" : { "noteIndex" : 0 }, "schema" : "https://github.com/citation-style-language/schema/raw/master/csl-citation.json" }</w:instrText>
      </w:r>
      <w:r w:rsidR="00C97081">
        <w:rPr>
          <w:lang w:val="en-US"/>
        </w:rPr>
        <w:fldChar w:fldCharType="separate"/>
      </w:r>
      <w:r w:rsidR="00195D75" w:rsidRPr="00195D75">
        <w:rPr>
          <w:noProof/>
          <w:lang w:val="en-US"/>
        </w:rPr>
        <w:t>[11, 12]</w:t>
      </w:r>
      <w:r w:rsidR="00C97081">
        <w:rPr>
          <w:lang w:val="en-US"/>
        </w:rPr>
        <w:fldChar w:fldCharType="end"/>
      </w:r>
      <w:r w:rsidR="00C97081">
        <w:rPr>
          <w:lang w:val="en-US"/>
        </w:rPr>
        <w:t>.</w:t>
      </w:r>
    </w:p>
    <w:p w:rsidR="002473DC" w:rsidRDefault="00B65BE1" w:rsidP="00B65BE1">
      <w:pPr>
        <w:rPr>
          <w:lang w:val="en-US"/>
        </w:rPr>
      </w:pPr>
      <w:r>
        <w:rPr>
          <w:lang w:val="en-US"/>
        </w:rPr>
        <w:t>M</w:t>
      </w:r>
      <w:r w:rsidR="00E91107">
        <w:rPr>
          <w:lang w:val="en-US"/>
        </w:rPr>
        <w:t xml:space="preserve">utation is </w:t>
      </w:r>
      <w:r>
        <w:rPr>
          <w:lang w:val="en-US"/>
        </w:rPr>
        <w:t xml:space="preserve">major factor </w:t>
      </w:r>
      <w:r w:rsidR="00C97081">
        <w:rPr>
          <w:lang w:val="en-US"/>
        </w:rPr>
        <w:t>process</w:t>
      </w:r>
      <w:r>
        <w:rPr>
          <w:lang w:val="en-US"/>
        </w:rPr>
        <w:t xml:space="preserve"> of the adaptation process </w:t>
      </w:r>
      <w:r w:rsidR="00CF5FF4">
        <w:rPr>
          <w:lang w:val="en-US"/>
        </w:rPr>
        <w:t>- i</w:t>
      </w:r>
      <w:r w:rsidR="00E91107">
        <w:rPr>
          <w:lang w:val="en-US"/>
        </w:rPr>
        <w:t xml:space="preserve">t </w:t>
      </w:r>
      <w:r w:rsidR="00CF5FF4">
        <w:rPr>
          <w:lang w:val="en-US"/>
        </w:rPr>
        <w:t>generates</w:t>
      </w:r>
      <w:r w:rsidR="00E91107">
        <w:rPr>
          <w:lang w:val="en-US"/>
        </w:rPr>
        <w:t xml:space="preserve"> </w:t>
      </w:r>
      <w:r w:rsidR="00CF5FF4">
        <w:rPr>
          <w:lang w:val="en-US"/>
        </w:rPr>
        <w:t>new allele combinations</w:t>
      </w:r>
      <w:r w:rsidR="00E91107">
        <w:rPr>
          <w:lang w:val="en-US"/>
        </w:rPr>
        <w:t xml:space="preserve"> which </w:t>
      </w:r>
      <w:r w:rsidR="00CF5FF4">
        <w:rPr>
          <w:lang w:val="en-US"/>
        </w:rPr>
        <w:t>can then spread in the population</w:t>
      </w:r>
      <w:r w:rsidR="00E91107">
        <w:rPr>
          <w:lang w:val="en-US"/>
        </w:rPr>
        <w:t xml:space="preserve">. </w:t>
      </w:r>
      <w:r w:rsidR="00CF5FF4">
        <w:rPr>
          <w:lang w:val="en-US"/>
        </w:rPr>
        <w:t xml:space="preserve">Of course, generation of </w:t>
      </w:r>
      <w:r w:rsidR="00E91107">
        <w:rPr>
          <w:lang w:val="en-US"/>
        </w:rPr>
        <w:t xml:space="preserve">new favorable alleles </w:t>
      </w:r>
      <w:r w:rsidR="00CF5FF4">
        <w:rPr>
          <w:lang w:val="en-US"/>
        </w:rPr>
        <w:t xml:space="preserve">is not </w:t>
      </w:r>
      <w:r w:rsidR="00E91107">
        <w:rPr>
          <w:lang w:val="en-US"/>
        </w:rPr>
        <w:t>the only effect of mutation</w:t>
      </w:r>
      <w:r w:rsidR="00CF5FF4">
        <w:rPr>
          <w:lang w:val="en-US"/>
        </w:rPr>
        <w:t xml:space="preserve"> and deleterious </w:t>
      </w:r>
      <w:r w:rsidR="00E91107">
        <w:rPr>
          <w:lang w:val="en-US"/>
        </w:rPr>
        <w:t xml:space="preserve">mutations are </w:t>
      </w:r>
      <w:r w:rsidR="00CF5FF4">
        <w:rPr>
          <w:lang w:val="en-US"/>
        </w:rPr>
        <w:t xml:space="preserve">much more frequent. Thus, natural selection reduces the </w:t>
      </w:r>
      <w:r w:rsidR="00E91107">
        <w:rPr>
          <w:lang w:val="en-US"/>
        </w:rPr>
        <w:t xml:space="preserve">mutation rate to </w:t>
      </w:r>
      <w:r w:rsidR="00CF5FF4">
        <w:rPr>
          <w:lang w:val="en-US"/>
        </w:rPr>
        <w:t xml:space="preserve">its </w:t>
      </w:r>
      <w:r w:rsidR="00E91107">
        <w:rPr>
          <w:lang w:val="en-US"/>
        </w:rPr>
        <w:t>low</w:t>
      </w:r>
      <w:r w:rsidR="00CF5FF4">
        <w:rPr>
          <w:lang w:val="en-US"/>
        </w:rPr>
        <w:t>est</w:t>
      </w:r>
      <w:r w:rsidR="00E91107">
        <w:rPr>
          <w:lang w:val="en-US"/>
        </w:rPr>
        <w:t xml:space="preserve"> </w:t>
      </w:r>
      <w:r w:rsidR="00CF5FF4">
        <w:rPr>
          <w:lang w:val="en-US"/>
        </w:rPr>
        <w:t xml:space="preserve">possible limit </w:t>
      </w:r>
      <w:r w:rsidR="00E91107">
        <w:rPr>
          <w:lang w:val="en-US"/>
        </w:rPr>
        <w:fldChar w:fldCharType="begin" w:fldLock="1"/>
      </w:r>
      <w:r w:rsidR="00195D75">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"[13, 14]" }, "properties" : { "noteIndex" : 0 }, "schema" : "https://github.com/citation-style-language/schema/raw/master/csl-citation.json" }</w:instrText>
      </w:r>
      <w:r w:rsidR="00E91107">
        <w:rPr>
          <w:lang w:val="en-US"/>
        </w:rPr>
        <w:fldChar w:fldCharType="separate"/>
      </w:r>
      <w:r w:rsidR="00195D75" w:rsidRPr="00195D75">
        <w:rPr>
          <w:noProof/>
          <w:lang w:val="en-US"/>
        </w:rPr>
        <w:t>[13, 14]</w:t>
      </w:r>
      <w:r w:rsidR="00E91107">
        <w:rPr>
          <w:lang w:val="en-US"/>
        </w:rPr>
        <w:fldChar w:fldCharType="end"/>
      </w:r>
      <w:r w:rsidR="00E91107">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sidR="00CF5FF4">
        <w:rPr>
          <w:lang w:val="en-US"/>
        </w:rPr>
        <w:fldChar w:fldCharType="separate"/>
      </w:r>
      <w:r w:rsidR="00195D75" w:rsidRPr="00195D75">
        <w:rPr>
          <w:noProof/>
          <w:lang w:val="en-US"/>
        </w:rPr>
        <w:t>[15]</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195D75">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"[16\u201318]" }, "properties" : { "noteIndex" : 0 }, "schema" : "https://github.com/citation-style-language/schema/raw/master/csl-citation.json" }</w:instrText>
      </w:r>
      <w:r>
        <w:rPr>
          <w:lang w:val="en-US"/>
        </w:rPr>
        <w:fldChar w:fldCharType="separate"/>
      </w:r>
      <w:r w:rsidR="00195D75" w:rsidRPr="00195D75">
        <w:rPr>
          <w:noProof/>
          <w:lang w:val="en-US"/>
        </w:rPr>
        <w:t>[16</w:t>
      </w:r>
      <w:r w:rsidR="00195D75" w:rsidRPr="00195D75">
        <w:rPr>
          <w:rFonts w:ascii="Arial" w:hAnsi="Arial" w:cs="Arial"/>
          <w:noProof/>
          <w:lang w:val="en-US"/>
        </w:rPr>
        <w:t>–</w:t>
      </w:r>
      <w:r w:rsidR="00195D75" w:rsidRPr="00195D75">
        <w:rPr>
          <w:noProof/>
          <w:lang w:val="en-US"/>
        </w:rPr>
        <w:t>18]</w:t>
      </w:r>
      <w:r>
        <w:rPr>
          <w:lang w:val="en-US"/>
        </w:rPr>
        <w:fldChar w:fldCharType="end"/>
      </w:r>
      <w:r w:rsidR="002473DC">
        <w:rPr>
          <w:lang w:val="en-US"/>
        </w:rPr>
        <w:t>.</w:t>
      </w:r>
    </w:p>
    <w:p w:rsidR="00FF7440" w:rsidRDefault="002473DC" w:rsidP="00024B7B">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r w:rsidR="002D7B85">
        <w:rPr>
          <w:lang w:val="en-US"/>
        </w:rPr>
        <w:t xml:space="preserve"> </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proofErr w:type="spellStart"/>
      <w:r>
        <w:rPr>
          <w:i/>
          <w:iCs/>
          <w:lang w:val="en-US"/>
        </w:rPr>
        <w:t>ab</w:t>
      </w:r>
      <w:proofErr w:type="spellEnd"/>
      <w:r>
        <w:rPr>
          <w:lang w:val="en-US"/>
        </w:rPr>
        <w:t xml:space="preserve"> is the </w:t>
      </w:r>
      <w:proofErr w:type="spellStart"/>
      <w:r w:rsidR="00175BA1">
        <w:rPr>
          <w:lang w:val="en-US"/>
        </w:rPr>
        <w:t>wildtype</w:t>
      </w:r>
      <w:proofErr w:type="spellEnd"/>
      <w:r w:rsidR="00175BA1">
        <w:rPr>
          <w:lang w:val="en-US"/>
        </w:rPr>
        <w:t xml:space="preserve"> </w:t>
      </w:r>
      <w:r>
        <w:rPr>
          <w:lang w:val="en-US"/>
        </w:rPr>
        <w:t xml:space="preserve">with a fitness value of </w:t>
      </w:r>
      <w:r w:rsidRPr="00175BA1">
        <w:rPr>
          <w:i/>
          <w:iCs/>
          <w:lang w:val="en-US"/>
        </w:rPr>
        <w:t>1</w:t>
      </w:r>
      <w:r>
        <w:rPr>
          <w:lang w:val="en-US"/>
        </w:rPr>
        <w:t>,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proofErr w:type="gramStart"/>
      <w:r>
        <w:rPr>
          <w:i/>
          <w:iCs/>
          <w:lang w:val="en-US"/>
        </w:rPr>
        <w:t>)</w:t>
      </w:r>
      <w:r>
        <w:rPr>
          <w:i/>
          <w:iCs/>
          <w:vertAlign w:val="superscript"/>
          <w:lang w:val="en-US"/>
        </w:rPr>
        <w:t>m</w:t>
      </w:r>
      <w:proofErr w:type="gramEnd"/>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 xml:space="preserve">and </w:t>
      </w:r>
      <w:proofErr w:type="gramStart"/>
      <w:r w:rsidR="00757A15">
        <w:rPr>
          <w:lang w:val="en-US"/>
        </w:rPr>
        <w:t>a fitness</w:t>
      </w:r>
      <w:proofErr w:type="gramEnd"/>
      <w:r w:rsidR="00757A15">
        <w:rPr>
          <w:lang w:val="en-US"/>
        </w:rPr>
        <w:t xml:space="preserve">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individuals</w:t>
      </w:r>
      <w:r w:rsidR="00757A15">
        <w:rPr>
          <w:lang w:val="en-US"/>
        </w:rPr>
        <w:t xml:space="preserve"> </w:t>
      </w:r>
      <w:proofErr w:type="gramStart"/>
      <w:r w:rsidR="00757A15">
        <w:rPr>
          <w:lang w:val="en-US"/>
        </w:rPr>
        <w:t xml:space="preserve">is </w:t>
      </w:r>
      <w:proofErr w:type="gramEnd"/>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proofErr w:type="gramStart"/>
      <w:r w:rsidR="006D6095">
        <w:rPr>
          <w:i/>
          <w:iCs/>
        </w:rPr>
        <w:t>)</w:t>
      </w:r>
      <w:r w:rsidR="006D6095" w:rsidRPr="006D6095">
        <w:rPr>
          <w:i/>
          <w:iCs/>
          <w:vertAlign w:val="superscript"/>
        </w:rPr>
        <w:t>2</w:t>
      </w:r>
      <w:proofErr w:type="gramEnd"/>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proofErr w:type="spellStart"/>
      <w:r w:rsidR="006D6095">
        <w:t>wildtype</w:t>
      </w:r>
      <w:proofErr w:type="spellEnd"/>
      <w:r w:rsidR="006D6095">
        <w:t xml:space="preserve"> </w:t>
      </w:r>
      <w:proofErr w:type="spellStart"/>
      <w:r>
        <w:rPr>
          <w:i/>
          <w:iCs/>
        </w:rPr>
        <w:t>ab</w:t>
      </w:r>
      <w:proofErr w:type="spellEnd"/>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2A5FAA63" wp14:editId="33186B1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4AD00926" wp14:editId="29FBC375">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w:t>
      </w:r>
      <w:proofErr w:type="gramStart"/>
      <w:r w:rsidR="006D6095">
        <w:rPr>
          <w:b w:val="0"/>
          <w:bCs w:val="0"/>
        </w:rPr>
        <w:t>represent</w:t>
      </w:r>
      <w:proofErr w:type="gramEnd"/>
      <w:r w:rsidR="006D6095">
        <w:rPr>
          <w:b w:val="0"/>
          <w:bCs w:val="0"/>
        </w:rPr>
        <w:t xml:space="preserve"> a specific genotype. Node labels specify the </w:t>
      </w:r>
      <w:r>
        <w:rPr>
          <w:b w:val="0"/>
          <w:bCs w:val="0"/>
        </w:rPr>
        <w:t xml:space="preserve">alleles at the </w:t>
      </w:r>
      <w:r>
        <w:rPr>
          <w:b w:val="0"/>
          <w:bCs w:val="0"/>
          <w:i/>
          <w:iCs/>
        </w:rPr>
        <w:t>A/</w:t>
      </w:r>
      <w:proofErr w:type="gramStart"/>
      <w:r w:rsidRPr="00317C1F">
        <w:rPr>
          <w:b w:val="0"/>
          <w:bCs w:val="0"/>
        </w:rPr>
        <w:t>a</w:t>
      </w:r>
      <w:r>
        <w:rPr>
          <w:b w:val="0"/>
          <w:bCs w:val="0"/>
        </w:rPr>
        <w:t xml:space="preserve"> and</w:t>
      </w:r>
      <w:proofErr w:type="gramEnd"/>
      <w:r>
        <w:rPr>
          <w:b w:val="0"/>
          <w:bCs w:val="0"/>
        </w:rPr>
        <w:t xml:space="preserve">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w:t>
      </w:r>
      <w:proofErr w:type="spellStart"/>
      <w:r>
        <w:rPr>
          <w:lang w:val="en-US"/>
        </w:rPr>
        <w:t>mutatns</w:t>
      </w:r>
      <w:proofErr w:type="spellEnd"/>
      <w:r>
        <w:rPr>
          <w:lang w:val="en-US"/>
        </w:rPr>
        <w:t xml:space="preserve"> must be generated by a double mutation</w:t>
      </w:r>
      <w:r w:rsidR="003C4D79">
        <w:rPr>
          <w:lang w:val="en-US"/>
        </w:rPr>
        <w:t xml:space="preserve"> in a </w:t>
      </w:r>
      <w:proofErr w:type="spellStart"/>
      <w:r w:rsidR="003C4D79">
        <w:rPr>
          <w:lang w:val="en-US"/>
        </w:rPr>
        <w:t>wild</w:t>
      </w:r>
      <w:r w:rsidR="00AC64E4">
        <w:rPr>
          <w:lang w:val="en-US"/>
        </w:rPr>
        <w:t>type</w:t>
      </w:r>
      <w:proofErr w:type="spellEnd"/>
      <w:r w:rsidR="00AC64E4">
        <w:rPr>
          <w:lang w:val="en-US"/>
        </w:rPr>
        <w:t xml:space="preserv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69424B"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4"/>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195D75">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"[19, 20]" }, "properties" : { "noteIndex" : 0 }, "schema" : "https://github.com/citation-style-language/schema/raw/master/csl-citation.json" }</w:instrText>
      </w:r>
      <w:r w:rsidR="00324A58">
        <w:rPr>
          <w:lang w:val="en-US"/>
        </w:rPr>
        <w:fldChar w:fldCharType="separate"/>
      </w:r>
      <w:r w:rsidR="00195D75" w:rsidRPr="00195D75">
        <w:rPr>
          <w:noProof/>
          <w:lang w:val="en-US"/>
        </w:rPr>
        <w:t>[19, 20]</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"[21, 22]" }, "properties" : { "noteIndex" : 0 }, "schema" : "https://github.com/citation-style-language/schema/raw/master/csl-citation.json" }</w:instrText>
      </w:r>
      <w:r w:rsidRPr="001A482B">
        <w:rPr>
          <w:lang w:val="en-US"/>
        </w:rPr>
        <w:fldChar w:fldCharType="separate"/>
      </w:r>
      <w:r w:rsidR="00195D75" w:rsidRPr="00195D75">
        <w:rPr>
          <w:noProof/>
          <w:lang w:val="en-US"/>
        </w:rPr>
        <w:t>[21, 22]</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195D75">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"[20]" }, "properties" : { "noteIndex" : 0 }, "schema" : "https://github.com/citation-style-language/schema/raw/master/csl-citation.json" }</w:instrText>
      </w:r>
      <w:r w:rsidRPr="001A482B">
        <w:rPr>
          <w:rFonts w:cstheme="majorBidi"/>
          <w:lang w:val="en-US"/>
        </w:rPr>
        <w:fldChar w:fldCharType="separate"/>
      </w:r>
      <w:r w:rsidR="00195D75" w:rsidRPr="00195D75">
        <w:rPr>
          <w:rFonts w:cstheme="majorBidi"/>
          <w:noProof/>
          <w:lang w:val="en-US"/>
        </w:rPr>
        <w:t>[20]</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5F3FF6">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t>
      </w:r>
      <w:proofErr w:type="spellStart"/>
      <w:r w:rsidR="000564F3">
        <w:rPr>
          <w:lang w:val="en-US"/>
        </w:rPr>
        <w:t>wildtype</w:t>
      </w:r>
      <w:proofErr w:type="spellEnd"/>
      <w:r w:rsidR="000564F3">
        <w:rPr>
          <w:lang w:val="en-US"/>
        </w:rPr>
        <w:t xml:space="preserve"> individual (</w:t>
      </w:r>
      <w:proofErr w:type="spellStart"/>
      <w:r w:rsidR="000564F3">
        <w:rPr>
          <w:i/>
          <w:iCs/>
          <w:lang w:val="en-US"/>
        </w:rPr>
        <w:t>ab</w:t>
      </w:r>
      <w:proofErr w:type="spellEnd"/>
      <w:r w:rsidR="000564F3">
        <w:rPr>
          <w:lang w:val="en-US"/>
        </w:rPr>
        <w:t>) or via a single mutation in a single mutant (</w:t>
      </w:r>
      <w:proofErr w:type="spellStart"/>
      <w:r w:rsidR="000564F3">
        <w:rPr>
          <w:i/>
          <w:iCs/>
          <w:lang w:val="en-US"/>
        </w:rPr>
        <w:t>Ab</w:t>
      </w:r>
      <w:proofErr w:type="spellEnd"/>
      <w:r w:rsidR="000564F3">
        <w:rPr>
          <w:lang w:val="en-US"/>
        </w:rPr>
        <w:t xml:space="preserve"> or </w:t>
      </w:r>
      <w:proofErr w:type="spellStart"/>
      <w:r w:rsidR="000564F3">
        <w:rPr>
          <w:i/>
          <w:iCs/>
          <w:lang w:val="en-US"/>
        </w:rPr>
        <w:t>aB</w:t>
      </w:r>
      <w:proofErr w:type="spellEnd"/>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"[23, 24]" }, "properties" : { "noteIndex" : 0 }, "schema" : "https://github.com/citation-style-language/schema/raw/master/csl-citation.json" }</w:instrText>
      </w:r>
      <w:r w:rsidR="00555F3C">
        <w:rPr>
          <w:lang w:val="en-US"/>
        </w:rPr>
        <w:fldChar w:fldCharType="separate"/>
      </w:r>
      <w:r w:rsidR="00195D75" w:rsidRPr="00195D75">
        <w:rPr>
          <w:noProof/>
          <w:lang w:val="en-US"/>
        </w:rPr>
        <w:t>[23, 24]</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 xml:space="preserve">mutation-free </w:t>
      </w:r>
      <w:proofErr w:type="spellStart"/>
      <w:r w:rsidR="00482829">
        <w:rPr>
          <w:lang w:val="en-US"/>
        </w:rPr>
        <w:t>wildtype</w:t>
      </w:r>
      <w:proofErr w:type="spellEnd"/>
      <w:r w:rsidR="005F3FF6">
        <w:rPr>
          <w:lang w:val="en-US"/>
        </w:rPr>
        <w:t xml:space="preserve"> </w:t>
      </w:r>
      <w:proofErr w:type="spellStart"/>
      <w:r w:rsidR="005F3FF6">
        <w:rPr>
          <w:i/>
          <w:iCs/>
          <w:lang w:val="en-US"/>
        </w:rPr>
        <w:t>ab</w:t>
      </w:r>
      <w:proofErr w:type="spellEnd"/>
      <w:r w:rsidR="00482829">
        <w:rPr>
          <w:lang w:val="en-US"/>
        </w:rPr>
        <w:t xml:space="preserve"> and single mutants </w:t>
      </w:r>
      <w:proofErr w:type="spellStart"/>
      <w:r w:rsidR="005F3FF6" w:rsidRPr="005F3FF6">
        <w:rPr>
          <w:lang w:val="en-US"/>
        </w:rPr>
        <w:t>aB</w:t>
      </w:r>
      <w:proofErr w:type="spellEnd"/>
      <w:r w:rsidR="005F3FF6">
        <w:rPr>
          <w:lang w:val="en-US"/>
        </w:rPr>
        <w:t xml:space="preserve"> and </w:t>
      </w:r>
      <w:proofErr w:type="spellStart"/>
      <w:r w:rsidR="005F3FF6" w:rsidRPr="005F3FF6">
        <w:rPr>
          <w:i/>
          <w:iCs/>
          <w:lang w:val="en-US"/>
        </w:rPr>
        <w:t>Ab</w:t>
      </w:r>
      <w:proofErr w:type="spellEnd"/>
      <w:r w:rsidR="005F3FF6">
        <w:rPr>
          <w:lang w:val="en-US"/>
        </w:rPr>
        <w:t xml:space="preserve"> </w:t>
      </w:r>
      <w:r w:rsidR="00482829" w:rsidRPr="005F3FF6">
        <w:rPr>
          <w:lang w:val="en-US"/>
        </w:rPr>
        <w:t>are</w:t>
      </w:r>
      <w:r w:rsidR="00482829">
        <w:rPr>
          <w:lang w:val="en-US"/>
        </w:rPr>
        <w:t xml:space="preserve"> roughly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type m:val="skw"/>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w:t>
      </w:r>
      <w:r w:rsidR="00482829" w:rsidRPr="00CD0AFE">
        <w:rPr>
          <w:i/>
          <w:iCs/>
          <w:lang w:val="en-US"/>
        </w:rPr>
        <w:t>1</w:t>
      </w:r>
      <w:r w:rsidR="00482829">
        <w:rPr>
          <w:lang w:val="en-US"/>
        </w:rPr>
        <w:t xml:space="preserve"> and </w:t>
      </w:r>
      <w:r w:rsidR="00482829">
        <w:rPr>
          <w:i/>
          <w:iCs/>
          <w:lang w:val="en-US"/>
        </w:rPr>
        <w:t>1-s</w:t>
      </w:r>
      <w:r w:rsidR="00482829">
        <w:rPr>
          <w:lang w:val="en-US"/>
        </w:rPr>
        <w:t xml:space="preserve">, respectively. We assume that individuals with mutations </w:t>
      </w:r>
      <w:r w:rsidR="00CD0AFE">
        <w:rPr>
          <w:lang w:val="en-US"/>
        </w:rPr>
        <w:t xml:space="preserve">outside of </w:t>
      </w:r>
      <w:r w:rsidR="00482829">
        <w:rPr>
          <w:lang w:val="en-US"/>
        </w:rPr>
        <w:t xml:space="preserve">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w:t>
      </w:r>
      <w:r w:rsidR="00CD0AFE">
        <w:rPr>
          <w:lang w:val="en-US"/>
        </w:rPr>
        <w:t>-</w:t>
      </w:r>
      <w:r w:rsidR="00482829">
        <w:rPr>
          <w:lang w:val="en-US"/>
        </w:rPr>
        <w:t>ends"</w:t>
      </w:r>
      <w:r w:rsidR="00CD0AFE">
        <w:rPr>
          <w:lang w:val="en-US"/>
        </w:rPr>
        <w:t xml:space="preserve"> and do not contribute to the adaptation process</w:t>
      </w:r>
      <w:r w:rsidR="00482829">
        <w:rPr>
          <w:lang w:val="en-US"/>
        </w:rPr>
        <w:t xml:space="preserve">. </w:t>
      </w:r>
      <w:r w:rsidR="00CD0AFE">
        <w:rPr>
          <w:lang w:val="en-US"/>
        </w:rPr>
        <w:t>Therefore, a</w:t>
      </w:r>
      <w:r w:rsidR="00482829">
        <w:rPr>
          <w:lang w:val="en-US"/>
        </w:rPr>
        <w:t xml:space="preserve">ssuming that </w:t>
      </w:r>
      <w:r w:rsidR="00CD0AFE">
        <w:rPr>
          <w:lang w:val="en-US"/>
        </w:rPr>
        <w:t xml:space="preserve">the number of new </w:t>
      </w:r>
      <w:r w:rsidR="00482829">
        <w:rPr>
          <w:lang w:val="en-US"/>
        </w:rPr>
        <w:t>mutation</w:t>
      </w:r>
      <w:r w:rsidR="00CD0AFE">
        <w:rPr>
          <w:lang w:val="en-US"/>
        </w:rPr>
        <w:t>s per individual is</w:t>
      </w:r>
      <w:r w:rsidR="00482829">
        <w:rPr>
          <w:lang w:val="en-US"/>
        </w:rPr>
        <w:t xml:space="preserve"> Poisson </w:t>
      </w:r>
      <w:r w:rsidR="00CD0AFE">
        <w:rPr>
          <w:lang w:val="en-US"/>
        </w:rPr>
        <w:t>distributed</w:t>
      </w:r>
      <w:r w:rsidR="00482829">
        <w:rPr>
          <w:lang w:val="en-US"/>
        </w:rPr>
        <w:t xml:space="preserve">,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w:t>
      </w:r>
      <w:r w:rsidR="005F3FF6">
        <w:rPr>
          <w:lang w:val="en-US"/>
        </w:rPr>
        <w:t xml:space="preserve"> </w:t>
      </w:r>
      <w:r w:rsidR="005F3FF6">
        <w:rPr>
          <w:i/>
          <w:iCs/>
          <w:lang w:val="en-US"/>
        </w:rPr>
        <w:t>q</w:t>
      </w:r>
      <w:r w:rsidR="00482829">
        <w:rPr>
          <w:lang w:val="en-US"/>
        </w:rPr>
        <w:t xml:space="preserve">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69424B"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6"/>
          </w:p>
        </w:tc>
      </w:tr>
    </w:tbl>
    <w:p w:rsidR="00482829" w:rsidRDefault="00D04B58" w:rsidP="005F3FF6">
      <w:pPr>
        <w:ind w:firstLine="0"/>
        <w:rPr>
          <w:lang w:val="en-US"/>
        </w:rPr>
      </w:pPr>
      <w:r>
        <w:rPr>
          <w:lang w:val="en-US"/>
        </w:rPr>
        <w:lastRenderedPageBreak/>
        <w:t xml:space="preserve">Note that stress-induction only increases the transition from single mutants to other types, but does not change the MSB frequency of single mutants, because </w:t>
      </w:r>
      <w:r w:rsidR="005F3FF6">
        <w:rPr>
          <w:lang w:val="en-US"/>
        </w:rPr>
        <w:t>this</w:t>
      </w:r>
      <w:r>
        <w:rPr>
          <w:lang w:val="en-US"/>
        </w:rPr>
        <w:t xml:space="preserve"> </w:t>
      </w:r>
      <w:r w:rsidR="005F3FF6">
        <w:rPr>
          <w:lang w:val="en-US"/>
        </w:rPr>
        <w:t xml:space="preserve">frequency </w:t>
      </w:r>
      <w:r>
        <w:rPr>
          <w:lang w:val="en-US"/>
        </w:rPr>
        <w:t xml:space="preserve">is determined by the mutation rate of the </w:t>
      </w:r>
      <w:proofErr w:type="spellStart"/>
      <w:r>
        <w:rPr>
          <w:lang w:val="en-US"/>
        </w:rPr>
        <w:t>wildtype</w:t>
      </w:r>
      <w:proofErr w:type="spellEnd"/>
      <w:r w:rsidR="005F3FF6">
        <w:rPr>
          <w:lang w:val="en-US"/>
        </w:rPr>
        <w:t xml:space="preserve"> which does not hypermutate</w:t>
      </w:r>
      <w:r>
        <w:rPr>
          <w:lang w:val="en-US"/>
        </w:rPr>
        <w:t>.</w:t>
      </w:r>
    </w:p>
    <w:p w:rsidR="00D04B58" w:rsidRDefault="00D04B58" w:rsidP="00CC2E91">
      <w:pPr>
        <w:ind w:firstLine="0"/>
        <w:rPr>
          <w:lang w:val="en-US"/>
        </w:rPr>
      </w:pPr>
      <w:r>
        <w:rPr>
          <w:lang w:val="en-US"/>
        </w:rPr>
        <w:t xml:space="preserve">If the mutation rate of </w:t>
      </w:r>
      <w:r w:rsidR="008572C9">
        <w:rPr>
          <w:lang w:val="en-US"/>
        </w:rPr>
        <w:t xml:space="preserve">the </w:t>
      </w:r>
      <w:proofErr w:type="spellStart"/>
      <w:r>
        <w:rPr>
          <w:lang w:val="en-US"/>
        </w:rPr>
        <w:t>wildtype</w:t>
      </w:r>
      <w:proofErr w:type="spellEnd"/>
      <w:r>
        <w:rPr>
          <w:lang w:val="en-US"/>
        </w:rPr>
        <w:t xml:space="preserve"> </w:t>
      </w:r>
      <w:r w:rsidR="001752B4">
        <w:rPr>
          <w:lang w:val="en-US"/>
        </w:rPr>
        <w:t xml:space="preserve">is </w:t>
      </w:r>
      <w:r>
        <w:rPr>
          <w:lang w:val="en-US"/>
        </w:rPr>
        <w:t>increased as well, as in the case of constitutive hypermutation, the probability</w:t>
      </w:r>
      <w:r w:rsidR="008572C9">
        <w:rPr>
          <w:lang w:val="en-US"/>
        </w:rPr>
        <w:t xml:space="preserve"> </w:t>
      </w:r>
      <w:r w:rsidR="008572C9">
        <w:rPr>
          <w:i/>
          <w:iCs/>
          <w:lang w:val="en-US"/>
        </w:rPr>
        <w:t>q</w:t>
      </w:r>
      <w:r>
        <w:rPr>
          <w:lang w:val="en-US"/>
        </w:rPr>
        <w:t xml:space="preserve">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69424B"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8572C9">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sidR="008572C9">
        <w:rPr>
          <w:rFonts w:cstheme="majorBidi"/>
          <w:lang w:val="en-US"/>
        </w:rPr>
        <w:t xml:space="preserve">and that the population size is large (constraint </w:t>
      </w:r>
      <w:r w:rsidR="008572C9">
        <w:rPr>
          <w:rFonts w:cstheme="majorBidi"/>
          <w:lang w:val="en-US"/>
        </w:rPr>
        <w:fldChar w:fldCharType="begin"/>
      </w:r>
      <w:r w:rsidR="008572C9">
        <w:rPr>
          <w:rFonts w:cstheme="majorBidi"/>
          <w:lang w:val="en-US"/>
        </w:rPr>
        <w:instrText xml:space="preserve"> REF _Ref354129072 \h </w:instrText>
      </w:r>
      <w:r w:rsidR="008572C9">
        <w:rPr>
          <w:rFonts w:cstheme="majorBidi"/>
          <w:lang w:val="en-US"/>
        </w:rPr>
      </w:r>
      <w:r w:rsidR="008572C9">
        <w:rPr>
          <w:rFonts w:cstheme="majorBidi"/>
          <w:lang w:val="en-US"/>
        </w:rPr>
        <w:fldChar w:fldCharType="separate"/>
      </w:r>
      <w:r w:rsidR="008572C9">
        <w:rPr>
          <w:lang w:val="en-US"/>
        </w:rPr>
        <w:t>(</w:t>
      </w:r>
      <w:r w:rsidR="008572C9">
        <w:rPr>
          <w:noProof/>
          <w:lang w:val="en-US"/>
        </w:rPr>
        <w:t>2</w:t>
      </w:r>
      <w:r w:rsidR="008572C9">
        <w:rPr>
          <w:lang w:val="en-US"/>
        </w:rPr>
        <w:t>)</w:t>
      </w:r>
      <w:r w:rsidR="008572C9">
        <w:rPr>
          <w:rFonts w:cstheme="majorBidi"/>
          <w:lang w:val="en-US"/>
        </w:rPr>
        <w:fldChar w:fldCharType="end"/>
      </w:r>
      <w:r w:rsidR="008572C9">
        <w:rPr>
          <w:rFonts w:cstheme="majorBidi"/>
          <w:lang w:val="en-US"/>
        </w:rPr>
        <w:t xml:space="preserve"> ensures that), a double mutant </w:t>
      </w:r>
      <w:r>
        <w:rPr>
          <w:lang w:val="en-US"/>
        </w:rPr>
        <w:t xml:space="preserve">has two possible fates after its appearance: fixation </w:t>
      </w:r>
      <w:r w:rsidR="008572C9">
        <w:rPr>
          <w:lang w:val="en-US"/>
        </w:rPr>
        <w:t xml:space="preserve">or </w:t>
      </w:r>
      <w:r>
        <w:rPr>
          <w:lang w:val="en-US"/>
        </w:rPr>
        <w:t xml:space="preserve">extinction. Following </w:t>
      </w:r>
      <w:proofErr w:type="spellStart"/>
      <w:r>
        <w:rPr>
          <w:lang w:val="en-US"/>
        </w:rPr>
        <w:t>Eshel</w:t>
      </w:r>
      <w:proofErr w:type="spellEnd"/>
      <w:r>
        <w:rPr>
          <w:lang w:val="en-US"/>
        </w:rPr>
        <w:t xml:space="preserve"> </w:t>
      </w:r>
      <w:r>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"[25]" }, "properties" : { "noteIndex" : 0 }, "schema" : "https://github.com/citation-style-language/schema/raw/master/csl-citation.json" }</w:instrText>
      </w:r>
      <w:r>
        <w:rPr>
          <w:lang w:val="en-US"/>
        </w:rPr>
        <w:fldChar w:fldCharType="separate"/>
      </w:r>
      <w:r w:rsidR="00195D75" w:rsidRPr="00195D75">
        <w:rPr>
          <w:noProof/>
          <w:lang w:val="en-US"/>
        </w:rPr>
        <w:t>[25]</w:t>
      </w:r>
      <w:r>
        <w:rPr>
          <w:lang w:val="en-US"/>
        </w:rPr>
        <w:fldChar w:fldCharType="end"/>
      </w:r>
      <w:r>
        <w:rPr>
          <w:lang w:val="en-US"/>
        </w:rPr>
        <w:t xml:space="preserve"> the fixation probability of the double mutant is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8572C9" w:rsidP="00CC2E91">
            <w:pPr>
              <w:ind w:left="340" w:firstLine="0"/>
              <w:rPr>
                <w:lang w:val="en-US"/>
              </w:rPr>
            </w:pPr>
            <m:oMathPara>
              <m:oMath>
                <m:r>
                  <w:rPr>
                    <w:rFonts w:ascii="Cambria Math" w:hAnsi="Cambria Math"/>
                    <w:lang w:val="en-US"/>
                  </w:rPr>
                  <m:t>ρ=2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7"/>
          </w:p>
        </w:tc>
      </w:tr>
    </w:tbl>
    <w:p w:rsidR="002E568C" w:rsidRDefault="002E568C" w:rsidP="008572C9">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fitness of </w:t>
      </w:r>
      <w:r>
        <w:rPr>
          <w:lang w:val="en-US"/>
        </w:rPr>
        <w:t xml:space="preserve">the double mutant </w:t>
      </w:r>
      <w:r w:rsidR="008572C9">
        <w:rPr>
          <w:lang w:val="en-US"/>
        </w:rPr>
        <w:t xml:space="preserve">relative to </w:t>
      </w:r>
      <w:r>
        <w:rPr>
          <w:lang w:val="en-US"/>
        </w:rPr>
        <w:t>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8"/>
          </w:p>
        </w:tc>
      </w:tr>
    </w:tbl>
    <w:p w:rsidR="001752B4" w:rsidRPr="008572C9" w:rsidRDefault="002E568C" w:rsidP="008572C9">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r w:rsidR="008572C9">
        <w:rPr>
          <w:lang w:val="en-US"/>
        </w:rPr>
        <w:t xml:space="preserve"> Here, mutation incurs a fitness cost of </w:t>
      </w:r>
      <w:r w:rsidR="008572C9">
        <w:rPr>
          <w:i/>
          <w:iCs/>
          <w:lang w:val="en-US"/>
        </w:rPr>
        <w:t>e</w:t>
      </w:r>
      <w:r w:rsidR="008572C9">
        <w:rPr>
          <w:i/>
          <w:iCs/>
          <w:vertAlign w:val="superscript"/>
          <w:lang w:val="en-US"/>
        </w:rPr>
        <w:t>-U</w:t>
      </w:r>
      <w:r w:rsidR="008572C9">
        <w:rPr>
          <w:lang w:val="en-US"/>
        </w:rPr>
        <w:t>. This is usually ignored because mutation is uniform in the population, but as we will see below, it is an important factor in our model.</w:t>
      </w:r>
    </w:p>
    <w:p w:rsidR="001639B1" w:rsidRDefault="00555F3C" w:rsidP="008572C9">
      <w:pPr>
        <w:ind w:firstLine="0"/>
        <w:rPr>
          <w:lang w:val="en-US"/>
        </w:rPr>
      </w:pPr>
      <w:r>
        <w:rPr>
          <w:lang w:val="en-US"/>
        </w:rPr>
        <w:t xml:space="preserve">Because the frequency of double mutants is very low at the stage where they are subject to possible extinction by drift, the </w:t>
      </w:r>
      <w:proofErr w:type="gramStart"/>
      <w:r>
        <w:rPr>
          <w:lang w:val="en-US"/>
        </w:rPr>
        <w:t>population mean</w:t>
      </w:r>
      <w:proofErr w:type="gramEnd"/>
      <w:r>
        <w:rPr>
          <w:lang w:val="en-US"/>
        </w:rPr>
        <w:t xml:space="preserve"> fitness can be calculated without considering </w:t>
      </w:r>
      <w:r w:rsidR="008572C9">
        <w:rPr>
          <w:lang w:val="en-US"/>
        </w:rPr>
        <w:t xml:space="preserve">double mutants. Therefore, </w:t>
      </w:r>
      <w:r>
        <w:rPr>
          <w:lang w:val="en-US"/>
        </w:rPr>
        <w:t xml:space="preserve">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"[23]" }, "properties" : { "noteIndex" : 0 }, "schema" : "https://github.com/citation-style-language/schema/raw/master/csl-citation.json" }</w:instrText>
      </w:r>
      <w:r>
        <w:rPr>
          <w:lang w:val="en-US"/>
        </w:rPr>
        <w:fldChar w:fldCharType="separate"/>
      </w:r>
      <w:r w:rsidR="00195D75" w:rsidRPr="00195D75">
        <w:rPr>
          <w:noProof/>
          <w:lang w:val="en-US"/>
        </w:rPr>
        <w:t>[23]</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8572C9" w:rsidP="001639B1">
            <w:pPr>
              <w:ind w:firstLine="0"/>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r w:rsidR="008572C9">
        <w:rPr>
          <w:lang w:val="en-US"/>
        </w:rPr>
        <w:t xml:space="preserve"> (the star * denotes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69424B" w:rsidP="00CC2E91">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0"/>
          </w:p>
        </w:tc>
      </w:tr>
    </w:tbl>
    <w:p w:rsidR="00555F3C" w:rsidRDefault="00CC2E91" w:rsidP="004B1BAC">
      <w:pPr>
        <w:ind w:firstLine="0"/>
        <w:rPr>
          <w:lang w:val="en-US"/>
        </w:rPr>
      </w:pPr>
      <w:r>
        <w:rPr>
          <w:lang w:val="en-US"/>
        </w:rPr>
        <w:t xml:space="preserve">Which is a classic result in population genetics </w:t>
      </w:r>
      <w:r w:rsidR="004B1BAC">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"uris" : [ "http://www.mendeley.com/documents/?uuid=935a0a5d-5ac9-4e39-9957-d23904f30ab8" ] } ], "mendeley" : { "previouslyFormattedCitation" : "[25]" }, "properties" : { "noteIndex" : 0 }, "schema" : "https://github.com/citation-style-language/schema/raw/master/csl-citation.json" }</w:instrText>
      </w:r>
      <w:r w:rsidR="004B1BAC">
        <w:rPr>
          <w:lang w:val="en-US"/>
        </w:rPr>
        <w:fldChar w:fldCharType="separate"/>
      </w:r>
      <w:r w:rsidR="00195D75" w:rsidRPr="00195D75">
        <w:rPr>
          <w:noProof/>
          <w:lang w:val="en-US"/>
        </w:rPr>
        <w:t>[25]</w:t>
      </w:r>
      <w:r w:rsidR="004B1BAC">
        <w:rPr>
          <w:lang w:val="en-US"/>
        </w:rPr>
        <w:fldChar w:fldCharType="end"/>
      </w:r>
      <w:r w:rsidR="00555F3C">
        <w:rPr>
          <w:lang w:val="en-US"/>
        </w:rPr>
        <w:t>.</w:t>
      </w:r>
      <w:r w:rsidR="000F696F">
        <w:rPr>
          <w:lang w:val="en-US"/>
        </w:rPr>
        <w:t xml:space="preserve"> Note that this value </w:t>
      </w:r>
      <w:r w:rsidR="000F696F" w:rsidRPr="000F696F">
        <w:rPr>
          <w:lang w:val="en-US"/>
        </w:rPr>
        <w:t>does not</w:t>
      </w:r>
      <w:r w:rsidR="004B1BAC">
        <w:rPr>
          <w:lang w:val="en-US"/>
        </w:rPr>
        <w:t xml:space="preserve"> depend on the mutation rate so </w:t>
      </w:r>
      <w:r w:rsidR="000F696F">
        <w:rPr>
          <w:lang w:val="en-US"/>
        </w:rPr>
        <w:t xml:space="preserve">it is not affected by constitutive </w:t>
      </w:r>
      <w:r w:rsidR="004B1BAC">
        <w:rPr>
          <w:lang w:val="en-US"/>
        </w:rPr>
        <w:t>hyper</w:t>
      </w:r>
      <w:r w:rsidR="000F696F">
        <w:rPr>
          <w:lang w:val="en-US"/>
        </w:rPr>
        <w:t>mutation.</w:t>
      </w:r>
      <w:r w:rsidR="00555F3C">
        <w:rPr>
          <w:lang w:val="en-US"/>
        </w:rPr>
        <w:t xml:space="preserve"> </w:t>
      </w:r>
    </w:p>
    <w:p w:rsidR="002E568C" w:rsidRDefault="00555F3C" w:rsidP="004B1BAC">
      <w:pPr>
        <w:ind w:firstLine="0"/>
        <w:rPr>
          <w:lang w:val="en-US"/>
        </w:rPr>
      </w:pPr>
      <w:r>
        <w:rPr>
          <w:lang w:val="en-US"/>
        </w:rPr>
        <w:t xml:space="preserve">However, as we have shown before </w:t>
      </w:r>
      <w:r>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Pr>
          <w:lang w:val="en-US"/>
        </w:rPr>
        <w:fldChar w:fldCharType="separate"/>
      </w:r>
      <w:r w:rsidR="00195D75" w:rsidRPr="00195D75">
        <w:rPr>
          <w:noProof/>
          <w:lang w:val="en-US"/>
        </w:rPr>
        <w:t>[15]</w:t>
      </w:r>
      <w:r>
        <w:rPr>
          <w:lang w:val="en-US"/>
        </w:rPr>
        <w:fldChar w:fldCharType="end"/>
      </w:r>
      <w:r>
        <w:rPr>
          <w:lang w:val="en-US"/>
        </w:rPr>
        <w:t xml:space="preserve">, the mean fitness of a population with stress-induced mutation can be different </w:t>
      </w:r>
      <w:r w:rsidR="004B1BAC">
        <w:rPr>
          <w:lang w:val="en-US"/>
        </w:rPr>
        <w:t xml:space="preserve">from </w:t>
      </w:r>
      <w:r w:rsidR="004B1BAC" w:rsidRPr="004B1BAC">
        <w:rPr>
          <w:i/>
          <w:iCs/>
          <w:lang w:val="en-US"/>
        </w:rPr>
        <w:t>e</w:t>
      </w:r>
      <w:r w:rsidR="004B1BAC" w:rsidRPr="004B1BAC">
        <w:rPr>
          <w:i/>
          <w:iCs/>
          <w:vertAlign w:val="superscript"/>
          <w:lang w:val="en-US"/>
        </w:rPr>
        <w:t>-U</w:t>
      </w:r>
      <w:r w:rsidR="004B1BAC">
        <w:rPr>
          <w:lang w:val="en-US"/>
        </w:rPr>
        <w:t xml:space="preserve"> because of the variation in the mutation rate</w:t>
      </w:r>
      <w:r>
        <w:rPr>
          <w:lang w:val="en-US"/>
        </w:rPr>
        <w:t>. Here, the mean fitness with stress-induced</w:t>
      </w:r>
      <w:r w:rsidR="004B1BAC">
        <w:rPr>
          <w:lang w:val="en-US"/>
        </w:rPr>
        <w:t xml:space="preserve"> mutation</w:t>
      </w:r>
      <w:r>
        <w:rPr>
          <w:lang w:val="en-US"/>
        </w:rPr>
        <w:t xml:space="preserve"> </w:t>
      </w:r>
      <w:r w:rsidR="00C74586">
        <w:rPr>
          <w:lang w:val="en-US"/>
        </w:rPr>
        <w:t xml:space="preserve">can be calculated by separating the population to the </w:t>
      </w:r>
      <w:r w:rsidR="004B1BAC">
        <w:rPr>
          <w:lang w:val="en-US"/>
        </w:rPr>
        <w:t>mutation-free</w:t>
      </w:r>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w:t>
      </w:r>
      <w:r w:rsidR="00C74586" w:rsidRPr="004B1BAC">
        <w:rPr>
          <w:i/>
          <w:iCs/>
          <w:lang w:val="en-US"/>
        </w:rPr>
        <w:t>1</w:t>
      </w:r>
      <w:r w:rsidR="004B1BAC">
        <w:rPr>
          <w:lang w:val="en-US"/>
        </w:rPr>
        <w:t xml:space="preserve"> and the rest of the population with a fraction </w:t>
      </w:r>
      <w:proofErr w:type="gramStart"/>
      <w:r w:rsidR="004B1BAC">
        <w:rPr>
          <w:lang w:val="en-US"/>
        </w:rPr>
        <w:t xml:space="preserve">of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w:t>
      </w:r>
      <w:r w:rsidR="004B1BAC">
        <w:rPr>
          <w:lang w:val="en-US"/>
        </w:rPr>
        <w:t xml:space="preserve">non-mutation-free </w:t>
      </w:r>
      <w:proofErr w:type="gramStart"/>
      <w:r w:rsidR="004B1BAC">
        <w:rPr>
          <w:lang w:val="en-US"/>
        </w:rPr>
        <w:t>fraction</w:t>
      </w:r>
      <w:r w:rsidR="00C74586">
        <w:rPr>
          <w:lang w:val="en-US"/>
        </w:rPr>
        <w:t>, which have</w:t>
      </w:r>
      <w:proofErr w:type="gramEnd"/>
      <w:r w:rsidR="00C74586">
        <w:rPr>
          <w:lang w:val="en-US"/>
        </w:rPr>
        <w:t xml:space="preserve"> at least one mutation, </w:t>
      </w:r>
      <w:r w:rsidR="00C74586">
        <w:rPr>
          <w:lang w:val="en-US"/>
        </w:rPr>
        <w:lastRenderedPageBreak/>
        <w:t xml:space="preserve">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4B1BAC">
        <w:rPr>
          <w:lang w:val="en-US"/>
        </w:rPr>
        <w:t xml:space="preserve"> because these individuals are</w:t>
      </w:r>
      <w:r w:rsidR="00C74586">
        <w:rPr>
          <w:lang w:val="en-US"/>
        </w:rPr>
        <w:t xml:space="preserve"> hypermutating. Therefore the mean fitness of this </w:t>
      </w:r>
      <w:r w:rsidR="004B1BAC">
        <w:rPr>
          <w:lang w:val="en-US"/>
        </w:rPr>
        <w:t xml:space="preserve">fraction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69424B"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69424B"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1"/>
          </w:p>
        </w:tc>
      </w:tr>
    </w:tbl>
    <w:p w:rsidR="001C3939" w:rsidRDefault="004B1BAC" w:rsidP="004B1BAC">
      <w:pPr>
        <w:pStyle w:val="Heading3"/>
        <w:rPr>
          <w:lang w:val="en-US"/>
        </w:rPr>
      </w:pPr>
      <w:r>
        <w:rPr>
          <w:lang w:val="en-US"/>
        </w:rPr>
        <w:t>A</w:t>
      </w:r>
      <w:r w:rsidR="001C3939">
        <w:rPr>
          <w:lang w:val="en-US"/>
        </w:rPr>
        <w:t xml:space="preserve">daptation </w:t>
      </w:r>
      <w:r>
        <w:rPr>
          <w:lang w:val="en-US"/>
        </w:rPr>
        <w:t>rate</w:t>
      </w:r>
    </w:p>
    <w:p w:rsidR="00D516F5" w:rsidRDefault="00D516F5" w:rsidP="0078136D">
      <w:pPr>
        <w:ind w:firstLine="0"/>
        <w:rPr>
          <w:lang w:val="en-US"/>
        </w:rPr>
      </w:pPr>
      <w:r>
        <w:rPr>
          <w:lang w:val="en-US"/>
        </w:rPr>
        <w:t>From the probability</w:t>
      </w:r>
      <w:r w:rsidR="004B1BAC">
        <w:rPr>
          <w:lang w:val="en-US"/>
        </w:rPr>
        <w:t xml:space="preserve"> </w:t>
      </w:r>
      <w:r w:rsidR="004B1BAC">
        <w:rPr>
          <w:i/>
          <w:iCs/>
          <w:lang w:val="en-US"/>
        </w:rPr>
        <w:t>q</w:t>
      </w:r>
      <w:r>
        <w:rPr>
          <w:lang w:val="en-US"/>
        </w:rPr>
        <w:t xml:space="preserve"> that in a population without double mutants a newborn is a double mutant we can derive the probability that </w:t>
      </w:r>
      <w:r w:rsidR="004B1BAC">
        <w:rPr>
          <w:lang w:val="en-US"/>
        </w:rPr>
        <w:t>some</w:t>
      </w:r>
      <w:r>
        <w:rPr>
          <w:lang w:val="en-US"/>
        </w:rPr>
        <w:t xml:space="preserve"> double mutant</w:t>
      </w:r>
      <w:r w:rsidR="004B1BAC">
        <w:rPr>
          <w:lang w:val="en-US"/>
        </w:rPr>
        <w:t>s</w:t>
      </w:r>
      <w:r>
        <w:rPr>
          <w:lang w:val="en-US"/>
        </w:rPr>
        <w:t xml:space="preserve"> appear in the </w:t>
      </w:r>
      <w:r w:rsidR="004B1BAC">
        <w:rPr>
          <w:lang w:val="en-US"/>
        </w:rPr>
        <w:t xml:space="preserve">next </w:t>
      </w:r>
      <w:proofErr w:type="gramStart"/>
      <w:r w:rsidR="004B1BAC">
        <w:rPr>
          <w:lang w:val="en-US"/>
        </w:rPr>
        <w:t>generation</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r>
          <w:rPr>
            <w:rFonts w:ascii="Cambria Math" w:hAnsi="Cambria Math"/>
            <w:lang w:val="en-US"/>
          </w:rPr>
          <m:t>=Nq+O</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Nq</m:t>
                    </m:r>
                  </m:e>
                </m:d>
              </m:e>
              <m:sup>
                <m:r>
                  <w:rPr>
                    <w:rFonts w:ascii="Cambria Math" w:hAnsi="Cambria Math"/>
                    <w:lang w:val="en-US"/>
                  </w:rPr>
                  <m:t>2</m:t>
                </m:r>
              </m:sup>
            </m:sSup>
          </m:e>
        </m:d>
      </m:oMath>
      <w:r>
        <w:rPr>
          <w:lang w:val="en-US"/>
        </w:rPr>
        <w:t xml:space="preserve">. The </w:t>
      </w:r>
      <w:r w:rsidR="004B1BAC">
        <w:rPr>
          <w:lang w:val="en-US"/>
        </w:rPr>
        <w:t>constraint</w:t>
      </w:r>
      <w:r>
        <w:rPr>
          <w:lang w:val="en-US"/>
        </w:rPr>
        <w:t xml:space="preserve">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w:t>
      </w:r>
      <w:proofErr w:type="gramStart"/>
      <w:r>
        <w:rPr>
          <w:lang w:val="en-US"/>
        </w:rPr>
        <w:t>small,</w:t>
      </w:r>
      <w:proofErr w:type="gramEnd"/>
      <w:r>
        <w:rPr>
          <w:lang w:val="en-US"/>
        </w:rPr>
        <w:t xml:space="preserve"> hence this probability can be approximated by </w:t>
      </w:r>
      <w:proofErr w:type="spellStart"/>
      <w:r>
        <w:rPr>
          <w:i/>
          <w:iCs/>
          <w:lang w:val="en-US"/>
        </w:rPr>
        <w:t>Nq</w:t>
      </w:r>
      <w:proofErr w:type="spellEnd"/>
      <w:r>
        <w:rPr>
          <w:lang w:val="en-US"/>
        </w:rPr>
        <w:t>.</w:t>
      </w:r>
    </w:p>
    <w:p w:rsidR="00D516F5" w:rsidRPr="00D516F5" w:rsidRDefault="00D516F5" w:rsidP="00CC2E91">
      <w:pPr>
        <w:ind w:firstLine="0"/>
        <w:rPr>
          <w:lang w:val="en-US"/>
        </w:rPr>
      </w:pPr>
      <w:r>
        <w:rPr>
          <w:lang w:val="en-US"/>
        </w:rPr>
        <w:t xml:space="preserve">Once a double mutant appears it has a probability </w:t>
      </w:r>
      <w:r w:rsidR="0078136D">
        <w:rPr>
          <w:rFonts w:ascii="Cambria Math" w:hAnsi="Cambria Math"/>
          <w:i/>
          <w:iCs/>
          <w:lang w:val="en-US"/>
        </w:rPr>
        <w:t>𝜌</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3512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w:r w:rsidR="0078136D">
        <w:rPr>
          <w:lang w:val="en-US"/>
        </w:rPr>
        <w:t xml:space="preserve">guaranteed by </w:t>
      </w:r>
      <w:r w:rsidR="0078136D" w:rsidRPr="0078136D">
        <w:rPr>
          <w:rFonts w:ascii="Times New Roman" w:hAnsi="Times New Roman"/>
          <w:i/>
          <w:iCs/>
          <w:lang w:val="en-US"/>
        </w:rPr>
        <w:t>µ</w:t>
      </w:r>
      <w:r w:rsidR="0078136D" w:rsidRPr="0078136D">
        <w:rPr>
          <w:vertAlign w:val="superscript"/>
          <w:lang w:val="en-US"/>
        </w:rPr>
        <w:t>2</w:t>
      </w:r>
      <w:r w:rsidR="0078136D" w:rsidRPr="0078136D">
        <w:rPr>
          <w:rFonts w:ascii="Times New Roman" w:hAnsi="Times New Roman"/>
          <w:i/>
          <w:iCs/>
          <w:lang w:val="en-US"/>
        </w:rPr>
        <w:t>&lt;</w:t>
      </w:r>
      <w:r w:rsidR="0078136D" w:rsidRPr="0078136D">
        <w:rPr>
          <w:i/>
          <w:iCs/>
          <w:lang w:val="en-US"/>
        </w:rPr>
        <w:t>2</w:t>
      </w:r>
      <w:r w:rsidR="0078136D">
        <w:rPr>
          <w:rFonts w:ascii="Times New Roman" w:hAnsi="Times New Roman"/>
          <w:lang w:val="en-US"/>
        </w:rPr>
        <w:t xml:space="preserve"> </w:t>
      </w:r>
      <w:r w:rsidR="0078136D" w:rsidRPr="0078136D">
        <w:rPr>
          <w:lang w:val="en-US"/>
        </w:rPr>
        <w:t>which is a weaker constraint than</w:t>
      </w:r>
      <w:r w:rsidR="0078136D">
        <w:rPr>
          <w:rFonts w:ascii="Times New Roman" w:hAnsi="Times New Roman"/>
          <w:lang w:val="en-US"/>
        </w:rPr>
        <w:t xml:space="preserve"> </w:t>
      </w:r>
      <w:r w:rsidR="0078136D">
        <w:rPr>
          <w:rFonts w:ascii="Times New Roman" w:hAnsi="Times New Roman"/>
          <w:lang w:val="en-US"/>
        </w:rPr>
        <w:fldChar w:fldCharType="begin"/>
      </w:r>
      <w:r w:rsidR="0078136D">
        <w:rPr>
          <w:rFonts w:ascii="Times New Roman" w:hAnsi="Times New Roman"/>
          <w:lang w:val="en-US"/>
        </w:rPr>
        <w:instrText xml:space="preserve"> REF _Ref354149705 \h </w:instrText>
      </w:r>
      <w:r w:rsidR="0078136D">
        <w:rPr>
          <w:rFonts w:ascii="Times New Roman" w:hAnsi="Times New Roman"/>
          <w:lang w:val="en-US"/>
        </w:rPr>
      </w:r>
      <w:r w:rsidR="0078136D">
        <w:rPr>
          <w:rFonts w:ascii="Times New Roman" w:hAnsi="Times New Roman"/>
          <w:lang w:val="en-US"/>
        </w:rPr>
        <w:fldChar w:fldCharType="separate"/>
      </w:r>
      <w:r w:rsidR="0078136D">
        <w:rPr>
          <w:lang w:val="en-US"/>
        </w:rPr>
        <w:t>(</w:t>
      </w:r>
      <w:r w:rsidR="0078136D">
        <w:rPr>
          <w:noProof/>
          <w:lang w:val="en-US"/>
        </w:rPr>
        <w:t>1</w:t>
      </w:r>
      <w:r w:rsidR="0078136D">
        <w:rPr>
          <w:lang w:val="en-US"/>
        </w:rPr>
        <w:t>)</w:t>
      </w:r>
      <w:r w:rsidR="0078136D">
        <w:rPr>
          <w:rFonts w:ascii="Times New Roman" w:hAnsi="Times New Roman"/>
          <w:lang w:val="en-US"/>
        </w:rPr>
        <w:fldChar w:fldCharType="end"/>
      </w:r>
      <w:r>
        <w:rPr>
          <w:lang w:val="en-US"/>
        </w:rPr>
        <w:t xml:space="preserve">). </w:t>
      </w:r>
      <w:r w:rsidR="001449C0">
        <w:rPr>
          <w:i/>
          <w:iCs/>
          <w:lang w:val="en-US"/>
        </w:rPr>
        <w:t>T</w:t>
      </w:r>
      <w:r w:rsidR="001449C0">
        <w:rPr>
          <w:i/>
          <w:iCs/>
          <w:vertAlign w:val="subscript"/>
          <w:lang w:val="en-US"/>
        </w:rPr>
        <w:t>w</w:t>
      </w:r>
      <w:r w:rsidR="001449C0">
        <w:rPr>
          <w:lang w:val="en-US"/>
        </w:rPr>
        <w:t xml:space="preserve"> </w:t>
      </w:r>
      <w:r w:rsidR="0078136D">
        <w:rPr>
          <w:lang w:val="en-US"/>
        </w:rPr>
        <w:t>follows</w:t>
      </w:r>
      <w:r>
        <w:rPr>
          <w:lang w:val="en-US"/>
        </w:rPr>
        <w:t xml:space="preserve"> a geometric distribution with </w:t>
      </w:r>
      <w:r w:rsidR="0078136D">
        <w:rPr>
          <w:lang w:val="en-US"/>
        </w:rPr>
        <w:t xml:space="preserve">probability </w:t>
      </w:r>
      <w:proofErr w:type="spellStart"/>
      <w:r w:rsidRPr="00D516F5">
        <w:rPr>
          <w:i/>
          <w:iCs/>
          <w:lang w:val="en-US"/>
        </w:rPr>
        <w:t>Nq</w:t>
      </w:r>
      <w:proofErr w:type="spellEnd"/>
      <w:r w:rsidR="0078136D">
        <w:rPr>
          <w:rFonts w:ascii="Cambria Math" w:hAnsi="Cambria Math" w:cstheme="majorBidi"/>
          <w:i/>
          <w:iCs/>
          <w:lang w:val="en-US"/>
        </w:rPr>
        <w:t>𝜌</w:t>
      </w:r>
      <w:r>
        <w:rPr>
          <w:lang w:val="en-US"/>
        </w:rPr>
        <w:t xml:space="preserve"> and therefore the expected time for </w:t>
      </w:r>
      <w:r w:rsidR="001449C0">
        <w:rPr>
          <w:lang w:val="en-US"/>
        </w:rPr>
        <w:t xml:space="preserve">adaptation </w:t>
      </w:r>
      <w:r w:rsidR="0078136D">
        <w:rPr>
          <w:lang w:val="en-US"/>
        </w:rPr>
        <w:t xml:space="preserve">and its inverse, the adaptation rate </w:t>
      </w:r>
      <w:r w:rsidR="0078136D" w:rsidRPr="00D35121">
        <w:rPr>
          <w:rFonts w:ascii="Times New Roman" w:hAnsi="Times New Roman"/>
          <w:i/>
          <w:iCs/>
          <w:lang w:val="en-US"/>
        </w:rPr>
        <w:t>ν</w:t>
      </w:r>
      <w:r w:rsidR="00D35121">
        <w:rPr>
          <w:lang w:val="en-US"/>
        </w:rPr>
        <w:t>, can be approximated by</w:t>
      </w:r>
      <w:r w:rsidR="0078136D">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8136D" w:rsidP="00D35121">
            <w:pPr>
              <w:ind w:firstLine="0"/>
              <w:rPr>
                <w:lang w:val="en-US"/>
              </w:rPr>
            </w:pPr>
            <m:oMathPara>
              <m:oMath>
                <m:r>
                  <w:rPr>
                    <w:rFonts w:ascii="Cambria Math" w:hAnsi="Cambria Math"/>
                    <w:lang w:val="en-US"/>
                  </w:rPr>
                  <m:t>ν=E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≈Nq</m:t>
                </m:r>
                <m:r>
                  <w:rPr>
                    <w:rFonts w:ascii="Cambria Math" w:hAnsi="Cambria Math" w:cstheme="majorBidi"/>
                    <w:lang w:val="en-US"/>
                  </w:rPr>
                  <m:t>ρ</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2"/>
          </w:p>
        </w:tc>
      </w:tr>
    </w:tbl>
    <w:p w:rsidR="00C74586" w:rsidRDefault="00D35121" w:rsidP="00CC2E91">
      <w:pPr>
        <w:ind w:firstLine="0"/>
        <w:rPr>
          <w:lang w:val="en-US"/>
        </w:rPr>
      </w:pPr>
      <w:r>
        <w:rPr>
          <w:lang w:val="en-US"/>
        </w:rPr>
        <w:t xml:space="preserve">This expression </w:t>
      </w:r>
      <w:r w:rsidR="000F696F">
        <w:rPr>
          <w:lang w:val="en-US"/>
        </w:rPr>
        <w:t>can be evaluated with or without stress-induced mutation by using</w:t>
      </w:r>
      <w:r>
        <w:rPr>
          <w:lang w:val="en-US"/>
        </w:rPr>
        <w:t xml:space="preserve"> </w:t>
      </w:r>
      <w:proofErr w:type="spellStart"/>
      <w:r>
        <w:rPr>
          <w:lang w:val="en-US"/>
        </w:rPr>
        <w:t>Eqs</w:t>
      </w:r>
      <w:proofErr w:type="spellEnd"/>
      <w:r>
        <w:rPr>
          <w:lang w:val="en-US"/>
        </w:rPr>
        <w:t>.</w:t>
      </w:r>
      <w:r w:rsidR="000F696F">
        <w:rPr>
          <w:lang w:val="en-US"/>
        </w:rPr>
        <w:t xml:space="preserve"> </w:t>
      </w:r>
      <w:r w:rsidR="000F696F">
        <w:rPr>
          <w:lang w:val="en-US"/>
        </w:rPr>
        <w:fldChar w:fldCharType="begin"/>
      </w:r>
      <w:r w:rsidR="000F696F">
        <w:rPr>
          <w:lang w:val="en-US"/>
        </w:rPr>
        <w:instrText xml:space="preserve"> REF _Ref354134924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3</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_Ref354134926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4</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_Ref354134928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9</w:t>
      </w:r>
      <w:r w:rsidR="00CF2388">
        <w:rPr>
          <w:lang w:val="en-US"/>
        </w:rPr>
        <w:t>)</w:t>
      </w:r>
      <w:r w:rsidR="000F696F">
        <w:rPr>
          <w:lang w:val="en-US"/>
        </w:rPr>
        <w:fldChar w:fldCharType="end"/>
      </w:r>
      <w:r w:rsidR="000F696F">
        <w:rPr>
          <w:lang w:val="en-US"/>
        </w:rPr>
        <w:t xml:space="preserve"> and </w:t>
      </w:r>
      <w:r w:rsidR="000F696F">
        <w:rPr>
          <w:lang w:val="en-US"/>
        </w:rPr>
        <w:fldChar w:fldCharType="begin"/>
      </w:r>
      <w:r w:rsidR="000F696F">
        <w:rPr>
          <w:lang w:val="en-US"/>
        </w:rPr>
        <w:instrText xml:space="preserve"> REF _Ref354134929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11</w:t>
      </w:r>
      <w:r w:rsidR="00CF2388">
        <w:rPr>
          <w:lang w:val="en-US"/>
        </w:rPr>
        <w:t>)</w:t>
      </w:r>
      <w:r w:rsidR="000F696F">
        <w:rPr>
          <w:lang w:val="en-US"/>
        </w:rPr>
        <w:fldChar w:fldCharType="end"/>
      </w:r>
      <w:r w:rsidR="000F696F">
        <w:rPr>
          <w:lang w:val="en-US"/>
        </w:rPr>
        <w:t>.</w:t>
      </w:r>
    </w:p>
    <w:p w:rsidR="000F696F" w:rsidRDefault="00CC2E91" w:rsidP="003277CF">
      <w:pPr>
        <w:pStyle w:val="Heading2"/>
        <w:rPr>
          <w:lang w:val="en-US"/>
        </w:rPr>
      </w:pPr>
      <w:bookmarkStart w:id="13" w:name="_Ref354490800"/>
      <w:r>
        <w:rPr>
          <w:lang w:val="en-US"/>
        </w:rPr>
        <w:t xml:space="preserve">Stochastic </w:t>
      </w:r>
      <w:r w:rsidR="002E1D1A">
        <w:rPr>
          <w:lang w:val="en-US"/>
        </w:rPr>
        <w:t>simulation</w:t>
      </w:r>
      <w:bookmarkEnd w:id="13"/>
    </w:p>
    <w:p w:rsidR="00E72C13" w:rsidRDefault="00D35121" w:rsidP="00D35121">
      <w:pPr>
        <w:pStyle w:val="Firstparagraph"/>
        <w:rPr>
          <w:lang w:val="en-US"/>
        </w:rPr>
      </w:pPr>
      <w:r>
        <w:rPr>
          <w:lang w:val="en-US"/>
        </w:rPr>
        <w:t xml:space="preserve">We used an </w:t>
      </w:r>
      <w:r w:rsidR="00CC2E91">
        <w:rPr>
          <w:lang w:val="en-US"/>
        </w:rPr>
        <w:t xml:space="preserve">analytical model </w:t>
      </w:r>
      <w:r>
        <w:rPr>
          <w:lang w:val="en-US"/>
        </w:rPr>
        <w:t xml:space="preserve">to derive expressions </w:t>
      </w:r>
      <w:r w:rsidR="00CC2E91">
        <w:rPr>
          <w:lang w:val="en-US"/>
        </w:rPr>
        <w:t xml:space="preserve">for the adaptation </w:t>
      </w:r>
      <w:r>
        <w:rPr>
          <w:lang w:val="en-US"/>
        </w:rPr>
        <w:t xml:space="preserve">rate </w:t>
      </w:r>
      <w:r w:rsidR="00CC2E91">
        <w:rPr>
          <w:lang w:val="en-US"/>
        </w:rPr>
        <w:t xml:space="preserve">with and without stress-induced mutation. </w:t>
      </w:r>
      <w:r>
        <w:rPr>
          <w:lang w:val="en-US"/>
        </w:rPr>
        <w:t xml:space="preserve">To do so we used several </w:t>
      </w:r>
      <w:r w:rsidR="00E72C13">
        <w:rPr>
          <w:lang w:val="en-US"/>
        </w:rPr>
        <w:t>assumptions:</w:t>
      </w:r>
    </w:p>
    <w:p w:rsidR="00E72C13" w:rsidRDefault="00E72C13" w:rsidP="00D35121">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Individuals with deleterious mutation</w:t>
      </w:r>
      <w:r w:rsidR="00D35121">
        <w:rPr>
          <w:lang w:val="en-US"/>
        </w:rPr>
        <w:t xml:space="preserve">s outside </w:t>
      </w:r>
      <w:r>
        <w:rPr>
          <w:lang w:val="en-US"/>
        </w:rPr>
        <w:t xml:space="preserve">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sidR="00D35121">
        <w:rPr>
          <w:lang w:val="en-US"/>
        </w:rPr>
        <w:t xml:space="preserve"> loci </w:t>
      </w:r>
      <w:r>
        <w:rPr>
          <w:lang w:val="en-US"/>
        </w:rPr>
        <w:t>are "</w:t>
      </w:r>
      <w:r w:rsidR="00D35121">
        <w:rPr>
          <w:lang w:val="en-US"/>
        </w:rPr>
        <w:t>e</w:t>
      </w:r>
      <w:r>
        <w:rPr>
          <w:lang w:val="en-US"/>
        </w:rPr>
        <w:t>volutionary dead</w:t>
      </w:r>
      <w:r w:rsidR="00D35121">
        <w:rPr>
          <w:lang w:val="en-US"/>
        </w:rPr>
        <w:t>-</w:t>
      </w:r>
      <w:r>
        <w:rPr>
          <w:lang w:val="en-US"/>
        </w:rPr>
        <w:t>ends".</w:t>
      </w:r>
    </w:p>
    <w:p w:rsidR="00374508" w:rsidRDefault="00E72C13" w:rsidP="0045619C">
      <w:pPr>
        <w:ind w:firstLine="0"/>
        <w:rPr>
          <w:lang w:val="en-US"/>
        </w:rPr>
      </w:pPr>
      <w:r>
        <w:rPr>
          <w:lang w:val="en-US"/>
        </w:rPr>
        <w:t xml:space="preserve">To verify that our approximations are correct, we developed a Wright-Fisher model with mutation, selection and </w:t>
      </w:r>
      <w:proofErr w:type="gramStart"/>
      <w:r>
        <w:rPr>
          <w:lang w:val="en-US"/>
        </w:rPr>
        <w:t xml:space="preserve">random </w:t>
      </w:r>
      <w:r w:rsidR="0045619C">
        <w:rPr>
          <w:lang w:val="en-US"/>
        </w:rPr>
        <w:t xml:space="preserve"> genetic</w:t>
      </w:r>
      <w:proofErr w:type="gramEnd"/>
      <w:r w:rsidR="0045619C">
        <w:rPr>
          <w:lang w:val="en-US"/>
        </w:rPr>
        <w:t xml:space="preserve"> </w:t>
      </w:r>
      <w:r>
        <w:rPr>
          <w:lang w:val="en-US"/>
        </w:rPr>
        <w:t>drift.</w:t>
      </w:r>
      <w:r w:rsidR="002E1D1A">
        <w:rPr>
          <w:lang w:val="en-US"/>
        </w:rPr>
        <w:t xml:space="preserve"> The main differences between the analytical model and the stochastic simulations are described here, for more details on the design of the simulations please refer to </w:t>
      </w:r>
      <w:r w:rsidR="0045619C">
        <w:rPr>
          <w:lang w:val="en-US"/>
        </w:rPr>
        <w:t xml:space="preserve">X: </w:t>
      </w:r>
      <w:r w:rsidR="002E1D1A">
        <w:rPr>
          <w:lang w:val="en-US"/>
        </w:rPr>
        <w:t>(</w:t>
      </w:r>
      <w:proofErr w:type="spellStart"/>
      <w:r w:rsidR="002E1D1A">
        <w:rPr>
          <w:lang w:val="en-US"/>
        </w:rPr>
        <w:t>i</w:t>
      </w:r>
      <w:proofErr w:type="spellEnd"/>
      <w:r w:rsidR="002E1D1A">
        <w:rPr>
          <w:lang w:val="en-US"/>
        </w:rPr>
        <w:t xml:space="preserve">) </w:t>
      </w:r>
      <w:r w:rsidR="00374508">
        <w:rPr>
          <w:lang w:val="en-US"/>
        </w:rPr>
        <w:t xml:space="preserve">The </w:t>
      </w:r>
      <w:r w:rsidR="002E1D1A">
        <w:rPr>
          <w:lang w:val="en-US"/>
        </w:rPr>
        <w:t xml:space="preserve">simulations </w:t>
      </w:r>
      <w:r w:rsidR="00374508">
        <w:rPr>
          <w:lang w:val="en-US"/>
        </w:rPr>
        <w:t>incorporates genetic drift by random</w:t>
      </w:r>
      <w:r w:rsidR="0045619C">
        <w:rPr>
          <w:lang w:val="en-US"/>
        </w:rPr>
        <w:t>ly</w:t>
      </w:r>
      <w:r w:rsidR="00374508">
        <w:rPr>
          <w:lang w:val="en-US"/>
        </w:rPr>
        <w:t xml:space="preserve"> sampling each generation </w:t>
      </w:r>
      <w:r w:rsidR="00374508">
        <w:rPr>
          <w:lang w:val="en-US"/>
        </w:rPr>
        <w:lastRenderedPageBreak/>
        <w:t>from the previous one using a multinomial distribution.</w:t>
      </w:r>
      <w:r w:rsidR="002E1D1A">
        <w:rPr>
          <w:lang w:val="en-US"/>
        </w:rPr>
        <w:t xml:space="preserve"> (ii) </w:t>
      </w:r>
      <w:r w:rsidR="00374508">
        <w:rPr>
          <w:lang w:val="en-US"/>
        </w:rPr>
        <w:t>Individuals with deleterious mutat</w:t>
      </w:r>
      <w:r w:rsidR="0045619C">
        <w:rPr>
          <w:lang w:val="en-US"/>
        </w:rPr>
        <w:t>ions are not "evolutionary dead-</w:t>
      </w:r>
      <w:r w:rsidR="00374508">
        <w:rPr>
          <w:lang w:val="en-US"/>
        </w:rPr>
        <w:t>end</w:t>
      </w:r>
      <w:r w:rsidR="0045619C">
        <w:rPr>
          <w:lang w:val="en-US"/>
        </w:rPr>
        <w:t xml:space="preserve">s" - </w:t>
      </w:r>
      <w:r w:rsidR="00374508">
        <w:rPr>
          <w:lang w:val="en-US"/>
        </w:rPr>
        <w:t xml:space="preserve">individuals are allowed to accumulate up to </w:t>
      </w:r>
      <w:r w:rsidR="00374508">
        <w:rPr>
          <w:i/>
          <w:iCs/>
          <w:lang w:val="en-US"/>
        </w:rPr>
        <w:t>G=25</w:t>
      </w:r>
      <w:r w:rsidR="00374508">
        <w:rPr>
          <w:lang w:val="en-US"/>
        </w:rPr>
        <w:t xml:space="preserve"> deleterious mutations.</w:t>
      </w:r>
      <w:r w:rsidR="002E1D1A">
        <w:rPr>
          <w:lang w:val="en-US"/>
        </w:rPr>
        <w:t xml:space="preserve"> (iii) </w:t>
      </w:r>
      <w:r w:rsidR="00374508">
        <w:rPr>
          <w:lang w:val="en-US"/>
        </w:rPr>
        <w:t xml:space="preserve">Simulations start with a </w:t>
      </w:r>
      <w:proofErr w:type="spellStart"/>
      <w:r w:rsidR="00374508">
        <w:rPr>
          <w:lang w:val="en-US"/>
        </w:rPr>
        <w:t>wildtype</w:t>
      </w:r>
      <w:proofErr w:type="spellEnd"/>
      <w:r w:rsidR="00374508">
        <w:rPr>
          <w:lang w:val="en-US"/>
        </w:rPr>
        <w:t xml:space="preserve">, mutation-free population and after reaching MSB </w:t>
      </w:r>
      <w:r w:rsidR="0045619C">
        <w:rPr>
          <w:lang w:val="en-US"/>
        </w:rPr>
        <w:t xml:space="preserve">the environment is changed so that </w:t>
      </w:r>
      <w:r w:rsidR="0045619C" w:rsidRPr="0045619C">
        <w:rPr>
          <w:i/>
          <w:iCs/>
          <w:lang w:val="en-US"/>
        </w:rPr>
        <w:t>AB</w:t>
      </w:r>
      <w:r w:rsidR="0045619C">
        <w:rPr>
          <w:lang w:val="en-US"/>
        </w:rPr>
        <w:t xml:space="preserve"> is advantageous</w:t>
      </w:r>
      <w:r w:rsidR="00374508">
        <w:rPr>
          <w:lang w:val="en-US"/>
        </w:rPr>
        <w:t>.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sidR="00374508">
        <w:rPr>
          <w:lang w:val="en-US"/>
        </w:rPr>
        <w:t>r</w:t>
      </w:r>
      <w:r w:rsidR="002E1D1A">
        <w:rPr>
          <w:lang w:val="en-US"/>
        </w:rPr>
        <w:t>a</w:t>
      </w:r>
      <w:r w:rsidR="00374508">
        <w:rPr>
          <w:lang w:val="en-US"/>
        </w:rPr>
        <w:t>n simulations in which selection and mutation were at the same order of magnitude,</w:t>
      </w:r>
      <w:r w:rsidR="0045619C">
        <w:rPr>
          <w:lang w:val="en-US"/>
        </w:rPr>
        <w:t xml:space="preserve"> violating constraint </w:t>
      </w:r>
      <w:r w:rsidR="0045619C">
        <w:rPr>
          <w:lang w:val="en-US"/>
        </w:rPr>
        <w:fldChar w:fldCharType="begin"/>
      </w:r>
      <w:r w:rsidR="0045619C">
        <w:rPr>
          <w:lang w:val="en-US"/>
        </w:rPr>
        <w:instrText xml:space="preserve"> REF _Ref354149705 \h </w:instrText>
      </w:r>
      <w:r w:rsidR="0045619C">
        <w:rPr>
          <w:lang w:val="en-US"/>
        </w:rPr>
      </w:r>
      <w:r w:rsidR="0045619C">
        <w:rPr>
          <w:lang w:val="en-US"/>
        </w:rPr>
        <w:fldChar w:fldCharType="separate"/>
      </w:r>
      <w:r w:rsidR="0045619C">
        <w:rPr>
          <w:lang w:val="en-US"/>
        </w:rPr>
        <w:t>(</w:t>
      </w:r>
      <w:r w:rsidR="0045619C">
        <w:rPr>
          <w:noProof/>
          <w:lang w:val="en-US"/>
        </w:rPr>
        <w:t>1</w:t>
      </w:r>
      <w:r w:rsidR="0045619C">
        <w:rPr>
          <w:lang w:val="en-US"/>
        </w:rPr>
        <w:t>)</w:t>
      </w:r>
      <w:r w:rsidR="0045619C">
        <w:rPr>
          <w:lang w:val="en-US"/>
        </w:rPr>
        <w:fldChar w:fldCharType="end"/>
      </w:r>
      <w:r w:rsidR="0045619C">
        <w:rPr>
          <w:lang w:val="en-US"/>
        </w:rPr>
        <w:t>. (v)</w:t>
      </w:r>
      <w:r w:rsidR="00374508">
        <w:rPr>
          <w:lang w:val="en-US"/>
        </w:rPr>
        <w:t xml:space="preserve"> </w:t>
      </w:r>
      <w:proofErr w:type="gramStart"/>
      <w:r w:rsidR="0045619C">
        <w:rPr>
          <w:lang w:val="en-US"/>
        </w:rPr>
        <w:t>we</w:t>
      </w:r>
      <w:proofErr w:type="gramEnd"/>
      <w:r w:rsidR="0045619C">
        <w:rPr>
          <w:lang w:val="en-US"/>
        </w:rPr>
        <w:t xml:space="preserve"> also ran </w:t>
      </w:r>
      <w:r w:rsidR="00374508">
        <w:rPr>
          <w:lang w:val="en-US"/>
        </w:rPr>
        <w:t xml:space="preserve">simulations in which the population size is lower or higher </w:t>
      </w:r>
      <w:r w:rsidR="0045619C">
        <w:rPr>
          <w:lang w:val="en-US"/>
        </w:rPr>
        <w:t xml:space="preserve">than in </w:t>
      </w:r>
      <w:r w:rsidR="00374508">
        <w:rPr>
          <w:lang w:val="en-US"/>
        </w:rPr>
        <w:t>constraint</w:t>
      </w:r>
      <w:r w:rsidR="0045619C">
        <w:rPr>
          <w:lang w:val="en-US"/>
        </w:rPr>
        <w:t xml:space="preserve"> </w:t>
      </w:r>
      <w:r w:rsidR="00374508">
        <w:rPr>
          <w:lang w:val="en-US"/>
        </w:rPr>
        <w:fldChar w:fldCharType="begin"/>
      </w:r>
      <w:r w:rsidR="00374508">
        <w:rPr>
          <w:lang w:val="en-US"/>
        </w:rPr>
        <w:instrText xml:space="preserve"> REF _Ref354129072 \h </w:instrText>
      </w:r>
      <w:r w:rsidR="00374508">
        <w:rPr>
          <w:lang w:val="en-US"/>
        </w:rPr>
      </w:r>
      <w:r w:rsidR="00374508">
        <w:rPr>
          <w:lang w:val="en-US"/>
        </w:rPr>
        <w:fldChar w:fldCharType="separate"/>
      </w:r>
      <w:r w:rsidR="00CF2388">
        <w:rPr>
          <w:lang w:val="en-US"/>
        </w:rPr>
        <w:t>(</w:t>
      </w:r>
      <w:r w:rsidR="00CF2388">
        <w:rPr>
          <w:noProof/>
          <w:lang w:val="en-US"/>
        </w:rPr>
        <w:t>2</w:t>
      </w:r>
      <w:r w:rsidR="00CF2388">
        <w:rPr>
          <w:lang w:val="en-US"/>
        </w:rPr>
        <w:t>)</w:t>
      </w:r>
      <w:r w:rsidR="00374508">
        <w:rPr>
          <w:lang w:val="en-US"/>
        </w:rPr>
        <w:fldChar w:fldCharType="end"/>
      </w:r>
      <w:r w:rsidR="00374508">
        <w:rPr>
          <w:lang w:val="en-US"/>
        </w:rPr>
        <w:t>.</w:t>
      </w:r>
    </w:p>
    <w:p w:rsidR="002E1D1A" w:rsidRDefault="002E1D1A" w:rsidP="002E1D1A">
      <w:pPr>
        <w:ind w:firstLine="0"/>
        <w:rPr>
          <w:lang w:val="en-US"/>
        </w:rPr>
      </w:pPr>
      <w:r>
        <w:rPr>
          <w:lang w:val="en-US"/>
        </w:rPr>
        <w:t>Of course, an analytical model is preferable to simulations as it allows us to reach general conclusions</w:t>
      </w:r>
      <w:r w:rsidR="0045619C">
        <w:rPr>
          <w:lang w:val="en-US"/>
        </w:rPr>
        <w:t>,</w:t>
      </w:r>
      <w:r>
        <w:rPr>
          <w:lang w:val="en-US"/>
        </w:rPr>
        <w:t xml:space="preserve"> where</w:t>
      </w:r>
      <w:r w:rsidR="0045619C">
        <w:rPr>
          <w:lang w:val="en-US"/>
        </w:rPr>
        <w:t>as</w:t>
      </w:r>
      <w:r>
        <w:rPr>
          <w:lang w:val="en-US"/>
        </w:rPr>
        <w:t xml:space="preserv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sidR="0045619C">
        <w:rPr>
          <w:rStyle w:val="Hyperlink"/>
          <w:lang w:val="en-US"/>
        </w:rPr>
        <w:t>.git</w:t>
      </w:r>
      <w:r w:rsidR="0045619C">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4F792E" w:rsidRDefault="004F792E" w:rsidP="004F792E">
      <w:pPr>
        <w:ind w:firstLine="0"/>
        <w:rPr>
          <w:lang w:val="en-US"/>
        </w:rPr>
      </w:pPr>
      <w:r>
        <w:rPr>
          <w:lang w:val="en-US"/>
        </w:rPr>
        <w:t xml:space="preserve">We used first-order approximations to produce expressions which are easy to understand and compare (see </w:t>
      </w:r>
      <w:r>
        <w:rPr>
          <w:lang w:val="en-US"/>
        </w:rPr>
        <w:fldChar w:fldCharType="begin"/>
      </w:r>
      <w:r>
        <w:rPr>
          <w:lang w:val="en-US"/>
        </w:rPr>
        <w:instrText xml:space="preserve"> REF _Ref354319905 \r \h </w:instrText>
      </w:r>
      <w:r>
        <w:rPr>
          <w:lang w:val="en-US"/>
        </w:rPr>
      </w:r>
      <w:r>
        <w:rPr>
          <w:lang w:val="en-US"/>
        </w:rPr>
        <w:fldChar w:fldCharType="separate"/>
      </w:r>
      <w:r>
        <w:rPr>
          <w:rFonts w:hint="eastAsia"/>
          <w:cs/>
          <w:lang w:val="en-US"/>
        </w:rPr>
        <w:t>‎</w:t>
      </w:r>
      <w:r>
        <w:rPr>
          <w:lang w:val="en-US"/>
        </w:rPr>
        <w:t>11.2</w:t>
      </w:r>
      <w:r>
        <w:rPr>
          <w:lang w:val="en-US"/>
        </w:rPr>
        <w:fldChar w:fldCharType="end"/>
      </w:r>
      <w:r>
        <w:rPr>
          <w:lang w:val="en-US"/>
        </w:rPr>
        <w:t xml:space="preserve"> for full derivation of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ind w:firstLine="0"/>
        <w:rPr>
          <w:lang w:val="en-US"/>
        </w:rPr>
      </w:pPr>
      <w:r>
        <w:rPr>
          <w:lang w:val="en-US"/>
        </w:rPr>
        <w:t>For the probability</w:t>
      </w:r>
      <w:r w:rsidR="00BF4B19">
        <w:rPr>
          <w:lang w:val="en-US"/>
        </w:rPr>
        <w:t xml:space="preserve"> </w:t>
      </w:r>
      <w:r w:rsidR="00BF4B19">
        <w:rPr>
          <w:i/>
          <w:iCs/>
          <w:lang w:val="en-US"/>
        </w:rPr>
        <w:t>q</w:t>
      </w:r>
      <w:r>
        <w:rPr>
          <w:lang w:val="en-US"/>
        </w:rPr>
        <w:t xml:space="preserve">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4" w:name="_Ref354151750"/>
          <w:p w:rsidR="00F70828" w:rsidRDefault="0069424B"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5"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5"/>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69424B"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6"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6"/>
          </w:p>
        </w:tc>
      </w:tr>
    </w:tbl>
    <w:p w:rsidR="00BA00E0" w:rsidRPr="00BA00E0" w:rsidRDefault="00BA00E0" w:rsidP="004F792E">
      <w:pPr>
        <w:ind w:firstLine="0"/>
        <w:rPr>
          <w:lang w:val="en-US"/>
        </w:rPr>
      </w:pPr>
      <w:r>
        <w:rPr>
          <w:lang w:val="en-US"/>
        </w:rPr>
        <w:t xml:space="preserve">For comparisons of </w:t>
      </w:r>
      <w:proofErr w:type="spellStart"/>
      <w:r w:rsidR="004F792E">
        <w:rPr>
          <w:lang w:val="en-US"/>
        </w:rPr>
        <w:t>of</w:t>
      </w:r>
      <w:proofErr w:type="spellEnd"/>
      <w:r w:rsidR="004F792E">
        <w:rPr>
          <w:lang w:val="en-US"/>
        </w:rPr>
        <w:t xml:space="preserve"> this </w:t>
      </w:r>
      <w:proofErr w:type="spellStart"/>
      <w:r w:rsidR="004F792E">
        <w:rPr>
          <w:lang w:val="en-US"/>
        </w:rPr>
        <w:t>approximaitons</w:t>
      </w:r>
      <w:proofErr w:type="spellEnd"/>
      <w:r w:rsidR="004F792E">
        <w:rPr>
          <w:lang w:val="en-US"/>
        </w:rPr>
        <w:t xml:space="preserve"> with the full expressions</w:t>
      </w:r>
      <w:r>
        <w:rPr>
          <w:lang w:val="en-US"/>
        </w:rPr>
        <w:t xml:space="preserve"> see Fig. X.</w:t>
      </w:r>
    </w:p>
    <w:p w:rsidR="0071403C" w:rsidRDefault="00815CB8" w:rsidP="0071403C">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w:t>
      </w:r>
      <w:r w:rsidR="00BF4B19">
        <w:rPr>
          <w:lang w:val="en-US"/>
        </w:rPr>
        <w:t xml:space="preserve"> (</w:t>
      </w:r>
      <w:r w:rsidR="00BF4B19" w:rsidRPr="00BF4B19">
        <w:rPr>
          <w:rFonts w:ascii="Times New Roman" w:hAnsi="Times New Roman"/>
          <w:i/>
          <w:iCs/>
          <w:lang w:val="en-US"/>
        </w:rPr>
        <w:t>π</w:t>
      </w:r>
      <w:r w:rsidR="00BF4B19" w:rsidRPr="00BF4B19">
        <w:rPr>
          <w:i/>
          <w:iCs/>
          <w:lang w:val="en-US"/>
        </w:rPr>
        <w:t>=1</w:t>
      </w:r>
      <w:r w:rsidR="00BF4B19">
        <w:rPr>
          <w:lang w:val="en-US"/>
        </w:rPr>
        <w:t>)</w:t>
      </w:r>
      <w:r w:rsidR="00F70828">
        <w:rPr>
          <w:lang w:val="en-US"/>
        </w:rPr>
        <w:t xml:space="preserve"> but the </w:t>
      </w:r>
      <w:r w:rsidR="0071403C">
        <w:rPr>
          <w:lang w:val="en-US"/>
        </w:rPr>
        <w:t xml:space="preserve">second </w:t>
      </w:r>
      <w:r w:rsidR="00F70828">
        <w:rPr>
          <w:lang w:val="en-US"/>
        </w:rPr>
        <w:t xml:space="preserve">term </w:t>
      </w:r>
      <w:r w:rsidR="0071403C">
        <w:rPr>
          <w:lang w:val="en-US"/>
        </w:rPr>
        <w:t xml:space="preserve">is </w:t>
      </w:r>
      <w:r w:rsidR="00F70828">
        <w:rPr>
          <w:lang w:val="en-US"/>
        </w:rPr>
        <w:t>larger with stress-induction</w:t>
      </w:r>
      <w:r w:rsidR="00BF4B19">
        <w:rPr>
          <w:lang w:val="en-US"/>
        </w:rPr>
        <w:t xml:space="preserve"> (</w:t>
      </w:r>
      <w:r w:rsidR="00BF4B19" w:rsidRPr="00BF4B19">
        <w:rPr>
          <w:rFonts w:asciiTheme="majorBidi" w:hAnsiTheme="majorBidi" w:cstheme="majorBidi"/>
          <w:i/>
          <w:iCs/>
          <w:lang w:val="en-US"/>
        </w:rPr>
        <w:t>π</w:t>
      </w:r>
      <w:r w:rsidR="00BF4B19">
        <w:rPr>
          <w:rFonts w:asciiTheme="majorBidi" w:hAnsiTheme="majorBidi" w:cstheme="majorBidi"/>
          <w:i/>
          <w:iCs/>
          <w:lang w:val="en-US"/>
        </w:rPr>
        <w:t>&gt;</w:t>
      </w:r>
      <w:r w:rsidR="00BF4B19" w:rsidRPr="00BF4B19">
        <w:rPr>
          <w:rFonts w:asciiTheme="majorBidi" w:hAnsiTheme="majorBidi" w:cstheme="majorBidi"/>
          <w:i/>
          <w:iCs/>
          <w:lang w:val="en-US"/>
        </w:rPr>
        <w:t>1</w:t>
      </w:r>
      <w:r w:rsidR="00BF4B19">
        <w:rPr>
          <w:lang w:val="en-US"/>
        </w:rPr>
        <w:t>)</w:t>
      </w:r>
      <w:r w:rsidR="00F70828">
        <w:rPr>
          <w:lang w:val="en-US"/>
        </w:rPr>
        <w:t xml:space="preserve">. </w:t>
      </w:r>
      <w:r w:rsidR="00BF4B19">
        <w:rPr>
          <w:lang w:val="en-US"/>
        </w:rPr>
        <w:t>Taking the derivative</w:t>
      </w:r>
    </w:p>
    <w:p w:rsidR="0071403C" w:rsidRDefault="0069424B" w:rsidP="0071403C">
      <w:pPr>
        <w:ind w:firstLine="0"/>
        <w:rPr>
          <w:lang w:val="en-US"/>
        </w:rPr>
      </w:pPr>
      <m:oMathPara>
        <m:oMath>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num>
            <m:den>
              <m:r>
                <w:rPr>
                  <w:rFonts w:ascii="Cambria Math" w:hAnsi="Cambria Math"/>
                  <w:lang w:val="en-US"/>
                </w:rPr>
                <m:t>dτ</m:t>
              </m:r>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1-2τU</m:t>
              </m:r>
            </m:e>
          </m:d>
        </m:oMath>
      </m:oMathPara>
    </w:p>
    <w:p w:rsidR="0069172E" w:rsidRDefault="0071403C" w:rsidP="004F792E">
      <w:pPr>
        <w:ind w:firstLine="0"/>
        <w:rPr>
          <w:lang w:val="en-US"/>
        </w:rPr>
      </w:pPr>
      <w:proofErr w:type="gramStart"/>
      <w:r>
        <w:rPr>
          <w:lang w:val="en-US"/>
        </w:rPr>
        <w:t>we</w:t>
      </w:r>
      <w:proofErr w:type="gramEnd"/>
      <w:r>
        <w:rPr>
          <w:lang w:val="en-US"/>
        </w:rPr>
        <w:t xml:space="preserve"> can see that if </w:t>
      </w:r>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2U</m:t>
            </m:r>
          </m:den>
        </m:f>
      </m:oMath>
      <w:r>
        <w:rPr>
          <w:lang w:val="en-US"/>
        </w:rPr>
        <w:t xml:space="preserve"> then increasing </w:t>
      </w:r>
      <w:r w:rsidRPr="0071403C">
        <w:rPr>
          <w:rFonts w:ascii="Times New Roman" w:hAnsi="Times New Roman"/>
          <w:i/>
          <w:iCs/>
          <w:lang w:val="en-US"/>
        </w:rPr>
        <w:t>τ</w:t>
      </w:r>
      <w:r>
        <w:rPr>
          <w:lang w:val="en-US"/>
        </w:rPr>
        <w:t xml:space="preserve"> increases the appearance probability of the double mutant (</w:t>
      </w:r>
      <w:r w:rsidR="00F70828">
        <w:rPr>
          <w:lang w:val="en-US"/>
        </w:rPr>
        <w:t>Fig</w:t>
      </w:r>
      <w:r>
        <w:rPr>
          <w:lang w:val="en-US"/>
        </w:rPr>
        <w:t>. X).</w:t>
      </w:r>
    </w:p>
    <w:p w:rsidR="0023771A" w:rsidRDefault="0023771A" w:rsidP="00FE1408">
      <w:pPr>
        <w:pStyle w:val="Heading3"/>
        <w:rPr>
          <w:lang w:val="en-US"/>
        </w:rPr>
      </w:pPr>
      <w:r>
        <w:rPr>
          <w:lang w:val="en-US"/>
        </w:rPr>
        <w:lastRenderedPageBreak/>
        <w:t>Fixation of a double mutation</w:t>
      </w:r>
    </w:p>
    <w:p w:rsidR="0023771A" w:rsidRDefault="004F792E" w:rsidP="00485817">
      <w:pPr>
        <w:pStyle w:val="Firstparagraph"/>
        <w:rPr>
          <w:lang w:val="en-US"/>
        </w:rPr>
      </w:pPr>
      <w:r>
        <w:rPr>
          <w:lang w:val="en-US"/>
        </w:rPr>
        <w:t>T</w:t>
      </w:r>
      <w:r w:rsidR="0023771A">
        <w:rPr>
          <w:lang w:val="en-US"/>
        </w:rPr>
        <w:t>he</w:t>
      </w:r>
      <w:r>
        <w:rPr>
          <w:lang w:val="en-US"/>
        </w:rPr>
        <w:t xml:space="preserve"> approximations for the</w:t>
      </w:r>
      <w:r w:rsidR="0023771A">
        <w:rPr>
          <w:lang w:val="en-US"/>
        </w:rPr>
        <w:t xml:space="preserve"> fixation probability of a double mutant with and without stress-induced mutation are (see Eq. </w:t>
      </w:r>
      <w:r w:rsidR="0023771A">
        <w:rPr>
          <w:lang w:val="en-US"/>
        </w:rPr>
        <w:fldChar w:fldCharType="begin"/>
      </w:r>
      <w:r w:rsidR="0023771A">
        <w:rPr>
          <w:lang w:val="en-US"/>
        </w:rPr>
        <w:instrText xml:space="preserve"> REF _Ref354134928 \h </w:instrText>
      </w:r>
      <w:r w:rsidR="0023771A">
        <w:rPr>
          <w:lang w:val="en-US"/>
        </w:rPr>
      </w:r>
      <w:r w:rsidR="0023771A">
        <w:rPr>
          <w:lang w:val="en-US"/>
        </w:rPr>
        <w:fldChar w:fldCharType="separate"/>
      </w:r>
      <w:r w:rsidR="00CF2388">
        <w:rPr>
          <w:lang w:val="en-US"/>
        </w:rPr>
        <w:t>(</w:t>
      </w:r>
      <w:r w:rsidR="00CF2388">
        <w:rPr>
          <w:noProof/>
          <w:lang w:val="en-US"/>
        </w:rPr>
        <w:t>9</w:t>
      </w:r>
      <w:r w:rsidR="00CF2388">
        <w:rPr>
          <w:lang w:val="en-US"/>
        </w:rPr>
        <w:t>)</w:t>
      </w:r>
      <w:r w:rsidR="0023771A">
        <w:rPr>
          <w:lang w:val="en-US"/>
        </w:rPr>
        <w:fldChar w:fldCharType="end"/>
      </w:r>
      <w:r w:rsidR="0023771A">
        <w:rPr>
          <w:lang w:val="en-US"/>
        </w:rPr>
        <w:t xml:space="preserve"> and</w:t>
      </w:r>
      <w:r w:rsidR="00485817">
        <w:rPr>
          <w:lang w:val="en-US"/>
        </w:rPr>
        <w:t xml:space="preserve"> </w:t>
      </w:r>
      <w:r w:rsidR="0023771A">
        <w:rPr>
          <w:lang w:val="en-US"/>
        </w:rPr>
        <w:fldChar w:fldCharType="begin"/>
      </w:r>
      <w:r w:rsidR="0023771A">
        <w:rPr>
          <w:lang w:val="en-US"/>
        </w:rPr>
        <w:instrText xml:space="preserve"> REF _Ref354319905 \r \h </w:instrText>
      </w:r>
      <w:r w:rsidR="0023771A">
        <w:rPr>
          <w:lang w:val="en-US"/>
        </w:rPr>
      </w:r>
      <w:r w:rsidR="0023771A">
        <w:rPr>
          <w:lang w:val="en-US"/>
        </w:rPr>
        <w:fldChar w:fldCharType="separate"/>
      </w:r>
      <w:r w:rsidR="00CF2388">
        <w:rPr>
          <w:rFonts w:hint="eastAsia"/>
          <w:cs/>
          <w:lang w:val="en-US"/>
        </w:rPr>
        <w:t>‎</w:t>
      </w:r>
      <w:r w:rsidR="00CF2388">
        <w:rPr>
          <w:lang w:val="en-US"/>
        </w:rPr>
        <w:t>11.2</w:t>
      </w:r>
      <w:r w:rsidR="0023771A">
        <w:rPr>
          <w:lang w:val="en-US"/>
        </w:rPr>
        <w:fldChar w:fldCharType="end"/>
      </w:r>
      <w:r w:rsidR="0023771A">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69424B" w:rsidP="00BA6C16">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69424B" w:rsidP="00485817">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7"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7"/>
          </w:p>
        </w:tc>
      </w:tr>
    </w:tbl>
    <w:p w:rsidR="00C14B16" w:rsidRPr="0062347C" w:rsidRDefault="00C14B16" w:rsidP="0062347C">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w:t>
      </w:r>
      <w:r w:rsidR="00485817">
        <w:rPr>
          <w:lang w:val="en-US"/>
        </w:rPr>
        <w:t>expressions suggest</w:t>
      </w:r>
      <w:r w:rsidR="00531BBB">
        <w:rPr>
          <w:lang w:val="en-US"/>
        </w:rPr>
        <w:t xml:space="preserve"> that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&gt;ρ</m:t>
        </m:r>
      </m:oMath>
      <w:r w:rsidR="00485817">
        <w:rPr>
          <w:lang w:val="en-US"/>
        </w:rPr>
        <w:t xml:space="preserve"> and </w:t>
      </w:r>
      <w:r w:rsidR="00A94E1E">
        <w:rPr>
          <w:lang w:val="en-US"/>
        </w:rPr>
        <w:t>stress-induced mutation increases the fixation probability of the double mutant. This</w:t>
      </w:r>
      <w:r w:rsidR="00815CB8">
        <w:rPr>
          <w:lang w:val="en-US"/>
        </w:rPr>
        <w:t xml:space="preserve"> </w:t>
      </w:r>
      <w:r w:rsidR="00485817">
        <w:rPr>
          <w:lang w:val="en-US"/>
        </w:rPr>
        <w:t xml:space="preserve">effect </w:t>
      </w:r>
      <w:r w:rsidR="00815CB8">
        <w:rPr>
          <w:lang w:val="en-US"/>
        </w:rPr>
        <w:t xml:space="preserve">occurs </w:t>
      </w:r>
      <w:r w:rsidR="00A94E1E">
        <w:rPr>
          <w:lang w:val="en-US"/>
        </w:rPr>
        <w:t xml:space="preserve">because stress-induced mutation increases the </w:t>
      </w:r>
      <w:r w:rsidR="00485817">
        <w:rPr>
          <w:lang w:val="en-US"/>
        </w:rPr>
        <w:t>fitness</w:t>
      </w:r>
      <w:r w:rsidR="00A94E1E">
        <w:rPr>
          <w:lang w:val="en-US"/>
        </w:rPr>
        <w:t xml:space="preserve"> variation in the population due to higher mutation rates in maladapted individuals</w:t>
      </w:r>
      <w:r w:rsidR="00485817">
        <w:rPr>
          <w:lang w:val="en-US"/>
        </w:rPr>
        <w:t xml:space="preserve"> and therefore increases the rate of fitness increase (</w:t>
      </w:r>
      <w:r w:rsidR="00485817">
        <w:rPr>
          <w:i/>
          <w:iCs/>
          <w:lang w:val="en-US"/>
        </w:rPr>
        <w:t>the fundamental theorem of natural selection</w:t>
      </w:r>
      <w:r w:rsidR="00485817">
        <w:rPr>
          <w:lang w:val="en-US"/>
        </w:rPr>
        <w:t>)</w:t>
      </w:r>
      <w:r w:rsidR="00A94E1E">
        <w:rPr>
          <w:lang w:val="en-US"/>
        </w:rPr>
        <w:t xml:space="preserve">.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485817">
        <w:rPr>
          <w:lang w:val="en-US"/>
        </w:rPr>
        <w:t>, but it</w:t>
      </w:r>
      <w:r w:rsidR="00A94E1E">
        <w:rPr>
          <w:lang w:val="en-US"/>
        </w:rPr>
        <w:t xml:space="preserve"> does not depend on benefi</w:t>
      </w:r>
      <w:r w:rsidR="00485817">
        <w:rPr>
          <w:lang w:val="en-US"/>
        </w:rPr>
        <w:t xml:space="preserve">cial </w:t>
      </w:r>
      <w:proofErr w:type="spellStart"/>
      <w:r w:rsidR="00485817">
        <w:rPr>
          <w:lang w:val="en-US"/>
        </w:rPr>
        <w:t>mutaitions</w:t>
      </w:r>
      <w:proofErr w:type="spellEnd"/>
      <w:r w:rsidR="00485817">
        <w:rPr>
          <w:lang w:val="en-US"/>
        </w:rPr>
        <w:t xml:space="preserve"> (</w:t>
      </w:r>
      <w:r w:rsidR="00A94E1E">
        <w:rPr>
          <w:rFonts w:ascii="Times New Roman" w:hAnsi="Times New Roman"/>
          <w:i/>
          <w:iCs/>
          <w:lang w:val="en-US"/>
        </w:rPr>
        <w:t>µ</w:t>
      </w:r>
      <w:r w:rsidR="00485817">
        <w:rPr>
          <w:rFonts w:ascii="Times New Roman" w:hAnsi="Times New Roman"/>
          <w:i/>
          <w:iCs/>
          <w:lang w:val="en-US"/>
        </w:rPr>
        <w:t>)</w:t>
      </w:r>
      <w:r w:rsidR="00A94E1E">
        <w:rPr>
          <w:lang w:val="en-US"/>
        </w:rPr>
        <w:t xml:space="preserve">. </w:t>
      </w:r>
      <w:r w:rsidR="0062347C">
        <w:rPr>
          <w:lang w:val="en-US"/>
        </w:rPr>
        <w:t xml:space="preserve">However, note that the derivative of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oMath>
      <w:r w:rsidR="0062347C">
        <w:rPr>
          <w:lang w:val="en-US"/>
        </w:rPr>
        <w:t xml:space="preserve"> with respect to </w:t>
      </w:r>
      <w:r w:rsidR="0062347C" w:rsidRPr="00A94E1E">
        <w:rPr>
          <w:rFonts w:ascii="Times New Roman" w:hAnsi="Times New Roman"/>
          <w:i/>
          <w:iCs/>
          <w:lang w:val="en-US"/>
        </w:rPr>
        <w:t>τ</w:t>
      </w:r>
      <w:r w:rsidR="0062347C">
        <w:rPr>
          <w:lang w:val="en-US"/>
        </w:rPr>
        <w:t xml:space="preserve"> </w:t>
      </w:r>
      <w:proofErr w:type="gramStart"/>
      <w:r w:rsidR="0062347C">
        <w:rPr>
          <w:lang w:val="en-US"/>
        </w:rPr>
        <w:t xml:space="preserve">is </w:t>
      </w:r>
      <w:proofErr w:type="gramEnd"/>
      <m:oMath>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r>
          <w:rPr>
            <w:rFonts w:ascii="Cambria Math" w:hAnsi="Cambria Math"/>
            <w:lang w:val="en-US"/>
          </w:rPr>
          <m:t>≈O(</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oMath>
      <w:r w:rsidR="0062347C">
        <w:rPr>
          <w:lang w:val="en-US"/>
        </w:rPr>
        <w:t xml:space="preserve">, increasing </w:t>
      </w:r>
      <w:r w:rsidR="0062347C" w:rsidRPr="00A94E1E">
        <w:rPr>
          <w:rFonts w:ascii="Times New Roman" w:hAnsi="Times New Roman"/>
          <w:i/>
          <w:iCs/>
          <w:lang w:val="en-US"/>
        </w:rPr>
        <w:t>τ</w:t>
      </w:r>
      <w:r w:rsidR="0062347C">
        <w:rPr>
          <w:lang w:val="en-US"/>
        </w:rPr>
        <w:t xml:space="preserve"> only has a mild effect on the increase of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oMath>
      <w:r w:rsidR="0062347C">
        <w:rPr>
          <w:lang w:val="en-US"/>
        </w:rPr>
        <w:t xml:space="preserve">. </w:t>
      </w:r>
      <w:bookmarkStart w:id="18" w:name="_GoBack"/>
      <w:bookmarkEnd w:id="18"/>
    </w:p>
    <w:p w:rsidR="009C6C69" w:rsidRDefault="00815CB8" w:rsidP="00FE1408">
      <w:pPr>
        <w:pStyle w:val="Heading3"/>
        <w:rPr>
          <w:lang w:val="en-US"/>
        </w:rPr>
      </w:pPr>
      <w:r>
        <w:rPr>
          <w:lang w:val="en-US"/>
        </w:rPr>
        <w:t>Adaptation rate</w:t>
      </w:r>
    </w:p>
    <w:p w:rsidR="009C6C69" w:rsidRDefault="009C6C69" w:rsidP="006F1C44">
      <w:pPr>
        <w:ind w:firstLine="0"/>
        <w:rPr>
          <w:lang w:val="en-US"/>
        </w:rPr>
      </w:pPr>
      <w:r>
        <w:rPr>
          <w:lang w:val="en-US"/>
        </w:rPr>
        <w:t>Without stress-induced mutation</w:t>
      </w:r>
      <w:r w:rsidR="00815CB8">
        <w:rPr>
          <w:lang w:val="en-US"/>
        </w:rPr>
        <w:t>,</w:t>
      </w:r>
      <w:r>
        <w:rPr>
          <w:lang w:val="en-US"/>
        </w:rPr>
        <w:t xml:space="preserve"> we plug in</w:t>
      </w:r>
      <w:r w:rsidR="000D0532">
        <w:rPr>
          <w:lang w:val="en-US"/>
        </w:rPr>
        <w:t xml:space="preserve"> </w:t>
      </w:r>
      <w:proofErr w:type="spellStart"/>
      <w:r>
        <w:rPr>
          <w:lang w:val="en-US"/>
        </w:rPr>
        <w:t>Eqs</w:t>
      </w:r>
      <w:proofErr w:type="spellEnd"/>
      <w:r>
        <w:rPr>
          <w:lang w:val="en-US"/>
        </w:rPr>
        <w:t xml:space="preserve">.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_Ref354319257 \h </w:instrText>
      </w:r>
      <w:r>
        <w:rPr>
          <w:lang w:val="en-US"/>
        </w:rPr>
      </w:r>
      <w:r>
        <w:rPr>
          <w:lang w:val="en-US"/>
        </w:rPr>
        <w:fldChar w:fldCharType="separate"/>
      </w:r>
      <w:r w:rsidR="00CF2388">
        <w:rPr>
          <w:lang w:val="en-US"/>
        </w:rPr>
        <w:t>(</w:t>
      </w:r>
      <w:r w:rsidR="00CF2388">
        <w:rPr>
          <w:noProof/>
          <w:lang w:val="en-US"/>
        </w:rPr>
        <w:t>13</w:t>
      </w:r>
      <w:r w:rsidR="00CF2388">
        <w:rPr>
          <w:lang w:val="en-US"/>
        </w:rPr>
        <w:t>)</w:t>
      </w:r>
      <w:r>
        <w:rPr>
          <w:lang w:val="en-US"/>
        </w:rPr>
        <w:fldChar w:fldCharType="end"/>
      </w:r>
      <w:r>
        <w:rPr>
          <w:lang w:val="en-US"/>
        </w:rPr>
        <w:t xml:space="preserve"> </w:t>
      </w:r>
      <w:r w:rsidR="006F1C44">
        <w:rPr>
          <w:lang w:val="en-US"/>
        </w:rPr>
        <w:t>in</w:t>
      </w:r>
      <w:r>
        <w:rPr>
          <w:lang w:val="en-US"/>
        </w:rPr>
        <w:t>to</w:t>
      </w:r>
      <w:r w:rsidR="006F1C44">
        <w:rPr>
          <w:lang w:val="en-US"/>
        </w:rPr>
        <w:t xml:space="preserve">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w:t>
      </w:r>
      <w:r>
        <w:rPr>
          <w:lang w:val="en-US"/>
        </w:rPr>
        <w:t xml:space="preserv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69424B"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9"/>
          </w:p>
        </w:tc>
      </w:tr>
    </w:tbl>
    <w:p w:rsidR="009C6C69" w:rsidRDefault="009C6C69" w:rsidP="006F1C44">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w:t>
      </w:r>
      <w:r w:rsidR="006F1C44">
        <w:rPr>
          <w:lang w:val="en-US"/>
        </w:rPr>
        <w:t xml:space="preserve">into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 </w:t>
      </w:r>
      <w:r>
        <w:rPr>
          <w:lang w:val="en-US"/>
        </w:rPr>
        <w:t>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69424B"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6F1C44">
      <w:pPr>
        <w:ind w:firstLine="0"/>
        <w:rPr>
          <w:lang w:val="en-US"/>
        </w:rPr>
      </w:pPr>
      <w:r>
        <w:rPr>
          <w:lang w:val="en-US"/>
        </w:rPr>
        <w:t xml:space="preserve">For example, </w:t>
      </w:r>
      <w:r w:rsidR="006F1C44">
        <w:rPr>
          <w:lang w:val="en-US"/>
        </w:rPr>
        <w:t>in</w:t>
      </w:r>
      <w:r>
        <w:rPr>
          <w:lang w:val="en-US"/>
        </w:rPr>
        <w:t xml:space="preserve"> </w:t>
      </w:r>
      <w:r w:rsidR="006F1C44">
        <w:rPr>
          <w:i/>
          <w:iCs/>
          <w:lang w:val="en-US"/>
        </w:rPr>
        <w:t xml:space="preserve">E. coli </w:t>
      </w:r>
      <w:r w:rsidR="00815CB8">
        <w:rPr>
          <w:lang w:val="en-US"/>
        </w:rPr>
        <w:t>the genomic mutation rate</w:t>
      </w:r>
      <w:r>
        <w:rPr>
          <w:lang w:val="en-US"/>
        </w:rPr>
        <w:t xml:space="preserve"> </w:t>
      </w:r>
      <w:r>
        <w:rPr>
          <w:i/>
          <w:iCs/>
          <w:lang w:val="en-US"/>
        </w:rPr>
        <w:t>U</w:t>
      </w:r>
      <w:r w:rsidR="006F1C44">
        <w:rPr>
          <w:lang w:val="en-US"/>
        </w:rPr>
        <w:t xml:space="preserve"> is estimated to be between</w:t>
      </w:r>
      <w:r>
        <w:rPr>
          <w:lang w:val="en-US"/>
        </w:rPr>
        <w:t xml:space="preserve"> 0.003 </w:t>
      </w:r>
      <w:r>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"mendeley" : { "previouslyFormattedCitation" : "[21]" }, "properties" : { "noteIndex" : 0 }, "schema" : "https://github.com/citation-style-language/schema/raw/master/csl-citation.json" }</w:instrText>
      </w:r>
      <w:r>
        <w:rPr>
          <w:lang w:val="en-US"/>
        </w:rPr>
        <w:fldChar w:fldCharType="separate"/>
      </w:r>
      <w:r w:rsidR="00195D75" w:rsidRPr="00195D75">
        <w:rPr>
          <w:noProof/>
          <w:lang w:val="en-US"/>
        </w:rPr>
        <w:t>[21]</w:t>
      </w:r>
      <w:r>
        <w:rPr>
          <w:lang w:val="en-US"/>
        </w:rPr>
        <w:fldChar w:fldCharType="end"/>
      </w:r>
      <w:r w:rsidR="006F1C44">
        <w:rPr>
          <w:lang w:val="en-US"/>
        </w:rPr>
        <w:t xml:space="preserve"> and 0.0004 </w:t>
      </w:r>
      <w:r w:rsidR="006F1C44">
        <w:rPr>
          <w:lang w:val="en-US"/>
        </w:rPr>
        <w:fldChar w:fldCharType="begin" w:fldLock="1"/>
      </w:r>
      <w:r w:rsidR="00195D75">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"[22]" }, "properties" : { "noteIndex" : 0 }, "schema" : "https://github.com/citation-style-language/schema/raw/master/csl-citation.json" }</w:instrText>
      </w:r>
      <w:r w:rsidR="006F1C44">
        <w:rPr>
          <w:lang w:val="en-US"/>
        </w:rPr>
        <w:fldChar w:fldCharType="separate"/>
      </w:r>
      <w:r w:rsidR="00195D75" w:rsidRPr="00195D75">
        <w:rPr>
          <w:noProof/>
          <w:lang w:val="en-US"/>
        </w:rPr>
        <w:t>[22]</w:t>
      </w:r>
      <w:r w:rsidR="006F1C44">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w:t>
      </w:r>
      <w:r w:rsidR="006F1C44">
        <w:rPr>
          <w:lang w:val="en-US"/>
        </w:rPr>
        <w:t xml:space="preserve"> and </w:t>
      </w:r>
      <w:r w:rsidRPr="00815CB8">
        <w:rPr>
          <w:lang w:val="en-US"/>
        </w:rPr>
        <w:t>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w:t>
      </w:r>
      <w:r w:rsidRPr="006F1C44">
        <w:rPr>
          <w:i/>
          <w:iCs/>
          <w:lang w:val="en-US"/>
        </w:rPr>
        <w:t>1</w:t>
      </w:r>
      <w:r>
        <w:rPr>
          <w:lang w:val="en-US"/>
        </w:rPr>
        <w:t xml:space="preserve">, which is </w:t>
      </w:r>
      <w:r w:rsidR="006F1C44">
        <w:rPr>
          <w:lang w:val="en-US"/>
        </w:rPr>
        <w:t xml:space="preserve">probably </w:t>
      </w:r>
      <w:r>
        <w:rPr>
          <w:lang w:val="en-US"/>
        </w:rPr>
        <w:t>t</w:t>
      </w:r>
      <w:r w:rsidR="00815CB8">
        <w:rPr>
          <w:lang w:val="en-US"/>
        </w:rPr>
        <w:t>o</w:t>
      </w:r>
      <w:r w:rsidR="006F1C44">
        <w:rPr>
          <w:lang w:val="en-US"/>
        </w:rPr>
        <w:t>o high for single cell organisms.</w:t>
      </w:r>
    </w:p>
    <w:p w:rsidR="00FE1408" w:rsidRDefault="00FE1408" w:rsidP="00FE1408">
      <w:pPr>
        <w:pStyle w:val="Heading2"/>
        <w:rPr>
          <w:lang w:val="en-US"/>
        </w:rPr>
      </w:pPr>
      <w:r>
        <w:rPr>
          <w:lang w:val="en-US"/>
        </w:rPr>
        <w:t>Simulation results</w:t>
      </w:r>
    </w:p>
    <w:p w:rsidR="00FE1408" w:rsidRDefault="00653729" w:rsidP="008C4383">
      <w:pPr>
        <w:pStyle w:val="Firstparagraph"/>
        <w:rPr>
          <w:lang w:val="en-US"/>
        </w:rPr>
      </w:pPr>
      <w:r>
        <w:rPr>
          <w:lang w:val="en-US"/>
        </w:rPr>
        <w:t xml:space="preserve">We used stochastic simulations </w:t>
      </w:r>
      <w:r w:rsidR="00FE1408">
        <w:rPr>
          <w:lang w:val="en-US"/>
        </w:rPr>
        <w:t xml:space="preserve">to </w:t>
      </w:r>
      <w:r>
        <w:rPr>
          <w:lang w:val="en-US"/>
        </w:rPr>
        <w:t xml:space="preserve">explore </w:t>
      </w:r>
      <w:r w:rsidR="008C4383">
        <w:rPr>
          <w:lang w:val="en-US"/>
        </w:rPr>
        <w:t xml:space="preserve">the robustness of </w:t>
      </w:r>
      <w:r>
        <w:rPr>
          <w:lang w:val="en-US"/>
        </w:rPr>
        <w:t xml:space="preserve">our </w:t>
      </w:r>
      <w:r w:rsidR="008C4383">
        <w:rPr>
          <w:lang w:val="en-US"/>
        </w:rPr>
        <w:t>analytical approximations.</w:t>
      </w:r>
    </w:p>
    <w:p w:rsidR="00FE1408" w:rsidRDefault="00FE1408" w:rsidP="00FE1408">
      <w:pPr>
        <w:pStyle w:val="Heading3"/>
        <w:rPr>
          <w:lang w:val="en-US"/>
        </w:rPr>
      </w:pPr>
      <w:r>
        <w:rPr>
          <w:lang w:val="en-US"/>
        </w:rPr>
        <w:lastRenderedPageBreak/>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w:t>
      </w:r>
      <w:r w:rsidR="00D42AA6" w:rsidRPr="008C4383">
        <w:rPr>
          <w:highlight w:val="yellow"/>
          <w:lang w:val="en-US"/>
        </w:rPr>
        <w:t>slightly over estimate the adaptation rate</w:t>
      </w:r>
      <w:r w:rsidR="00D42AA6">
        <w:rPr>
          <w:lang w:val="en-US"/>
        </w:rPr>
        <w:t xml:space="preserve">, but the general trend is consistent. </w:t>
      </w:r>
    </w:p>
    <w:p w:rsidR="00D42AA6" w:rsidRPr="00D42AA6" w:rsidRDefault="00D42AA6" w:rsidP="008C4383">
      <w:pPr>
        <w:ind w:firstLine="0"/>
        <w:rPr>
          <w:lang w:val="en-US"/>
        </w:rPr>
      </w:pPr>
      <w:r>
        <w:rPr>
          <w:lang w:val="en-US"/>
        </w:rPr>
        <w:t xml:space="preserve">The starting point </w:t>
      </w:r>
      <w:r w:rsidR="008C4383">
        <w:rPr>
          <w:lang w:val="en-US"/>
        </w:rPr>
        <w:t xml:space="preserve">of </w:t>
      </w:r>
      <w:r>
        <w:rPr>
          <w:lang w:val="en-US"/>
        </w:rPr>
        <w:t xml:space="preserve">all the lines is </w:t>
      </w:r>
      <w:r w:rsidR="008C4383">
        <w:rPr>
          <w:lang w:val="en-US"/>
        </w:rPr>
        <w:t xml:space="preserve">at </w:t>
      </w:r>
      <w:r>
        <w:rPr>
          <w:rFonts w:ascii="Times New Roman" w:hAnsi="Times New Roman"/>
          <w:i/>
          <w:iCs/>
          <w:lang w:val="en-US"/>
        </w:rPr>
        <w:t xml:space="preserve">τ=1 </w:t>
      </w:r>
      <w:r>
        <w:rPr>
          <w:lang w:val="en-US"/>
        </w:rPr>
        <w:t xml:space="preserve">which represents populations without stress-induced mutation. </w:t>
      </w:r>
      <w:r w:rsidR="008C4383">
        <w:rPr>
          <w:lang w:val="en-US"/>
        </w:rPr>
        <w:t>Hence</w:t>
      </w:r>
      <w:r>
        <w:rPr>
          <w:lang w:val="en-US"/>
        </w:rPr>
        <w:t xml:space="preserv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0D2B40B4" wp14:editId="4F5DFCE7">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4"/>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w:t>
      </w:r>
      <w:r w:rsidR="00F73F5C">
        <w:lastRenderedPageBreak/>
        <w:t xml:space="preserve">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https://github.com/yoavram/ruggedsim.git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69424B"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69424B"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69424B"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69424B"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m:t>
                  </m:r>
                  <m:r>
                    <w:rPr>
                      <w:rFonts w:ascii="Cambria Math" w:hAnsi="Cambria Math"/>
                      <w:lang w:val="en-US"/>
                    </w:rPr>
                    <m:t>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69424B"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69424B"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69424B"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69424B"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B1BAC">
      <w:pPr>
        <w:ind w:firstLine="0"/>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69424B"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69424B"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69424B"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69424B"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69424B"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69424B"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69424B"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69424B"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lastRenderedPageBreak/>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69424B"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BA00E0" w:rsidRPr="00BA00E0" w:rsidRDefault="00BA00E0" w:rsidP="006F1C44">
      <w:pPr>
        <w:rPr>
          <w:lang w:val="en-US"/>
        </w:rPr>
      </w:pPr>
      <w:r w:rsidRPr="00BA00E0">
        <w:rPr>
          <w:lang w:val="en-US"/>
        </w:rPr>
        <w:t xml:space="preserve">Note that by setting </w:t>
      </w:r>
      <m:oMath>
        <m:r>
          <w:rPr>
            <w:rFonts w:ascii="Cambria Math" w:hAnsi="Cambria Math"/>
            <w:lang w:val="en-US"/>
          </w:rPr>
          <m:t>τ=1</m:t>
        </m:r>
      </m:oMath>
      <w:r w:rsidRPr="00BA00E0">
        <w:rPr>
          <w:lang w:val="en-US"/>
        </w:rPr>
        <w:t xml:space="preserve"> and acknowledging </w:t>
      </w:r>
      <w:proofErr w:type="gramStart"/>
      <w:r w:rsidRPr="00BA00E0">
        <w:rPr>
          <w:lang w:val="en-US"/>
        </w:rPr>
        <w:t xml:space="preserve">that </w:t>
      </w:r>
      <w:proofErr w:type="gramEnd"/>
      <m:oMath>
        <m:r>
          <w:rPr>
            <w:rFonts w:ascii="Cambria Math" w:hAnsi="Cambria Math"/>
            <w:lang w:val="en-US"/>
          </w:rPr>
          <m:t>U≪2</m:t>
        </m:r>
      </m:oMath>
      <w:r w:rsidRPr="00BA00E0">
        <w:rPr>
          <w:lang w:val="en-US"/>
        </w:rPr>
        <w:t xml:space="preserve">,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BA00E0">
        <w:rPr>
          <w:lang w:val="en-US"/>
        </w:rPr>
        <w:t xml:space="preserve"> can be derived from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Pr="00BA00E0">
        <w:rPr>
          <w:lang w:val="en-US"/>
        </w:rPr>
        <w:t>.</w:t>
      </w:r>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69424B"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69424B"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w:lastRenderedPageBreak/>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24B" w:rsidRDefault="0069424B">
      <w:pPr>
        <w:spacing w:line="240" w:lineRule="auto"/>
      </w:pPr>
      <w:r>
        <w:separator/>
      </w:r>
    </w:p>
  </w:endnote>
  <w:endnote w:type="continuationSeparator" w:id="0">
    <w:p w:rsidR="0069424B" w:rsidRDefault="00694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B85" w:rsidRDefault="002D7B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7B85" w:rsidRDefault="002D7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B85" w:rsidRDefault="002D7B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347C">
      <w:rPr>
        <w:rStyle w:val="PageNumber"/>
        <w:noProof/>
      </w:rPr>
      <w:t>8</w:t>
    </w:r>
    <w:r>
      <w:rPr>
        <w:rStyle w:val="PageNumber"/>
      </w:rPr>
      <w:fldChar w:fldCharType="end"/>
    </w:r>
  </w:p>
  <w:p w:rsidR="002D7B85" w:rsidRDefault="002D7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24B" w:rsidRDefault="0069424B">
      <w:pPr>
        <w:spacing w:line="240" w:lineRule="auto"/>
      </w:pPr>
      <w:r>
        <w:separator/>
      </w:r>
    </w:p>
  </w:footnote>
  <w:footnote w:type="continuationSeparator" w:id="0">
    <w:p w:rsidR="0069424B" w:rsidRDefault="006942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24B7B"/>
    <w:rsid w:val="00030D4C"/>
    <w:rsid w:val="000564F3"/>
    <w:rsid w:val="000651B8"/>
    <w:rsid w:val="000735BA"/>
    <w:rsid w:val="000769B9"/>
    <w:rsid w:val="00076EFE"/>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95D75"/>
    <w:rsid w:val="001A482B"/>
    <w:rsid w:val="001C3939"/>
    <w:rsid w:val="001D5C34"/>
    <w:rsid w:val="001E0EBF"/>
    <w:rsid w:val="001F1352"/>
    <w:rsid w:val="00200EDA"/>
    <w:rsid w:val="00207370"/>
    <w:rsid w:val="002176D1"/>
    <w:rsid w:val="0023771A"/>
    <w:rsid w:val="00244047"/>
    <w:rsid w:val="002473DC"/>
    <w:rsid w:val="002830F7"/>
    <w:rsid w:val="00291184"/>
    <w:rsid w:val="0029554C"/>
    <w:rsid w:val="002A228F"/>
    <w:rsid w:val="002D7B85"/>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C4D79"/>
    <w:rsid w:val="003D4177"/>
    <w:rsid w:val="003E5C69"/>
    <w:rsid w:val="003F62E3"/>
    <w:rsid w:val="00405B25"/>
    <w:rsid w:val="00405E77"/>
    <w:rsid w:val="0043263E"/>
    <w:rsid w:val="0045091F"/>
    <w:rsid w:val="00450E7D"/>
    <w:rsid w:val="0045619C"/>
    <w:rsid w:val="00476190"/>
    <w:rsid w:val="00482829"/>
    <w:rsid w:val="00485817"/>
    <w:rsid w:val="004B1BAC"/>
    <w:rsid w:val="004E5EBE"/>
    <w:rsid w:val="004F2E22"/>
    <w:rsid w:val="004F57C8"/>
    <w:rsid w:val="004F792E"/>
    <w:rsid w:val="00505274"/>
    <w:rsid w:val="00510EF6"/>
    <w:rsid w:val="005219B2"/>
    <w:rsid w:val="00531BBB"/>
    <w:rsid w:val="00555F3C"/>
    <w:rsid w:val="005579CA"/>
    <w:rsid w:val="00593A0A"/>
    <w:rsid w:val="005F3FF6"/>
    <w:rsid w:val="0062347C"/>
    <w:rsid w:val="00632CC6"/>
    <w:rsid w:val="00653729"/>
    <w:rsid w:val="00656818"/>
    <w:rsid w:val="006838FD"/>
    <w:rsid w:val="0069172E"/>
    <w:rsid w:val="0069424B"/>
    <w:rsid w:val="006C426A"/>
    <w:rsid w:val="006C4912"/>
    <w:rsid w:val="006D6095"/>
    <w:rsid w:val="006E1E5F"/>
    <w:rsid w:val="006E7AC6"/>
    <w:rsid w:val="006F1C44"/>
    <w:rsid w:val="00704FB2"/>
    <w:rsid w:val="00710D61"/>
    <w:rsid w:val="0071403C"/>
    <w:rsid w:val="00757A15"/>
    <w:rsid w:val="0078136D"/>
    <w:rsid w:val="007D450D"/>
    <w:rsid w:val="00800408"/>
    <w:rsid w:val="00815CB8"/>
    <w:rsid w:val="008572C9"/>
    <w:rsid w:val="008A370E"/>
    <w:rsid w:val="008B5F8B"/>
    <w:rsid w:val="008C0579"/>
    <w:rsid w:val="008C4383"/>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278BC"/>
    <w:rsid w:val="00B3317B"/>
    <w:rsid w:val="00B619E9"/>
    <w:rsid w:val="00B65BE1"/>
    <w:rsid w:val="00BA00E0"/>
    <w:rsid w:val="00BA5858"/>
    <w:rsid w:val="00BA6C16"/>
    <w:rsid w:val="00BF4B19"/>
    <w:rsid w:val="00C02FE0"/>
    <w:rsid w:val="00C14B16"/>
    <w:rsid w:val="00C21A24"/>
    <w:rsid w:val="00C41B8A"/>
    <w:rsid w:val="00C74586"/>
    <w:rsid w:val="00C77EAF"/>
    <w:rsid w:val="00C84F6C"/>
    <w:rsid w:val="00C8697D"/>
    <w:rsid w:val="00C9636A"/>
    <w:rsid w:val="00C97081"/>
    <w:rsid w:val="00CA30D7"/>
    <w:rsid w:val="00CB17DA"/>
    <w:rsid w:val="00CC2E91"/>
    <w:rsid w:val="00CD0AFE"/>
    <w:rsid w:val="00CE3194"/>
    <w:rsid w:val="00CF2388"/>
    <w:rsid w:val="00CF5FF4"/>
    <w:rsid w:val="00D00BF8"/>
    <w:rsid w:val="00D04B58"/>
    <w:rsid w:val="00D24523"/>
    <w:rsid w:val="00D35121"/>
    <w:rsid w:val="00D42AA6"/>
    <w:rsid w:val="00D516F5"/>
    <w:rsid w:val="00D56B7E"/>
    <w:rsid w:val="00D6008A"/>
    <w:rsid w:val="00DA66F3"/>
    <w:rsid w:val="00DB22F4"/>
    <w:rsid w:val="00DD0381"/>
    <w:rsid w:val="00DD0F4F"/>
    <w:rsid w:val="00DD43F9"/>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4144F-2F5B-4BA7-AF70-8823E765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3690</TotalTime>
  <Pages>14</Pages>
  <Words>15144</Words>
  <Characters>75723</Characters>
  <Application>Microsoft Office Word</Application>
  <DocSecurity>0</DocSecurity>
  <Lines>631</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138</cp:revision>
  <cp:lastPrinted>2013-04-23T11:40:00Z</cp:lastPrinted>
  <dcterms:created xsi:type="dcterms:W3CDTF">2013-04-05T12:49:00Z</dcterms:created>
  <dcterms:modified xsi:type="dcterms:W3CDTF">2013-04-29T13:12:00Z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