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531CC2">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2A0DCC">
      <w:pPr>
        <w:pStyle w:val="Subtitle"/>
        <w:spacing w:line="480" w:lineRule="auto"/>
        <w:ind w:firstLine="284"/>
      </w:pPr>
    </w:p>
    <w:p w:rsidR="00085D65" w:rsidRDefault="002630C5" w:rsidP="00085D65">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085D65" w:rsidRPr="00085D65" w:rsidRDefault="00085D65" w:rsidP="00085D65">
      <w:pPr>
        <w:pStyle w:val="Subtitle"/>
        <w:spacing w:line="480" w:lineRule="auto"/>
        <w:ind w:firstLine="284"/>
        <w:jc w:val="center"/>
        <w:rPr>
          <w:sz w:val="28"/>
          <w:szCs w:val="22"/>
        </w:rPr>
      </w:pPr>
      <w:r w:rsidRPr="00085D65">
        <w:rPr>
          <w:sz w:val="28"/>
          <w:szCs w:val="22"/>
        </w:rPr>
        <w:t>Monday, October 7, 2013</w:t>
      </w:r>
    </w:p>
    <w:p w:rsidR="002630C5" w:rsidRDefault="0038310A" w:rsidP="0038310A">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Pr="00823689">
          <w:rPr>
            <w:rStyle w:val="Hyperlink"/>
            <w:lang w:bidi="hi-IN"/>
          </w:rPr>
          <w:t>lilach.haday@gmail.com</w:t>
        </w:r>
      </w:hyperlink>
    </w:p>
    <w:p w:rsidR="002630C5" w:rsidRDefault="0038310A" w:rsidP="0038310A">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8310A">
      <w:pPr>
        <w:spacing w:line="480" w:lineRule="auto"/>
        <w:ind w:firstLine="284"/>
        <w:rPr>
          <w:lang w:bidi="hi-IN"/>
        </w:rPr>
      </w:pPr>
      <w:r>
        <w:rPr>
          <w:lang w:bidi="hi-IN"/>
        </w:rPr>
        <w:t>Tel-Aviv 69978, Israel</w:t>
      </w:r>
      <w:r w:rsidR="0038310A">
        <w:rPr>
          <w:lang w:bidi="hi-IN"/>
        </w:rPr>
        <w:t>. Tel. +972.3.640.6886</w:t>
      </w:r>
    </w:p>
    <w:p w:rsidR="00347C94" w:rsidRDefault="00347C94" w:rsidP="0038310A">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8E3DFA">
      <w:pPr>
        <w:spacing w:line="480" w:lineRule="auto"/>
        <w:ind w:firstLine="284"/>
        <w:rPr>
          <w:lang w:bidi="hi-IN"/>
        </w:rPr>
      </w:pPr>
      <w:r w:rsidRPr="0038310A">
        <w:rPr>
          <w:b/>
          <w:bCs/>
          <w:lang w:bidi="hi-IN"/>
        </w:rPr>
        <w:t>Counts</w:t>
      </w:r>
      <w:r>
        <w:rPr>
          <w:lang w:bidi="hi-IN"/>
        </w:rPr>
        <w:t xml:space="preserve">: </w:t>
      </w:r>
      <w:r w:rsidR="00347C94" w:rsidRPr="00347C94">
        <w:rPr>
          <w:lang w:bidi="hi-IN"/>
        </w:rPr>
        <w:t>2</w:t>
      </w:r>
      <w:r w:rsidR="008E3DFA">
        <w:rPr>
          <w:lang w:bidi="hi-IN"/>
        </w:rPr>
        <w:t>900</w:t>
      </w:r>
      <w:r w:rsidR="00347C94">
        <w:rPr>
          <w:lang w:bidi="hi-IN"/>
        </w:rPr>
        <w:t xml:space="preserve"> words, 4 figures, 1 table</w:t>
      </w:r>
    </w:p>
    <w:p w:rsidR="0038310A" w:rsidRDefault="00347C94" w:rsidP="00FB1726">
      <w:pPr>
        <w:spacing w:line="480" w:lineRule="auto"/>
        <w:ind w:firstLine="284"/>
        <w:rPr>
          <w:lang w:bidi="hi-IN"/>
        </w:rPr>
      </w:pPr>
      <w:r w:rsidRPr="0038310A">
        <w:rPr>
          <w:b/>
          <w:bCs/>
          <w:lang w:bidi="hi-IN"/>
        </w:rPr>
        <w:t>Data archiving</w:t>
      </w:r>
      <w:r w:rsidR="00FB1726">
        <w:rPr>
          <w:lang w:bidi="hi-IN"/>
        </w:rPr>
        <w:t>: Dryad</w:t>
      </w:r>
    </w:p>
    <w:p w:rsidR="0038310A" w:rsidRDefault="0038310A" w:rsidP="0038310A">
      <w:pPr>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w:t>
      </w:r>
      <w:bookmarkStart w:id="0" w:name="_GoBack"/>
      <w:bookmarkEnd w:id="0"/>
      <w:r>
        <w:t>tract</w:t>
      </w:r>
    </w:p>
    <w:p w:rsidR="00282DE0" w:rsidRDefault="00D4102F" w:rsidP="00282DE0">
      <w:pPr>
        <w:spacing w:line="480" w:lineRule="auto"/>
      </w:pPr>
      <w:r>
        <w:t xml:space="preserve">Evolutionary theory suggests </w:t>
      </w:r>
      <w:r w:rsidR="00282DE0">
        <w:t xml:space="preserve">that </w:t>
      </w:r>
      <w:r>
        <w:t xml:space="preserve">the mutation rate must balance between </w:t>
      </w:r>
      <w:r w:rsidRPr="00282DE0">
        <w:rPr>
          <w:i/>
          <w:iCs/>
        </w:rPr>
        <w:t>adaptability</w:t>
      </w:r>
      <w:r>
        <w:t xml:space="preserve"> – the ability to adapt – and </w:t>
      </w:r>
      <w:r w:rsidRPr="00D4102F">
        <w:rPr>
          <w:i/>
          <w:iCs/>
        </w:rPr>
        <w:t>adaptedness</w:t>
      </w:r>
      <w:r>
        <w:t xml:space="preserve"> – the ability to remain adapted.</w:t>
      </w:r>
      <w:r w:rsidR="00282DE0">
        <w:t xml:space="preserve"> </w:t>
      </w:r>
    </w:p>
    <w:p w:rsidR="003757EA" w:rsidRPr="00282DE0" w:rsidRDefault="00282DE0" w:rsidP="00021B61">
      <w:pPr>
        <w:spacing w:line="480" w:lineRule="auto"/>
      </w:pPr>
      <w:r>
        <w:t xml:space="preserve">We model a population crossing a fitness valley and analyze the rate of complex adaptation with and without stress-induced mutagenesis - the increase of mutation rates in response to stress or maladaptation. </w:t>
      </w:r>
      <w:r w:rsidR="00021B61">
        <w:t xml:space="preserve">We </w:t>
      </w:r>
      <w:r>
        <w:t xml:space="preserve">show that stress-induced mutagenesis breaks this evolutionary trade-off, increasing the </w:t>
      </w:r>
      <w:r>
        <w:rPr>
          <w:i/>
          <w:iCs/>
        </w:rPr>
        <w:t>adaptability</w:t>
      </w:r>
      <w:r>
        <w:t xml:space="preserve"> of asexual populations without reducing their </w:t>
      </w:r>
      <w:r>
        <w:rPr>
          <w:i/>
          <w:iCs/>
        </w:rPr>
        <w:t>adaptedness</w:t>
      </w:r>
      <w:r>
        <w:t xml:space="preserve">. </w:t>
      </w:r>
      <w:r w:rsidR="00021B61">
        <w:t xml:space="preserve">Our theoretical </w:t>
      </w:r>
      <w:r>
        <w:t xml:space="preserve">results support the hypothesis that stress-induced mutagenesis is an </w:t>
      </w:r>
      <w:r w:rsidR="008643AC">
        <w:t xml:space="preserve">adaptive </w:t>
      </w:r>
      <w:r>
        <w:t>trait</w:t>
      </w:r>
      <w:r w:rsidR="008643AC">
        <w:t>.</w:t>
      </w:r>
      <w:r>
        <w:t xml:space="preserve"> </w:t>
      </w:r>
    </w:p>
    <w:p w:rsidR="00625517" w:rsidRDefault="00625517" w:rsidP="002A0DCC">
      <w:pPr>
        <w:pStyle w:val="Heading1"/>
        <w:keepLines w:val="0"/>
        <w:tabs>
          <w:tab w:val="left" w:pos="482"/>
        </w:tabs>
        <w:spacing w:after="180" w:line="480" w:lineRule="auto"/>
        <w:ind w:left="0" w:firstLine="0"/>
        <w:jc w:val="both"/>
      </w:pPr>
      <w:r>
        <w:t>Introduction</w:t>
      </w:r>
    </w:p>
    <w:p w:rsidR="00625517" w:rsidRDefault="001307C7" w:rsidP="00663378">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2E0EBF">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00663378" w:rsidRPr="00663378">
        <w:rPr>
          <w:noProof/>
        </w:rPr>
        <w:t>(Sniegowski et al. 2000)</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xml:space="preserve">, leading to "the rise and fall of the mutator allele" </w:t>
      </w:r>
      <w:r w:rsidR="00CA7DA9">
        <w:fldChar w:fldCharType="begin" w:fldLock="1"/>
      </w:r>
      <w:r w:rsidR="002E0EBF">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"publisher" : "Nature Publishing Group", "title" : "Evolution of high mutation rates in experimental populations of E. coli.", "type" : "article-journal", "volume" : "387" }, "uris" : [ "http://www.mendeley.com/documents/?uuid=ebc3ea94-3856-48ec-8a84-0a8de217730f" ] }, { "id" : "ITEM-2",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"ITEM-2",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"ITEM-3",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"ITEM-3", "issue" : "9", "issued" : { "date-parts" : [ [ "1998", "3" ] ] }, "page" : "2012-2015", "title" : "Mutator Dynamics on a Smooth Evolutionary Landscape", "type" : "article-journal", "volume" : "80" }, "uris" : [ "http://www.mendeley.com/documents/?uuid=87e79d5f-65b8-40bf-8c34-1a7629afca5e" ] }, { "id" : "ITEM-4",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"ITEM-4", "issue" : "4", "issued" : { "date-parts" : [ [ "2006", "5" ] ] }, "page" : "820-7", "title" : "Evolution of mutation rates in bacteria.", "type" : "article-journal", "volume" : "60" }, "uris" : [ "http://www.mendeley.com/documents/?uuid=16f2f8bc-97da-47fa-ae1a-58603ba66bca" ] }, { "id" : "ITEM-5",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"ITEM-5",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Taddei et al. 1997; Kessler and Levine 1998; Denamur and Matic 2006; Wielgoss et al. 2012)" }, "properties" : { "noteIndex" : 0 }, "schema" : "https://github.com/citation-style-language/schema/raw/master/csl-citation.json" }</w:instrText>
      </w:r>
      <w:r w:rsidR="00CA7DA9">
        <w:fldChar w:fldCharType="separate"/>
      </w:r>
      <w:r w:rsidR="00271D8B" w:rsidRPr="00271D8B">
        <w:rPr>
          <w:noProof/>
        </w:rPr>
        <w:t>(Sniegowski et al. 1997; Taddei et al. 1997; Kessler and Levine 1998; Denamur and Matic 2006; Wielgoss et al. 2012)</w:t>
      </w:r>
      <w:r w:rsidR="00CA7DA9">
        <w:fldChar w:fldCharType="end"/>
      </w:r>
      <w:r>
        <w:t>.</w:t>
      </w:r>
      <w:r w:rsidR="0017087D">
        <w:t xml:space="preserve"> </w:t>
      </w:r>
      <w:r w:rsidR="00A725E6">
        <w:t xml:space="preserve">Leigh </w:t>
      </w:r>
      <w:r w:rsidR="00CA7DA9">
        <w:fldChar w:fldCharType="begin" w:fldLock="1"/>
      </w:r>
      <w:r w:rsidR="002E0EBF">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w:t>
      </w:r>
      <w:r w:rsidR="00EE3B41">
        <w:lastRenderedPageBreak/>
        <w:t xml:space="preserve">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663378">
      <w:pPr>
        <w:spacing w:line="480" w:lineRule="auto"/>
      </w:pPr>
      <w:r>
        <w:t>Stress-induced mutagenesis (SIM)</w:t>
      </w:r>
      <w:r w:rsidR="00C2015F">
        <w:t>,</w:t>
      </w:r>
      <w:r>
        <w:t xml:space="preserve"> the increase of mutation rate</w:t>
      </w:r>
      <w:r w:rsidR="00C2015F">
        <w:t>s</w:t>
      </w:r>
      <w:r>
        <w:t xml:space="preserve"> in stressed or maladapted individuals, </w:t>
      </w:r>
      <w:r w:rsidR="00C2015F">
        <w:t>was</w:t>
      </w:r>
      <w:r>
        <w:t xml:space="preserve"> demonstrated in </w:t>
      </w:r>
      <w:r w:rsidR="00C2015F">
        <w:t>many</w:t>
      </w:r>
      <w:r>
        <w:t xml:space="preserve"> species, </w:t>
      </w:r>
      <w:r w:rsidR="00EE3B41">
        <w:t xml:space="preserve">including </w:t>
      </w:r>
      <w:r>
        <w:t xml:space="preserve">both prokaryote and eukaryote </w:t>
      </w:r>
      <w:r w:rsidR="00CA7DA9">
        <w:fldChar w:fldCharType="begin" w:fldLock="1"/>
      </w:r>
      <w:r w:rsidR="002E0EBF">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rsidR="00CA7DA9">
        <w:fldChar w:fldCharType="separate"/>
      </w:r>
      <w:r w:rsidR="00663378" w:rsidRPr="00663378">
        <w:rPr>
          <w:noProof/>
        </w:rPr>
        <w:t>(Galhardo et al. 2007; Sharp and Agrawal 2012; MacLean et al. 2013)</w:t>
      </w:r>
      <w:r w:rsidR="00CA7DA9">
        <w:fldChar w:fldCharType="end"/>
      </w:r>
      <w:r>
        <w:t xml:space="preserve">. </w:t>
      </w:r>
      <w:r w:rsidR="00C2015F">
        <w:t xml:space="preserve">Several </w:t>
      </w:r>
      <w:r>
        <w:t>stress responses</w:t>
      </w:r>
      <w:r w:rsidR="00AE0B1E">
        <w:t xml:space="preserve"> </w:t>
      </w:r>
      <w:r>
        <w:t xml:space="preserve">regulate the mutation rate by shifting </w:t>
      </w:r>
      <w:r w:rsidR="00C2015F">
        <w:t>replication</w:t>
      </w:r>
      <w:r>
        <w:t xml:space="preserve"> to error-prone DNA polymerases </w:t>
      </w:r>
      <w:r w:rsidR="00CA7DA9">
        <w:fldChar w:fldCharType="begin" w:fldLock="1"/>
      </w:r>
      <w:r w:rsidR="002E0EBF">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2E0EBF">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9770F6">
        <w:rPr>
          <w:i/>
          <w:iCs/>
        </w:rPr>
        <w:t>Escherichia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2E0EBF">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1307C7" w:rsidRPr="00A725E6" w:rsidRDefault="009770F6" w:rsidP="00033028">
      <w:pPr>
        <w:spacing w:line="480" w:lineRule="auto"/>
      </w:pPr>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2E0EBF">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663378" w:rsidRPr="00663378">
        <w:rPr>
          <w:noProof/>
        </w:rPr>
        <w:t>(Tenaillon et al. 2004;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t>was</w:t>
      </w:r>
      <w:r w:rsidR="00391853">
        <w:t xml:space="preserve"> </w:t>
      </w:r>
      <w:r>
        <w:t xml:space="preserve">modeled by </w:t>
      </w:r>
      <w:proofErr w:type="spellStart"/>
      <w:r>
        <w:t>Agrawal</w:t>
      </w:r>
      <w:proofErr w:type="spellEnd"/>
      <w:r>
        <w:t xml:space="preserve"> and later</w:t>
      </w:r>
      <w:r w:rsidR="00033028">
        <w:t xml:space="preserve"> by</w:t>
      </w:r>
      <w:r>
        <w:t xml:space="preserve"> Shaw and Baer</w:t>
      </w:r>
      <w:r w:rsidR="001307C7">
        <w:t xml:space="preserve"> </w:t>
      </w:r>
      <w:r w:rsidR="00CA7DA9">
        <w:fldChar w:fldCharType="begin" w:fldLock="1"/>
      </w:r>
      <w:r w:rsidR="002E0EBF">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00663378" w:rsidRPr="00663378">
        <w:rPr>
          <w:noProof/>
        </w:rPr>
        <w:t>(Agrawal 2002; Shaw and Baer 2011)</w:t>
      </w:r>
      <w:r w:rsidR="00CA7DA9">
        <w:fldChar w:fldCharType="end"/>
      </w:r>
      <w:r w:rsidR="001307C7">
        <w:t xml:space="preserve">, who showed </w:t>
      </w:r>
      <w:r w:rsidR="00932C9B">
        <w:t xml:space="preserve">that </w:t>
      </w:r>
      <w:r>
        <w:t>without beneficial mutat</w:t>
      </w:r>
      <w:r w:rsidR="00031C58">
        <w:t>ions</w:t>
      </w:r>
      <w:r>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t>ecently</w:t>
      </w:r>
      <w:r w:rsidR="00932C9B">
        <w:t xml:space="preserve">, we showed that </w:t>
      </w:r>
      <w:r>
        <w:t>with rare beneficial mutations</w:t>
      </w:r>
      <w:r w:rsidR="00072D95">
        <w:t>,</w:t>
      </w:r>
      <w:r>
        <w:t xml:space="preserve"> increasing the mutation rate of maladapted individuals increases the mean fitness </w:t>
      </w:r>
      <w:r w:rsidR="00031C58">
        <w:t xml:space="preserve">of </w:t>
      </w:r>
      <w:r w:rsidR="00033028">
        <w:t xml:space="preserve">asexual </w:t>
      </w:r>
      <w:r w:rsidR="00031C58">
        <w:t xml:space="preserve">populations </w:t>
      </w:r>
      <w:r w:rsidR="00CA7DA9">
        <w:fldChar w:fldCharType="begin" w:fldLock="1"/>
      </w:r>
      <w:r w:rsidR="002E0EBF">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033028">
      <w:pPr>
        <w:spacing w:line="480" w:lineRule="auto"/>
        <w:rPr>
          <w:lang w:bidi="hi-IN"/>
        </w:rPr>
      </w:pPr>
      <w:r>
        <w:t>Here, w</w:t>
      </w:r>
      <w:r w:rsidR="00625517">
        <w:t>e analyze</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33327A">
        <w:t>stress-induced,</w:t>
      </w:r>
      <w:r w:rsidR="00625517">
        <w:t xml:space="preserve"> </w:t>
      </w:r>
      <w:r w:rsidR="00FC62DB">
        <w:rPr>
          <w:lang w:bidi="hi-IN"/>
        </w:rPr>
        <w:t xml:space="preserve">and constitutive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p>
    <w:p w:rsidR="002630C5" w:rsidRDefault="002630C5" w:rsidP="002A0DCC">
      <w:pPr>
        <w:pStyle w:val="Heading1"/>
        <w:spacing w:line="480" w:lineRule="auto"/>
        <w:rPr>
          <w:lang w:bidi="hi-IN"/>
        </w:rPr>
      </w:pPr>
      <w:bookmarkStart w:id="1" w:name="_Ref361735010"/>
      <w:r>
        <w:rPr>
          <w:lang w:bidi="hi-IN"/>
        </w:rPr>
        <w:lastRenderedPageBreak/>
        <w:t>Model</w:t>
      </w:r>
      <w:bookmarkEnd w:id="1"/>
    </w:p>
    <w:p w:rsidR="00A96D14" w:rsidRDefault="00A96D14" w:rsidP="002A0DCC">
      <w:pPr>
        <w:pStyle w:val="Heading2"/>
        <w:spacing w:line="480" w:lineRule="auto"/>
      </w:pPr>
      <w:r>
        <w:t>Overview</w:t>
      </w:r>
    </w:p>
    <w:p w:rsidR="00EF3BEC" w:rsidRDefault="001910E3" w:rsidP="002A0DCC">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 The number of d</w:t>
      </w:r>
      <w:r w:rsidR="00401E4A">
        <w:rPr>
          <w:lang w:bidi="hi-IN"/>
        </w:rPr>
        <w:t xml:space="preserve">eleterious </w:t>
      </w:r>
      <w:r>
        <w:rPr>
          <w:lang w:bidi="hi-IN"/>
        </w:rPr>
        <w:t>mutations</w:t>
      </w:r>
      <w:r w:rsidR="00072D95">
        <w:rPr>
          <w:lang w:bidi="hi-IN"/>
        </w:rPr>
        <w:t xml:space="preserve"> occurring at replication </w:t>
      </w:r>
      <w:r>
        <w:rPr>
          <w:lang w:bidi="hi-IN"/>
        </w:rPr>
        <w:t xml:space="preserve">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2A0DCC">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AC498F" w:rsidRDefault="00072D95" w:rsidP="002A0DCC">
      <w:pPr>
        <w:spacing w:line="480" w:lineRule="auto"/>
      </w:pPr>
      <w:r>
        <w:rPr>
          <w:lang w:bidi="hi-IN"/>
        </w:rPr>
        <w:t xml:space="preserve">We focus on two bi-allelic loci </w:t>
      </w:r>
      <w:r>
        <w:t xml:space="preserve">in which the </w:t>
      </w:r>
      <w:proofErr w:type="spellStart"/>
      <w:r>
        <w:t>wildtype</w:t>
      </w:r>
      <w:proofErr w:type="spellEnd"/>
      <w:r>
        <w:t xml:space="preserve"> genotype is </w:t>
      </w:r>
      <w:proofErr w:type="spellStart"/>
      <w:r>
        <w:rPr>
          <w:i/>
          <w:iCs/>
        </w:rPr>
        <w:t>ab</w:t>
      </w:r>
      <w:proofErr w:type="spellEnd"/>
      <w:r>
        <w:t xml:space="preserve"> and its fitness is 1. Mutations at these loci change </w:t>
      </w:r>
      <w:proofErr w:type="gramStart"/>
      <w:r>
        <w:rPr>
          <w:i/>
          <w:iCs/>
        </w:rPr>
        <w:t>a</w:t>
      </w:r>
      <w:r>
        <w:t xml:space="preserve"> to</w:t>
      </w:r>
      <w:proofErr w:type="gramEnd"/>
      <w:r>
        <w:t xml:space="preserve">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w:t>
      </w:r>
      <w:r w:rsidR="005F1227">
        <w:t xml:space="preserve">After the population has reached a </w:t>
      </w:r>
      <w:r>
        <w:t>mutation-selection balance (</w:t>
      </w:r>
      <w:r w:rsidR="005F1227">
        <w:t>MSB</w:t>
      </w:r>
      <w:r>
        <w:t>)</w:t>
      </w:r>
      <w:r w:rsidR="005F1227">
        <w:t xml:space="preserve"> it </w:t>
      </w:r>
      <w:r w:rsidR="002F4E2F">
        <w:t>goes through</w:t>
      </w:r>
      <w:r w:rsidR="005F1227">
        <w:t xml:space="preserve"> adaptive evolution to an environmental change which </w:t>
      </w:r>
      <w:r w:rsidR="002F4E2F">
        <w:t>change</w:t>
      </w:r>
      <w:r>
        <w:t>s</w:t>
      </w:r>
      <w:r w:rsidR="002F4E2F">
        <w:t xml:space="preserve"> the </w:t>
      </w:r>
      <w:r w:rsidR="005F1227">
        <w:t xml:space="preserve">fitness of the </w:t>
      </w:r>
      <w:r w:rsidR="00607B56">
        <w:rPr>
          <w:i/>
          <w:iCs/>
        </w:rPr>
        <w:t>AB</w:t>
      </w:r>
      <w:r w:rsidR="00607B56">
        <w:t xml:space="preserve"> genotype </w:t>
      </w:r>
      <w:r w:rsidR="005F1227">
        <w:t xml:space="preserve">from </w:t>
      </w:r>
      <w:r w:rsidR="005F1227" w:rsidRPr="00CD0FB7">
        <w:t>(1-</w:t>
      </w:r>
      <w:r w:rsidR="005F1227">
        <w:rPr>
          <w:i/>
          <w:iCs/>
        </w:rPr>
        <w:t>s</w:t>
      </w:r>
      <w:r w:rsidR="005F1227" w:rsidRPr="00CD0FB7">
        <w:t>)</w:t>
      </w:r>
      <w:r w:rsidR="005F1227" w:rsidRPr="00CD0FB7">
        <w:rPr>
          <w:vertAlign w:val="superscript"/>
        </w:rPr>
        <w:t>2</w:t>
      </w:r>
      <w:r w:rsidR="00CD0FB7">
        <w:rPr>
          <w:i/>
          <w:iCs/>
        </w:rPr>
        <w:t xml:space="preserve"> </w:t>
      </w:r>
      <w:r w:rsidR="00CD0FB7">
        <w:t>to</w:t>
      </w:r>
      <w:r w:rsidR="005F1227">
        <w:rPr>
          <w:i/>
          <w:iCs/>
        </w:rPr>
        <w:t xml:space="preserve"> </w:t>
      </w:r>
      <w:r w:rsidR="005F1227">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rsidR="005F1227">
        <w:t>, making it the optimal genotype</w:t>
      </w:r>
      <w:r>
        <w:t xml:space="preserve"> (</w:t>
      </w:r>
      <w:r>
        <w:fldChar w:fldCharType="begin"/>
      </w:r>
      <w:r>
        <w:instrText xml:space="preserve"> REF _Ref354316371 \h  \* MERGEFORMAT </w:instrText>
      </w:r>
      <w:r>
        <w:fldChar w:fldCharType="separate"/>
      </w:r>
      <w:r w:rsidR="005F1227" w:rsidRPr="005F1227">
        <w:t>Figure 1</w:t>
      </w:r>
      <w:r>
        <w:fldChar w:fldCharType="end"/>
      </w:r>
      <w:r>
        <w:t>).</w:t>
      </w:r>
      <w:r w:rsidR="00607B56">
        <w:t xml:space="preserve"> </w:t>
      </w:r>
    </w:p>
    <w:p w:rsidR="00A96D14" w:rsidRDefault="00A96D14" w:rsidP="002A0DCC">
      <w:pPr>
        <w:spacing w:line="480" w:lineRule="auto"/>
      </w:pPr>
      <w:r>
        <w:t xml:space="preserve">The adaptation process can be separated to two </w:t>
      </w:r>
      <w:r>
        <w:softHyphen/>
      </w:r>
      <w:r>
        <w:softHyphen/>
      </w:r>
      <w:r>
        <w:softHyphen/>
      </w:r>
      <w:r>
        <w:softHyphen/>
        <w:t xml:space="preserve">distinct </w:t>
      </w:r>
      <w:r w:rsidR="005D7A01">
        <w:t>stages</w:t>
      </w:r>
      <w:r>
        <w:t>. In the first</w:t>
      </w:r>
      <w:r w:rsidR="005D7A01">
        <w:t xml:space="preserve"> stage</w:t>
      </w:r>
      <w:r>
        <w:t xml:space="preserve">, a double mutant </w:t>
      </w:r>
      <w:r>
        <w:rPr>
          <w:i/>
          <w:iCs/>
        </w:rPr>
        <w:t>AB</w:t>
      </w:r>
      <w:r>
        <w:t xml:space="preserve"> appears in the population</w:t>
      </w:r>
      <w:r w:rsidR="005D7A01">
        <w:t xml:space="preserve"> </w:t>
      </w:r>
      <w:r>
        <w:t>in a single copy. In the second</w:t>
      </w:r>
      <w:r w:rsidR="005D7A01">
        <w:t xml:space="preserve"> stage</w:t>
      </w:r>
      <w:r>
        <w:t>, the single copy of the double mutant avoids extinction, increases in frequency</w:t>
      </w:r>
      <w:r w:rsidR="005D7A01">
        <w:t>,</w:t>
      </w:r>
      <w:r>
        <w:t xml:space="preserve"> and goes to fixation. </w:t>
      </w:r>
    </w:p>
    <w:p w:rsidR="007A6385" w:rsidRDefault="007A6385" w:rsidP="007A6385">
      <w:pPr>
        <w:keepNext/>
        <w:spacing w:line="480" w:lineRule="auto"/>
        <w:jc w:val="center"/>
      </w:pPr>
      <w:r>
        <w:rPr>
          <w:noProof/>
        </w:rPr>
        <w:lastRenderedPageBreak/>
        <w:drawing>
          <wp:inline distT="0" distB="0" distL="0" distR="0" wp14:anchorId="394FDBE2" wp14:editId="47B34571">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7A6385" w:rsidRPr="000D56CE" w:rsidRDefault="007A6385" w:rsidP="007A6385">
      <w:pPr>
        <w:pStyle w:val="FigureLegend"/>
        <w:spacing w:line="480" w:lineRule="auto"/>
        <w:rPr>
          <w:lang w:bidi="hi-IN"/>
        </w:rPr>
      </w:pPr>
      <w:bookmarkStart w:id="2"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2"/>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CA58CA" w:rsidRDefault="000D56CE" w:rsidP="002A0DCC">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w:t>
      </w:r>
      <w:r>
        <w:lastRenderedPageBreak/>
        <w:t>individual at the MSB is Poisson distributed</w:t>
      </w:r>
      <w:r w:rsidR="008752E9">
        <w:t xml:space="preserve"> </w:t>
      </w:r>
      <w:r w:rsidR="00CA7DA9">
        <w:fldChar w:fldCharType="begin" w:fldLock="1"/>
      </w:r>
      <w:r w:rsidR="002E0EBF">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232C71" w:rsidRPr="00F03785" w:rsidRDefault="000D56CE" w:rsidP="002A0DCC">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b), in which we: (</w:t>
      </w:r>
      <w:proofErr w:type="spellStart"/>
      <w:r>
        <w:t>i</w:t>
      </w:r>
      <w:proofErr w:type="spellEnd"/>
      <w:r>
        <w:t>) let individuals with deleterious mutations contribute to adaptation, and (ii) let the MSB evolve from a mutation-free population.</w:t>
      </w:r>
      <w:r w:rsidR="00F03785">
        <w:t xml:space="preserve"> </w:t>
      </w:r>
    </w:p>
    <w:p w:rsidR="002F4E2F" w:rsidRDefault="00CA7DA9" w:rsidP="002A0DCC">
      <w:pPr>
        <w:spacing w:line="480" w:lineRule="auto"/>
      </w:pPr>
      <w:r>
        <w:fldChar w:fldCharType="begin"/>
      </w:r>
      <w:r w:rsidR="00000DD9">
        <w:instrText xml:space="preserve"> REF _Ref358791100 \h </w:instrText>
      </w:r>
      <w:r w:rsidR="002A0DCC">
        <w:instrText xml:space="preserve"> \* MERGEFORMAT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085D65" w:rsidRDefault="00085D65" w:rsidP="00085D65">
      <w:pPr>
        <w:pStyle w:val="FigureLegend"/>
        <w:spacing w:line="480" w:lineRule="auto"/>
      </w:pPr>
      <w:bookmarkStart w:id="3"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3"/>
      <w:r>
        <w:t xml:space="preserve"> </w:t>
      </w:r>
      <w:r>
        <w:rPr>
          <w:rFonts w:ascii="Arial" w:hAnsi="Arial" w:cs="Arial"/>
        </w:rPr>
        <w:t>–</w:t>
      </w:r>
      <w:r>
        <w:t xml:space="preserve"> </w:t>
      </w:r>
      <w:r w:rsidRPr="00524B4A">
        <w:t>Model parameter</w:t>
      </w:r>
      <w:r>
        <w:t xml:space="preserve">s and estimated values for </w:t>
      </w:r>
      <w:r w:rsidRPr="003F5091">
        <w:rPr>
          <w:i/>
          <w:iCs/>
        </w:rPr>
        <w:t>Escherichia</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085D65" w:rsidTr="00007A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085D65" w:rsidRDefault="00085D65" w:rsidP="00007A0E">
            <w:pPr>
              <w:pStyle w:val="FigureLegend"/>
              <w:spacing w:line="480" w:lineRule="auto"/>
            </w:pPr>
            <w:r>
              <w:t>Symbol</w:t>
            </w:r>
          </w:p>
        </w:tc>
        <w:tc>
          <w:tcPr>
            <w:tcW w:w="2858" w:type="dxa"/>
          </w:tcPr>
          <w:p w:rsidR="00085D65" w:rsidRDefault="00085D65" w:rsidP="00007A0E">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085D65" w:rsidRDefault="00085D65" w:rsidP="00007A0E">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085D65" w:rsidRDefault="00085D65" w:rsidP="00007A0E">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085D65" w:rsidTr="00007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085D65" w:rsidRPr="00524B4A" w:rsidRDefault="00085D65" w:rsidP="00007A0E">
            <w:pPr>
              <w:pStyle w:val="FigureLegend"/>
              <w:spacing w:line="480" w:lineRule="auto"/>
              <w:rPr>
                <w:i/>
                <w:iCs/>
              </w:rPr>
            </w:pPr>
            <w:r w:rsidRPr="00524B4A">
              <w:rPr>
                <w:i/>
                <w:iCs/>
              </w:rPr>
              <w:t>s</w:t>
            </w:r>
          </w:p>
        </w:tc>
        <w:tc>
          <w:tcPr>
            <w:tcW w:w="2858" w:type="dxa"/>
          </w:tcPr>
          <w:p w:rsidR="00085D65" w:rsidRDefault="00085D65" w:rsidP="00007A0E">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085D65" w:rsidRDefault="00085D65" w:rsidP="00007A0E">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085D65" w:rsidRDefault="00085D65" w:rsidP="00007A0E">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Pr="00663378">
              <w:rPr>
                <w:noProof/>
              </w:rPr>
              <w:t>(Kibota and Lynch 1996; Gordo et al. 2011)</w:t>
            </w:r>
            <w:r>
              <w:fldChar w:fldCharType="end"/>
            </w:r>
          </w:p>
        </w:tc>
      </w:tr>
      <w:tr w:rsidR="00085D65" w:rsidTr="00007A0E">
        <w:tc>
          <w:tcPr>
            <w:cnfStyle w:val="001000000000" w:firstRow="0" w:lastRow="0" w:firstColumn="1" w:lastColumn="0" w:oddVBand="0" w:evenVBand="0" w:oddHBand="0" w:evenHBand="0" w:firstRowFirstColumn="0" w:firstRowLastColumn="0" w:lastRowFirstColumn="0" w:lastRowLastColumn="0"/>
            <w:tcW w:w="865" w:type="dxa"/>
          </w:tcPr>
          <w:p w:rsidR="00085D65" w:rsidRPr="00524B4A" w:rsidRDefault="00085D65" w:rsidP="00007A0E">
            <w:pPr>
              <w:pStyle w:val="FigureLegend"/>
              <w:spacing w:line="480" w:lineRule="auto"/>
              <w:rPr>
                <w:i/>
                <w:iCs/>
              </w:rPr>
            </w:pPr>
            <w:r w:rsidRPr="00524B4A">
              <w:rPr>
                <w:i/>
                <w:iCs/>
              </w:rPr>
              <w:t>H</w:t>
            </w:r>
          </w:p>
        </w:tc>
        <w:tc>
          <w:tcPr>
            <w:tcW w:w="2858" w:type="dxa"/>
          </w:tcPr>
          <w:p w:rsidR="00085D65" w:rsidRDefault="00085D65" w:rsidP="00007A0E">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085D65" w:rsidRDefault="00085D65" w:rsidP="00007A0E">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085D65" w:rsidRDefault="00085D65" w:rsidP="00007A0E">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Pr="00663378">
              <w:rPr>
                <w:noProof/>
              </w:rPr>
              <w:t>(Gordo et al. 2011)</w:t>
            </w:r>
            <w:r>
              <w:fldChar w:fldCharType="end"/>
            </w:r>
          </w:p>
        </w:tc>
      </w:tr>
      <w:tr w:rsidR="00085D65" w:rsidTr="00007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085D65" w:rsidRPr="00524B4A" w:rsidRDefault="00085D65" w:rsidP="00007A0E">
            <w:pPr>
              <w:pStyle w:val="FigureLegend"/>
              <w:spacing w:line="480" w:lineRule="auto"/>
              <w:rPr>
                <w:i/>
                <w:iCs/>
              </w:rPr>
            </w:pPr>
            <w:r w:rsidRPr="00524B4A">
              <w:rPr>
                <w:i/>
                <w:iCs/>
              </w:rPr>
              <w:t>U</w:t>
            </w:r>
          </w:p>
        </w:tc>
        <w:tc>
          <w:tcPr>
            <w:tcW w:w="2858" w:type="dxa"/>
          </w:tcPr>
          <w:p w:rsidR="00085D65" w:rsidRDefault="00085D65" w:rsidP="00007A0E">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085D65" w:rsidRDefault="00085D65" w:rsidP="00007A0E">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085D65" w:rsidRDefault="00085D65" w:rsidP="00007A0E">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663378">
              <w:rPr>
                <w:noProof/>
              </w:rPr>
              <w:t>(Drake et al. 1998; Wielgoss et al. 2011)</w:t>
            </w:r>
            <w:r>
              <w:fldChar w:fldCharType="end"/>
            </w:r>
          </w:p>
        </w:tc>
      </w:tr>
      <w:tr w:rsidR="00085D65" w:rsidTr="00007A0E">
        <w:tc>
          <w:tcPr>
            <w:cnfStyle w:val="001000000000" w:firstRow="0" w:lastRow="0" w:firstColumn="1" w:lastColumn="0" w:oddVBand="0" w:evenVBand="0" w:oddHBand="0" w:evenHBand="0" w:firstRowFirstColumn="0" w:firstRowLastColumn="0" w:lastRowFirstColumn="0" w:lastRowLastColumn="0"/>
            <w:tcW w:w="865" w:type="dxa"/>
          </w:tcPr>
          <w:p w:rsidR="00085D65" w:rsidRPr="00524B4A" w:rsidRDefault="00085D65" w:rsidP="00007A0E">
            <w:pPr>
              <w:pStyle w:val="FigureLegend"/>
              <w:spacing w:line="480" w:lineRule="auto"/>
              <w:rPr>
                <w:i/>
                <w:iCs/>
              </w:rPr>
            </w:pPr>
            <w:r w:rsidRPr="00524B4A">
              <w:rPr>
                <w:i/>
                <w:iCs/>
              </w:rPr>
              <w:t>µ</w:t>
            </w:r>
          </w:p>
        </w:tc>
        <w:tc>
          <w:tcPr>
            <w:tcW w:w="2858" w:type="dxa"/>
          </w:tcPr>
          <w:p w:rsidR="00085D65" w:rsidRDefault="00085D65" w:rsidP="00007A0E">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085D65" w:rsidRDefault="00085D65" w:rsidP="00007A0E">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085D65" w:rsidRDefault="00085D65" w:rsidP="00007A0E">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Pr="00663378">
              <w:rPr>
                <w:noProof/>
              </w:rPr>
              <w:t>(Gordo et al. 2011)</w:t>
            </w:r>
            <w:r>
              <w:fldChar w:fldCharType="end"/>
            </w:r>
          </w:p>
        </w:tc>
      </w:tr>
      <w:tr w:rsidR="00085D65" w:rsidTr="00007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085D65" w:rsidRPr="00524B4A" w:rsidRDefault="00085D65" w:rsidP="00007A0E">
            <w:pPr>
              <w:pStyle w:val="FigureLegend"/>
              <w:spacing w:line="480" w:lineRule="auto"/>
              <w:rPr>
                <w:i/>
                <w:iCs/>
              </w:rPr>
            </w:pPr>
            <w:r w:rsidRPr="00524B4A">
              <w:rPr>
                <w:i/>
                <w:iCs/>
              </w:rPr>
              <w:t>τ</w:t>
            </w:r>
          </w:p>
        </w:tc>
        <w:tc>
          <w:tcPr>
            <w:tcW w:w="2858" w:type="dxa"/>
          </w:tcPr>
          <w:p w:rsidR="00085D65" w:rsidRDefault="00085D65" w:rsidP="00007A0E">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085D65" w:rsidRDefault="00085D65" w:rsidP="00007A0E">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085D65" w:rsidRDefault="00085D65" w:rsidP="00007A0E">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663378">
              <w:rPr>
                <w:noProof/>
              </w:rPr>
              <w:t>(Bjedov et al. 2003; Hall and Henderson-Begg 2006)</w:t>
            </w:r>
            <w:r>
              <w:fldChar w:fldCharType="end"/>
            </w:r>
          </w:p>
        </w:tc>
      </w:tr>
      <w:tr w:rsidR="00085D65" w:rsidTr="00007A0E">
        <w:tc>
          <w:tcPr>
            <w:cnfStyle w:val="001000000000" w:firstRow="0" w:lastRow="0" w:firstColumn="1" w:lastColumn="0" w:oddVBand="0" w:evenVBand="0" w:oddHBand="0" w:evenHBand="0" w:firstRowFirstColumn="0" w:firstRowLastColumn="0" w:lastRowFirstColumn="0" w:lastRowLastColumn="0"/>
            <w:tcW w:w="865" w:type="dxa"/>
          </w:tcPr>
          <w:p w:rsidR="00085D65" w:rsidRPr="00524B4A" w:rsidRDefault="00085D65" w:rsidP="00007A0E">
            <w:pPr>
              <w:pStyle w:val="FigureLegend"/>
              <w:spacing w:line="480" w:lineRule="auto"/>
              <w:rPr>
                <w:i/>
                <w:iCs/>
              </w:rPr>
            </w:pPr>
            <w:r w:rsidRPr="00524B4A">
              <w:rPr>
                <w:i/>
                <w:iCs/>
              </w:rPr>
              <w:t>N</w:t>
            </w:r>
          </w:p>
        </w:tc>
        <w:tc>
          <w:tcPr>
            <w:tcW w:w="2858" w:type="dxa"/>
          </w:tcPr>
          <w:p w:rsidR="00085D65" w:rsidRDefault="00085D65" w:rsidP="00007A0E">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085D65" w:rsidRPr="000E4EA4" w:rsidRDefault="00085D65" w:rsidP="00007A0E">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085D65" w:rsidRPr="00EA316D" w:rsidRDefault="00085D65" w:rsidP="00007A0E">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Pr="00663378">
              <w:rPr>
                <w:noProof/>
              </w:rPr>
              <w:t>(Pupo and Richardson 1995; Berg 1996)</w:t>
            </w:r>
            <w:r w:rsidRPr="00EA316D">
              <w:fldChar w:fldCharType="end"/>
            </w:r>
          </w:p>
        </w:tc>
      </w:tr>
    </w:tbl>
    <w:p w:rsidR="00085D65" w:rsidRPr="003C4248" w:rsidRDefault="00085D65" w:rsidP="00085D65">
      <w:pPr>
        <w:spacing w:line="480" w:lineRule="auto"/>
      </w:pPr>
    </w:p>
    <w:p w:rsidR="002D7506" w:rsidRDefault="002D7506" w:rsidP="002A0DCC">
      <w:pPr>
        <w:pStyle w:val="Heading2"/>
        <w:spacing w:line="480" w:lineRule="auto"/>
      </w:pPr>
      <w:r>
        <w:t>Appearance of a double mutant</w:t>
      </w:r>
    </w:p>
    <w:p w:rsidR="00A95F28" w:rsidRDefault="00A95F28" w:rsidP="002A0DCC">
      <w:pPr>
        <w:spacing w:after="0" w:line="480" w:lineRule="auto"/>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 xml:space="preserve">tation in a </w:t>
      </w:r>
      <w:proofErr w:type="spellStart"/>
      <w:r w:rsidR="003F5091">
        <w:t>wildtype</w:t>
      </w:r>
      <w:proofErr w:type="spellEnd"/>
      <w:r w:rsidR="003F5091">
        <w:t xml:space="preserv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w:t>
      </w:r>
      <w:r w:rsidR="0002786D">
        <w:lastRenderedPageBreak/>
        <w:t xml:space="preserve">mutants at the MSB and double mutants must be generated by a double mutation in a </w:t>
      </w:r>
      <w:proofErr w:type="spellStart"/>
      <w:r w:rsidR="0002786D">
        <w:t>wildtype</w:t>
      </w:r>
      <w:proofErr w:type="spellEnd"/>
      <w:r w:rsidR="0002786D">
        <w:t xml:space="preserv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2A0DCC">
      <w:pPr>
        <w:spacing w:line="480" w:lineRule="auto"/>
      </w:pPr>
      <w:r>
        <w:t>T</w:t>
      </w:r>
      <w:r w:rsidR="002D7506">
        <w:t xml:space="preserve">he frequencies of </w:t>
      </w:r>
      <w:proofErr w:type="spellStart"/>
      <w:r w:rsidR="002D7506">
        <w:t>wildtype</w:t>
      </w:r>
      <w:proofErr w:type="spellEnd"/>
      <w:r w:rsidR="002D7506">
        <w:t xml:space="preserv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w:t>
      </w:r>
      <w:proofErr w:type="gramStart"/>
      <w:r w:rsidR="00414AEF">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563FAB">
        <w:tc>
          <w:tcPr>
            <w:tcW w:w="4500" w:type="pct"/>
            <w:vAlign w:val="center"/>
          </w:tcPr>
          <w:p w:rsidR="002D7506" w:rsidRDefault="002D7506" w:rsidP="002A0DCC">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4"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4"/>
          </w:p>
        </w:tc>
      </w:tr>
    </w:tbl>
    <w:p w:rsidR="002D7506" w:rsidRDefault="003F5091" w:rsidP="002A0DCC">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563FAB">
        <w:tc>
          <w:tcPr>
            <w:tcW w:w="4500" w:type="pct"/>
            <w:vAlign w:val="center"/>
          </w:tcPr>
          <w:p w:rsidR="002D7506" w:rsidRDefault="000E4746"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5"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5"/>
          </w:p>
        </w:tc>
      </w:tr>
    </w:tbl>
    <w:p w:rsidR="0002786D" w:rsidRDefault="005447DA" w:rsidP="002A0DCC">
      <w:pPr>
        <w:spacing w:line="480" w:lineRule="auto"/>
      </w:pPr>
      <w:proofErr w:type="gramStart"/>
      <w:r>
        <w:t xml:space="preserve">The right-hand side of </w:t>
      </w:r>
      <w:proofErr w:type="spellStart"/>
      <w:r>
        <w:t>Eqs</w:t>
      </w:r>
      <w:proofErr w:type="spellEnd"/>
      <w:r>
        <w:t>.</w:t>
      </w:r>
      <w:proofErr w:type="gramEnd"/>
      <w:r>
        <w:t xml:space="preserve"> </w:t>
      </w:r>
      <w:r w:rsidR="00CA7DA9">
        <w:fldChar w:fldCharType="begin"/>
      </w:r>
      <w:r>
        <w:instrText xml:space="preserve"> REF _Ref354134924 \h </w:instrText>
      </w:r>
      <w:r w:rsidR="002A0DCC">
        <w:instrText xml:space="preserve"> \* MERGEFORMAT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AC2BE1">
        <w:t xml:space="preserve"> (</w:t>
      </w:r>
      <w:r>
        <w:t xml:space="preserve">see </w:t>
      </w:r>
      <w:r w:rsidR="000F7D03">
        <w:fldChar w:fldCharType="begin"/>
      </w:r>
      <w:r w:rsidR="000F7D03">
        <w:instrText xml:space="preserve"> REF _Ref363980873 \h </w:instrText>
      </w:r>
      <w:r w:rsidR="002A0DCC">
        <w:instrText xml:space="preserve"> \* MERGEFORMAT </w:instrText>
      </w:r>
      <w:r w:rsidR="000F7D03">
        <w:fldChar w:fldCharType="separate"/>
      </w:r>
      <w:r w:rsidR="000F7D03">
        <w:t>Appendix 1</w:t>
      </w:r>
      <w:r w:rsidR="000F7D03">
        <w:fldChar w:fldCharType="end"/>
      </w:r>
      <w:r w:rsidR="00AC2BE1">
        <w:t>)</w:t>
      </w:r>
      <w:r>
        <w:t>.</w:t>
      </w:r>
    </w:p>
    <w:p w:rsidR="002D7506" w:rsidRDefault="002D7506" w:rsidP="002A0DCC">
      <w:pPr>
        <w:pStyle w:val="Heading2"/>
        <w:spacing w:line="480" w:lineRule="auto"/>
      </w:pPr>
      <w:bookmarkStart w:id="6" w:name="_Ref354319797"/>
      <w:r>
        <w:t xml:space="preserve">Fixation probability with stress-induced </w:t>
      </w:r>
      <w:bookmarkEnd w:id="6"/>
      <w:r w:rsidR="003F5091">
        <w:t>mutagenesis</w:t>
      </w:r>
    </w:p>
    <w:p w:rsidR="005447DA" w:rsidRPr="005447DA" w:rsidRDefault="002D7506" w:rsidP="002A0DCC">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 xml:space="preserve">has two possible </w:t>
      </w:r>
      <w:r>
        <w:lastRenderedPageBreak/>
        <w:t>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2E0EB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0F7D03">
        <w:fldChar w:fldCharType="begin"/>
      </w:r>
      <w:r w:rsidR="000F7D03">
        <w:instrText xml:space="preserve"> REF _Ref363980888 \h </w:instrText>
      </w:r>
      <w:r w:rsidR="002A0DCC">
        <w:instrText xml:space="preserve"> \* MERGEFORMAT </w:instrText>
      </w:r>
      <w:r w:rsidR="000F7D03">
        <w:fldChar w:fldCharType="separate"/>
      </w:r>
      <w:r w:rsidR="000F7D03">
        <w:t>Appendix 2</w:t>
      </w:r>
      <w:r w:rsidR="000F7D03">
        <w:fldChar w:fldCharType="end"/>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2A0DCC">
      <w:pPr>
        <w:spacing w:line="480" w:lineRule="auto"/>
        <w:rPr>
          <w:lang w:bidi="hi-IN"/>
        </w:rPr>
      </w:pPr>
      <w:bookmarkStart w:id="7"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2E0EBF">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2A0DCC">
      <w:pPr>
        <w:spacing w:line="480" w:lineRule="auto"/>
        <w:rPr>
          <w:lang w:bidi="hi-IN"/>
        </w:rPr>
      </w:pPr>
      <w:r>
        <w:rPr>
          <w:lang w:bidi="hi-IN"/>
        </w:rPr>
        <w:t xml:space="preserve">The fixation probability with SIM equals that of NM and CM because the mutation rate of the </w:t>
      </w:r>
      <w:proofErr w:type="spellStart"/>
      <w:r>
        <w:rPr>
          <w:lang w:bidi="hi-IN"/>
        </w:rPr>
        <w:t>wildtype</w:t>
      </w:r>
      <w:proofErr w:type="spellEnd"/>
      <w:r>
        <w:rPr>
          <w:lang w:bidi="hi-IN"/>
        </w:rPr>
        <w:t xml:space="preserv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2A0DCC">
      <w:pPr>
        <w:pStyle w:val="Heading2"/>
        <w:spacing w:line="480" w:lineRule="auto"/>
      </w:pPr>
      <w:r>
        <w:t>Adaptation rate</w:t>
      </w:r>
      <w:bookmarkEnd w:id="7"/>
    </w:p>
    <w:p w:rsidR="00B82D73" w:rsidRPr="00D516F5" w:rsidRDefault="00B82D73" w:rsidP="002A0DCC">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CA58CA">
        <w:t xml:space="preserve">on </w:t>
      </w:r>
      <w:r w:rsidR="00CA58CA" w:rsidRPr="00CA58CA">
        <w:rPr>
          <w:i/>
          <w:iCs/>
        </w:rPr>
        <w:t>N</w:t>
      </w:r>
      <w:r w:rsidR="00CA58CA">
        <w:t xml:space="preserve"> </w:t>
      </w:r>
      <w:r w:rsidR="00CA7DA9">
        <w:fldChar w:fldCharType="begin"/>
      </w:r>
      <w:r w:rsidR="005447DA" w:rsidRPr="00EC7EBC">
        <w:instrText xml:space="preserve"> REF _Ref360530713 \h </w:instrText>
      </w:r>
      <w:r w:rsidR="002A0DCC">
        <w:instrText xml:space="preserve"> \* MERGEFORMAT </w:instrText>
      </w:r>
      <w:r w:rsidR="00CA7DA9">
        <w:fldChar w:fldCharType="end"/>
      </w:r>
      <w:r w:rsidR="00CA7DA9">
        <w:fldChar w:fldCharType="begin"/>
      </w:r>
      <w:r>
        <w:instrText xml:space="preserve"> REF _Ref354129072 \h  \* MERGEFORMAT </w:instrText>
      </w:r>
      <w:r w:rsidR="00CA7DA9">
        <w:fldChar w:fldCharType="end"/>
      </w:r>
      <w:r>
        <w:t xml:space="preserve">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w:t>
      </w:r>
      <w:proofErr w:type="gramStart"/>
      <w:r>
        <w:t>a</w:t>
      </w:r>
      <w:proofErr w:type="gramEnd"/>
      <w:r>
        <w:t xml:space="preserve"> </w:t>
      </w:r>
      <w:proofErr w:type="spellStart"/>
      <w:r w:rsidR="008967F9">
        <w:t>oes</w:t>
      </w:r>
      <w:proofErr w:type="spellEnd"/>
      <w:r w:rsidR="008967F9">
        <w:t xml:space="preserve">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2A0DCC">
      <w:pPr>
        <w:pStyle w:val="Heading2"/>
        <w:spacing w:line="480" w:lineRule="auto"/>
      </w:pPr>
      <w:r>
        <w:lastRenderedPageBreak/>
        <w:t>Wright-Fisher simulations</w:t>
      </w:r>
    </w:p>
    <w:p w:rsidR="00A96D14" w:rsidRDefault="00A96D14" w:rsidP="002A0DCC">
      <w:pPr>
        <w:spacing w:line="480" w:lineRule="auto"/>
      </w:pPr>
      <w:r w:rsidRPr="00A96D14">
        <w:t xml:space="preserve">We </w:t>
      </w:r>
      <w:r>
        <w:t>use</w:t>
      </w:r>
      <w:r w:rsidR="006911A5">
        <w:t>d</w:t>
      </w:r>
      <w:r>
        <w:t xml:space="preserve"> Wright-Fisher </w:t>
      </w:r>
      <w:r w:rsidR="006911A5">
        <w:t>simulations</w:t>
      </w:r>
      <w:r>
        <w:t xml:space="preserve"> with 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are enough to get the average number of deleterious mutations per individual to 99.3% of </w:t>
      </w:r>
      <w:r w:rsidR="00CA58CA">
        <w:t>its</w:t>
      </w:r>
      <w:r>
        <w:t xml:space="preserve"> MSB value </w:t>
      </w:r>
      <w:r>
        <w:fldChar w:fldCharType="begin" w:fldLock="1"/>
      </w:r>
      <w:r w:rsidR="002E0EBF">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2A0DCC">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proofErr w:type="gramStart"/>
      <w:r w:rsidR="00CD4474" w:rsidRPr="00CD4474">
        <w:rPr>
          <w:i/>
          <w:iCs/>
        </w:rPr>
        <w:t>f(</w:t>
      </w:r>
      <w:proofErr w:type="gramEnd"/>
      <w:r w:rsidR="00CD4474" w:rsidRPr="00CD4474">
        <w:rPr>
          <w:i/>
          <w:iCs/>
        </w:rPr>
        <w:t>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 xml:space="preserve">. </w:t>
      </w:r>
    </w:p>
    <w:p w:rsidR="001033CA" w:rsidRDefault="001033CA" w:rsidP="002A0DCC">
      <w:pPr>
        <w:pStyle w:val="Heading1"/>
        <w:spacing w:line="480" w:lineRule="auto"/>
        <w:rPr>
          <w:lang w:bidi="hi-IN"/>
        </w:rPr>
      </w:pPr>
      <w:r>
        <w:rPr>
          <w:lang w:bidi="hi-IN"/>
        </w:rPr>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Default="004C16E5" w:rsidP="002A0DC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p w:rsidR="00085D65" w:rsidRDefault="00085D65" w:rsidP="002A0DCC">
      <w:pPr>
        <w:spacing w:line="480" w:lineRule="auto"/>
        <w:rPr>
          <w:lang w:bidi="hi-IN"/>
        </w:rPr>
      </w:pPr>
    </w:p>
    <w:p w:rsidR="00085D65" w:rsidRPr="007C4DDB" w:rsidRDefault="00085D65" w:rsidP="002A0DCC">
      <w:pPr>
        <w:spacing w:line="480" w:lineRule="auto"/>
        <w:rPr>
          <w:lang w:bidi="hi-IN"/>
        </w:rPr>
      </w:pP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CB2F61" w:rsidTr="00CB2F61">
        <w:tc>
          <w:tcPr>
            <w:tcW w:w="4500" w:type="pct"/>
            <w:vAlign w:val="center"/>
          </w:tcPr>
          <w:p w:rsidR="00CB2F61" w:rsidRDefault="000E4746"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8"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r>
              <w:t>)</w:t>
            </w:r>
            <w:bookmarkEnd w:id="8"/>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0E4746"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r>
              <w:t>(</w:t>
            </w:r>
            <w:fldSimple w:instr=" SEQ Equation ">
              <w:r w:rsidR="00CA58CA">
                <w:rPr>
                  <w:noProof/>
                </w:rPr>
                <w:t>6</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0E4746"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w:r w:rsidR="00531BD5">
              <w:rPr>
                <w:rFonts w:eastAsiaTheme="minorEastAsia"/>
              </w:rPr>
              <w:t>.</w:t>
            </w:r>
          </w:p>
        </w:tc>
        <w:tc>
          <w:tcPr>
            <w:tcW w:w="500" w:type="pct"/>
            <w:tcBorders>
              <w:top w:val="nil"/>
              <w:left w:val="nil"/>
              <w:bottom w:val="nil"/>
              <w:right w:val="nil"/>
            </w:tcBorders>
          </w:tcPr>
          <w:p w:rsidR="00CB2F61" w:rsidRDefault="00CB2F61" w:rsidP="002A0DCC">
            <w:pPr>
              <w:spacing w:line="480" w:lineRule="auto"/>
            </w:pPr>
            <w:bookmarkStart w:id="9"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r>
              <w:t>)</w:t>
            </w:r>
            <w:bookmarkEnd w:id="9"/>
          </w:p>
        </w:tc>
      </w:tr>
    </w:tbl>
    <w:p w:rsidR="005A2F68" w:rsidRDefault="004C16E5" w:rsidP="002A0DCC">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proofErr w:type="spellStart"/>
      <w:proofErr w:type="gramStart"/>
      <w:r w:rsidR="005A2F68" w:rsidRPr="00AB0448">
        <w:rPr>
          <w:i/>
          <w:iCs/>
        </w:rPr>
        <w:t>τ</w:t>
      </w:r>
      <w:r w:rsidR="005A2F68">
        <w:rPr>
          <w:i/>
          <w:iCs/>
        </w:rPr>
        <w:t>U</w:t>
      </w:r>
      <w:proofErr w:type="spellEnd"/>
      <w:proofErr w:type="gramEnd"/>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Pr>
          <w:rFonts w:eastAsiaTheme="minorEastAsia"/>
          <w:lang w:bidi="hi-IN"/>
        </w:rPr>
        <w:t>are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085D65" w:rsidRDefault="00085D65" w:rsidP="00085D65">
      <w:pPr>
        <w:keepNext/>
        <w:spacing w:line="480" w:lineRule="auto"/>
        <w:jc w:val="center"/>
      </w:pPr>
      <w:r>
        <w:rPr>
          <w:noProof/>
        </w:rPr>
        <w:drawing>
          <wp:inline distT="0" distB="0" distL="0" distR="0" wp14:anchorId="437BDFCF" wp14:editId="0245E74A">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085D65" w:rsidRPr="00E4303E" w:rsidRDefault="00085D65" w:rsidP="00085D65">
      <w:pPr>
        <w:pStyle w:val="FigureLegend"/>
        <w:spacing w:line="480" w:lineRule="auto"/>
      </w:pPr>
      <w:bookmarkStart w:id="10"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Pr>
          <w:b/>
          <w:bCs/>
          <w:noProof/>
        </w:rPr>
        <w:t>2</w:t>
      </w:r>
      <w:r>
        <w:rPr>
          <w:b/>
          <w:bCs/>
        </w:rPr>
        <w:fldChar w:fldCharType="end"/>
      </w:r>
      <w:bookmarkEnd w:id="10"/>
      <w:r w:rsidRPr="00C11B88">
        <w:rPr>
          <w:b/>
          <w:bCs/>
        </w:rPr>
        <w:t xml:space="preserve"> – </w:t>
      </w:r>
      <w:r>
        <w:rPr>
          <w:b/>
          <w:bCs/>
        </w:rPr>
        <w:t xml:space="preserve">Complex adaptation with </w:t>
      </w:r>
      <w:r w:rsidRPr="00C11B88">
        <w:rPr>
          <w:b/>
          <w:bCs/>
        </w:rPr>
        <w:t>three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NM (represented by </w:t>
      </w:r>
      <w:r w:rsidRPr="00E4303E">
        <w:rPr>
          <w:i/>
          <w:iCs/>
        </w:rPr>
        <w:t>τ</w:t>
      </w:r>
      <w:r>
        <w:t xml:space="preserve">=1) is normal mutagenesis; CM (red with circles) is constitutive mutagenesis; SIM (solid blue with squares) is stress-induced mutagenesis; </w:t>
      </w:r>
      <w:proofErr w:type="spellStart"/>
      <w:r>
        <w:t>SIMe</w:t>
      </w:r>
      <w:proofErr w:type="spellEnd"/>
      <w:r>
        <w:t xml:space="preserve"> (dashed green with triangles) is stress-induced mutagenesis with environmental stress. Lines are analytic approximations; markers are the means of stochastic simulations results; error bars represent 95% confidence intervals of the mean (at least 1,000 replicates per point). Both axes are in log scale. Parameters (see </w:t>
      </w:r>
      <w:r>
        <w:fldChar w:fldCharType="begin"/>
      </w:r>
      <w:r w:rsidRPr="006733DF">
        <w:instrText xml:space="preserve"> REF _Ref358791100 \h </w:instrText>
      </w:r>
      <w:r>
        <w:instrText xml:space="preserve"> \* MERGEFORMAT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 xml:space="preserve">=0.0002, </w:t>
      </w:r>
      <w:r w:rsidRPr="00E4303E">
        <w:rPr>
          <w:i/>
          <w:iCs/>
        </w:rPr>
        <w:t>H</w:t>
      </w:r>
      <w:r>
        <w:t xml:space="preserve">=2, </w:t>
      </w:r>
      <w:r w:rsidRPr="00E4303E">
        <w:rPr>
          <w:i/>
          <w:iCs/>
        </w:rPr>
        <w:t>N</w:t>
      </w:r>
      <w:r>
        <w:t>=10</w:t>
      </w:r>
      <w:r>
        <w:rPr>
          <w:vertAlign w:val="superscript"/>
        </w:rPr>
        <w:t>6</w:t>
      </w:r>
      <w:r>
        <w:t xml:space="preserve">. </w:t>
      </w:r>
    </w:p>
    <w:p w:rsidR="00544FA2" w:rsidRDefault="00CD660F" w:rsidP="00963766">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lastRenderedPageBreak/>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072D95">
        <w:fldChar w:fldCharType="begin"/>
      </w:r>
      <w:r w:rsidR="00072D95">
        <w:instrText xml:space="preserve"> REF _Ref360183807 \h  \* MERGEFORMAT </w:instrText>
      </w:r>
      <w:r w:rsidR="00072D95">
        <w:fldChar w:fldCharType="separate"/>
      </w:r>
      <w:r w:rsidR="00320207" w:rsidRPr="00320207">
        <w:t>Figure S</w:t>
      </w:r>
      <w:r w:rsidR="00072D95">
        <w:fldChar w:fldCharType="end"/>
      </w:r>
      <w:r w:rsidR="00963766">
        <w:t>1</w:t>
      </w:r>
      <w:r w:rsidR="00320207" w:rsidRPr="00320207">
        <w:t>).</w:t>
      </w:r>
      <w:r w:rsidR="001C5D6C">
        <w:t xml:space="preserve"> See below for a different scenario in which SIM increases the fixation probability.</w:t>
      </w:r>
      <w:r w:rsidR="005A2F68">
        <w:t xml:space="preserve"> </w:t>
      </w:r>
    </w:p>
    <w:p w:rsidR="006D5802" w:rsidRDefault="00B82D73" w:rsidP="00963766">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w:proofErr w:type="spellStart"/>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w:t>
      </w:r>
      <w:proofErr w:type="spellEnd"/>
      <w:r w:rsidR="00CD660F" w:rsidRPr="00B82D73">
        <w:rPr>
          <w:rFonts w:eastAsiaTheme="minorEastAsia"/>
          <w:i/>
          <w:iCs/>
          <w:lang w:bidi="hi-IN"/>
        </w:rPr>
        <w:t>&lt;s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2E0EBF">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D10D48" w:rsidRPr="00D10D48">
        <w:rPr>
          <w:lang w:bidi="hi-IN"/>
        </w:rPr>
        <w:fldChar w:fldCharType="begin"/>
      </w:r>
      <w:r w:rsidR="00D10D48" w:rsidRPr="00D10D48">
        <w:rPr>
          <w:lang w:bidi="hi-IN"/>
        </w:rPr>
        <w:instrText xml:space="preserve"> REF _Ref360562760 \h  \* MERGEFORMAT </w:instrText>
      </w:r>
      <w:r w:rsidR="00D10D48" w:rsidRPr="00D10D48">
        <w:rPr>
          <w:lang w:bidi="hi-IN"/>
        </w:rPr>
      </w:r>
      <w:r w:rsidR="00D10D48" w:rsidRPr="00D10D48">
        <w:rPr>
          <w:lang w:bidi="hi-IN"/>
        </w:rPr>
        <w:fldChar w:fldCharType="separate"/>
      </w:r>
      <w:r w:rsidR="00D10D48" w:rsidRPr="00D10D48">
        <w:t>Figure S</w:t>
      </w:r>
      <w:r w:rsidR="00D10D48" w:rsidRPr="00D10D48">
        <w:rPr>
          <w:lang w:bidi="hi-IN"/>
        </w:rPr>
        <w:fldChar w:fldCharType="end"/>
      </w:r>
      <w:r w:rsidR="00963766">
        <w:rPr>
          <w:lang w:bidi="hi-IN"/>
        </w:rPr>
        <w:t>2</w:t>
      </w:r>
      <w:r w:rsidR="00D10D48">
        <w:rPr>
          <w:lang w:bidi="hi-IN"/>
        </w:rPr>
        <w:t>).</w:t>
      </w:r>
    </w:p>
    <w:p w:rsidR="009F5B3A" w:rsidRDefault="009F5B3A" w:rsidP="002A0DCC">
      <w:pPr>
        <w:pStyle w:val="Heading2"/>
        <w:spacing w:line="480" w:lineRule="auto"/>
      </w:pPr>
      <w:r>
        <w:t>The trade-off between adaptability and adaptedness</w:t>
      </w:r>
    </w:p>
    <w:p w:rsidR="009F5B3A" w:rsidRDefault="009F5B3A" w:rsidP="002A0DCC">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2E0EB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of population</w:t>
      </w:r>
      <w:r w:rsidR="006456BB" w:rsidRPr="003757EA">
        <w:rPr>
          <w:lang w:bidi="hi-IN"/>
        </w:rPr>
        <w:t>s</w:t>
      </w:r>
      <w:r w:rsidRPr="003757EA">
        <w:rPr>
          <w:lang w:bidi="hi-IN"/>
        </w:rPr>
        <w:t xml:space="preserve"> with NM, CM and SIM (see </w:t>
      </w:r>
      <w:r w:rsidR="00C32D39" w:rsidRPr="003757EA">
        <w:rPr>
          <w:lang w:bidi="hi-IN"/>
        </w:rPr>
        <w:fldChar w:fldCharType="begin"/>
      </w:r>
      <w:r w:rsidR="00C32D39" w:rsidRPr="003757EA">
        <w:rPr>
          <w:lang w:bidi="hi-IN"/>
        </w:rPr>
        <w:instrText xml:space="preserve"> REF _Ref363979903 \h  \* MERGEFORMAT </w:instrText>
      </w:r>
      <w:r w:rsidR="00C32D39" w:rsidRPr="003757EA">
        <w:rPr>
          <w:lang w:bidi="hi-IN"/>
        </w:rPr>
      </w:r>
      <w:r w:rsidR="00C32D39" w:rsidRPr="003757EA">
        <w:rPr>
          <w:lang w:bidi="hi-IN"/>
        </w:rPr>
        <w:fldChar w:fldCharType="separate"/>
      </w:r>
      <w:r w:rsidR="00C32D39" w:rsidRPr="003757EA">
        <w:t xml:space="preserve">Figure </w:t>
      </w:r>
      <w:r w:rsidR="00C32D39" w:rsidRPr="003757EA">
        <w:rPr>
          <w:noProof/>
        </w:rPr>
        <w:t>3</w:t>
      </w:r>
      <w:r w:rsidR="00C32D39" w:rsidRPr="003757EA">
        <w:rPr>
          <w:lang w:bidi="hi-IN"/>
        </w:rPr>
        <w:fldChar w:fldCharType="end"/>
      </w:r>
      <w:r w:rsidR="00A40A47" w:rsidRPr="003757EA">
        <w:rPr>
          <w:lang w:bidi="hi-IN"/>
        </w:rPr>
        <w:fldChar w:fldCharType="begin"/>
      </w:r>
      <w:r w:rsidR="00A40A47" w:rsidRPr="003757EA">
        <w:rPr>
          <w:lang w:bidi="hi-IN"/>
        </w:rPr>
        <w:instrText xml:space="preserve"> REF _Ref363979903 \h  \* MERGEFORMAT </w:instrText>
      </w:r>
      <w:r w:rsidR="00A40A47" w:rsidRPr="003757EA">
        <w:rPr>
          <w:lang w:bidi="hi-IN"/>
        </w:rPr>
      </w:r>
      <w:r w:rsidR="00A40A47" w:rsidRPr="003757EA">
        <w:rPr>
          <w:lang w:bidi="hi-IN"/>
        </w:rPr>
        <w:fldChar w:fldCharType="end"/>
      </w:r>
      <w:r w:rsidR="00C32D39" w:rsidRPr="003757EA">
        <w:rPr>
          <w:lang w:bidi="hi-IN"/>
        </w:rPr>
        <w:t xml:space="preserve"> </w:t>
      </w:r>
      <w:r w:rsidRPr="003757EA">
        <w:rPr>
          <w:lang w:bidi="hi-IN"/>
        </w:rPr>
        <w:t xml:space="preserve">and </w:t>
      </w:r>
      <w:r w:rsidR="006456BB" w:rsidRPr="003757EA">
        <w:rPr>
          <w:lang w:bidi="hi-IN"/>
        </w:rPr>
        <w:t>s</w:t>
      </w:r>
      <w:r w:rsidRPr="003757EA">
        <w:rPr>
          <w:lang w:bidi="hi-IN"/>
        </w:rPr>
        <w:t>upporting information for more details) and used the model presented above to calculate adaptation rates.</w:t>
      </w:r>
    </w:p>
    <w:p w:rsidR="00085D65" w:rsidRPr="003C4248" w:rsidRDefault="00085D65" w:rsidP="00085D65">
      <w:pPr>
        <w:pStyle w:val="FigureLegend"/>
        <w:spacing w:line="480" w:lineRule="auto"/>
        <w:rPr>
          <w:b/>
          <w:bCs/>
        </w:rPr>
      </w:pPr>
      <w:r w:rsidRPr="003C4248">
        <w:rPr>
          <w:noProof/>
        </w:rPr>
        <w:lastRenderedPageBreak/>
        <w:drawing>
          <wp:inline distT="0" distB="0" distL="0" distR="0" wp14:anchorId="4EC6A240" wp14:editId="354B5D13">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085D65" w:rsidRPr="003C4248" w:rsidRDefault="00085D65" w:rsidP="00085D65">
      <w:pPr>
        <w:spacing w:line="480" w:lineRule="auto"/>
        <w:jc w:val="center"/>
        <w:rPr>
          <w:sz w:val="16"/>
          <w:szCs w:val="16"/>
        </w:rPr>
      </w:pPr>
      <w:bookmarkStart w:id="11"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Pr="003C4248">
        <w:rPr>
          <w:b/>
          <w:bCs/>
          <w:noProof/>
          <w:sz w:val="16"/>
          <w:szCs w:val="16"/>
        </w:rPr>
        <w:t>3</w:t>
      </w:r>
      <w:r w:rsidRPr="003C4248">
        <w:rPr>
          <w:b/>
          <w:bCs/>
          <w:sz w:val="16"/>
          <w:szCs w:val="16"/>
        </w:rPr>
        <w:fldChar w:fldCharType="end"/>
      </w:r>
      <w:bookmarkEnd w:id="11"/>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Pr="003C4248">
        <w:rPr>
          <w:sz w:val="16"/>
          <w:szCs w:val="16"/>
        </w:rPr>
        <w:t xml:space="preserve">. The x-axis is </w:t>
      </w:r>
      <w:r w:rsidRPr="003C4248">
        <w:rPr>
          <w:i/>
          <w:iCs/>
          <w:sz w:val="16"/>
          <w:szCs w:val="16"/>
        </w:rPr>
        <w:t>β,</w:t>
      </w:r>
      <w:r w:rsidRPr="003C4248">
        <w:rPr>
          <w:sz w:val="16"/>
          <w:szCs w:val="16"/>
        </w:rPr>
        <w:t xml:space="preserve"> the fraction of mutations that are beneficial and the y-axis is </w:t>
      </w:r>
      <w:r w:rsidRPr="003C4248">
        <w:rPr>
          <w:i/>
          <w:iCs/>
          <w:sz w:val="16"/>
          <w:szCs w:val="16"/>
        </w:rPr>
        <w:t>τ</w:t>
      </w:r>
      <w:r w:rsidRPr="003C4248">
        <w:rPr>
          <w:sz w:val="16"/>
          <w:szCs w:val="16"/>
        </w:rPr>
        <w:t>,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Pr="003C4248">
        <w:rPr>
          <w:sz w:val="16"/>
          <w:szCs w:val="16"/>
        </w:rPr>
        <w:t>=10)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AC687F" w:rsidRDefault="00072D95" w:rsidP="002A0DCC">
      <w:pPr>
        <w:spacing w:line="480" w:lineRule="auto"/>
      </w:pPr>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 xml:space="preserve">from 0.9996 with NM to </w:t>
      </w:r>
      <w:r w:rsidR="0082586B">
        <w:lastRenderedPageBreak/>
        <w:t>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085D65" w:rsidRDefault="00085D65" w:rsidP="00085D65">
      <w:pPr>
        <w:keepNext/>
        <w:spacing w:line="480" w:lineRule="auto"/>
        <w:jc w:val="center"/>
      </w:pPr>
      <w:r>
        <w:rPr>
          <w:noProof/>
        </w:rPr>
        <w:drawing>
          <wp:inline distT="0" distB="0" distL="0" distR="0" wp14:anchorId="273E7AFE" wp14:editId="23013AFE">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085D65" w:rsidRDefault="00085D65" w:rsidP="00085D65">
      <w:pPr>
        <w:pStyle w:val="FigureLegend"/>
        <w:spacing w:line="480" w:lineRule="auto"/>
        <w:rPr>
          <w:lang w:bidi="hi-IN"/>
        </w:rPr>
      </w:pPr>
      <w:bookmarkStart w:id="12"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Pr>
          <w:b/>
          <w:bCs/>
          <w:noProof/>
        </w:rPr>
        <w:t>4</w:t>
      </w:r>
      <w:r>
        <w:rPr>
          <w:b/>
          <w:bCs/>
        </w:rPr>
        <w:fldChar w:fldCharType="end"/>
      </w:r>
      <w:bookmarkEnd w:id="12"/>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 xml:space="preserve">The figure shows the </w:t>
      </w:r>
      <w:r>
        <w:rPr>
          <w:i/>
          <w:iCs/>
          <w:noProof/>
        </w:rPr>
        <w:t xml:space="preserve">adaptedness </w:t>
      </w:r>
      <w:r>
        <w:rPr>
          <w:noProof/>
        </w:rPr>
        <w:t xml:space="preserve">(population mean fitness at the MSB; x-axis) and the </w:t>
      </w:r>
      <w:r w:rsidRPr="009F5B3A">
        <w:rPr>
          <w:i/>
          <w:iCs/>
          <w:noProof/>
        </w:rPr>
        <w:t>adaptability</w:t>
      </w:r>
      <w:r>
        <w:rPr>
          <w:noProof/>
        </w:rPr>
        <w:t xml:space="preserve"> (</w:t>
      </w:r>
      <w:r w:rsidRPr="009F5B3A">
        <w:rPr>
          <w:noProof/>
        </w:rPr>
        <w:t>adaptation</w:t>
      </w:r>
      <w:r>
        <w:rPr>
          <w:noProof/>
        </w:rPr>
        <w:t xml:space="preserve"> rate; y-axis) of different mutational strategies relative to normal mutagenesis (NM)</w:t>
      </w:r>
      <w:r>
        <w:rPr>
          <w:lang w:bidi="hi-IN"/>
        </w:rPr>
        <w:t xml:space="preserve">. Constitutive mutagenesis (CM; in red) increases the mutation rate of all individuals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-fold</w:t>
      </w:r>
      <w:r>
        <w:rPr>
          <w:lang w:bidi="hi-IN"/>
        </w:rPr>
        <w:t>; Stress-induced mutagenesis (SIM; in blue) increases the mutation rate of stressed or maladapted individuals</w:t>
      </w:r>
      <w:r w:rsidRPr="00514DED">
        <w:rPr>
          <w:rFonts w:ascii="Times New Roman" w:hAnsi="Times New Roman" w:cs="Times New Roman"/>
          <w:i/>
          <w:iCs/>
        </w:rPr>
        <w:t xml:space="preserve">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rPr>
          <w:lang w:bidi="hi-IN"/>
        </w:rPr>
        <w:t>; Mixed strategies (in dashed green) increase the mutation rate of all individuals</w:t>
      </w:r>
      <w:r>
        <w:t xml:space="preserve">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 xml:space="preserve">-fold and of stressed individuals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Pr>
          <w:lang w:bidi="hi-IN"/>
        </w:rPr>
        <w:instrText xml:space="preserve"> \* MERGEFORMAT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Pr>
          <w:lang w:bidi="hi-IN"/>
        </w:rPr>
        <w:t xml:space="preserve">. </w:t>
      </w:r>
    </w:p>
    <w:p w:rsidR="00B32510" w:rsidRPr="00CE72C5" w:rsidRDefault="00042973" w:rsidP="002A0DCC">
      <w:pPr>
        <w:pStyle w:val="Heading2"/>
        <w:spacing w:line="480" w:lineRule="auto"/>
      </w:pPr>
      <w:r w:rsidRPr="00CE72C5">
        <w:t>Effect of environmental stress</w:t>
      </w:r>
    </w:p>
    <w:p w:rsidR="00042973" w:rsidRDefault="00FA72C5" w:rsidP="00663378">
      <w:pPr>
        <w:spacing w:line="480" w:lineRule="auto"/>
      </w:pPr>
      <w:r>
        <w:t>So far,</w:t>
      </w:r>
      <w:r w:rsidR="00042973">
        <w:t xml:space="preserve"> we considered stress </w:t>
      </w:r>
      <w:r w:rsidR="00CE72C5">
        <w:t xml:space="preserve">as </w:t>
      </w:r>
      <w:r w:rsidR="00042973">
        <w:t xml:space="preserve">a mismatch between the individual and the environment. Another </w:t>
      </w:r>
      <w:r w:rsidR="002C54C0">
        <w:t xml:space="preserve">source </w:t>
      </w:r>
      <w:r w:rsidR="00042973">
        <w:t xml:space="preserve">of stress </w:t>
      </w:r>
      <w:r w:rsidR="002C54C0">
        <w:t xml:space="preserve">can be </w:t>
      </w:r>
      <w:r w:rsidR="00042973">
        <w:t xml:space="preserve">an environmental condition </w:t>
      </w:r>
      <w:r w:rsidR="00CE72C5">
        <w:t>that</w:t>
      </w:r>
      <w:r w:rsidR="00042973">
        <w:t xml:space="preserve"> reduces the fitness of all </w:t>
      </w:r>
      <w:r w:rsidR="00CE72C5">
        <w:t xml:space="preserve">maladapted </w:t>
      </w:r>
      <w:r w:rsidR="00042973">
        <w:t>individuals, such as a new antibiotic drug</w:t>
      </w:r>
      <w:r>
        <w:t>.</w:t>
      </w:r>
      <w:r w:rsidR="002C54C0">
        <w:t xml:space="preserve"> This scenario has an important biological relevance, as SIM has been implicated in the </w:t>
      </w:r>
      <w:r w:rsidR="002C54C0">
        <w:lastRenderedPageBreak/>
        <w:t xml:space="preserve">evolution of drug resistance in bacteria and yeast </w:t>
      </w:r>
      <w:r w:rsidR="002C54C0">
        <w:fldChar w:fldCharType="begin" w:fldLock="1"/>
      </w:r>
      <w:r w:rsidR="002E0EB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C54C0">
        <w:fldChar w:fldCharType="separate"/>
      </w:r>
      <w:r w:rsidR="00663378" w:rsidRPr="00663378">
        <w:rPr>
          <w:noProof/>
        </w:rPr>
        <w:t>(Cirz and Romesberg 2007; Obolski and Hadany 2012; Shor et al. 2013)</w:t>
      </w:r>
      <w:r w:rsidR="002C54C0">
        <w:fldChar w:fldCharType="end"/>
      </w:r>
      <w:r w:rsidR="002C54C0">
        <w:t>.</w:t>
      </w:r>
      <w:r w:rsidR="00042973">
        <w:t xml:space="preserve"> </w:t>
      </w:r>
    </w:p>
    <w:p w:rsidR="00B32510" w:rsidRDefault="00B32510" w:rsidP="002A0DCC">
      <w:pPr>
        <w:spacing w:line="480" w:lineRule="auto"/>
      </w:pPr>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w:t>
      </w:r>
      <w:r w:rsidR="00CE72C5">
        <w:t xml:space="preserve"> again</w:t>
      </w:r>
      <w:r>
        <w:t>,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2A0DCC">
      <w:pPr>
        <w:spacing w:line="480" w:lineRule="auto"/>
        <w:rPr>
          <w:lang w:bidi="hi-IN"/>
        </w:rPr>
      </w:pPr>
      <w:r>
        <w:t>The adaptation rate</w:t>
      </w:r>
      <w:r w:rsidR="00CE72C5">
        <w:t xml:space="preserve"> with SIM</w:t>
      </w:r>
      <w:r>
        <w:t xml:space="preserve"> in this scenario is (see </w:t>
      </w:r>
      <w:r w:rsidR="000F7D03">
        <w:fldChar w:fldCharType="begin"/>
      </w:r>
      <w:r w:rsidR="000F7D03">
        <w:instrText xml:space="preserve"> REF _Ref363980903 \h </w:instrText>
      </w:r>
      <w:r w:rsidR="002A0DCC">
        <w:instrText xml:space="preserve"> \* MERGEFORMAT </w:instrText>
      </w:r>
      <w:r w:rsidR="000F7D03">
        <w:fldChar w:fldCharType="separate"/>
      </w:r>
      <w:r w:rsidR="000F7D03">
        <w:t>Appendix 3</w:t>
      </w:r>
      <w:r w:rsidR="000F7D03">
        <w:fldChar w:fldCharType="end"/>
      </w:r>
      <w:r w:rsidR="00CA7DA9">
        <w:fldChar w:fldCharType="begin"/>
      </w:r>
      <w:r>
        <w:instrText xml:space="preserve"> REF _Ref360534049 \h </w:instrText>
      </w:r>
      <w:r w:rsidR="002A0DCC">
        <w:instrText xml:space="preserve"> \* MERGEFORMAT </w:instrText>
      </w:r>
      <w:r w:rsidR="00CA7DA9">
        <w:fldChar w:fldCharType="end"/>
      </w:r>
      <w:r>
        <w:t>):</w:t>
      </w:r>
    </w:p>
    <w:tbl>
      <w:tblPr>
        <w:tblStyle w:val="TableGrid"/>
        <w:tblW w:w="5000" w:type="pct"/>
        <w:tblInd w:w="340" w:type="dxa"/>
        <w:tblLook w:val="04A0" w:firstRow="1" w:lastRow="0" w:firstColumn="1" w:lastColumn="0" w:noHBand="0" w:noVBand="1"/>
      </w:tblPr>
      <w:tblGrid>
        <w:gridCol w:w="7670"/>
        <w:gridCol w:w="852"/>
      </w:tblGrid>
      <w:tr w:rsidR="00B32510" w:rsidTr="00000DD9">
        <w:tc>
          <w:tcPr>
            <w:tcW w:w="4500" w:type="pct"/>
            <w:tcBorders>
              <w:top w:val="nil"/>
              <w:left w:val="nil"/>
              <w:bottom w:val="nil"/>
              <w:right w:val="nil"/>
            </w:tcBorders>
          </w:tcPr>
          <w:p w:rsidR="00B32510" w:rsidRPr="00CB2F61" w:rsidRDefault="000E4746"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2A0DCC">
            <w:pPr>
              <w:spacing w:line="480" w:lineRule="auto"/>
            </w:pPr>
            <w:bookmarkStart w:id="13"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13"/>
          </w:p>
        </w:tc>
      </w:tr>
    </w:tbl>
    <w:p w:rsidR="00290173" w:rsidRDefault="00290173" w:rsidP="002A0DCC">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0"/>
        <w:gridCol w:w="852"/>
      </w:tblGrid>
      <w:tr w:rsidR="00290173" w:rsidTr="001C5D6C">
        <w:tc>
          <w:tcPr>
            <w:tcW w:w="4500" w:type="pct"/>
            <w:tcBorders>
              <w:top w:val="nil"/>
              <w:left w:val="nil"/>
              <w:bottom w:val="nil"/>
              <w:right w:val="nil"/>
            </w:tcBorders>
          </w:tcPr>
          <w:p w:rsidR="00290173" w:rsidRPr="00CB2F61" w:rsidRDefault="000E4746"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14"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14"/>
          </w:p>
        </w:tc>
      </w:tr>
    </w:tbl>
    <w:p w:rsidR="00B32510" w:rsidRDefault="00042973" w:rsidP="00963766">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072D95">
        <w:fldChar w:fldCharType="begin"/>
      </w:r>
      <w:r w:rsidR="00072D95">
        <w:instrText xml:space="preserve"> REF _Ref360562760 \h  \* MERGEFORMAT </w:instrText>
      </w:r>
      <w:r w:rsidR="00072D95">
        <w:fldChar w:fldCharType="separate"/>
      </w:r>
      <w:r w:rsidR="00320207" w:rsidRPr="00320207">
        <w:t xml:space="preserve">Figure </w:t>
      </w:r>
      <w:r w:rsidR="00320207">
        <w:t>S</w:t>
      </w:r>
      <w:r w:rsidR="00072D95">
        <w:fldChar w:fldCharType="end"/>
      </w:r>
      <w:r w:rsidR="00963766">
        <w:rPr>
          <w:rFonts w:eastAsiaTheme="minorEastAsia"/>
          <w:lang w:bidi="hi-IN"/>
        </w:rPr>
        <w:t>2</w:t>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2A0DCC">
      <w:pPr>
        <w:pStyle w:val="Heading1"/>
        <w:spacing w:line="480" w:lineRule="auto"/>
        <w:rPr>
          <w:lang w:bidi="hi-IN"/>
        </w:rPr>
      </w:pPr>
      <w:r>
        <w:rPr>
          <w:lang w:bidi="hi-IN"/>
        </w:rPr>
        <w:t>Discussion</w:t>
      </w:r>
    </w:p>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2E0EBF">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lastRenderedPageBreak/>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07409B" w:rsidRDefault="00C023C7" w:rsidP="006633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t>
      </w:r>
      <w:proofErr w:type="spellStart"/>
      <w:r w:rsidR="00360699" w:rsidRPr="007F656F">
        <w:rPr>
          <w:lang w:bidi="hi-IN"/>
        </w:rPr>
        <w:t>wildtype</w:t>
      </w:r>
      <w:proofErr w:type="spellEnd"/>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2E0EB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r w:rsidR="0007409B" w:rsidRPr="0007409B">
        <w:rPr>
          <w:lang w:bidi="hi-IN"/>
        </w:rPr>
        <w:t xml:space="preserve"> </w:t>
      </w:r>
    </w:p>
    <w:p w:rsidR="0007409B" w:rsidRDefault="00514DED" w:rsidP="00663378">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2E0EBF">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2E0EB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2E0EBF">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w:t>
      </w:r>
      <w:r w:rsidR="00B37F95">
        <w:rPr>
          <w:lang w:bidi="hi-IN"/>
        </w:rPr>
        <w:lastRenderedPageBreak/>
        <w:t xml:space="preserve">hypothesis" </w:t>
      </w:r>
      <w:r w:rsidR="00CA7DA9">
        <w:rPr>
          <w:lang w:bidi="hi-IN"/>
        </w:rPr>
        <w:fldChar w:fldCharType="begin" w:fldLock="1"/>
      </w:r>
      <w:r w:rsidR="002E0EBF">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2E0EB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B37F95">
        <w:rPr>
          <w:lang w:bidi="hi-IN"/>
        </w:rPr>
        <w:t>.</w:t>
      </w:r>
    </w:p>
    <w:p w:rsidR="00DF6C0E" w:rsidRDefault="00B37F95" w:rsidP="00663378">
      <w:pPr>
        <w:spacing w:line="480" w:lineRule="auto"/>
      </w:pPr>
      <w:r w:rsidRPr="00B37F95">
        <w:rPr>
          <w:lang w:bidi="hi-IN"/>
        </w:rPr>
        <w:t>Complex traits, coded by multiple genes, present an open evolutionary question, first desc</w:t>
      </w:r>
      <w:r>
        <w:rPr>
          <w:lang w:bidi="hi-IN"/>
        </w:rPr>
        <w:t xml:space="preserve">ribed by Sewall Wright in 1931 </w:t>
      </w:r>
      <w:r w:rsidR="00CA7DA9">
        <w:rPr>
          <w:lang w:bidi="hi-IN"/>
        </w:rPr>
        <w:fldChar w:fldCharType="begin" w:fldLock="1"/>
      </w:r>
      <w:r w:rsidR="002E0EBF">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2E0EBF">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2E0EBF">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2E0EBF">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2E0EBF">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663378" w:rsidRPr="00663378">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CA3636" w:rsidP="002A0DCC">
      <w:pPr>
        <w:spacing w:line="480" w:lineRule="auto"/>
      </w:pPr>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2E0EB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lastRenderedPageBreak/>
        <w:t>Conclusions</w:t>
      </w:r>
    </w:p>
    <w:p w:rsidR="00DF6C0E" w:rsidRDefault="00DF6C0E" w:rsidP="00663378">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2E0EBF">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t>Acknowledgments</w:t>
      </w:r>
    </w:p>
    <w:p w:rsidR="00F441B1" w:rsidRDefault="00F441B1" w:rsidP="00A0028F">
      <w:pPr>
        <w:spacing w:line="480" w:lineRule="auto"/>
      </w:pPr>
      <w:r w:rsidRPr="00EF44A6">
        <w:t>We thank the</w:t>
      </w:r>
      <w:r w:rsidR="00E4716C">
        <w:t xml:space="preserve"> organizers of the</w:t>
      </w:r>
      <w:r w:rsidRPr="00EF44A6">
        <w:t xml:space="preserve"> SIDEER 2013 Symposium (</w:t>
      </w:r>
      <w:hyperlink r:id="rId15" w:history="1">
        <w:r w:rsidR="003B4B81" w:rsidRPr="00EF44A6">
          <w:rPr>
            <w:rStyle w:val="Hyperlink"/>
          </w:rPr>
          <w:t>http://www.bgu.ac.il/BIDR/conf/sideergrads/SIDEER_symposium/</w:t>
        </w:r>
      </w:hyperlink>
      <w:r w:rsidRPr="00EF44A6">
        <w:t>)</w:t>
      </w:r>
      <w:r w:rsidR="00B25D55" w:rsidRPr="00EF44A6">
        <w:t xml:space="preserve"> for initial motivation for this project and Uri </w:t>
      </w:r>
      <w:proofErr w:type="spellStart"/>
      <w:r w:rsidR="00B25D55" w:rsidRPr="00EF44A6">
        <w:t>Obolski</w:t>
      </w:r>
      <w:proofErr w:type="spellEnd"/>
      <w:r w:rsidR="00B25D55" w:rsidRPr="00EF44A6">
        <w:t xml:space="preserve"> for help with statistical analysis. 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347C94">
      <w:pPr>
        <w:pStyle w:val="Heading1"/>
        <w:spacing w:line="480" w:lineRule="auto"/>
      </w:pPr>
      <w:r>
        <w:t>Literature cited</w:t>
      </w:r>
    </w:p>
    <w:p w:rsidR="002E0EBF" w:rsidRPr="002E0EBF" w:rsidRDefault="007F0A97" w:rsidP="00085D65">
      <w:pPr>
        <w:divId w:val="1179462879"/>
        <w:rPr>
          <w:noProof/>
        </w:rPr>
      </w:pPr>
      <w:r>
        <w:fldChar w:fldCharType="begin" w:fldLock="1"/>
      </w:r>
      <w:r>
        <w:instrText xml:space="preserve">ADDIN Mendeley Bibliography CSL_BIBLIOGRAPHY </w:instrText>
      </w:r>
      <w:r>
        <w:fldChar w:fldCharType="separate"/>
      </w:r>
      <w:r w:rsidR="002E0EBF" w:rsidRPr="002E0EBF">
        <w:rPr>
          <w:noProof/>
        </w:rPr>
        <w:t>Agrawal, A. F. 2002. Genetic loads under fitness-dependent mutation rates. J. Evol. Biol. 15:1004–1010. Wiley Online Library.</w:t>
      </w:r>
    </w:p>
    <w:p w:rsidR="002E0EBF" w:rsidRPr="002E0EBF" w:rsidRDefault="002E0EBF" w:rsidP="00085D65">
      <w:pPr>
        <w:divId w:val="1179462879"/>
        <w:rPr>
          <w:noProof/>
        </w:rPr>
      </w:pPr>
      <w:r w:rsidRPr="002E0EBF">
        <w:rPr>
          <w:noProof/>
        </w:rPr>
        <w:t>Al Mamun, A. A. M., M.-J. Lombardo, C. Shee, A. M. Lisewski, C. Gonzalez, D. Lin, R. B. Nehring, C. Saint-Ruf, J. L. Gibson, R. L. Frisch, O. Lichtarge, P. J. Hastings, and S. M. Rosenberg. 2012. Identity and function of a large gene network underlying mutagenic repair of DNA breaks. Science (80-. ). 338:1344–8.</w:t>
      </w:r>
    </w:p>
    <w:p w:rsidR="002E0EBF" w:rsidRPr="002E0EBF" w:rsidRDefault="002E0EBF" w:rsidP="00085D65">
      <w:pPr>
        <w:divId w:val="1179462879"/>
        <w:rPr>
          <w:noProof/>
        </w:rPr>
      </w:pPr>
      <w:r w:rsidRPr="002E0EBF">
        <w:rPr>
          <w:noProof/>
        </w:rPr>
        <w:t>Berg, O. G. 1996. Selection intensity for codon bias and the effective population size of Escherichia coli. Genetics 142:1379–82.</w:t>
      </w:r>
    </w:p>
    <w:p w:rsidR="002E0EBF" w:rsidRPr="002E0EBF" w:rsidRDefault="002E0EBF" w:rsidP="00085D65">
      <w:pPr>
        <w:divId w:val="1179462879"/>
        <w:rPr>
          <w:noProof/>
        </w:rPr>
      </w:pPr>
      <w:r w:rsidRPr="002E0EBF">
        <w:rPr>
          <w:noProof/>
        </w:rPr>
        <w:lastRenderedPageBreak/>
        <w:t>Bjedov, I., O. Tenaillon, B. Gérard, V. Souza, E. Denamur, M. Radman, F. Taddei, and I. Matic. 2003. Stress-induced mutagenesis in bacteria. Science (80-. ). 300:1404–9.</w:t>
      </w:r>
    </w:p>
    <w:p w:rsidR="002E0EBF" w:rsidRPr="002E0EBF" w:rsidRDefault="002E0EBF" w:rsidP="00085D65">
      <w:pPr>
        <w:divId w:val="1179462879"/>
        <w:rPr>
          <w:noProof/>
        </w:rPr>
      </w:pPr>
      <w:r w:rsidRPr="002E0EBF">
        <w:rPr>
          <w:noProof/>
        </w:rPr>
        <w:t>Cairns, J., J. Overbaugh, and S. Miller. 1988. The origin of mutants. Nature 335:142–5.</w:t>
      </w:r>
    </w:p>
    <w:p w:rsidR="002E0EBF" w:rsidRPr="002E0EBF" w:rsidRDefault="002E0EBF" w:rsidP="00085D65">
      <w:pPr>
        <w:divId w:val="1179462879"/>
        <w:rPr>
          <w:noProof/>
        </w:rPr>
      </w:pPr>
      <w:r w:rsidRPr="002E0EBF">
        <w:rPr>
          <w:noProof/>
        </w:rPr>
        <w:t>Cirz, R. T., and F. E. Romesberg. 2007. Controlling mutation: intervening in evolution as a therapeutic strategy. Crit. Rev. Biochem. Mol. Biol. 42:341–54.</w:t>
      </w:r>
    </w:p>
    <w:p w:rsidR="002E0EBF" w:rsidRPr="002E0EBF" w:rsidRDefault="002E0EBF" w:rsidP="00085D65">
      <w:pPr>
        <w:divId w:val="1179462879"/>
        <w:rPr>
          <w:noProof/>
        </w:rPr>
      </w:pPr>
      <w:r w:rsidRPr="002E0EBF">
        <w:rPr>
          <w:noProof/>
        </w:rPr>
        <w:t>Coyne, J. A., N. H. Barton, and M. Turelli. 2000. Is Wright’s shifting balance process important in evolution? Evolution (N. Y). 54:306–317.</w:t>
      </w:r>
    </w:p>
    <w:p w:rsidR="002E0EBF" w:rsidRPr="002E0EBF" w:rsidRDefault="002E0EBF" w:rsidP="00085D65">
      <w:pPr>
        <w:divId w:val="1179462879"/>
        <w:rPr>
          <w:noProof/>
        </w:rPr>
      </w:pPr>
      <w:r w:rsidRPr="002E0EBF">
        <w:rPr>
          <w:noProof/>
        </w:rPr>
        <w:t>Crow, J. F., W. R. Engels, and C. Denniston. 1990. Phase Three of Wright’s Shifting-Balance Theory. Evolution (N. Y). 44:233.</w:t>
      </w:r>
    </w:p>
    <w:p w:rsidR="002E0EBF" w:rsidRPr="002E0EBF" w:rsidRDefault="002E0EBF" w:rsidP="00085D65">
      <w:pPr>
        <w:divId w:val="1179462879"/>
        <w:rPr>
          <w:noProof/>
        </w:rPr>
      </w:pPr>
      <w:r w:rsidRPr="002E0EBF">
        <w:rPr>
          <w:noProof/>
        </w:rPr>
        <w:t>Dawson, K. J. 1998. Evolutionarily stable mutation rates. J. Theor. Biol. 194:143–57.</w:t>
      </w:r>
    </w:p>
    <w:p w:rsidR="002E0EBF" w:rsidRPr="002E0EBF" w:rsidRDefault="002E0EBF" w:rsidP="00085D65">
      <w:pPr>
        <w:divId w:val="1179462879"/>
        <w:rPr>
          <w:noProof/>
        </w:rPr>
      </w:pPr>
      <w:r w:rsidRPr="002E0EBF">
        <w:rPr>
          <w:noProof/>
        </w:rPr>
        <w:t>Debora, B. N., L. E. Vidales, R. Ramírez, M. Ramírez, E. A. Robleto, R. E. Yasbin, and M. Pedraza-Reyes. 2010. Mismatch Repair Modulation of MutY Activity Drives Bacillus subtilis Stationary-Phase Mutagenesis. J. Bacteriol. 193:236–45.</w:t>
      </w:r>
    </w:p>
    <w:p w:rsidR="002E0EBF" w:rsidRPr="002E0EBF" w:rsidRDefault="002E0EBF" w:rsidP="00085D65">
      <w:pPr>
        <w:divId w:val="1179462879"/>
        <w:rPr>
          <w:noProof/>
        </w:rPr>
      </w:pPr>
      <w:r w:rsidRPr="002E0EBF">
        <w:rPr>
          <w:noProof/>
        </w:rPr>
        <w:t>Denamur, E., and I. Matic. 2006. Evolution of mutation rates in bacteria. Mol. Microbiol. 60:820–7.</w:t>
      </w:r>
    </w:p>
    <w:p w:rsidR="002E0EBF" w:rsidRPr="002E0EBF" w:rsidRDefault="002E0EBF" w:rsidP="00085D65">
      <w:pPr>
        <w:divId w:val="1179462879"/>
        <w:rPr>
          <w:noProof/>
        </w:rPr>
      </w:pPr>
      <w:r w:rsidRPr="002E0EBF">
        <w:rPr>
          <w:noProof/>
        </w:rPr>
        <w:t>Drake, J. W., B. Charlesworth, D. Charlesworth, and J. F. Crow. 1998. Rates of spontaneous mutation. Genetics 148:1667–86. Genetics Soc America.</w:t>
      </w:r>
    </w:p>
    <w:p w:rsidR="002E0EBF" w:rsidRPr="002E0EBF" w:rsidRDefault="002E0EBF" w:rsidP="00085D65">
      <w:pPr>
        <w:divId w:val="1179462879"/>
        <w:rPr>
          <w:noProof/>
        </w:rPr>
      </w:pPr>
      <w:r w:rsidRPr="002E0EBF">
        <w:rPr>
          <w:noProof/>
        </w:rPr>
        <w:t>Eshel, I. 1981. On the survival probability of a slightly advantageous mutant gene with a general distribution of progeny size - a branching process model. J. Math. Biol. 12:355–362.</w:t>
      </w:r>
    </w:p>
    <w:p w:rsidR="002E0EBF" w:rsidRPr="002E0EBF" w:rsidRDefault="002E0EBF" w:rsidP="00085D65">
      <w:pPr>
        <w:divId w:val="1179462879"/>
        <w:rPr>
          <w:noProof/>
        </w:rPr>
      </w:pPr>
      <w:r w:rsidRPr="002E0EBF">
        <w:rPr>
          <w:noProof/>
        </w:rPr>
        <w:t>Fisher, R. A. 1930. The Genetical Theory of Natural Selection. Clarendon Press, Oxford.</w:t>
      </w:r>
    </w:p>
    <w:p w:rsidR="002E0EBF" w:rsidRPr="002E0EBF" w:rsidRDefault="002E0EBF" w:rsidP="00085D65">
      <w:pPr>
        <w:divId w:val="1179462879"/>
        <w:rPr>
          <w:noProof/>
        </w:rPr>
      </w:pPr>
      <w:r w:rsidRPr="002E0EBF">
        <w:rPr>
          <w:noProof/>
        </w:rPr>
        <w:t>Galhardo, R. S., P. J. Hastings, and S. M. Rosenberg. 2007. Mutation as a stress response and the regulation of evolvability. Crit. Rev. Biochem. Mol. Biol. 42:399–435.</w:t>
      </w:r>
    </w:p>
    <w:p w:rsidR="002E0EBF" w:rsidRPr="002E0EBF" w:rsidRDefault="002E0EBF" w:rsidP="00085D65">
      <w:pPr>
        <w:divId w:val="1179462879"/>
        <w:rPr>
          <w:noProof/>
        </w:rPr>
      </w:pPr>
      <w:r w:rsidRPr="002E0EBF">
        <w:rPr>
          <w:noProof/>
        </w:rPr>
        <w:t>Gavrilets, S. 1996. On phase three of the shifting-balance theory. Evolution (N. Y). 50:1034–1041. JSTOR.</w:t>
      </w:r>
    </w:p>
    <w:p w:rsidR="002E0EBF" w:rsidRPr="002E0EBF" w:rsidRDefault="002E0EBF" w:rsidP="00085D65">
      <w:pPr>
        <w:divId w:val="1179462879"/>
        <w:rPr>
          <w:noProof/>
        </w:rPr>
      </w:pPr>
      <w:r w:rsidRPr="002E0EBF">
        <w:rPr>
          <w:noProof/>
        </w:rPr>
        <w:t>Gordo, I., and F. Dionisio. 2005. Nonequilibrium model for estimating parameters of deleterious mutations. Phys. Rev. E 71:18–21.</w:t>
      </w:r>
    </w:p>
    <w:p w:rsidR="002E0EBF" w:rsidRPr="002E0EBF" w:rsidRDefault="002E0EBF" w:rsidP="00085D65">
      <w:pPr>
        <w:divId w:val="1179462879"/>
        <w:rPr>
          <w:noProof/>
        </w:rPr>
      </w:pPr>
      <w:r w:rsidRPr="002E0EBF">
        <w:rPr>
          <w:noProof/>
        </w:rPr>
        <w:t>Gordo, I., L. Perfeito, and A. Sousa. 2011. Fitness effects of mutations in bacteria. J. Mol. Microbiol. Biotechnol. 21:20–35.</w:t>
      </w:r>
    </w:p>
    <w:p w:rsidR="002E0EBF" w:rsidRPr="002E0EBF" w:rsidRDefault="002E0EBF" w:rsidP="00085D65">
      <w:pPr>
        <w:divId w:val="1179462879"/>
        <w:rPr>
          <w:noProof/>
        </w:rPr>
      </w:pPr>
      <w:r w:rsidRPr="002E0EBF">
        <w:rPr>
          <w:noProof/>
        </w:rPr>
        <w:t>Hadany, L. 2003. Adaptive peak shifts in a heterogenous environment. Theor. Popul. Biol. 63:41–51.</w:t>
      </w:r>
    </w:p>
    <w:p w:rsidR="002E0EBF" w:rsidRPr="002E0EBF" w:rsidRDefault="002E0EBF" w:rsidP="00085D65">
      <w:pPr>
        <w:divId w:val="1179462879"/>
        <w:rPr>
          <w:noProof/>
        </w:rPr>
      </w:pPr>
      <w:r w:rsidRPr="002E0EBF">
        <w:rPr>
          <w:noProof/>
        </w:rPr>
        <w:lastRenderedPageBreak/>
        <w:t>Hadany, L., and T. Beker. 2003. Fitness-associated recombination on rugged adaptive landscapes. J. Evol. Biol. 16:862–870.</w:t>
      </w:r>
    </w:p>
    <w:p w:rsidR="002E0EBF" w:rsidRPr="002E0EBF" w:rsidRDefault="002E0EBF" w:rsidP="00085D65">
      <w:pPr>
        <w:divId w:val="1179462879"/>
        <w:rPr>
          <w:noProof/>
        </w:rPr>
      </w:pPr>
      <w:r w:rsidRPr="002E0EBF">
        <w:rPr>
          <w:noProof/>
        </w:rPr>
        <w:t>Haigh, J. 1978. The accumulation of deleterious genes in a population - Muller’s Ratchet. Theor. Popul. Biol. 14:251–267.</w:t>
      </w:r>
    </w:p>
    <w:p w:rsidR="002E0EBF" w:rsidRPr="002E0EBF" w:rsidRDefault="002E0EBF" w:rsidP="00085D65">
      <w:pPr>
        <w:divId w:val="1179462879"/>
        <w:rPr>
          <w:noProof/>
        </w:rPr>
      </w:pPr>
      <w:r w:rsidRPr="002E0EBF">
        <w:rPr>
          <w:noProof/>
        </w:rPr>
        <w:t>Hall, L. M. C., and S. K. Henderson-Begg. 2006. Hypermutable bacteria isolated from humans--a critical analysis. Microbiology 152:2505–14.</w:t>
      </w:r>
    </w:p>
    <w:p w:rsidR="002E0EBF" w:rsidRPr="002E0EBF" w:rsidRDefault="002E0EBF" w:rsidP="00085D65">
      <w:pPr>
        <w:divId w:val="1179462879"/>
        <w:rPr>
          <w:noProof/>
        </w:rPr>
      </w:pPr>
      <w:r w:rsidRPr="002E0EBF">
        <w:rPr>
          <w:noProof/>
        </w:rPr>
        <w:t>Hartfield, M., and S. P. Otto. 2011. Recombination and hitchhiking of deleterious alleles. Evolution 65:2421–34.</w:t>
      </w:r>
    </w:p>
    <w:p w:rsidR="002E0EBF" w:rsidRPr="002E0EBF" w:rsidRDefault="002E0EBF" w:rsidP="00085D65">
      <w:pPr>
        <w:divId w:val="1179462879"/>
        <w:rPr>
          <w:noProof/>
        </w:rPr>
      </w:pPr>
      <w:r w:rsidRPr="002E0EBF">
        <w:rPr>
          <w:noProof/>
        </w:rPr>
        <w:t>Kessler, D., and H. Levine. 1998. Mutator Dynamics on a Smooth Evolutionary Landscape. Phys. Rev. Lett. 80:2012–2015.</w:t>
      </w:r>
    </w:p>
    <w:p w:rsidR="002E0EBF" w:rsidRPr="002E0EBF" w:rsidRDefault="002E0EBF" w:rsidP="00085D65">
      <w:pPr>
        <w:divId w:val="1179462879"/>
        <w:rPr>
          <w:noProof/>
        </w:rPr>
      </w:pPr>
      <w:r w:rsidRPr="002E0EBF">
        <w:rPr>
          <w:noProof/>
        </w:rPr>
        <w:t>Kibota, T. T., and M. Lynch. 1996. Estimate of the genomic mutation rate deleterious to overall fitness in E. coli. Nature 381:694–6.</w:t>
      </w:r>
    </w:p>
    <w:p w:rsidR="002E0EBF" w:rsidRPr="002E0EBF" w:rsidRDefault="002E0EBF" w:rsidP="00085D65">
      <w:pPr>
        <w:divId w:val="1179462879"/>
        <w:rPr>
          <w:noProof/>
        </w:rPr>
      </w:pPr>
      <w:r w:rsidRPr="002E0EBF">
        <w:rPr>
          <w:noProof/>
        </w:rPr>
        <w:t>Leigh, E. G. J. 1970. Natural Selection and Mutability. Am. Nat. 104:301–305.</w:t>
      </w:r>
    </w:p>
    <w:p w:rsidR="002E0EBF" w:rsidRPr="002E0EBF" w:rsidRDefault="002E0EBF" w:rsidP="00085D65">
      <w:pPr>
        <w:divId w:val="1179462879"/>
        <w:rPr>
          <w:noProof/>
        </w:rPr>
      </w:pPr>
      <w:r w:rsidRPr="002E0EBF">
        <w:rPr>
          <w:noProof/>
        </w:rPr>
        <w:t>MacLean, R. C., C. Torres-Barceló, and R. Moxon. 2013. Evaluating evolutionary models of stress-induced mutagenesis in bacteria. Nat. Rev. Genet. 14:221–7. Nature Publishing Group.</w:t>
      </w:r>
    </w:p>
    <w:p w:rsidR="002E0EBF" w:rsidRPr="002E0EBF" w:rsidRDefault="002E0EBF" w:rsidP="00085D65">
      <w:pPr>
        <w:divId w:val="1179462879"/>
        <w:rPr>
          <w:noProof/>
        </w:rPr>
      </w:pPr>
      <w:r w:rsidRPr="002E0EBF">
        <w:rPr>
          <w:noProof/>
        </w:rPr>
        <w:t>Moore, F. B.-G., and S. J. Tonsor. 1994. A Simulation of Wright’s Shifting-Balance Process: Migration and the Three Phases. Evolution (N. Y). 48:69.</w:t>
      </w:r>
    </w:p>
    <w:p w:rsidR="002E0EBF" w:rsidRPr="002E0EBF" w:rsidRDefault="002E0EBF" w:rsidP="00085D65">
      <w:pPr>
        <w:divId w:val="1179462879"/>
        <w:rPr>
          <w:noProof/>
        </w:rPr>
      </w:pPr>
      <w:r w:rsidRPr="002E0EBF">
        <w:rPr>
          <w:noProof/>
        </w:rPr>
        <w:t>Obolski, U., and L. Hadany. 2012. Implications of stress-induced genetic variation for minimizing multidrug resistance in bacteria. BMC Med. 10:1–30.</w:t>
      </w:r>
    </w:p>
    <w:p w:rsidR="002E0EBF" w:rsidRPr="002E0EBF" w:rsidRDefault="002E0EBF" w:rsidP="00085D65">
      <w:pPr>
        <w:divId w:val="1179462879"/>
        <w:rPr>
          <w:noProof/>
        </w:rPr>
      </w:pPr>
      <w:r w:rsidRPr="002E0EBF">
        <w:rPr>
          <w:noProof/>
        </w:rPr>
        <w:t>Peck, S. L., S. P. Ellner, and F. Gould. 2000. Varying migration and deme size and the feasibility of the shifting balance. Evolution 54:324–7.</w:t>
      </w:r>
    </w:p>
    <w:p w:rsidR="002E0EBF" w:rsidRPr="002E0EBF" w:rsidRDefault="002E0EBF" w:rsidP="00085D65">
      <w:pPr>
        <w:divId w:val="1179462879"/>
        <w:rPr>
          <w:noProof/>
        </w:rPr>
      </w:pPr>
      <w:r w:rsidRPr="002E0EBF">
        <w:rPr>
          <w:noProof/>
        </w:rPr>
        <w:t>Ponder, R. G., N. C. Fonville, and S. M. Rosenberg. 2005. A switch from high-fidelity to error-prone DNA double-strand break repair underlies stress-induced mutation. Mol. Cell 19:791–804.</w:t>
      </w:r>
    </w:p>
    <w:p w:rsidR="002E0EBF" w:rsidRPr="002E0EBF" w:rsidRDefault="002E0EBF" w:rsidP="00085D65">
      <w:pPr>
        <w:divId w:val="1179462879"/>
        <w:rPr>
          <w:noProof/>
        </w:rPr>
      </w:pPr>
      <w:r w:rsidRPr="002E0EBF">
        <w:rPr>
          <w:noProof/>
        </w:rPr>
        <w:t>Pupo, G. M., and B. J. Richardson. 1995. Biochemical genetics of a natural population of Escherichia coli: seasonal changes in alleles and haplotypes. Microbiology 141:1037–44.</w:t>
      </w:r>
    </w:p>
    <w:p w:rsidR="002E0EBF" w:rsidRPr="002E0EBF" w:rsidRDefault="002E0EBF" w:rsidP="00085D65">
      <w:pPr>
        <w:divId w:val="1179462879"/>
        <w:rPr>
          <w:noProof/>
        </w:rPr>
      </w:pPr>
      <w:r w:rsidRPr="002E0EBF">
        <w:rPr>
          <w:noProof/>
        </w:rPr>
        <w:t>Ram, Y., and L. Hadany. 2012. The evolution of stress-induced hypermutation in asexual populations. Evolution (N. Y). 66:2315–28.</w:t>
      </w:r>
    </w:p>
    <w:p w:rsidR="002E0EBF" w:rsidRPr="002E0EBF" w:rsidRDefault="002E0EBF" w:rsidP="00085D65">
      <w:pPr>
        <w:divId w:val="1179462879"/>
        <w:rPr>
          <w:noProof/>
        </w:rPr>
      </w:pPr>
      <w:r w:rsidRPr="002E0EBF">
        <w:rPr>
          <w:noProof/>
        </w:rPr>
        <w:t>Rosenberg, S. M., C. Shee, R. L. Frisch, and P. J. Hastings. 2012. Stress-induced mutation via DNA breaks in Escherichia coli: A molecular mechanism with implications for evolution and medicine. BioEssays 1–8.</w:t>
      </w:r>
    </w:p>
    <w:p w:rsidR="002E0EBF" w:rsidRPr="002E0EBF" w:rsidRDefault="002E0EBF" w:rsidP="00085D65">
      <w:pPr>
        <w:divId w:val="1179462879"/>
        <w:rPr>
          <w:noProof/>
        </w:rPr>
      </w:pPr>
      <w:r w:rsidRPr="002E0EBF">
        <w:rPr>
          <w:noProof/>
        </w:rPr>
        <w:lastRenderedPageBreak/>
        <w:t>Sharp, N. P., and A. F. Agrawal. 2012. Evidence for elevated mutation rates in low-quality genotypes. Proc. Natl. Acad. Sci. 109:6142–6.</w:t>
      </w:r>
    </w:p>
    <w:p w:rsidR="002E0EBF" w:rsidRPr="002E0EBF" w:rsidRDefault="002E0EBF" w:rsidP="00085D65">
      <w:pPr>
        <w:divId w:val="1179462879"/>
        <w:rPr>
          <w:noProof/>
        </w:rPr>
      </w:pPr>
      <w:r w:rsidRPr="002E0EBF">
        <w:rPr>
          <w:noProof/>
        </w:rPr>
        <w:t>Shaw, F. H., and C. F. Baer. 2011. Fitness-dependent mutation rates in finite populations. J. Evol. Biol. 24:1677–84.</w:t>
      </w:r>
    </w:p>
    <w:p w:rsidR="002E0EBF" w:rsidRPr="002E0EBF" w:rsidRDefault="002E0EBF" w:rsidP="00085D65">
      <w:pPr>
        <w:divId w:val="1179462879"/>
        <w:rPr>
          <w:noProof/>
        </w:rPr>
      </w:pPr>
      <w:r w:rsidRPr="002E0EBF">
        <w:rPr>
          <w:noProof/>
        </w:rPr>
        <w:t>Shor, E., C. a. Fox, and J. R. Broach. 2013. The Yeast Environmental Stress Response Regulates Mutagenesis Induced by Proteotoxic Stress. PLoS Genet. 9:e1003680.</w:t>
      </w:r>
    </w:p>
    <w:p w:rsidR="002E0EBF" w:rsidRPr="002E0EBF" w:rsidRDefault="002E0EBF" w:rsidP="00085D65">
      <w:pPr>
        <w:divId w:val="1179462879"/>
        <w:rPr>
          <w:noProof/>
        </w:rPr>
      </w:pPr>
      <w:r w:rsidRPr="002E0EBF">
        <w:rPr>
          <w:noProof/>
        </w:rPr>
        <w:t>Sniegowski, P. D., P. J. Gerrish, T. Johnson, and A. Shaver. 2000. The evolution of mutation rates: separating causes from consequences. BioEssays 22:1057–66.</w:t>
      </w:r>
    </w:p>
    <w:p w:rsidR="002E0EBF" w:rsidRPr="002E0EBF" w:rsidRDefault="002E0EBF" w:rsidP="00085D65">
      <w:pPr>
        <w:divId w:val="1179462879"/>
        <w:rPr>
          <w:noProof/>
        </w:rPr>
      </w:pPr>
      <w:r w:rsidRPr="002E0EBF">
        <w:rPr>
          <w:noProof/>
        </w:rPr>
        <w:t>Sniegowski, P. D., P. J. Gerrish, and R. E. Lenski. 1997. Evolution of high mutation rates in experimental populations of E. coli. Nature 387:703–5. Nature Publishing Group.</w:t>
      </w:r>
    </w:p>
    <w:p w:rsidR="002E0EBF" w:rsidRPr="002E0EBF" w:rsidRDefault="002E0EBF" w:rsidP="00085D65">
      <w:pPr>
        <w:divId w:val="1179462879"/>
        <w:rPr>
          <w:noProof/>
        </w:rPr>
      </w:pPr>
      <w:r w:rsidRPr="002E0EBF">
        <w:rPr>
          <w:noProof/>
        </w:rPr>
        <w:t>Sung, W., M. S. Ackerman, S. F. Miller, T. G. Doak, and M. Lynch. 2012. Drift-barrier hypothesis and mutation-rate evolution. Proc. Natl. Acad. Sci., doi: 10.1073/pnas.1216223109.</w:t>
      </w:r>
    </w:p>
    <w:p w:rsidR="002E0EBF" w:rsidRPr="002E0EBF" w:rsidRDefault="002E0EBF" w:rsidP="00085D65">
      <w:pPr>
        <w:divId w:val="1179462879"/>
        <w:rPr>
          <w:noProof/>
        </w:rPr>
      </w:pPr>
      <w:r w:rsidRPr="002E0EBF">
        <w:rPr>
          <w:noProof/>
        </w:rPr>
        <w:t>Taddei, F., M. Radman, J. Maynard Smith, B. Toupance, P.-H. Gouyon, and B. Godelle. 1997. Role of mutator alleles in adaptive evolution. Nature 387:700–2.</w:t>
      </w:r>
    </w:p>
    <w:p w:rsidR="002E0EBF" w:rsidRPr="002E0EBF" w:rsidRDefault="002E0EBF" w:rsidP="00085D65">
      <w:pPr>
        <w:divId w:val="1179462879"/>
        <w:rPr>
          <w:noProof/>
        </w:rPr>
      </w:pPr>
      <w:r w:rsidRPr="002E0EBF">
        <w:rPr>
          <w:noProof/>
        </w:rPr>
        <w:t>Tenaillon, O., E. Denamur, and I. Matic. 2004. Evolutionary significance of stress-induced mutagenesis in bacteria. Trends Microbiol. 12:264–70.</w:t>
      </w:r>
    </w:p>
    <w:p w:rsidR="002E0EBF" w:rsidRPr="002E0EBF" w:rsidRDefault="002E0EBF" w:rsidP="00085D65">
      <w:pPr>
        <w:divId w:val="1179462879"/>
        <w:rPr>
          <w:noProof/>
        </w:rPr>
      </w:pPr>
      <w:r w:rsidRPr="002E0EBF">
        <w:rPr>
          <w:noProof/>
        </w:rPr>
        <w:t>Tenaillon, O., F. Taddei, M. Radman, and I. Matic. 2001. Second-order selection in bacterial evolution: selection acting on mutation and recombination rates in the course of adaptation. Res. Microbiol. 152:11–6.</w:t>
      </w:r>
    </w:p>
    <w:p w:rsidR="002E0EBF" w:rsidRPr="002E0EBF" w:rsidRDefault="002E0EBF" w:rsidP="00085D65">
      <w:pPr>
        <w:divId w:val="1179462879"/>
        <w:rPr>
          <w:noProof/>
        </w:rPr>
      </w:pPr>
      <w:r w:rsidRPr="002E0EBF">
        <w:rPr>
          <w:noProof/>
        </w:rPr>
        <w:t>Torres-Barceló, C., G. Cabot, A. Oliver, A. Buckling, and R. C. Maclean. 2013. A trade-off between oxidative stress resistance and DNA repair plays a role in the evolution of elevated mutation rates in bacteria. Proc. Biol. Sci. 280:20130007.</w:t>
      </w:r>
    </w:p>
    <w:p w:rsidR="002E0EBF" w:rsidRPr="002E0EBF" w:rsidRDefault="002E0EBF" w:rsidP="00085D65">
      <w:pPr>
        <w:divId w:val="1179462879"/>
        <w:rPr>
          <w:noProof/>
        </w:rPr>
      </w:pPr>
      <w:r w:rsidRPr="002E0EBF">
        <w:rPr>
          <w:noProof/>
        </w:rPr>
        <w:t>Turrientes, M.-C., F. Baquero, B. R. Levin, J.-L. Martínez, A. Ripoll, J.-M. González-Alba, R. Tobes, M. Manrique, M.-R. Baquero, M.-J. Rodríguez-Domínguez, R. Cantón, and J.-C. Galán. 2013. Normal Mutation Rate Variants Arise in a Mutator (Mut S) Escherichia coli Population. PLoS One 8:e72963.</w:t>
      </w:r>
    </w:p>
    <w:p w:rsidR="002E0EBF" w:rsidRPr="002E0EBF" w:rsidRDefault="002E0EBF" w:rsidP="00085D65">
      <w:pPr>
        <w:divId w:val="1179462879"/>
        <w:rPr>
          <w:noProof/>
        </w:rPr>
      </w:pPr>
      <w:r w:rsidRPr="002E0EBF">
        <w:rPr>
          <w:noProof/>
        </w:rPr>
        <w:t>Wade, M., and C. Goodnight. 1991. Wright’s shifting balance theory: an experimental study. Science (80-. ). 253:1015–1018.</w:t>
      </w:r>
    </w:p>
    <w:p w:rsidR="002E0EBF" w:rsidRPr="002E0EBF" w:rsidRDefault="002E0EBF" w:rsidP="00085D65">
      <w:pPr>
        <w:divId w:val="1179462879"/>
        <w:rPr>
          <w:noProof/>
        </w:rPr>
      </w:pPr>
      <w:r w:rsidRPr="002E0EBF">
        <w:rPr>
          <w:noProof/>
        </w:rPr>
        <w:t>Weissman, D. B., M. M. Desai, D. S. Fisher, and M. W. Feldman. 2009. The rate at which asexual populations cross fitness valleys. Theor. Popul. Biol. 75:286–300. Elsevier Inc.</w:t>
      </w:r>
    </w:p>
    <w:p w:rsidR="002E0EBF" w:rsidRPr="002E0EBF" w:rsidRDefault="002E0EBF" w:rsidP="00085D65">
      <w:pPr>
        <w:divId w:val="1179462879"/>
        <w:rPr>
          <w:noProof/>
        </w:rPr>
      </w:pPr>
      <w:r w:rsidRPr="002E0EBF">
        <w:rPr>
          <w:noProof/>
        </w:rPr>
        <w:lastRenderedPageBreak/>
        <w:t>Whitlock, M. C. 1997. Founder Effects and Peak Shifts Without Genetic Drift: Adaptive Peak Shifts Occur Easily When Environments Fluctuate Slightly. Evolution (N. Y). 51:1044.</w:t>
      </w:r>
    </w:p>
    <w:p w:rsidR="002E0EBF" w:rsidRPr="002E0EBF" w:rsidRDefault="002E0EBF" w:rsidP="00085D65">
      <w:pPr>
        <w:divId w:val="1179462879"/>
        <w:rPr>
          <w:noProof/>
        </w:rPr>
      </w:pPr>
      <w:r w:rsidRPr="002E0EBF">
        <w:rPr>
          <w:noProof/>
        </w:rPr>
        <w:t>Whitlock, M. C. 1995. Variance-Induced Peak Shifts. Evolution (N. Y). 49:252.</w:t>
      </w:r>
    </w:p>
    <w:p w:rsidR="002E0EBF" w:rsidRPr="002E0EBF" w:rsidRDefault="002E0EBF" w:rsidP="00085D65">
      <w:pPr>
        <w:divId w:val="1179462879"/>
        <w:rPr>
          <w:noProof/>
        </w:rPr>
      </w:pPr>
      <w:r w:rsidRPr="002E0EBF">
        <w:rPr>
          <w:noProof/>
        </w:rPr>
        <w:t>Whitlock, M. C., and P. C. Phillips. 2000. The exquisite corpse: a shifting view of the shifting balance. Trends Ecol. Evol. 15:347–348.</w:t>
      </w:r>
    </w:p>
    <w:p w:rsidR="002E0EBF" w:rsidRPr="002E0EBF" w:rsidRDefault="002E0EBF" w:rsidP="00085D65">
      <w:pPr>
        <w:divId w:val="1179462879"/>
        <w:rPr>
          <w:noProof/>
        </w:rPr>
      </w:pPr>
      <w:r w:rsidRPr="002E0EBF">
        <w:rPr>
          <w:noProof/>
        </w:rPr>
        <w:t>Wielgoss, S., J. E. Barrick, O. Tenaillon, S. Cruveiller, B. Chane-Woon-Ming, C. Médigue, R. E. Lenski, and D. Schneider. 2011. Mutation Rate Inferred From Synonymous Substitutions in a Long-Term Evolution Experiment With Escherichia coli. G3 Genes, Genomes, Genet. 1:183. Genetics Society of America.</w:t>
      </w:r>
    </w:p>
    <w:p w:rsidR="002E0EBF" w:rsidRPr="002E0EBF" w:rsidRDefault="002E0EBF" w:rsidP="00085D65">
      <w:pPr>
        <w:divId w:val="1179462879"/>
        <w:rPr>
          <w:noProof/>
        </w:rPr>
      </w:pPr>
      <w:r w:rsidRPr="002E0EBF">
        <w:rPr>
          <w:noProof/>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2E0EBF" w:rsidRPr="002E0EBF" w:rsidRDefault="002E0EBF" w:rsidP="00085D65">
      <w:pPr>
        <w:divId w:val="1179462879"/>
        <w:rPr>
          <w:noProof/>
        </w:rPr>
      </w:pPr>
      <w:r w:rsidRPr="002E0EBF">
        <w:rPr>
          <w:noProof/>
        </w:rPr>
        <w:t>Wright, S. 1931. Evolution in Mendelian Populations. Genetics 16:97–159.</w:t>
      </w:r>
    </w:p>
    <w:p w:rsidR="002E0EBF" w:rsidRPr="002E0EBF" w:rsidRDefault="002E0EBF" w:rsidP="00085D65">
      <w:pPr>
        <w:divId w:val="1179462879"/>
        <w:rPr>
          <w:noProof/>
        </w:rPr>
      </w:pPr>
      <w:r w:rsidRPr="002E0EBF">
        <w:rPr>
          <w:noProof/>
        </w:rPr>
        <w:t xml:space="preserve">Wright, S. 1988. Surfaces of selective value revisited. Am. Nat. 131:115–123. </w:t>
      </w:r>
    </w:p>
    <w:p w:rsidR="00347C94" w:rsidRPr="00347C94" w:rsidRDefault="007F0A97" w:rsidP="002E0EBF">
      <w:pPr>
        <w:pStyle w:val="NormalWeb"/>
        <w:divId w:val="1304196526"/>
      </w:pPr>
      <w:r>
        <w:fldChar w:fldCharType="end"/>
      </w:r>
    </w:p>
    <w:p w:rsidR="00096116" w:rsidRDefault="00096116" w:rsidP="002A0DCC">
      <w:pPr>
        <w:pStyle w:val="Heading1"/>
        <w:spacing w:line="480" w:lineRule="auto"/>
      </w:pPr>
      <w:r>
        <w:t>Appendi</w:t>
      </w:r>
      <w:r w:rsidR="004747BD">
        <w:t>ces</w:t>
      </w:r>
    </w:p>
    <w:p w:rsidR="00096116" w:rsidRDefault="0002786D" w:rsidP="002A0DCC">
      <w:pPr>
        <w:pStyle w:val="Heading2"/>
        <w:numPr>
          <w:ilvl w:val="0"/>
          <w:numId w:val="0"/>
        </w:numPr>
        <w:spacing w:line="480" w:lineRule="auto"/>
        <w:ind w:left="357" w:hanging="357"/>
      </w:pPr>
      <w:bookmarkStart w:id="15" w:name="_Ref360530640"/>
      <w:bookmarkStart w:id="16" w:name="_Ref363980873"/>
      <w:r>
        <w:t xml:space="preserve">Appendix </w:t>
      </w:r>
      <w:bookmarkEnd w:id="15"/>
      <w:r w:rsidR="000F7D03">
        <w:t>1</w:t>
      </w:r>
      <w:bookmarkEnd w:id="16"/>
    </w:p>
    <w:p w:rsidR="0002786D" w:rsidRDefault="0002786D" w:rsidP="002A0DCC">
      <w:pPr>
        <w:spacing w:line="480" w:lineRule="auto"/>
      </w:pPr>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2A0DCC">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2A0DCC">
      <w:pPr>
        <w:spacing w:line="480" w:lineRule="auto"/>
      </w:pPr>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2A0DCC">
      <w:pPr>
        <w:spacing w:line="480" w:lineRule="auto"/>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2A0DCC">
      <w:pPr>
        <w:spacing w:line="480" w:lineRule="auto"/>
      </w:pPr>
      <w:r>
        <w:lastRenderedPageBreak/>
        <w:t xml:space="preserve">For a population with </w:t>
      </w:r>
      <w:r w:rsidR="00CB2260">
        <w:t>SIM</w:t>
      </w:r>
      <w:r w:rsidR="0002786D">
        <w:t>:</w:t>
      </w:r>
    </w:p>
    <w:p w:rsidR="0002786D" w:rsidRPr="005579CA" w:rsidRDefault="000E4746"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2A0DCC">
      <w:pPr>
        <w:spacing w:line="480" w:lineRule="auto"/>
      </w:pPr>
      <w:r>
        <w:t xml:space="preserve">The last approximation assumes that </w:t>
      </w:r>
      <w:proofErr w:type="gramStart"/>
      <w:r>
        <w:rPr>
          <w:i/>
          <w:iCs/>
        </w:rPr>
        <w:t>Us</w:t>
      </w:r>
      <w:r w:rsidR="00CB2260">
        <w:t>&lt;</w:t>
      </w:r>
      <w:proofErr w:type="gramEnd"/>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0E4746"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2A0DCC">
      <w:pPr>
        <w:spacing w:line="480" w:lineRule="auto"/>
      </w:pPr>
      <w:r>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0"/>
        <w:gridCol w:w="852"/>
      </w:tblGrid>
      <w:tr w:rsidR="0002786D" w:rsidTr="00000DD9">
        <w:tc>
          <w:tcPr>
            <w:tcW w:w="4500" w:type="pct"/>
            <w:tcBorders>
              <w:top w:val="nil"/>
              <w:left w:val="nil"/>
              <w:bottom w:val="nil"/>
              <w:right w:val="nil"/>
            </w:tcBorders>
            <w:vAlign w:val="center"/>
          </w:tcPr>
          <w:p w:rsidR="0002786D" w:rsidRDefault="000E4746"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02786D" w:rsidRPr="00AB0448" w:rsidRDefault="0002786D" w:rsidP="002A0DCC">
      <w:pPr>
        <w:spacing w:line="480" w:lineRule="auto"/>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2A0DCC">
      <w:pPr>
        <w:pStyle w:val="Heading2"/>
        <w:numPr>
          <w:ilvl w:val="0"/>
          <w:numId w:val="0"/>
        </w:numPr>
        <w:spacing w:line="480" w:lineRule="auto"/>
        <w:ind w:left="357" w:hanging="357"/>
      </w:pPr>
      <w:bookmarkStart w:id="17" w:name="_Ref360530760"/>
      <w:bookmarkStart w:id="18" w:name="_Ref363980888"/>
      <w:r>
        <w:t>Appendix</w:t>
      </w:r>
      <w:bookmarkEnd w:id="17"/>
      <w:r w:rsidR="000F7D03">
        <w:t xml:space="preserve"> 2</w:t>
      </w:r>
      <w:bookmarkEnd w:id="18"/>
    </w:p>
    <w:p w:rsidR="00946A45" w:rsidRDefault="005447DA" w:rsidP="002A0DCC">
      <w:pPr>
        <w:spacing w:line="480" w:lineRule="auto"/>
        <w:rPr>
          <w:lang w:bidi="hi-IN"/>
        </w:rPr>
      </w:pPr>
      <w:r>
        <w:t xml:space="preserve">Following </w:t>
      </w:r>
      <w:proofErr w:type="spellStart"/>
      <w:r>
        <w:t>Eshel</w:t>
      </w:r>
      <w:proofErr w:type="spellEnd"/>
      <w:r>
        <w:t xml:space="preserve"> </w:t>
      </w:r>
      <w:r w:rsidR="00CA7DA9">
        <w:fldChar w:fldCharType="begin" w:fldLock="1"/>
      </w:r>
      <w:r w:rsidR="002E0EB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w:t>
      </w:r>
      <w:r>
        <w:lastRenderedPageBreak/>
        <w:t>population.</w:t>
      </w:r>
      <w:r w:rsidR="00CB2260">
        <w:t xml:space="preserve"> </w:t>
      </w:r>
      <w:r>
        <w:t>At this stage, double mutants are still very ra</w:t>
      </w:r>
      <w:r w:rsidR="00946A45">
        <w:t>r</w:t>
      </w:r>
      <w:r>
        <w:t xml:space="preserve">e, so we can use the population mean fitness at the MSB. </w:t>
      </w:r>
    </w:p>
    <w:p w:rsidR="00946A45" w:rsidRDefault="005447DA" w:rsidP="002A0DCC">
      <w:pPr>
        <w:spacing w:line="480" w:lineRule="auto"/>
      </w:pPr>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2A0DCC">
      <w:pPr>
        <w:spacing w:line="480" w:lineRule="auto"/>
      </w:pPr>
      <w:r>
        <w:t xml:space="preserve">Assuming </w:t>
      </w:r>
      <w:proofErr w:type="spellStart"/>
      <w:r w:rsidRPr="00544FA2">
        <w:rPr>
          <w:i/>
          <w:iCs/>
        </w:rPr>
        <w:t>sH</w:t>
      </w:r>
      <w:proofErr w:type="spellEnd"/>
      <w:r>
        <w:t xml:space="preserve"> </w:t>
      </w:r>
      <w:r w:rsidRPr="00544FA2">
        <w:t>is</w:t>
      </w:r>
      <w:bookmarkStart w:id="19" w:name="_Ref360534049"/>
      <w:r w:rsidR="004C5F1B">
        <w:t xml:space="preserve"> small we can simplify this to:</w:t>
      </w:r>
    </w:p>
    <w:p w:rsidR="004C5F1B" w:rsidRDefault="004C5F1B" w:rsidP="002A0DCC">
      <w:pPr>
        <w:spacing w:line="480" w:lineRule="auto"/>
        <w:jc w:val="center"/>
      </w:pPr>
      <m:oMath>
        <m:r>
          <w:rPr>
            <w:rFonts w:ascii="Cambria Math" w:hAnsi="Cambria Math"/>
          </w:rPr>
          <m:t>ρ≈2sH</m:t>
        </m:r>
      </m:oMath>
      <w:r>
        <w:t>.</w:t>
      </w:r>
    </w:p>
    <w:p w:rsidR="005447DA" w:rsidRDefault="005447DA" w:rsidP="002A0DCC">
      <w:pPr>
        <w:pStyle w:val="Heading2"/>
        <w:numPr>
          <w:ilvl w:val="0"/>
          <w:numId w:val="0"/>
        </w:numPr>
        <w:spacing w:line="480" w:lineRule="auto"/>
        <w:ind w:left="357" w:hanging="357"/>
      </w:pPr>
      <w:bookmarkStart w:id="20" w:name="_Ref363980903"/>
      <w:r>
        <w:t xml:space="preserve">Appendix </w:t>
      </w:r>
      <w:bookmarkEnd w:id="19"/>
      <w:r w:rsidR="000F7D03">
        <w:t>3</w:t>
      </w:r>
      <w:bookmarkEnd w:id="20"/>
    </w:p>
    <w:p w:rsidR="00335E62" w:rsidRPr="00335E62" w:rsidRDefault="005447DA" w:rsidP="002A0DCC">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2E0EBF">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0F7D03">
        <w:rPr>
          <w:lang w:bidi="hi-IN"/>
        </w:rPr>
        <w:fldChar w:fldCharType="begin"/>
      </w:r>
      <w:r w:rsidR="000F7D03">
        <w:rPr>
          <w:lang w:bidi="hi-IN"/>
        </w:rPr>
        <w:instrText xml:space="preserve"> REF _Ref363980888 \h </w:instrText>
      </w:r>
      <w:r w:rsidR="002A0DCC">
        <w:rPr>
          <w:lang w:bidi="hi-IN"/>
        </w:rPr>
        <w:instrText xml:space="preserve"> \* MERGEFORMAT </w:instrText>
      </w:r>
      <w:r w:rsidR="000F7D03">
        <w:rPr>
          <w:lang w:bidi="hi-IN"/>
        </w:rPr>
      </w:r>
      <w:r w:rsidR="000F7D03">
        <w:rPr>
          <w:lang w:bidi="hi-IN"/>
        </w:rPr>
        <w:fldChar w:fldCharType="separate"/>
      </w:r>
      <w:r w:rsidR="000F7D03">
        <w:t>Appendix 2</w:t>
      </w:r>
      <w:r w:rsidR="000F7D03">
        <w:rPr>
          <w:lang w:bidi="hi-IN"/>
        </w:rPr>
        <w:fldChar w:fldCharType="end"/>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0E4746"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t>Plugging that in the fixation probability:</w:t>
      </w:r>
    </w:p>
    <w:p w:rsidR="00335E62" w:rsidRDefault="000E4746"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0E4746"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0E4746"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0E4746"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sectPr w:rsidR="003B3D00" w:rsidRPr="00DE1C4B" w:rsidSect="001A3DFF">
      <w:headerReference w:type="even" r:id="rId16"/>
      <w:headerReference w:type="default" r:id="rId17"/>
      <w:footerReference w:type="default" r:id="rId18"/>
      <w:pgSz w:w="11906" w:h="16838"/>
      <w:pgMar w:top="1440" w:right="1800" w:bottom="1440" w:left="1800" w:header="709" w:footer="709" w:gutter="0"/>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4746" w:rsidRDefault="000E4746" w:rsidP="009A122D">
      <w:pPr>
        <w:spacing w:after="0" w:line="240" w:lineRule="auto"/>
      </w:pPr>
      <w:r>
        <w:separator/>
      </w:r>
    </w:p>
  </w:endnote>
  <w:endnote w:type="continuationSeparator" w:id="0">
    <w:p w:rsidR="000E4746" w:rsidRDefault="000E4746"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26742B1D-C2C9-49C7-A30E-ED299BA5B020}"/>
    <w:embedBold r:id="rId2" w:fontKey="{4BA9B3BF-78B2-49C0-8A48-A143A840E299}"/>
    <w:embedItalic r:id="rId3" w:fontKey="{A5C680BC-BC41-441C-B785-CA80E66BDABE}"/>
    <w:embedBoldItalic r:id="rId4" w:fontKey="{4FBD2B8D-5057-4010-A8B1-96F825AAF799}"/>
  </w:font>
  <w:font w:name="Tahoma">
    <w:panose1 w:val="020B0604030504040204"/>
    <w:charset w:val="00"/>
    <w:family w:val="swiss"/>
    <w:pitch w:val="variable"/>
    <w:sig w:usb0="E1002EFF" w:usb1="C000605B" w:usb2="00000029" w:usb3="00000000" w:csb0="000101FF" w:csb1="00000000"/>
    <w:embedRegular r:id="rId5" w:fontKey="{902B8D57-968A-418E-BDF5-AF4E27172884}"/>
  </w:font>
  <w:font w:name="cmr10">
    <w:charset w:val="00"/>
    <w:family w:val="swiss"/>
    <w:pitch w:val="variable"/>
    <w:sig w:usb0="00000003" w:usb1="00000000" w:usb2="00000000" w:usb3="00000000" w:csb0="00000001" w:csb1="00000000"/>
    <w:embedRegular r:id="rId6" w:fontKey="{8FB43591-6689-4C0D-813C-C521B122D3CC}"/>
  </w:font>
  <w:font w:name="Cambria Math">
    <w:panose1 w:val="02040503050406030204"/>
    <w:charset w:val="00"/>
    <w:family w:val="roman"/>
    <w:pitch w:val="variable"/>
    <w:sig w:usb0="E00002FF" w:usb1="420024FF" w:usb2="00000000" w:usb3="00000000" w:csb0="0000019F" w:csb1="00000000"/>
    <w:embedItalic r:id="rId7" w:fontKey="{DF9C51C2-71E7-4813-9D39-2822ECF097B6}"/>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531CC2" w:rsidRDefault="00531CC2">
        <w:pPr>
          <w:pStyle w:val="Footer"/>
          <w:jc w:val="center"/>
        </w:pPr>
        <w:r>
          <w:fldChar w:fldCharType="begin"/>
        </w:r>
        <w:r>
          <w:instrText xml:space="preserve"> PAGE   \* MERGEFORMAT </w:instrText>
        </w:r>
        <w:r>
          <w:fldChar w:fldCharType="separate"/>
        </w:r>
        <w:r w:rsidR="001A3DFF">
          <w:rPr>
            <w:noProof/>
          </w:rPr>
          <w:t>3</w:t>
        </w:r>
        <w:r>
          <w:rPr>
            <w:noProof/>
          </w:rPr>
          <w:fldChar w:fldCharType="end"/>
        </w:r>
      </w:p>
    </w:sdtContent>
  </w:sdt>
  <w:p w:rsidR="00531CC2" w:rsidRDefault="00531C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4746" w:rsidRDefault="000E4746" w:rsidP="009A122D">
      <w:pPr>
        <w:spacing w:after="0" w:line="240" w:lineRule="auto"/>
      </w:pPr>
      <w:r>
        <w:separator/>
      </w:r>
    </w:p>
  </w:footnote>
  <w:footnote w:type="continuationSeparator" w:id="0">
    <w:p w:rsidR="000E4746" w:rsidRDefault="000E4746"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DFF" w:rsidRDefault="001A3DFF">
    <w:pPr>
      <w:pStyle w:val="Header"/>
    </w:pPr>
    <w:r>
      <w:t xml:space="preserve">Ram and </w:t>
    </w:r>
    <w:proofErr w:type="spellStart"/>
    <w:r>
      <w:t>Hadany</w:t>
    </w:r>
    <w:proofErr w:type="spellEnd"/>
    <w:r>
      <w:t>, 2013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DFF" w:rsidRDefault="001A3DFF" w:rsidP="001A3DFF">
    <w:pPr>
      <w:pStyle w:val="Header"/>
      <w:jc w:val="right"/>
    </w:pPr>
    <w:r w:rsidRPr="004E278A">
      <w:rPr>
        <w:lang w:bidi="hi-IN"/>
      </w:rPr>
      <w:t>SIM, adaptability and adaptedness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545AB"/>
    <w:rsid w:val="00072913"/>
    <w:rsid w:val="00072D95"/>
    <w:rsid w:val="0007409B"/>
    <w:rsid w:val="00085D65"/>
    <w:rsid w:val="0008670D"/>
    <w:rsid w:val="00092B79"/>
    <w:rsid w:val="00096116"/>
    <w:rsid w:val="000A40AD"/>
    <w:rsid w:val="000C23E4"/>
    <w:rsid w:val="000C3573"/>
    <w:rsid w:val="000C6518"/>
    <w:rsid w:val="000C745E"/>
    <w:rsid w:val="000D56CE"/>
    <w:rsid w:val="000E41BA"/>
    <w:rsid w:val="000E4746"/>
    <w:rsid w:val="000E60A3"/>
    <w:rsid w:val="000F3C4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5D8E"/>
    <w:rsid w:val="00184C3E"/>
    <w:rsid w:val="001910E3"/>
    <w:rsid w:val="001A151A"/>
    <w:rsid w:val="001A3DFF"/>
    <w:rsid w:val="001A6C18"/>
    <w:rsid w:val="001C455A"/>
    <w:rsid w:val="001C5D6C"/>
    <w:rsid w:val="001E325E"/>
    <w:rsid w:val="001F1E74"/>
    <w:rsid w:val="001F51E7"/>
    <w:rsid w:val="001F5496"/>
    <w:rsid w:val="00201A26"/>
    <w:rsid w:val="002135AE"/>
    <w:rsid w:val="0021470E"/>
    <w:rsid w:val="00221C7B"/>
    <w:rsid w:val="00223D4A"/>
    <w:rsid w:val="002261F8"/>
    <w:rsid w:val="00232C71"/>
    <w:rsid w:val="00241A70"/>
    <w:rsid w:val="00245A8B"/>
    <w:rsid w:val="002630C5"/>
    <w:rsid w:val="00271D8B"/>
    <w:rsid w:val="00275A3C"/>
    <w:rsid w:val="00282DE0"/>
    <w:rsid w:val="00290173"/>
    <w:rsid w:val="0029078B"/>
    <w:rsid w:val="00295B91"/>
    <w:rsid w:val="00295FB4"/>
    <w:rsid w:val="002A0DCC"/>
    <w:rsid w:val="002A275A"/>
    <w:rsid w:val="002B1207"/>
    <w:rsid w:val="002C54C0"/>
    <w:rsid w:val="002D501F"/>
    <w:rsid w:val="002D7506"/>
    <w:rsid w:val="002E0EBF"/>
    <w:rsid w:val="002F4E2F"/>
    <w:rsid w:val="00305197"/>
    <w:rsid w:val="00320207"/>
    <w:rsid w:val="003247B3"/>
    <w:rsid w:val="00325953"/>
    <w:rsid w:val="0033327A"/>
    <w:rsid w:val="00335E62"/>
    <w:rsid w:val="0034713C"/>
    <w:rsid w:val="00347C94"/>
    <w:rsid w:val="00354774"/>
    <w:rsid w:val="00360699"/>
    <w:rsid w:val="003657AC"/>
    <w:rsid w:val="00373875"/>
    <w:rsid w:val="003757EA"/>
    <w:rsid w:val="0038310A"/>
    <w:rsid w:val="00391853"/>
    <w:rsid w:val="003A1D28"/>
    <w:rsid w:val="003B3D00"/>
    <w:rsid w:val="003B4B81"/>
    <w:rsid w:val="003C4248"/>
    <w:rsid w:val="003D306F"/>
    <w:rsid w:val="003D42F5"/>
    <w:rsid w:val="003D4900"/>
    <w:rsid w:val="003D5DA7"/>
    <w:rsid w:val="003E0BDF"/>
    <w:rsid w:val="003F5091"/>
    <w:rsid w:val="00401E4A"/>
    <w:rsid w:val="00412A85"/>
    <w:rsid w:val="00414AEF"/>
    <w:rsid w:val="004163AF"/>
    <w:rsid w:val="004178FE"/>
    <w:rsid w:val="00435563"/>
    <w:rsid w:val="0043685D"/>
    <w:rsid w:val="00446BDA"/>
    <w:rsid w:val="00453133"/>
    <w:rsid w:val="0046652F"/>
    <w:rsid w:val="004747BD"/>
    <w:rsid w:val="00477861"/>
    <w:rsid w:val="00483E00"/>
    <w:rsid w:val="00485B00"/>
    <w:rsid w:val="00494EDC"/>
    <w:rsid w:val="004A2989"/>
    <w:rsid w:val="004B1858"/>
    <w:rsid w:val="004B5CB1"/>
    <w:rsid w:val="004C00D1"/>
    <w:rsid w:val="004C16E5"/>
    <w:rsid w:val="004C392E"/>
    <w:rsid w:val="004C5F1B"/>
    <w:rsid w:val="004C737E"/>
    <w:rsid w:val="004D5FC0"/>
    <w:rsid w:val="004D6F60"/>
    <w:rsid w:val="004E278A"/>
    <w:rsid w:val="004F4440"/>
    <w:rsid w:val="004F5395"/>
    <w:rsid w:val="00514DED"/>
    <w:rsid w:val="005202A0"/>
    <w:rsid w:val="0052063A"/>
    <w:rsid w:val="00531BD5"/>
    <w:rsid w:val="00531CC2"/>
    <w:rsid w:val="005447DA"/>
    <w:rsid w:val="00544FA2"/>
    <w:rsid w:val="005467DB"/>
    <w:rsid w:val="005515F1"/>
    <w:rsid w:val="00552B96"/>
    <w:rsid w:val="00563FAB"/>
    <w:rsid w:val="00564668"/>
    <w:rsid w:val="00575BB5"/>
    <w:rsid w:val="005816EE"/>
    <w:rsid w:val="005821AF"/>
    <w:rsid w:val="00587E54"/>
    <w:rsid w:val="005A2F68"/>
    <w:rsid w:val="005B46B9"/>
    <w:rsid w:val="005B487B"/>
    <w:rsid w:val="005D7A01"/>
    <w:rsid w:val="005E0580"/>
    <w:rsid w:val="005E19DB"/>
    <w:rsid w:val="005E3A59"/>
    <w:rsid w:val="005E7700"/>
    <w:rsid w:val="005F1227"/>
    <w:rsid w:val="005F1B6B"/>
    <w:rsid w:val="005F620D"/>
    <w:rsid w:val="005F6245"/>
    <w:rsid w:val="00607B56"/>
    <w:rsid w:val="00625517"/>
    <w:rsid w:val="00630B3C"/>
    <w:rsid w:val="00630F02"/>
    <w:rsid w:val="00633ED1"/>
    <w:rsid w:val="006456BB"/>
    <w:rsid w:val="00651511"/>
    <w:rsid w:val="00652D72"/>
    <w:rsid w:val="00663378"/>
    <w:rsid w:val="00665310"/>
    <w:rsid w:val="006733DF"/>
    <w:rsid w:val="00683120"/>
    <w:rsid w:val="006911A5"/>
    <w:rsid w:val="00691767"/>
    <w:rsid w:val="0069770A"/>
    <w:rsid w:val="006A479B"/>
    <w:rsid w:val="006B774C"/>
    <w:rsid w:val="006C02DB"/>
    <w:rsid w:val="006D14E9"/>
    <w:rsid w:val="006D5802"/>
    <w:rsid w:val="006F4747"/>
    <w:rsid w:val="00701833"/>
    <w:rsid w:val="007058D2"/>
    <w:rsid w:val="00720682"/>
    <w:rsid w:val="00723F0C"/>
    <w:rsid w:val="00733446"/>
    <w:rsid w:val="00753267"/>
    <w:rsid w:val="0077094B"/>
    <w:rsid w:val="00775F58"/>
    <w:rsid w:val="007A2944"/>
    <w:rsid w:val="007A6385"/>
    <w:rsid w:val="007B25AD"/>
    <w:rsid w:val="007C4DDB"/>
    <w:rsid w:val="007E25F3"/>
    <w:rsid w:val="007E6659"/>
    <w:rsid w:val="007F0A97"/>
    <w:rsid w:val="007F101A"/>
    <w:rsid w:val="007F656F"/>
    <w:rsid w:val="008062FB"/>
    <w:rsid w:val="00806F37"/>
    <w:rsid w:val="00812097"/>
    <w:rsid w:val="00812DB3"/>
    <w:rsid w:val="00817B34"/>
    <w:rsid w:val="00824294"/>
    <w:rsid w:val="0082586B"/>
    <w:rsid w:val="00830F34"/>
    <w:rsid w:val="0085140E"/>
    <w:rsid w:val="00851EBB"/>
    <w:rsid w:val="008643AC"/>
    <w:rsid w:val="00870ED3"/>
    <w:rsid w:val="008752E9"/>
    <w:rsid w:val="008851DB"/>
    <w:rsid w:val="00890BB3"/>
    <w:rsid w:val="008967F9"/>
    <w:rsid w:val="008A0C66"/>
    <w:rsid w:val="008A35F3"/>
    <w:rsid w:val="008A5282"/>
    <w:rsid w:val="008E3DFA"/>
    <w:rsid w:val="008E7880"/>
    <w:rsid w:val="008F5983"/>
    <w:rsid w:val="009040D1"/>
    <w:rsid w:val="009207F0"/>
    <w:rsid w:val="00925154"/>
    <w:rsid w:val="00927B26"/>
    <w:rsid w:val="00932C9B"/>
    <w:rsid w:val="0094207C"/>
    <w:rsid w:val="0094540E"/>
    <w:rsid w:val="0094679F"/>
    <w:rsid w:val="00946A45"/>
    <w:rsid w:val="00946BF8"/>
    <w:rsid w:val="0095303A"/>
    <w:rsid w:val="009602F2"/>
    <w:rsid w:val="00961209"/>
    <w:rsid w:val="00961EB6"/>
    <w:rsid w:val="00963766"/>
    <w:rsid w:val="00975E44"/>
    <w:rsid w:val="009770F6"/>
    <w:rsid w:val="009850ED"/>
    <w:rsid w:val="00986F1F"/>
    <w:rsid w:val="00992FC4"/>
    <w:rsid w:val="009969E9"/>
    <w:rsid w:val="009A0E7D"/>
    <w:rsid w:val="009A122D"/>
    <w:rsid w:val="009A2A4B"/>
    <w:rsid w:val="009D3762"/>
    <w:rsid w:val="009D699D"/>
    <w:rsid w:val="009E654C"/>
    <w:rsid w:val="009F5B3A"/>
    <w:rsid w:val="00A0028F"/>
    <w:rsid w:val="00A00B27"/>
    <w:rsid w:val="00A03104"/>
    <w:rsid w:val="00A14950"/>
    <w:rsid w:val="00A20806"/>
    <w:rsid w:val="00A307DC"/>
    <w:rsid w:val="00A30A19"/>
    <w:rsid w:val="00A34949"/>
    <w:rsid w:val="00A35270"/>
    <w:rsid w:val="00A40A47"/>
    <w:rsid w:val="00A575D7"/>
    <w:rsid w:val="00A579F7"/>
    <w:rsid w:val="00A70358"/>
    <w:rsid w:val="00A709C3"/>
    <w:rsid w:val="00A725E6"/>
    <w:rsid w:val="00A74527"/>
    <w:rsid w:val="00A81E09"/>
    <w:rsid w:val="00A9277F"/>
    <w:rsid w:val="00A95F28"/>
    <w:rsid w:val="00A96D14"/>
    <w:rsid w:val="00AB0448"/>
    <w:rsid w:val="00AC2BE1"/>
    <w:rsid w:val="00AC498F"/>
    <w:rsid w:val="00AC687F"/>
    <w:rsid w:val="00AC75F5"/>
    <w:rsid w:val="00AD2B33"/>
    <w:rsid w:val="00AD32AA"/>
    <w:rsid w:val="00AE0B1E"/>
    <w:rsid w:val="00AE42B5"/>
    <w:rsid w:val="00AE4A3F"/>
    <w:rsid w:val="00B04D05"/>
    <w:rsid w:val="00B10C13"/>
    <w:rsid w:val="00B165C4"/>
    <w:rsid w:val="00B17DB4"/>
    <w:rsid w:val="00B25D55"/>
    <w:rsid w:val="00B32510"/>
    <w:rsid w:val="00B37F95"/>
    <w:rsid w:val="00B43DD1"/>
    <w:rsid w:val="00B472FC"/>
    <w:rsid w:val="00B51C0E"/>
    <w:rsid w:val="00B5286A"/>
    <w:rsid w:val="00B66998"/>
    <w:rsid w:val="00B72912"/>
    <w:rsid w:val="00B7610D"/>
    <w:rsid w:val="00B82D73"/>
    <w:rsid w:val="00B85CA4"/>
    <w:rsid w:val="00B86C28"/>
    <w:rsid w:val="00B96911"/>
    <w:rsid w:val="00B9782C"/>
    <w:rsid w:val="00BA6231"/>
    <w:rsid w:val="00BB5518"/>
    <w:rsid w:val="00BC359F"/>
    <w:rsid w:val="00BF06EE"/>
    <w:rsid w:val="00BF2DDC"/>
    <w:rsid w:val="00BF336A"/>
    <w:rsid w:val="00C023C7"/>
    <w:rsid w:val="00C11B88"/>
    <w:rsid w:val="00C2015F"/>
    <w:rsid w:val="00C2360B"/>
    <w:rsid w:val="00C23983"/>
    <w:rsid w:val="00C32D39"/>
    <w:rsid w:val="00C35E46"/>
    <w:rsid w:val="00C36DFD"/>
    <w:rsid w:val="00C40CB3"/>
    <w:rsid w:val="00C43354"/>
    <w:rsid w:val="00C47221"/>
    <w:rsid w:val="00C555BC"/>
    <w:rsid w:val="00C64915"/>
    <w:rsid w:val="00C87978"/>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D48"/>
    <w:rsid w:val="00D14529"/>
    <w:rsid w:val="00D3522A"/>
    <w:rsid w:val="00D40F2C"/>
    <w:rsid w:val="00D4102F"/>
    <w:rsid w:val="00D56A32"/>
    <w:rsid w:val="00D6393B"/>
    <w:rsid w:val="00D66493"/>
    <w:rsid w:val="00D72D8D"/>
    <w:rsid w:val="00D74797"/>
    <w:rsid w:val="00D747B0"/>
    <w:rsid w:val="00D82F82"/>
    <w:rsid w:val="00DA34B7"/>
    <w:rsid w:val="00DB45BB"/>
    <w:rsid w:val="00DB52C0"/>
    <w:rsid w:val="00DB6D14"/>
    <w:rsid w:val="00DB72B7"/>
    <w:rsid w:val="00DB77BD"/>
    <w:rsid w:val="00DD62C4"/>
    <w:rsid w:val="00DE1C4B"/>
    <w:rsid w:val="00DF1FED"/>
    <w:rsid w:val="00DF4FC8"/>
    <w:rsid w:val="00DF6C0E"/>
    <w:rsid w:val="00E01613"/>
    <w:rsid w:val="00E1330F"/>
    <w:rsid w:val="00E1623D"/>
    <w:rsid w:val="00E16366"/>
    <w:rsid w:val="00E2745E"/>
    <w:rsid w:val="00E41B1B"/>
    <w:rsid w:val="00E4303E"/>
    <w:rsid w:val="00E466DE"/>
    <w:rsid w:val="00E4716C"/>
    <w:rsid w:val="00E5128F"/>
    <w:rsid w:val="00E52511"/>
    <w:rsid w:val="00E554BD"/>
    <w:rsid w:val="00E627A2"/>
    <w:rsid w:val="00E7243B"/>
    <w:rsid w:val="00E75CE3"/>
    <w:rsid w:val="00E83AB1"/>
    <w:rsid w:val="00E8583D"/>
    <w:rsid w:val="00E862AF"/>
    <w:rsid w:val="00EA316D"/>
    <w:rsid w:val="00EA4F71"/>
    <w:rsid w:val="00EB2D0A"/>
    <w:rsid w:val="00EB3214"/>
    <w:rsid w:val="00EB5020"/>
    <w:rsid w:val="00EB6923"/>
    <w:rsid w:val="00EC7EBC"/>
    <w:rsid w:val="00ED08B5"/>
    <w:rsid w:val="00EE3B41"/>
    <w:rsid w:val="00EE3CB4"/>
    <w:rsid w:val="00EE6EA2"/>
    <w:rsid w:val="00EF0B86"/>
    <w:rsid w:val="00EF3BEC"/>
    <w:rsid w:val="00EF44A6"/>
    <w:rsid w:val="00EF634C"/>
    <w:rsid w:val="00EF797F"/>
    <w:rsid w:val="00F00D32"/>
    <w:rsid w:val="00F03785"/>
    <w:rsid w:val="00F07DD7"/>
    <w:rsid w:val="00F100B3"/>
    <w:rsid w:val="00F124DA"/>
    <w:rsid w:val="00F25234"/>
    <w:rsid w:val="00F27D77"/>
    <w:rsid w:val="00F356B7"/>
    <w:rsid w:val="00F35F7B"/>
    <w:rsid w:val="00F37542"/>
    <w:rsid w:val="00F441B1"/>
    <w:rsid w:val="00F619A9"/>
    <w:rsid w:val="00F62FFA"/>
    <w:rsid w:val="00F71C83"/>
    <w:rsid w:val="00F76B8B"/>
    <w:rsid w:val="00F804BA"/>
    <w:rsid w:val="00F8069F"/>
    <w:rsid w:val="00F83F2E"/>
    <w:rsid w:val="00F84E5B"/>
    <w:rsid w:val="00F8789F"/>
    <w:rsid w:val="00F907A8"/>
    <w:rsid w:val="00FA4D99"/>
    <w:rsid w:val="00FA72C5"/>
    <w:rsid w:val="00FB0058"/>
    <w:rsid w:val="00FB1726"/>
    <w:rsid w:val="00FB30D0"/>
    <w:rsid w:val="00FB7014"/>
    <w:rsid w:val="00FB7083"/>
    <w:rsid w:val="00FB73CE"/>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5D65"/>
    <w:pPr>
      <w:spacing w:after="180" w:line="274" w:lineRule="auto"/>
      <w:jc w:val="both"/>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5D65"/>
    <w:pPr>
      <w:spacing w:after="180" w:line="274" w:lineRule="auto"/>
      <w:jc w:val="both"/>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yperlink" Target="http://www.bgu.ac.il/BIDR/conf/sideergrads/SIDEER_symposium/" TargetMode="External"/><Relationship Id="rId10" Type="http://schemas.openxmlformats.org/officeDocument/2006/relationships/hyperlink" Target="mailto:lilach.haday@gmail.com"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22E07F-41D5-4D0E-8CA0-DAF088514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24</Pages>
  <Words>29330</Words>
  <Characters>146652</Characters>
  <Application>Microsoft Office Word</Application>
  <DocSecurity>0</DocSecurity>
  <Lines>1222</Lines>
  <Paragraphs>351</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175631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4</cp:revision>
  <dcterms:created xsi:type="dcterms:W3CDTF">2013-10-07T16:39:00Z</dcterms:created>
  <dcterms:modified xsi:type="dcterms:W3CDTF">2013-10-07T16:46:00Z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http://www.zotero.org/styles/chicago-fullnote-bibliography</vt:lpwstr>
  </property>
  <property fmtid="{D5CDD505-2E9C-101B-9397-08002B2CF9AE}" pid="12" name="Mendeley Recent Style Name 3_1">
    <vt:lpwstr>Chicago Manual of Style 16th edition (full note)</vt:lpwstr>
  </property>
  <property fmtid="{D5CDD505-2E9C-101B-9397-08002B2CF9AE}" pid="13" name="Mendeley Recent Style Id 4_1">
    <vt:lpwstr>http://www.zotero.org/styles/evolution</vt:lpwstr>
  </property>
  <property fmtid="{D5CDD505-2E9C-101B-9397-08002B2CF9AE}" pid="14" name="Mendeley Recent Style Name 4_1">
    <vt:lpwstr>Evolution</vt:lpwstr>
  </property>
  <property fmtid="{D5CDD505-2E9C-101B-9397-08002B2CF9AE}" pid="15" name="Mendeley Recent Style Id 5_1">
    <vt:lpwstr>http://www.zotero.org/styles/evolutionary-biology</vt:lpwstr>
  </property>
  <property fmtid="{D5CDD505-2E9C-101B-9397-08002B2CF9AE}" pid="16" name="Mendeley Recent Style Name 5_1">
    <vt:lpwstr>Evolutionary Biology</vt:lpwstr>
  </property>
  <property fmtid="{D5CDD505-2E9C-101B-9397-08002B2CF9AE}" pid="17" name="Mendeley Recent Style Id 6_1">
    <vt:lpwstr>http://www.zotero.org/styles/frontiers-in-evolutionary-and-population-genetics</vt:lpwstr>
  </property>
  <property fmtid="{D5CDD505-2E9C-101B-9397-08002B2CF9AE}" pid="18" name="Mendeley Recent Style Name 6_1">
    <vt:lpwstr>Frontiers in Evolutionary and Population Genetics</vt:lpwstr>
  </property>
  <property fmtid="{D5CDD505-2E9C-101B-9397-08002B2CF9AE}" pid="19" name="Mendeley Recent Style Id 7_1">
    <vt:lpwstr>http://www.zotero.org/styles/genome-biology-and-evolution</vt:lpwstr>
  </property>
  <property fmtid="{D5CDD505-2E9C-101B-9397-08002B2CF9AE}" pid="20" name="Mendeley Recent Style Name 7_1">
    <vt:lpwstr>Genome Biology and Evolution</vt:lpwstr>
  </property>
  <property fmtid="{D5CDD505-2E9C-101B-9397-08002B2CF9AE}" pid="21" name="Mendeley Recent Style Id 8_1">
    <vt:lpwstr>http://www.zotero.org/styles/israel-journal-of-ecology-and-evolution</vt:lpwstr>
  </property>
  <property fmtid="{D5CDD505-2E9C-101B-9397-08002B2CF9AE}" pid="22" name="Mendeley Recent Style Name 8_1">
    <vt:lpwstr>Israel Journal of Ecology &amp; Evolution</vt:lpwstr>
  </property>
  <property fmtid="{D5CDD505-2E9C-101B-9397-08002B2CF9AE}" pid="23" name="Mendeley Recent Style Id 9_1">
    <vt:lpwstr>http://www.zotero.org/styles/journal-of-evolutionary-biology</vt:lpwstr>
  </property>
  <property fmtid="{D5CDD505-2E9C-101B-9397-08002B2CF9AE}" pid="24" name="Mendeley Recent Style Name 9_1">
    <vt:lpwstr>Journal of Evolutionary Biology</vt:lpwstr>
  </property>
</Properties>
</file>