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817B34">
        <w:rPr>
          <w:noProof/>
          <w:lang w:bidi="hi-IN"/>
        </w:rPr>
        <w:t>August 11,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4C16E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rsidR="00CA7DA9">
        <w:fldChar w:fldCharType="begin" w:fldLock="1"/>
      </w:r>
      <w:r w:rsidR="004C16E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4C16E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4C16E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4C16E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4C16E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CA7DA9">
        <w:fldChar w:fldCharType="begin" w:fldLock="1"/>
      </w:r>
      <w:r w:rsidR="004C16E5">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031C58">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4C16E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F07DD7" w:rsidRPr="00817B34">
        <w:t>a</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commentRangeStart w:id="0"/>
      <w:proofErr w:type="spellStart"/>
      <w:r>
        <w:t>Agrawal</w:t>
      </w:r>
      <w:proofErr w:type="spellEnd"/>
      <w:r>
        <w:t xml:space="preserve"> and later Shaw and Baer</w:t>
      </w:r>
      <w:r w:rsidR="001307C7">
        <w:t xml:space="preserve"> </w:t>
      </w:r>
      <w:r w:rsidR="00CA7DA9">
        <w:fldChar w:fldCharType="begin" w:fldLock="1"/>
      </w:r>
      <w:r w:rsidR="004C16E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w:t>
      </w:r>
      <w:r>
        <w:t>without beneficial mutat</w:t>
      </w:r>
      <w:r w:rsidR="00031C58">
        <w:t>ions</w:t>
      </w:r>
      <w:r>
        <w:t xml:space="preserve"> </w:t>
      </w:r>
      <w:r w:rsidR="00932C9B">
        <w:t>SIM doesn't affect the mean fitness</w:t>
      </w:r>
      <w:r w:rsidR="00031C58">
        <w:t xml:space="preserve"> of asexual population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4C16E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commentRangeEnd w:id="0"/>
      <w:r w:rsidR="00CB0741">
        <w:rPr>
          <w:rStyle w:val="CommentReference"/>
        </w:rPr>
        <w:commentReference w:id="0"/>
      </w:r>
    </w:p>
    <w:p w:rsidR="00625517" w:rsidRDefault="00A725E6" w:rsidP="00031C58">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FC62DB">
        <w:t>, as well as stochastic simulations</w:t>
      </w:r>
      <w:r w:rsidR="00031C58">
        <w:t>, which</w:t>
      </w:r>
      <w:bookmarkStart w:id="1" w:name="_GoBack"/>
      <w:bookmarkEnd w:id="1"/>
      <w:r w:rsidR="00031C58">
        <w:t xml:space="preserve"> </w:t>
      </w:r>
      <w:r w:rsidR="00FC62DB">
        <w:t xml:space="preserve">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 mean fitness.</w:t>
      </w:r>
    </w:p>
    <w:p w:rsidR="002630C5" w:rsidRDefault="002630C5" w:rsidP="001033CA">
      <w:pPr>
        <w:pStyle w:val="Heading1"/>
        <w:rPr>
          <w:lang w:bidi="hi-IN"/>
        </w:rPr>
      </w:pPr>
      <w:bookmarkStart w:id="2" w:name="_Ref361735010"/>
      <w:r>
        <w:rPr>
          <w:lang w:bidi="hi-IN"/>
        </w:rPr>
        <w:lastRenderedPageBreak/>
        <w:t>Model</w:t>
      </w:r>
      <w:bookmarkEnd w:id="2"/>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wildtype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A96D14">
      <w:r>
        <w:t xml:space="preserve">The adaptation process can be separated to two </w:t>
      </w:r>
      <w:r>
        <w:softHyphen/>
      </w:r>
      <w:r>
        <w:softHyphen/>
      </w:r>
      <w:r>
        <w:softHyphen/>
      </w:r>
      <w:r>
        <w:softHyphen/>
      </w:r>
      <w:r>
        <w:t xml:space="preserve">distinct </w:t>
      </w:r>
      <w:r>
        <w:t xml:space="preserve">processes. In the first, a double mutant </w:t>
      </w:r>
      <w:r>
        <w:rPr>
          <w:i/>
          <w:iCs/>
        </w:rPr>
        <w:t>AB</w:t>
      </w:r>
      <w:r>
        <w:t xml:space="preserve"> appears in the population, usually in a single copy. In the second, the single copy of the double mutant avoids extinction, increases in frequency and goes to fixation. </w:t>
      </w:r>
    </w:p>
    <w:p w:rsidR="00000DD9" w:rsidRDefault="00000DD9" w:rsidP="00000DD9">
      <w:pPr>
        <w:keepNext/>
        <w:jc w:val="center"/>
      </w:pPr>
      <w:r>
        <w:rPr>
          <w:noProof/>
        </w:rPr>
        <w:lastRenderedPageBreak/>
        <w:drawing>
          <wp:inline distT="0" distB="0" distL="0" distR="0" wp14:anchorId="45C53934" wp14:editId="3A305F0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3"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3"/>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A96D14">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4C16E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4" w:name="_Ref360717172"/>
            <w:r>
              <w:t>(</w:t>
            </w:r>
            <w:r w:rsidR="00CA7DA9">
              <w:fldChar w:fldCharType="begin"/>
            </w:r>
            <w:r w:rsidR="00C64915" w:rsidRPr="00F25234">
              <w:instrText xml:space="preserve"> SEQ Equation </w:instrText>
            </w:r>
            <w:r w:rsidR="00CA7DA9">
              <w:fldChar w:fldCharType="separate"/>
            </w:r>
            <w:r w:rsidR="00FD3777" w:rsidRPr="00F25234">
              <w:rPr>
                <w:noProof/>
              </w:rPr>
              <w:t>2</w:t>
            </w:r>
            <w:r w:rsidR="00CA7DA9">
              <w:rPr>
                <w:noProof/>
              </w:rPr>
              <w:fldChar w:fldCharType="end"/>
            </w:r>
            <w:r>
              <w:t>)</w:t>
            </w:r>
            <w:bookmarkEnd w:id="4"/>
          </w:p>
        </w:tc>
      </w:tr>
    </w:tbl>
    <w:p w:rsidR="00232C71" w:rsidRPr="00F03785" w:rsidRDefault="000D56CE" w:rsidP="00A96D14">
      <w:r>
        <w:t>The second model 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accumulated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5" w:name="_Ref358791100"/>
      <w:r>
        <w:lastRenderedPageBreak/>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5"/>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C16E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C16E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4C16E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72D95"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6" w:name="_Ref360530713"/>
            <w:r>
              <w:t>(</w:t>
            </w:r>
            <w:r w:rsidR="00CA7DA9">
              <w:fldChar w:fldCharType="begin"/>
            </w:r>
            <w:r w:rsidR="00C64915" w:rsidRPr="00F25234">
              <w:instrText xml:space="preserve"> SEQ Equation </w:instrText>
            </w:r>
            <w:r w:rsidR="00CA7DA9">
              <w:fldChar w:fldCharType="separate"/>
            </w:r>
            <w:r w:rsidR="00F25234" w:rsidRPr="00F25234">
              <w:rPr>
                <w:noProof/>
              </w:rPr>
              <w:t>3</w:t>
            </w:r>
            <w:r w:rsidR="00CA7DA9">
              <w:rPr>
                <w:noProof/>
              </w:rPr>
              <w:fldChar w:fldCharType="end"/>
            </w:r>
            <w:r>
              <w:t>)</w:t>
            </w:r>
            <w:bookmarkEnd w:id="6"/>
          </w:p>
        </w:tc>
      </w:tr>
    </w:tbl>
    <w:p w:rsidR="00000DD9" w:rsidRDefault="00A95F28" w:rsidP="00F25234">
      <w:r>
        <w:t xml:space="preserve">These values are reasonable for bacterial populations (see </w:t>
      </w:r>
      <w:r w:rsidR="00CA7DA9">
        <w:fldChar w:fldCharType="begin"/>
      </w:r>
      <w:r>
        <w:instrText xml:space="preserve"> REF _Ref358791100 \h </w:instrText>
      </w:r>
      <w:r w:rsidR="00CA7DA9">
        <w:fldChar w:fldCharType="separate"/>
      </w:r>
      <w:r>
        <w:t xml:space="preserve">Table </w:t>
      </w:r>
      <w:r>
        <w:rPr>
          <w:noProof/>
        </w:rPr>
        <w:t>1</w:t>
      </w:r>
      <w:r w:rsidR="00CA7DA9">
        <w:fldChar w:fldCharType="end"/>
      </w:r>
      <w:r>
        <w:t>)</w:t>
      </w:r>
      <w:r w:rsidR="00F25234">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7" w:name="_Ref354134924"/>
            <w:r>
              <w:t>(</w:t>
            </w:r>
            <w:r w:rsidR="00CA7DA9">
              <w:fldChar w:fldCharType="begin"/>
            </w:r>
            <w:r w:rsidR="00C64915" w:rsidRPr="00EC7EBC">
              <w:instrText xml:space="preserve"> SEQ Equation </w:instrText>
            </w:r>
            <w:r w:rsidR="00CA7DA9">
              <w:fldChar w:fldCharType="separate"/>
            </w:r>
            <w:r w:rsidR="00EC7EBC" w:rsidRPr="00EC7EBC">
              <w:rPr>
                <w:noProof/>
              </w:rPr>
              <w:t>4</w:t>
            </w:r>
            <w:r w:rsidR="00CA7DA9">
              <w:rPr>
                <w:noProof/>
              </w:rPr>
              <w:fldChar w:fldCharType="end"/>
            </w:r>
            <w:r>
              <w:t>)</w:t>
            </w:r>
            <w:bookmarkEnd w:id="7"/>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072D95"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134926"/>
            <w:r>
              <w:t>(</w:t>
            </w:r>
            <w:r w:rsidR="00CA7DA9">
              <w:fldChar w:fldCharType="begin"/>
            </w:r>
            <w:r w:rsidR="00C64915" w:rsidRPr="00EC7EBC">
              <w:instrText xml:space="preserve"> SEQ Equation </w:instrText>
            </w:r>
            <w:r w:rsidR="00CA7DA9">
              <w:fldChar w:fldCharType="separate"/>
            </w:r>
            <w:r w:rsidR="00EC7EBC">
              <w:rPr>
                <w:noProof/>
              </w:rPr>
              <w:t>5</w:t>
            </w:r>
            <w:r w:rsidR="00CA7DA9">
              <w:rPr>
                <w:noProof/>
              </w:rPr>
              <w:fldChar w:fldCharType="end"/>
            </w:r>
            <w:r>
              <w:t>)</w:t>
            </w:r>
            <w:bookmarkEnd w:id="8"/>
          </w:p>
        </w:tc>
      </w:tr>
    </w:tbl>
    <w:p w:rsidR="0002786D" w:rsidRDefault="005447DA" w:rsidP="000F7D03">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EC7EBC">
        <w:t>(</w:t>
      </w:r>
      <w:r w:rsidR="00EC7EBC" w:rsidRPr="00EC7EBC">
        <w:rPr>
          <w:noProof/>
        </w:rPr>
        <w:t>4</w:t>
      </w:r>
      <w:r w:rsidR="00EC7EBC">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CA7DA9">
        <w:fldChar w:fldCharType="separate"/>
      </w:r>
      <w:r w:rsidR="00EC7EBC" w:rsidRPr="00EC7EBC">
        <w:t>(</w:t>
      </w:r>
      <w:r w:rsidR="00EC7EBC" w:rsidRPr="00EC7EBC">
        <w:rPr>
          <w:noProof/>
        </w:rPr>
        <w:t>5</w:t>
      </w:r>
      <w:r w:rsidR="00EC7EBC" w:rsidRPr="00EC7EBC">
        <w:t>)</w:t>
      </w:r>
      <w:r w:rsidR="00CA7DA9">
        <w:fldChar w:fldCharType="end"/>
      </w:r>
      <w:r>
        <w:t xml:space="preserve"> are 1</w:t>
      </w:r>
      <w:r w:rsidRPr="005447DA">
        <w:rPr>
          <w:vertAlign w:val="superscript"/>
        </w:rPr>
        <w:t>st</w:t>
      </w:r>
      <w:r>
        <w:t xml:space="preserve"> order approximations, 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0F7D03">
        <w:t xml:space="preserve"> </w:t>
      </w:r>
      <w:r>
        <w:t>for more details.</w:t>
      </w:r>
    </w:p>
    <w:p w:rsidR="002D7506" w:rsidRDefault="002D7506" w:rsidP="00072D95">
      <w:pPr>
        <w:pStyle w:val="Heading2"/>
      </w:pPr>
      <w:bookmarkStart w:id="9" w:name="_Ref354319797"/>
      <w:r>
        <w:lastRenderedPageBreak/>
        <w:t xml:space="preserve">Fixation probability with stress-induced </w:t>
      </w:r>
      <w:bookmarkEnd w:id="9"/>
      <w:r w:rsidR="003F5091">
        <w:t>mutagenesis</w:t>
      </w:r>
    </w:p>
    <w:p w:rsidR="005447DA" w:rsidRPr="005447DA" w:rsidRDefault="002D7506" w:rsidP="000F7D03">
      <w:r>
        <w:t>Assuming that the advantage of the double mutant is considerable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CA7DA9">
        <w:rPr>
          <w:rFonts w:cstheme="majorBidi"/>
        </w:rPr>
        <w:fldChar w:fldCharType="begin"/>
      </w:r>
      <w:r w:rsidR="005447DA" w:rsidRPr="00EC7EBC">
        <w:rPr>
          <w:rFonts w:cstheme="majorBidi"/>
        </w:rPr>
        <w:instrText xml:space="preserve"> REF _Ref360530713 \h </w:instrText>
      </w:r>
      <w:r w:rsidR="00CA7DA9">
        <w:rPr>
          <w:rFonts w:cstheme="majorBidi"/>
        </w:rPr>
      </w:r>
      <w:r w:rsidR="00CA7DA9">
        <w:rPr>
          <w:rFonts w:cstheme="majorBidi"/>
        </w:rPr>
        <w:fldChar w:fldCharType="separate"/>
      </w:r>
      <w:r w:rsidR="00EC7EBC" w:rsidRPr="00EC7EBC">
        <w:t>(</w:t>
      </w:r>
      <w:r w:rsidR="00EC7EBC" w:rsidRPr="00EC7EBC">
        <w:rPr>
          <w:noProof/>
        </w:rPr>
        <w:t>3</w:t>
      </w:r>
      <w:r w:rsidR="00EC7EBC" w:rsidRPr="00EC7EBC">
        <w:t>)</w:t>
      </w:r>
      <w:r w:rsidR="00CA7DA9">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4C16E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0F7D03">
        <w:t xml:space="preserve"> </w:t>
      </w:r>
      <w:r w:rsidR="005447DA">
        <w:t>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EC7EBC" w:rsidRPr="00EC7EBC">
              <w:rPr>
                <w:noProof/>
              </w:rPr>
              <w:t>6</w:t>
            </w:r>
            <w:r w:rsidR="00CA7DA9">
              <w:rPr>
                <w:noProof/>
              </w:rPr>
              <w:fldChar w:fldCharType="end"/>
            </w:r>
            <w:r>
              <w:t>)</w:t>
            </w:r>
          </w:p>
        </w:tc>
      </w:tr>
    </w:tbl>
    <w:p w:rsidR="005447DA" w:rsidRDefault="006A479B" w:rsidP="006A479B">
      <w:pPr>
        <w:rPr>
          <w:lang w:bidi="hi-IN"/>
        </w:rPr>
      </w:pPr>
      <w:bookmarkStart w:id="10"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4C16E5">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10"/>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CA7DA9">
        <w:fldChar w:fldCharType="begin"/>
      </w:r>
      <w:r w:rsidR="005447DA" w:rsidRPr="00EC7EBC">
        <w:instrText xml:space="preserve"> REF _Ref360530713 \h </w:instrText>
      </w:r>
      <w:r w:rsidR="00CA7DA9">
        <w:fldChar w:fldCharType="separate"/>
      </w:r>
      <w:r w:rsidR="00EC7EBC" w:rsidRPr="00EC7EBC">
        <w:t>(</w:t>
      </w:r>
      <w:r w:rsidR="00EC7EBC" w:rsidRPr="00EC7EBC">
        <w:rPr>
          <w:noProof/>
        </w:rPr>
        <w:t>3</w:t>
      </w:r>
      <w:r w:rsidR="00EC7EBC" w:rsidRPr="00EC7EBC">
        <w:t>)</w:t>
      </w:r>
      <w:r w:rsidR="00CA7DA9">
        <w:fldChar w:fldCharType="end"/>
      </w:r>
      <w:r w:rsidR="00CA7DA9">
        <w:fldChar w:fldCharType="begin"/>
      </w:r>
      <w:r>
        <w:instrText xml:space="preserve"> REF _Ref354129072 \h  \* MERGEFORMAT </w:instrText>
      </w:r>
      <w:r w:rsidR="00CA7DA9">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EC7EBC">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which is a weaker constraint than</w:t>
      </w:r>
      <w:r w:rsidR="00EC7EBC">
        <w:t xml:space="preserve"> </w:t>
      </w:r>
      <w:r w:rsidR="00CA7DA9">
        <w:fldChar w:fldCharType="begin"/>
      </w:r>
      <w:r w:rsidR="00EC7EBC">
        <w:instrText xml:space="preserve"> REF _Ref360717172 \h </w:instrText>
      </w:r>
      <w:r w:rsidR="00CA7DA9">
        <w:fldChar w:fldCharType="separate"/>
      </w:r>
      <w:r w:rsidR="00EC7EBC">
        <w:t>(</w:t>
      </w:r>
      <w:r w:rsidR="00EC7EBC" w:rsidRPr="00F25234">
        <w:rPr>
          <w:noProof/>
        </w:rPr>
        <w:t>2</w:t>
      </w:r>
      <w:r w:rsidR="00EC7EBC">
        <w:t>)</w:t>
      </w:r>
      <w:r w:rsidR="00CA7DA9">
        <w:fldChar w:fldCharType="end"/>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EC7EBC" w:rsidRPr="00EC7EBC">
              <w:rPr>
                <w:noProof/>
              </w:rPr>
              <w:t>7</w:t>
            </w:r>
            <w:r w:rsidR="00CA7DA9">
              <w:rPr>
                <w:noProof/>
              </w:rPr>
              <w:fldChar w:fldCharType="end"/>
            </w:r>
            <w:r>
              <w:t>)</w:t>
            </w:r>
          </w:p>
        </w:tc>
      </w:tr>
    </w:tbl>
    <w:p w:rsidR="00A96D14" w:rsidRDefault="00A96D14" w:rsidP="00A96D14">
      <w:pPr>
        <w:pStyle w:val="Heading2"/>
      </w:pPr>
      <w:r>
        <w:t>Wright-Fisher simulations</w:t>
      </w:r>
    </w:p>
    <w:p w:rsidR="00A96D14" w:rsidRDefault="00A96D14" w:rsidP="00A96D14">
      <w:r w:rsidRPr="00A96D14">
        <w:t xml:space="preserve">We </w:t>
      </w:r>
      <w:r>
        <w:t>use a Wright-Fisher model with selection, mutation a</w:t>
      </w:r>
      <w:r w:rsidRPr="00A96D14">
        <w:t xml:space="preserve">nd drift (Figure 1b). The simulation starts with a mutation-free population </w:t>
      </w:r>
      <w:r w:rsidRPr="00A96D14">
        <w:t>(</w:t>
      </w:r>
      <w:r w:rsidRPr="00A96D14">
        <w:rPr>
          <w:i/>
          <w:iCs/>
        </w:rPr>
        <w:t>f</w:t>
      </w:r>
      <w:r w:rsidRPr="00A96D14">
        <w:rPr>
          <w:i/>
          <w:iCs/>
          <w:vertAlign w:val="subscript"/>
        </w:rPr>
        <w:t>ab/0</w:t>
      </w:r>
      <w:r w:rsidRPr="00A96D14">
        <w:t>=1)</w:t>
      </w:r>
      <w:r w:rsidRPr="00A96D14">
        <w:t xml:space="preserve"> which is</w:t>
      </w:r>
      <w:r>
        <w:t xml:space="preserve"> allowed to </w:t>
      </w:r>
      <w:r w:rsidRPr="00A96D14">
        <w:t xml:space="preserve"> </w:t>
      </w:r>
      <w:r>
        <w:t xml:space="preserve">evolve to a MSB over the first 500 generations of the simulation (with </w:t>
      </w:r>
      <w:r>
        <w:rPr>
          <w:i/>
          <w:iCs/>
        </w:rPr>
        <w:t>s</w:t>
      </w:r>
      <w:r>
        <w:t xml:space="preserve">=0.01, 500 generations are enough to get the average number of deleterious mutations per individual to 99.3% of </w:t>
      </w:r>
      <w:proofErr w:type="spellStart"/>
      <w:r>
        <w:t>it's</w:t>
      </w:r>
      <w:proofErr w:type="spellEnd"/>
      <w:r>
        <w:t xml:space="preserve"> MSB value </w:t>
      </w:r>
      <w:r>
        <w:fldChar w:fldCharType="begin" w:fldLock="1"/>
      </w:r>
      <w:r w:rsidR="004C16E5">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CD4474">
      <w:pPr>
        <w:rPr>
          <w:lang w:bidi="hi-IN"/>
        </w:rPr>
      </w:pPr>
      <w:r>
        <w:t>After a MSB is established,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w:t>
      </w:r>
      <w:r w:rsidR="00CD4474" w:rsidRPr="00CD4474">
        <w:t>, respectively).</w:t>
      </w:r>
      <w:r w:rsidR="00CD4474">
        <w:t xml:space="preserve"> Therefore, each simulation provides one sample of the waiting time for the appearance of a double </w:t>
      </w:r>
      <w:r w:rsidR="00CD4474">
        <w:lastRenderedPageBreak/>
        <w:t xml:space="preserve">mutant and one sample for the probability of fixation of a double mutant. </w:t>
      </w:r>
      <w:r w:rsidR="00CD4474">
        <w:rPr>
          <w:highlight w:val="yellow"/>
        </w:rPr>
        <w:t>S</w:t>
      </w:r>
      <w:r>
        <w:rPr>
          <w:highlight w:val="yellow"/>
        </w:rPr>
        <w:t xml:space="preserve">ee </w:t>
      </w:r>
      <w:r w:rsidRPr="002F4E2F">
        <w:rPr>
          <w:highlight w:val="yellow"/>
        </w:rPr>
        <w:t xml:space="preserve">Supplementary File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072D95"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r w:rsidR="00CA7DA9">
              <w:fldChar w:fldCharType="begin"/>
            </w:r>
            <w:r w:rsidR="009850ED" w:rsidRPr="00C23983">
              <w:instrText xml:space="preserve"> SEQ Equation </w:instrText>
            </w:r>
            <w:r w:rsidR="00CA7DA9">
              <w:fldChar w:fldCharType="separate"/>
            </w:r>
            <w:r w:rsidR="00C23983">
              <w:rPr>
                <w:noProof/>
              </w:rPr>
              <w:t>7</w:t>
            </w:r>
            <w:r w:rsidR="00CA7DA9">
              <w:rPr>
                <w:noProof/>
              </w:rPr>
              <w:fldChar w:fldCharType="end"/>
            </w:r>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72D95"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72D95"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r w:rsidR="00CA7DA9">
              <w:fldChar w:fldCharType="begin"/>
            </w:r>
            <w:r w:rsidR="009850ED" w:rsidRPr="00C23983">
              <w:instrText xml:space="preserve"> SEQ Equation </w:instrText>
            </w:r>
            <w:r w:rsidR="00CA7DA9">
              <w:fldChar w:fldCharType="separate"/>
            </w:r>
            <w:r w:rsidR="00C23983" w:rsidRPr="00C23983">
              <w:rPr>
                <w:noProof/>
              </w:rPr>
              <w:t>9</w:t>
            </w:r>
            <w:r w:rsidR="00CA7DA9">
              <w:rPr>
                <w:noProof/>
              </w:rPr>
              <w:fldChar w:fldCharType="end"/>
            </w:r>
            <w:r>
              <w:t>)</w:t>
            </w:r>
            <w:bookmarkEnd w:id="12"/>
          </w:p>
        </w:tc>
      </w:tr>
    </w:tbl>
    <w:p w:rsidR="005A2F68" w:rsidRPr="005A2F68" w:rsidRDefault="004C16E5" w:rsidP="004C16E5">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r w:rsidR="00072D95" w:rsidRPr="004C16E5">
        <w:rPr>
          <w:highlight w:val="yellow"/>
        </w:rPr>
        <w:fldChar w:fldCharType="begin"/>
      </w:r>
      <w:r w:rsidR="00072D95" w:rsidRPr="004C16E5">
        <w:rPr>
          <w:highlight w:val="yellow"/>
        </w:rPr>
        <w:instrText xml:space="preserve"> REF _Ref360183592 \h  \* MERGEFORMAT </w:instrText>
      </w:r>
      <w:r w:rsidR="00072D95" w:rsidRPr="004C16E5">
        <w:rPr>
          <w:highlight w:val="yellow"/>
        </w:rPr>
      </w:r>
      <w:r w:rsidR="00072D95" w:rsidRPr="004C16E5">
        <w:rPr>
          <w:highlight w:val="yellow"/>
        </w:rPr>
        <w:fldChar w:fldCharType="separate"/>
      </w:r>
      <w:r w:rsidRPr="004C16E5">
        <w:rPr>
          <w:highlight w:val="yellow"/>
        </w:rPr>
        <w:t>Figure 2</w:t>
      </w:r>
      <w:r w:rsidR="00072D95" w:rsidRPr="004C16E5">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000DD9" w:rsidRPr="00000DD9">
        <w:t>Figure 3</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072D95">
        <w:fldChar w:fldCharType="begin"/>
      </w:r>
      <w:r w:rsidR="00072D95">
        <w:instrText xml:space="preserve"> REF _Ref360562760 \h  \* MERGEFORMAT </w:instrText>
      </w:r>
      <w:r w:rsidR="00072D95">
        <w:fldChar w:fldCharType="separate"/>
      </w:r>
      <w:r w:rsidR="006D5802" w:rsidRPr="00E1623D">
        <w:rPr>
          <w:highlight w:val="yellow"/>
        </w:rPr>
        <w:t>Figure S6</w:t>
      </w:r>
      <w:r w:rsidR="00072D95">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72B7E9A2" wp14:editId="148AE59D">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3"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C16E5">
        <w:rPr>
          <w:b/>
          <w:bCs/>
          <w:noProof/>
        </w:rPr>
        <w:t>2</w:t>
      </w:r>
      <w:r w:rsidR="00CA7DA9">
        <w:rPr>
          <w:b/>
          <w:bCs/>
        </w:rPr>
        <w:fldChar w:fldCharType="end"/>
      </w:r>
      <w:bookmarkEnd w:id="13"/>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4C16E5" w:rsidRDefault="004C16E5" w:rsidP="00042973">
      <w:pPr>
        <w:pStyle w:val="Heading2"/>
      </w:pPr>
      <w:r>
        <w:t>Mean fitness at the mutation-selection balance</w:t>
      </w:r>
    </w:p>
    <w:p w:rsidR="004C16E5" w:rsidRDefault="004C16E5" w:rsidP="00AE42B5">
      <w:pPr>
        <w:rPr>
          <w:lang w:bidi="hi-IN"/>
        </w:rPr>
      </w:pPr>
      <w:r>
        <w:rPr>
          <w:lang w:bidi="hi-IN"/>
        </w:rPr>
        <w:t xml:space="preserve">We adapted a previous model </w:t>
      </w:r>
      <w:r>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w:t>
      </w:r>
      <w:r w:rsidR="00AE42B5">
        <w:rPr>
          <w:lang w:bidi="hi-IN"/>
        </w:rPr>
        <w:t>the</w:t>
      </w:r>
      <w:r>
        <w:rPr>
          <w:lang w:bidi="hi-IN"/>
        </w:rPr>
        <w:t xml:space="preserve"> MSB of population with NM, CM and SIM (s</w:t>
      </w:r>
      <w:r w:rsidRPr="004C16E5">
        <w:rPr>
          <w:highlight w:val="yellow"/>
          <w:lang w:bidi="hi-IN"/>
        </w:rPr>
        <w:t>ee Supporting information for more details</w:t>
      </w:r>
      <w:r>
        <w:rPr>
          <w:lang w:bidi="hi-IN"/>
        </w:rPr>
        <w:t>).</w:t>
      </w:r>
    </w:p>
    <w:p w:rsidR="004C16E5" w:rsidRPr="006A479B" w:rsidRDefault="004C16E5" w:rsidP="004C16E5">
      <w:r>
        <w:t xml:space="preserve">Without beneficial </w:t>
      </w:r>
      <w:r w:rsidRPr="006A479B">
        <w:t>mutations (</w:t>
      </w:r>
      <w:r w:rsidRPr="006A479B">
        <w:rPr>
          <w:i/>
          <w:iCs/>
        </w:rPr>
        <w:t>β</w:t>
      </w:r>
      <w:r w:rsidRPr="006A479B">
        <w:t>=0)</w:t>
      </w:r>
      <w:r>
        <w:t xml:space="preserve"> and with constitutive mutagenesis (CM), </w:t>
      </w:r>
      <w:r w:rsidRPr="001033CA">
        <w:t>the</w:t>
      </w:r>
      <w:r>
        <w:t xml:space="preserve"> mean fitness equals </w:t>
      </w:r>
      <w:r w:rsidRPr="006A479B">
        <w:rPr>
          <w:i/>
          <w:iCs/>
        </w:rPr>
        <w:t>e</w:t>
      </w:r>
      <w:r w:rsidRPr="006A479B">
        <w:rPr>
          <w:i/>
          <w:iCs/>
          <w:vertAlign w:val="superscript"/>
        </w:rPr>
        <w:t>-</w:t>
      </w:r>
      <w:proofErr w:type="spellStart"/>
      <w:r w:rsidRPr="006A479B">
        <w:rPr>
          <w:rFonts w:ascii="Times New Roman" w:hAnsi="Times New Roman" w:cs="Times New Roman"/>
          <w:i/>
          <w:iCs/>
          <w:vertAlign w:val="superscript"/>
        </w:rPr>
        <w:t>τ</w:t>
      </w:r>
      <w:r w:rsidRPr="006A479B">
        <w:rPr>
          <w:i/>
          <w:iCs/>
          <w:vertAlign w:val="superscript"/>
        </w:rPr>
        <w:t>U</w:t>
      </w:r>
      <w:proofErr w:type="spellEnd"/>
      <w:r>
        <w:rPr>
          <w:vertAlign w:val="subscript"/>
        </w:rPr>
        <w:t xml:space="preserve"> </w:t>
      </w:r>
      <w:r>
        <w:fldChar w:fldCharType="begin" w:fldLock="1"/>
      </w:r>
      <w: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"previouslyFormattedCitation" : "(Kimura and Maruyama 1966)" }, "properties" : { "noteIndex" : 0 }, "schema" : "https://github.com/citation-style-language/schema/raw/master/csl-citation.json" }</w:instrText>
      </w:r>
      <w:r>
        <w:fldChar w:fldCharType="separate"/>
      </w:r>
      <w:r w:rsidRPr="00CD660F">
        <w:rPr>
          <w:noProof/>
        </w:rPr>
        <w:t>(Kimura and Maruyama 1966)</w:t>
      </w:r>
      <w:r>
        <w:fldChar w:fldCharType="end"/>
      </w:r>
      <w:r>
        <w:t xml:space="preserve">. Therefore, with CM the </w:t>
      </w:r>
      <w:proofErr w:type="gramStart"/>
      <w:r>
        <w:t>population mean</w:t>
      </w:r>
      <w:proofErr w:type="gramEnd"/>
      <w:r>
        <w:t xml:space="preserve"> fitness decays exponentially as a function of the mutation rate fold increase </w:t>
      </w:r>
      <w:r w:rsidRPr="00F35F7B">
        <w:rPr>
          <w:i/>
          <w:iCs/>
        </w:rPr>
        <w:t>τ</w:t>
      </w:r>
      <w:r>
        <w:t xml:space="preserve">. In contrast, stress-induced mutagenesis (SIM), as was numerically shown by </w:t>
      </w:r>
      <w:proofErr w:type="spellStart"/>
      <w:r>
        <w:t>Agrawal</w:t>
      </w:r>
      <w:proofErr w:type="spellEnd"/>
      <w:r>
        <w:t xml:space="preserve"> </w:t>
      </w:r>
      <w:r>
        <w:fldChar w:fldCharType="begin" w:fldLock="1"/>
      </w:r>
      <w: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CD660F">
        <w:rPr>
          <w:noProof/>
        </w:rPr>
        <w:t>(2002)</w:t>
      </w:r>
      <w:r>
        <w:fldChar w:fldCharType="end"/>
      </w:r>
      <w:r>
        <w:t>, does not change the population mean fitness with respect to normal mutagenesis (NM), because the least loaded individuals (</w:t>
      </w:r>
      <w:r>
        <w:rPr>
          <w:i/>
          <w:iCs/>
        </w:rPr>
        <w:t>x</w:t>
      </w:r>
      <w:r w:rsidRPr="00F35F7B">
        <w:t>=0</w:t>
      </w:r>
      <w:r>
        <w:t xml:space="preserve">), with fitness </w:t>
      </w:r>
      <w:r w:rsidRPr="00F35F7B">
        <w:rPr>
          <w:i/>
          <w:iCs/>
        </w:rPr>
        <w:t>ω</w:t>
      </w:r>
      <w:r w:rsidRPr="006A479B">
        <w:rPr>
          <w:vertAlign w:val="subscript"/>
        </w:rPr>
        <w:t>0</w:t>
      </w:r>
      <w:r w:rsidRPr="006A479B">
        <w:rPr>
          <w:rFonts w:ascii="Times New Roman" w:hAnsi="Times New Roman" w:cs="Times New Roman"/>
        </w:rPr>
        <w:t>=</w:t>
      </w:r>
      <w:r w:rsidRPr="006A479B">
        <w:t>1</w:t>
      </w:r>
      <w:r>
        <w:t xml:space="preserve">, also have the lowest mutation rate, </w:t>
      </w:r>
      <w:r>
        <w:rPr>
          <w:i/>
          <w:iCs/>
        </w:rPr>
        <w:t>U</w:t>
      </w:r>
      <w:r>
        <w:t xml:space="preserve">, and therefore the population mean fitness is </w:t>
      </w:r>
      <w:r w:rsidRPr="006A479B">
        <w:rPr>
          <w:i/>
          <w:iCs/>
        </w:rPr>
        <w:t>e</w:t>
      </w:r>
      <w:r w:rsidRPr="006A479B">
        <w:rPr>
          <w:i/>
          <w:iCs/>
          <w:vertAlign w:val="superscript"/>
        </w:rPr>
        <w:t>-U</w:t>
      </w:r>
      <w:r>
        <w:t>.</w:t>
      </w:r>
    </w:p>
    <w:p w:rsidR="004C16E5" w:rsidRPr="004C16E5" w:rsidRDefault="004C16E5" w:rsidP="004C16E5">
      <w:pPr>
        <w:rPr>
          <w:rFonts w:eastAsiaTheme="minorEastAsia"/>
        </w:rPr>
      </w:pPr>
      <w:r>
        <w:t>With beneficial mutations (</w:t>
      </w:r>
      <w:r w:rsidRPr="006A479B">
        <w:rPr>
          <w:i/>
          <w:iCs/>
        </w:rPr>
        <w:t>β</w:t>
      </w:r>
      <w:r>
        <w:t>&gt;</w:t>
      </w:r>
      <w:r w:rsidRPr="006A479B">
        <w:t>0</w:t>
      </w:r>
      <w:r>
        <w:t xml:space="preserve">), </w:t>
      </w:r>
      <w:r w:rsidRPr="006A479B">
        <w:rPr>
          <w:i/>
          <w:iCs/>
        </w:rPr>
        <w:t>e</w:t>
      </w:r>
      <w:r w:rsidRPr="006A479B">
        <w:rPr>
          <w:i/>
          <w:iCs/>
          <w:vertAlign w:val="superscript"/>
        </w:rPr>
        <w:t>-U</w:t>
      </w:r>
      <w:r>
        <w:t xml:space="preserve"> is still a good approximation (because </w:t>
      </w:r>
      <w:r w:rsidRPr="006A479B">
        <w:rPr>
          <w:i/>
          <w:iCs/>
        </w:rPr>
        <w:t>β</w:t>
      </w:r>
      <w:r w:rsidRPr="00CD660F">
        <w:t>&lt;&lt;1</w:t>
      </w:r>
      <w:r>
        <w:rPr>
          <w:rFonts w:ascii="Times New Roman" w:eastAsiaTheme="minorEastAsia" w:hAnsi="Times New Roman" w:cs="Times New Roman"/>
        </w:rPr>
        <w:t>)</w:t>
      </w:r>
      <w:r>
        <w:t xml:space="preserve">, but </w:t>
      </w:r>
      <w:r>
        <w:rPr>
          <w:rFonts w:eastAsiaTheme="minorEastAsia"/>
        </w:rPr>
        <w:t xml:space="preserve">as we have shown before </w:t>
      </w:r>
      <w:r>
        <w:rPr>
          <w:rFonts w:eastAsiaTheme="minorEastAsia"/>
        </w:rPr>
        <w:fldChar w:fldCharType="begin" w:fldLock="1"/>
      </w:r>
      <w:r>
        <w:rPr>
          <w:rFonts w:eastAsiaTheme="minorEastAsia"/>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rPr>
        <w:fldChar w:fldCharType="separate"/>
      </w:r>
      <w:r w:rsidRPr="00CD660F">
        <w:rPr>
          <w:rFonts w:eastAsiaTheme="minorEastAsia"/>
          <w:noProof/>
        </w:rPr>
        <w:t>(Ram and Hadany 2012)</w:t>
      </w:r>
      <w:r>
        <w:rPr>
          <w:rFonts w:eastAsiaTheme="minorEastAsia"/>
        </w:rPr>
        <w:fldChar w:fldCharType="end"/>
      </w:r>
      <w:r>
        <w:rPr>
          <w:rFonts w:eastAsiaTheme="minorEastAsia"/>
        </w:rPr>
        <w:t xml:space="preserve">, SIM can increase the population mean fitness with respect to NM - a sufficient condition is that the mutation rate of individuals with below average fitness is increased. </w:t>
      </w:r>
      <w:r>
        <w:rPr>
          <w:rFonts w:eastAsiaTheme="minorEastAsia"/>
        </w:rPr>
        <w:t>Since we assume that</w:t>
      </w:r>
      <w:r>
        <w:rPr>
          <w:rFonts w:eastAsiaTheme="minorEastAsia"/>
        </w:rPr>
        <w:t xml:space="preserve"> </w:t>
      </w:r>
      <w:r>
        <w:rPr>
          <w:rFonts w:eastAsiaTheme="minorEastAsia"/>
          <w:i/>
          <w:iCs/>
        </w:rPr>
        <w:t>U</w:t>
      </w:r>
      <w:r w:rsidRPr="004C16E5">
        <w:rPr>
          <w:rFonts w:eastAsiaTheme="minorEastAsia"/>
        </w:rPr>
        <w:t>&lt;</w:t>
      </w:r>
      <w:r>
        <w:rPr>
          <w:rFonts w:eastAsiaTheme="minorEastAsia"/>
          <w:i/>
          <w:iCs/>
        </w:rPr>
        <w:t>s</w:t>
      </w:r>
      <w:r w:rsidRPr="004C16E5">
        <w:rPr>
          <w:rFonts w:eastAsiaTheme="minorEastAsia"/>
        </w:rPr>
        <w:t>,</w:t>
      </w:r>
      <w:r>
        <w:rPr>
          <w:rFonts w:eastAsiaTheme="minorEastAsia"/>
          <w:i/>
          <w:iCs/>
        </w:rPr>
        <w:t xml:space="preserve"> </w:t>
      </w:r>
      <w:r>
        <w:rPr>
          <w:rFonts w:eastAsiaTheme="minorEastAsia"/>
        </w:rPr>
        <w:t xml:space="preserve">then </w:t>
      </w:r>
      <w:r w:rsidRPr="006A479B">
        <w:rPr>
          <w:i/>
          <w:iCs/>
        </w:rPr>
        <w:t>e</w:t>
      </w:r>
      <w:r w:rsidRPr="006A479B">
        <w:rPr>
          <w:i/>
          <w:iCs/>
          <w:vertAlign w:val="superscript"/>
        </w:rPr>
        <w:t>-U</w:t>
      </w:r>
      <w:r>
        <w:rPr>
          <w:rFonts w:ascii="Times New Roman" w:eastAsiaTheme="minorEastAsia" w:hAnsi="Times New Roman" w:cs="Times New Roman"/>
        </w:rPr>
        <w:t xml:space="preserve"> ≈ </w:t>
      </w:r>
      <w:r>
        <w:rPr>
          <w:rFonts w:eastAsiaTheme="minorEastAsia"/>
        </w:rPr>
        <w:t>1-</w:t>
      </w:r>
      <w:r w:rsidRPr="006A479B">
        <w:rPr>
          <w:rFonts w:eastAsiaTheme="minorEastAsia"/>
          <w:i/>
          <w:iCs/>
        </w:rPr>
        <w:t>U</w:t>
      </w:r>
      <w:r>
        <w:rPr>
          <w:rFonts w:eastAsiaTheme="minorEastAsia"/>
        </w:rPr>
        <w:t xml:space="preserve"> &gt; 1-</w:t>
      </w:r>
      <w:r w:rsidRPr="006A479B">
        <w:rPr>
          <w:rFonts w:eastAsiaTheme="minorEastAsia"/>
        </w:rPr>
        <w:t>s</w:t>
      </w:r>
      <w:r>
        <w:rPr>
          <w:rFonts w:eastAsiaTheme="minorEastAsia"/>
        </w:rPr>
        <w:t xml:space="preserve">. Therefore, if SIM increases the mutation rate in individuals with at least one deleterious mutation, then it increases the population </w:t>
      </w:r>
      <w:proofErr w:type="gramStart"/>
      <w:r>
        <w:rPr>
          <w:rFonts w:eastAsiaTheme="minorEastAsia"/>
        </w:rPr>
        <w:t>mean</w:t>
      </w:r>
      <w:proofErr w:type="gramEnd"/>
      <w:r>
        <w:rPr>
          <w:rFonts w:eastAsiaTheme="minorEastAsia"/>
        </w:rPr>
        <w:t xml:space="preserve"> fitness. We explore the magnitude of this increase in </w:t>
      </w:r>
      <w:r w:rsidRPr="004C16E5">
        <w:fldChar w:fldCharType="begin"/>
      </w:r>
      <w:r w:rsidRPr="004C16E5">
        <w:instrText xml:space="preserve"> REF _Ref360184146 \h  \* MERGEFORMAT </w:instrText>
      </w:r>
      <w:r w:rsidRPr="004C16E5">
        <w:fldChar w:fldCharType="separate"/>
      </w:r>
      <w:r w:rsidRPr="004C16E5">
        <w:t xml:space="preserve">Figure </w:t>
      </w:r>
      <w:r w:rsidRPr="004C16E5">
        <w:rPr>
          <w:noProof/>
        </w:rPr>
        <w:t>2</w:t>
      </w:r>
      <w:r w:rsidRPr="004C16E5">
        <w:fldChar w:fldCharType="end"/>
      </w:r>
      <w:r w:rsidRPr="004C16E5">
        <w:rPr>
          <w:rFonts w:eastAsiaTheme="minorEastAsia"/>
        </w:rPr>
        <w:t>.</w:t>
      </w:r>
    </w:p>
    <w:p w:rsidR="004C16E5" w:rsidRDefault="004C16E5" w:rsidP="004C16E5">
      <w:pPr>
        <w:pStyle w:val="FigureLegend"/>
        <w:rPr>
          <w:b/>
          <w:bCs/>
        </w:rPr>
      </w:pPr>
      <w:r>
        <w:rPr>
          <w:noProof/>
        </w:rPr>
        <w:lastRenderedPageBreak/>
        <w:drawing>
          <wp:inline distT="0" distB="0" distL="0" distR="0" wp14:anchorId="2F9771F5" wp14:editId="5FFB872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4"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Pr>
          <w:b/>
          <w:bCs/>
          <w:noProof/>
        </w:rPr>
        <w:t>3</w:t>
      </w:r>
      <w:r>
        <w:rPr>
          <w:b/>
          <w:bCs/>
        </w:rPr>
        <w:fldChar w:fldCharType="end"/>
      </w:r>
      <w:bookmarkEnd w:id="14"/>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Default="00042973" w:rsidP="00042973">
      <w:pPr>
        <w:pStyle w:val="Heading2"/>
      </w:pPr>
      <w:r>
        <w:t>The trade-off between a</w:t>
      </w:r>
      <w:r w:rsidR="00AC687F">
        <w:t>daptability and adaptedness</w:t>
      </w:r>
    </w:p>
    <w:p w:rsidR="00AC687F" w:rsidRPr="00B7610D" w:rsidRDefault="00072D95" w:rsidP="005821AF">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5821AF" w:rsidRPr="005821AF">
        <w:rPr>
          <w:lang w:bidi="hi-IN"/>
        </w:rPr>
        <w:fldChar w:fldCharType="begin"/>
      </w:r>
      <w:r w:rsidR="005821AF" w:rsidRPr="005821AF">
        <w:rPr>
          <w:lang w:bidi="hi-IN"/>
        </w:rPr>
        <w:instrText xml:space="preserve"> REF _Ref363979903 \h </w:instrText>
      </w:r>
      <w:r w:rsidR="005821AF" w:rsidRPr="005821AF">
        <w:rPr>
          <w:lang w:bidi="hi-IN"/>
        </w:rPr>
      </w:r>
      <w:r w:rsidR="005821AF" w:rsidRPr="005821AF">
        <w:rPr>
          <w:lang w:bidi="hi-IN"/>
        </w:rPr>
        <w:instrText xml:space="preserve"> \* MERGEFORMAT </w:instrText>
      </w:r>
      <w:r w:rsidR="005821AF" w:rsidRPr="005821AF">
        <w:rPr>
          <w:lang w:bidi="hi-IN"/>
        </w:rPr>
        <w:fldChar w:fldCharType="separate"/>
      </w:r>
      <w:r w:rsidR="005821AF" w:rsidRPr="005821AF">
        <w:t xml:space="preserve">Figure </w:t>
      </w:r>
      <w:r w:rsidR="005821AF" w:rsidRPr="005821AF">
        <w:rPr>
          <w:noProof/>
        </w:rPr>
        <w:t>3</w:t>
      </w:r>
      <w:r w:rsidR="005821AF" w:rsidRPr="005821AF">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lastRenderedPageBreak/>
        <w:drawing>
          <wp:inline distT="0" distB="0" distL="0" distR="0" wp14:anchorId="4F7C4053" wp14:editId="6CBC9E98">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A20806">
      <w:pPr>
        <w:pStyle w:val="FigureLegend"/>
        <w:rPr>
          <w:lang w:bidi="hi-IN"/>
        </w:rPr>
      </w:pPr>
      <w:bookmarkStart w:id="15"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4</w:t>
      </w:r>
      <w:r w:rsidR="00CA7DA9">
        <w:rPr>
          <w:b/>
          <w:bCs/>
        </w:rPr>
        <w:fldChar w:fldCharType="end"/>
      </w:r>
      <w:bookmarkEnd w:id="15"/>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95303A">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separate"/>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072D95"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CA7DA9">
              <w:fldChar w:fldCharType="begin"/>
            </w:r>
            <w:r w:rsidR="009850ED" w:rsidRPr="0095303A">
              <w:instrText xml:space="preserve"> SEQ Equation </w:instrText>
            </w:r>
            <w:r w:rsidR="00CA7DA9">
              <w:fldChar w:fldCharType="separate"/>
            </w:r>
            <w:r w:rsidR="0095303A" w:rsidRPr="0095303A">
              <w:rPr>
                <w:noProof/>
              </w:rPr>
              <w:t>11</w:t>
            </w:r>
            <w:r w:rsidR="00CA7DA9">
              <w:rPr>
                <w:noProof/>
              </w:rPr>
              <w:fldChar w:fldCharType="end"/>
            </w:r>
            <w:r>
              <w:t>)</w:t>
            </w:r>
            <w:bookmarkEnd w:id="16"/>
          </w:p>
        </w:tc>
      </w:tr>
    </w:tbl>
    <w:p w:rsidR="00290173" w:rsidRDefault="00290173" w:rsidP="0095303A">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072D95"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r w:rsidR="00CA7DA9">
              <w:fldChar w:fldCharType="begin"/>
            </w:r>
            <w:r w:rsidR="00C64915" w:rsidRPr="0095303A">
              <w:instrText xml:space="preserve"> SEQ Equation </w:instrText>
            </w:r>
            <w:r w:rsidR="00CA7DA9">
              <w:fldChar w:fldCharType="separate"/>
            </w:r>
            <w:r w:rsidR="0095303A">
              <w:rPr>
                <w:noProof/>
              </w:rPr>
              <w:t>12</w:t>
            </w:r>
            <w:r w:rsidR="00CA7DA9">
              <w:rPr>
                <w:noProof/>
              </w:rPr>
              <w:fldChar w:fldCharType="end"/>
            </w:r>
            <w:r>
              <w:t>)</w:t>
            </w:r>
            <w:bookmarkEnd w:id="17"/>
          </w:p>
        </w:tc>
      </w:tr>
    </w:tbl>
    <w:p w:rsidR="00B32510" w:rsidRDefault="00042973" w:rsidP="0095303A">
      <w:pPr>
        <w:rPr>
          <w:rFonts w:eastAsiaTheme="minorEastAsia"/>
          <w:lang w:bidi="hi-IN"/>
        </w:rPr>
      </w:pPr>
      <w:r>
        <w:lastRenderedPageBreak/>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4C16E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pure strategies of CM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94207C">
        <w:rPr>
          <w:highlight w:val="yellow"/>
          <w:lang w:bidi="hi-IN"/>
        </w:rPr>
        <w:t xml:space="preserve">– </w:t>
      </w:r>
      <w:r w:rsidR="00E16366">
        <w:rPr>
          <w:highlight w:val="yellow"/>
          <w:lang w:bidi="hi-IN"/>
        </w:rPr>
        <w:t xml:space="preserve">for example, </w:t>
      </w:r>
      <w:r w:rsidR="0094207C" w:rsidRPr="0094207C">
        <w:rPr>
          <w:highlight w:val="yellow"/>
          <w:lang w:bidi="hi-IN"/>
        </w:rPr>
        <w:t xml:space="preserve">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CA7DA9" w:rsidRPr="00587E54">
        <w:rPr>
          <w:highlight w:val="yellow"/>
          <w:lang w:bidi="hi-IN"/>
        </w:rPr>
        <w:fldChar w:fldCharType="begin" w:fldLock="1"/>
      </w:r>
      <w:r w:rsidR="004C16E5">
        <w:rPr>
          <w:highlight w:val="yellow"/>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587E54">
        <w:rPr>
          <w:highlight w:val="yellow"/>
          <w:lang w:bidi="hi-IN"/>
        </w:rPr>
        <w:fldChar w:fldCharType="separate"/>
      </w:r>
      <w:r w:rsidR="0007409B" w:rsidRPr="00CD660F">
        <w:rPr>
          <w:noProof/>
          <w:highlight w:val="yellow"/>
          <w:lang w:bidi="hi-IN"/>
        </w:rPr>
        <w:t>(Torres-Barceló et al. 2013)</w:t>
      </w:r>
      <w:r w:rsidR="00CA7DA9" w:rsidRPr="00587E54">
        <w:rPr>
          <w:highlight w:val="yellow"/>
          <w:lang w:bidi="hi-IN"/>
        </w:rPr>
        <w:fldChar w:fldCharType="end"/>
      </w:r>
      <w:r w:rsidR="00CE78D0"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4C16E5">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4C16E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4C16E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4C16E5">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CA7DA9">
        <w:rPr>
          <w:lang w:bidi="hi-IN"/>
        </w:rPr>
        <w:fldChar w:fldCharType="begin" w:fldLock="1"/>
      </w:r>
      <w:r w:rsidR="004C16E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4C16E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4C16E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4C16E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4C16E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 xml:space="preserve">(Moore and Tonsor 1994; Gavrilets 1996; Coyne et al. 2000; Whitlock and Phillips </w:t>
      </w:r>
      <w:r w:rsidR="00ED08B5" w:rsidRPr="00CD660F">
        <w:rPr>
          <w:noProof/>
          <w:lang w:bidi="hi-IN"/>
        </w:rPr>
        <w:lastRenderedPageBreak/>
        <w:t>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4C16E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514DED" w:rsidRPr="00514DED">
        <w:t>Figure 3</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1A6C18">
      <w:r>
        <w:t xml:space="preserve">Our work provides a formal theoretical basis to the conjecture that SIM facilitates adaptation and increases the evolvability of populations. The next step would be to experimentally </w:t>
      </w:r>
      <w:r w:rsidR="001A6C18">
        <w:t xml:space="preserve">test </w:t>
      </w:r>
      <w:r>
        <w:t xml:space="preserve">our results. This can be done, for example, with </w:t>
      </w:r>
      <w:r>
        <w:rPr>
          <w:i/>
          <w:iCs/>
        </w:rPr>
        <w:t>E. coli</w:t>
      </w:r>
      <w:r>
        <w:t xml:space="preserve">, in which one can interfere with the regulation of hypermutation by stress </w:t>
      </w:r>
      <w:r w:rsidR="00CA7DA9">
        <w:fldChar w:fldCharType="begin" w:fldLock="1"/>
      </w:r>
      <w:r w:rsidR="004C16E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sidR="00CA7DA9">
        <w:rPr>
          <w:lang w:bidi="hi-IN"/>
        </w:rPr>
        <w:fldChar w:fldCharType="begin" w:fldLock="1"/>
      </w:r>
      <w:r w:rsidR="004C16E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Pr>
          <w:lang w:bidi="hi-IN"/>
        </w:rPr>
        <w:t xml:space="preserve"> theoretical treatment of this </w:t>
      </w:r>
      <w:r w:rsidR="00575BB5">
        <w:rPr>
          <w:lang w:bidi="hi-IN"/>
        </w:rPr>
        <w:t>idea</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8" w:name="_Ref360530640"/>
      <w:bookmarkStart w:id="19" w:name="_Ref363980873"/>
      <w:r>
        <w:t xml:space="preserve">Appendix </w:t>
      </w:r>
      <w:bookmarkEnd w:id="18"/>
      <w:r w:rsidR="000F7D03">
        <w:t>1</w:t>
      </w:r>
      <w:bookmarkEnd w:id="19"/>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072D9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lastRenderedPageBreak/>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072D9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072D95"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20" w:name="_Ref360530760"/>
      <w:bookmarkStart w:id="21" w:name="_Ref363980888"/>
      <w:r>
        <w:t>Appendix</w:t>
      </w:r>
      <w:bookmarkEnd w:id="20"/>
      <w:r w:rsidR="000F7D03">
        <w:t xml:space="preserve"> 2</w:t>
      </w:r>
      <w:bookmarkEnd w:id="21"/>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4C16E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22"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3" w:name="_Ref363980903"/>
      <w:r>
        <w:t xml:space="preserve">Appendix </w:t>
      </w:r>
      <w:bookmarkEnd w:id="22"/>
      <w:r w:rsidR="000F7D03">
        <w:t>3</w:t>
      </w:r>
      <w:bookmarkEnd w:id="23"/>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4C16E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72D95"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72D95"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30F8017D" wp14:editId="355DD9AC">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4"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4"/>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6C747D57" wp14:editId="4BF954FC">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5"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5"/>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072D95"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072D95"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∙P(y-x be</m:t>
                </m:r>
                <m:r>
                  <w:rPr>
                    <w:rFonts w:ascii="Cambria Math" w:hAnsi="Cambria Math"/>
                    <w:lang w:bidi="hi-IN"/>
                  </w:rPr>
                  <m:t xml:space="preserv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5821A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5821A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5821A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5821A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5821AF" w:rsidRPr="00FC3218" w:rsidRDefault="005821AF" w:rsidP="005821AF">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A2A4B" w:rsidRPr="00E01613" w:rsidRDefault="005821AF" w:rsidP="00E01613">
      <w:pPr>
        <w:rPr>
          <w:rFonts w:eastAsiaTheme="minorEastAsia"/>
          <w:i/>
          <w:iCs/>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w:t>
      </w:r>
      <w:r w:rsidR="00BF06EE">
        <w:rPr>
          <w:rFonts w:eastAsiaTheme="minorEastAsia"/>
          <w:lang w:bidi="hi-IN"/>
        </w:rPr>
        <w:lastRenderedPageBreak/>
        <w:t xml:space="preserve">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p>
    <w:sectPr w:rsidR="009A2A4B" w:rsidRPr="00E01613"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hadany" w:date="2013-08-04T15:45:00Z" w:initials="lh">
    <w:p w:rsidR="00072D95" w:rsidRDefault="00072D95">
      <w:pPr>
        <w:pStyle w:val="CommentText"/>
      </w:pPr>
      <w:r>
        <w:rPr>
          <w:rStyle w:val="CommentReference"/>
        </w:rPr>
        <w:annotationRef/>
      </w:r>
      <w:proofErr w:type="gramStart"/>
      <w:r>
        <w:t>not</w:t>
      </w:r>
      <w:proofErr w:type="gramEnd"/>
      <w:r>
        <w:t xml:space="preserve"> clear what is left to 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AA1" w:rsidRDefault="00574AA1" w:rsidP="009A122D">
      <w:pPr>
        <w:spacing w:after="0" w:line="240" w:lineRule="auto"/>
      </w:pPr>
      <w:r>
        <w:separator/>
      </w:r>
    </w:p>
  </w:endnote>
  <w:endnote w:type="continuationSeparator" w:id="0">
    <w:p w:rsidR="00574AA1" w:rsidRDefault="00574AA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71B1D12-BF9E-4AE8-97D9-691B038B3C36}"/>
    <w:embedBold r:id="rId2" w:fontKey="{89545884-917F-4603-A2FF-3C7C7828554C}"/>
    <w:embedItalic r:id="rId3" w:fontKey="{250EBEDA-97A0-48CB-9FC0-2CD5055D17F7}"/>
    <w:embedBoldItalic r:id="rId4" w:fontKey="{E673DD03-0314-403D-BD48-D2563D0E10BC}"/>
  </w:font>
  <w:font w:name="Tahoma">
    <w:panose1 w:val="020B0604030504040204"/>
    <w:charset w:val="00"/>
    <w:family w:val="swiss"/>
    <w:pitch w:val="variable"/>
    <w:sig w:usb0="E1002EFF" w:usb1="C000605B" w:usb2="00000029" w:usb3="00000000" w:csb0="000101FF" w:csb1="00000000"/>
    <w:embedRegular r:id="rId5" w:fontKey="{2BF81453-4DAD-4067-AF56-20B7CAE0D179}"/>
  </w:font>
  <w:font w:name="cmr10">
    <w:panose1 w:val="020B0500000000000000"/>
    <w:charset w:val="00"/>
    <w:family w:val="swiss"/>
    <w:pitch w:val="variable"/>
    <w:sig w:usb0="00000003" w:usb1="00000000" w:usb2="00000000" w:usb3="00000000" w:csb0="00000001" w:csb1="00000000"/>
    <w:embedRegular r:id="rId6" w:fontKey="{B4A8D54E-56BE-40B9-A02F-6E8F47E16BC5}"/>
  </w:font>
  <w:font w:name="Cambria Math">
    <w:panose1 w:val="02040503050406030204"/>
    <w:charset w:val="00"/>
    <w:family w:val="roman"/>
    <w:pitch w:val="variable"/>
    <w:sig w:usb0="E00002FF" w:usb1="420024FF" w:usb2="00000000" w:usb3="00000000" w:csb0="0000019F" w:csb1="00000000"/>
    <w:embedRegular r:id="rId7" w:fontKey="{FD329EB5-22B8-447D-8365-6CBF4FD63C49}"/>
    <w:embedItalic r:id="rId8" w:fontKey="{F50A6411-0A00-4075-9BEA-6D67E1958E6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072D95" w:rsidRDefault="00072D95">
        <w:pPr>
          <w:pStyle w:val="Footer"/>
          <w:jc w:val="center"/>
        </w:pPr>
        <w:r>
          <w:fldChar w:fldCharType="begin"/>
        </w:r>
        <w:r>
          <w:instrText xml:space="preserve"> PAGE   \* MERGEFORMAT </w:instrText>
        </w:r>
        <w:r>
          <w:fldChar w:fldCharType="separate"/>
        </w:r>
        <w:r w:rsidR="00031C58">
          <w:rPr>
            <w:noProof/>
          </w:rPr>
          <w:t>5</w:t>
        </w:r>
        <w:r>
          <w:rPr>
            <w:noProof/>
          </w:rPr>
          <w:fldChar w:fldCharType="end"/>
        </w:r>
      </w:p>
    </w:sdtContent>
  </w:sdt>
  <w:p w:rsidR="00072D95" w:rsidRDefault="00072D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AA1" w:rsidRDefault="00574AA1" w:rsidP="009A122D">
      <w:pPr>
        <w:spacing w:after="0" w:line="240" w:lineRule="auto"/>
      </w:pPr>
      <w:r>
        <w:separator/>
      </w:r>
    </w:p>
  </w:footnote>
  <w:footnote w:type="continuationSeparator" w:id="0">
    <w:p w:rsidR="00574AA1" w:rsidRDefault="00574AA1"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50D"/>
    <w:rsid w:val="00004B35"/>
    <w:rsid w:val="000056D9"/>
    <w:rsid w:val="00010EC0"/>
    <w:rsid w:val="000134C9"/>
    <w:rsid w:val="00022B9D"/>
    <w:rsid w:val="000265F8"/>
    <w:rsid w:val="0002786D"/>
    <w:rsid w:val="00030BE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3D4A"/>
    <w:rsid w:val="00232C71"/>
    <w:rsid w:val="00241A70"/>
    <w:rsid w:val="00245A8B"/>
    <w:rsid w:val="002630C5"/>
    <w:rsid w:val="00275A3C"/>
    <w:rsid w:val="00290173"/>
    <w:rsid w:val="0029078B"/>
    <w:rsid w:val="00295B91"/>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D42F5"/>
    <w:rsid w:val="003D4900"/>
    <w:rsid w:val="003F5091"/>
    <w:rsid w:val="00401E4A"/>
    <w:rsid w:val="00412A85"/>
    <w:rsid w:val="0043685D"/>
    <w:rsid w:val="00446BDA"/>
    <w:rsid w:val="00453133"/>
    <w:rsid w:val="0046652F"/>
    <w:rsid w:val="004747BD"/>
    <w:rsid w:val="00477861"/>
    <w:rsid w:val="00483E00"/>
    <w:rsid w:val="00485B00"/>
    <w:rsid w:val="004A2989"/>
    <w:rsid w:val="004B1858"/>
    <w:rsid w:val="004B5CB1"/>
    <w:rsid w:val="004C16E5"/>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4AA1"/>
    <w:rsid w:val="00575BB5"/>
    <w:rsid w:val="005816EE"/>
    <w:rsid w:val="005821AF"/>
    <w:rsid w:val="00587E54"/>
    <w:rsid w:val="005A2F68"/>
    <w:rsid w:val="005E0580"/>
    <w:rsid w:val="005E3A59"/>
    <w:rsid w:val="005E7700"/>
    <w:rsid w:val="005F1227"/>
    <w:rsid w:val="005F1B6B"/>
    <w:rsid w:val="005F620D"/>
    <w:rsid w:val="005F6245"/>
    <w:rsid w:val="00607B56"/>
    <w:rsid w:val="00625517"/>
    <w:rsid w:val="00630B3C"/>
    <w:rsid w:val="00633ED1"/>
    <w:rsid w:val="00651511"/>
    <w:rsid w:val="00652D72"/>
    <w:rsid w:val="00665310"/>
    <w:rsid w:val="006733DF"/>
    <w:rsid w:val="00683120"/>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17B34"/>
    <w:rsid w:val="00824294"/>
    <w:rsid w:val="0082586B"/>
    <w:rsid w:val="0085140E"/>
    <w:rsid w:val="008752E9"/>
    <w:rsid w:val="008851DB"/>
    <w:rsid w:val="00890BB3"/>
    <w:rsid w:val="008A0C66"/>
    <w:rsid w:val="008A5282"/>
    <w:rsid w:val="008E7880"/>
    <w:rsid w:val="008F5983"/>
    <w:rsid w:val="009040D1"/>
    <w:rsid w:val="009207F0"/>
    <w:rsid w:val="00925154"/>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699D"/>
    <w:rsid w:val="009E654C"/>
    <w:rsid w:val="00A00B27"/>
    <w:rsid w:val="00A03104"/>
    <w:rsid w:val="00A14950"/>
    <w:rsid w:val="00A20806"/>
    <w:rsid w:val="00A307DC"/>
    <w:rsid w:val="00A30A19"/>
    <w:rsid w:val="00A35270"/>
    <w:rsid w:val="00A575D7"/>
    <w:rsid w:val="00A70358"/>
    <w:rsid w:val="00A725E6"/>
    <w:rsid w:val="00A81E09"/>
    <w:rsid w:val="00A9277F"/>
    <w:rsid w:val="00A95F28"/>
    <w:rsid w:val="00A96D14"/>
    <w:rsid w:val="00AB0448"/>
    <w:rsid w:val="00AC498F"/>
    <w:rsid w:val="00AC687F"/>
    <w:rsid w:val="00AD2B33"/>
    <w:rsid w:val="00AD32AA"/>
    <w:rsid w:val="00AE0B1E"/>
    <w:rsid w:val="00AE42B5"/>
    <w:rsid w:val="00B04D05"/>
    <w:rsid w:val="00B10C13"/>
    <w:rsid w:val="00B17DB4"/>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C359F"/>
    <w:rsid w:val="00BF06EE"/>
    <w:rsid w:val="00BF2DDC"/>
    <w:rsid w:val="00BF336A"/>
    <w:rsid w:val="00C11B88"/>
    <w:rsid w:val="00C2360B"/>
    <w:rsid w:val="00C23983"/>
    <w:rsid w:val="00C35E46"/>
    <w:rsid w:val="00C36DFD"/>
    <w:rsid w:val="00C40CB3"/>
    <w:rsid w:val="00C47221"/>
    <w:rsid w:val="00C555BC"/>
    <w:rsid w:val="00C64915"/>
    <w:rsid w:val="00C87978"/>
    <w:rsid w:val="00C96FC9"/>
    <w:rsid w:val="00CA7DA9"/>
    <w:rsid w:val="00CB0741"/>
    <w:rsid w:val="00CB2260"/>
    <w:rsid w:val="00CB2F61"/>
    <w:rsid w:val="00CD0FB7"/>
    <w:rsid w:val="00CD4474"/>
    <w:rsid w:val="00CD660F"/>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01613"/>
    <w:rsid w:val="00E1623D"/>
    <w:rsid w:val="00E16366"/>
    <w:rsid w:val="00E2745E"/>
    <w:rsid w:val="00E41B1B"/>
    <w:rsid w:val="00E4303E"/>
    <w:rsid w:val="00E466DE"/>
    <w:rsid w:val="00E5128F"/>
    <w:rsid w:val="00E52511"/>
    <w:rsid w:val="00E627A2"/>
    <w:rsid w:val="00E7243B"/>
    <w:rsid w:val="00E83AB1"/>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25234"/>
    <w:rsid w:val="00F27D77"/>
    <w:rsid w:val="00F35F7B"/>
    <w:rsid w:val="00F37542"/>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C62"/>
    <w:rsid w:val="00587635"/>
    <w:rsid w:val="00C56C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6C6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6C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8FB99-E922-463B-A947-7E8E399FB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17</Pages>
  <Words>28614</Words>
  <Characters>143075</Characters>
  <Application>Microsoft Office Word</Application>
  <DocSecurity>0</DocSecurity>
  <Lines>1192</Lines>
  <Paragraphs>342</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171347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11</cp:revision>
  <dcterms:created xsi:type="dcterms:W3CDTF">2013-08-01T15:03:00Z</dcterms:created>
  <dcterms:modified xsi:type="dcterms:W3CDTF">2013-08-11T07:47:00Z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