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4797">
        <w:rPr>
          <w:noProof/>
          <w:lang w:bidi="hi-IN"/>
        </w:rPr>
        <w:t>July 16,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bookmarkStart w:id="0" w:name="_Ref361735010"/>
      <w:r>
        <w:rPr>
          <w:lang w:bidi="hi-IN"/>
        </w:rPr>
        <w:t>Model</w:t>
      </w:r>
      <w:bookmarkEnd w:id="0"/>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B17DB4"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B17DB4"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6BE04673" wp14:editId="15FB9946">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2" w:name="_Ref360717172"/>
            <w:r>
              <w:t>(</w:t>
            </w:r>
            <w:fldSimple w:instr=" SEQ Equation ">
              <w:r>
                <w:rPr>
                  <w:noProof/>
                </w:rPr>
                <w:t>1</w:t>
              </w:r>
            </w:fldSimple>
            <w:r>
              <w:t>)</w:t>
            </w:r>
            <w:bookmarkEnd w:id="2"/>
          </w:p>
        </w:tc>
      </w:tr>
    </w:tbl>
    <w:p w:rsidR="00232C71" w:rsidRPr="00F03785" w:rsidRDefault="000D56CE" w:rsidP="00A81E09">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r w:rsidR="00E1623D">
        <w:t xml:space="preserve"> Our analytic model treats each of these steps separately – see below. </w:t>
      </w:r>
      <w:r w:rsidR="00E1623D" w:rsidRPr="00824294">
        <w:rPr>
          <w:highlight w:val="yellow"/>
        </w:rPr>
        <w:t xml:space="preserve">In the simulation model we wait 500 generations to establish </w:t>
      </w:r>
      <w:r w:rsidR="00E1623D">
        <w:rPr>
          <w:highlight w:val="yellow"/>
        </w:rPr>
        <w:t xml:space="preserve">a </w:t>
      </w:r>
      <w:r w:rsidR="00E1623D" w:rsidRPr="00824294">
        <w:rPr>
          <w:highlight w:val="yellow"/>
        </w:rPr>
        <w:t xml:space="preserve">MSB and then change the fitness of </w:t>
      </w:r>
      <w:r w:rsidR="00E1623D" w:rsidRPr="00824294">
        <w:rPr>
          <w:i/>
          <w:iCs/>
          <w:highlight w:val="yellow"/>
        </w:rPr>
        <w:t>AB</w:t>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proofErr w:type="gramStart"/>
      <w:r w:rsidR="00E1623D" w:rsidRPr="00824294">
        <w:rPr>
          <w:i/>
          <w:iCs/>
          <w:highlight w:val="yellow"/>
        </w:rPr>
        <w:t>f(</w:t>
      </w:r>
      <w:proofErr w:type="gramEnd"/>
      <w:r w:rsidR="00E1623D" w:rsidRPr="00824294">
        <w:rPr>
          <w:i/>
          <w:iCs/>
          <w:highlight w:val="yellow"/>
        </w:rPr>
        <w:t>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3" w:name="_Ref358791100"/>
      <w:r>
        <w:t xml:space="preserve">Table </w:t>
      </w:r>
      <w:r w:rsidR="00B17DB4">
        <w:fldChar w:fldCharType="begin"/>
      </w:r>
      <w:r w:rsidR="00B17DB4" w:rsidRPr="00E1623D">
        <w:instrText xml:space="preserve"> SEQ Table \* ARABIC </w:instrText>
      </w:r>
      <w:r w:rsidR="00B17DB4">
        <w:fldChar w:fldCharType="separate"/>
      </w:r>
      <w:r>
        <w:rPr>
          <w:noProof/>
        </w:rPr>
        <w:t>1</w:t>
      </w:r>
      <w:r w:rsidR="00B17DB4">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B17DB4"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4" w:name="_Ref360530713"/>
            <w:r>
              <w:t>(</w:t>
            </w:r>
            <w:fldSimple w:instr=" SEQ Equation ">
              <w:r>
                <w:rPr>
                  <w:noProof/>
                </w:rPr>
                <w:t>2</w:t>
              </w:r>
            </w:fldSimple>
            <w:r>
              <w:t>)</w:t>
            </w:r>
            <w:bookmarkEnd w:id="4"/>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lastRenderedPageBreak/>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4"/>
            <w:r>
              <w:t>(</w:t>
            </w:r>
            <w:fldSimple w:instr=" SEQ Equation ">
              <w:r>
                <w:rPr>
                  <w:noProof/>
                </w:rPr>
                <w:t>3</w:t>
              </w:r>
            </w:fldSimple>
            <w:r>
              <w:t>)</w:t>
            </w:r>
            <w:bookmarkEnd w:id="5"/>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17DB4"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6"/>
            <w:r>
              <w:t>(</w:t>
            </w:r>
            <w:fldSimple w:instr=" SEQ Equation ">
              <w:r>
                <w:rPr>
                  <w:noProof/>
                </w:rPr>
                <w:t>4</w:t>
              </w:r>
            </w:fldSimple>
            <w:r>
              <w:t>)</w:t>
            </w:r>
            <w:bookmarkEnd w:id="6"/>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7" w:name="_Ref354319797"/>
      <w:r>
        <w:t xml:space="preserve">Fixation probability with stress-induced </w:t>
      </w:r>
      <w:bookmarkEnd w:id="7"/>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6A479B" w:rsidP="006A479B">
      <w:pPr>
        <w:rPr>
          <w:lang w:bidi="hi-IN"/>
        </w:rPr>
      </w:pPr>
      <w:bookmarkStart w:id="8"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8"/>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6</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9" w:name="_Ref359745744"/>
      <w:r>
        <w:t>Mutation-selection balance</w:t>
      </w:r>
      <w:bookmarkEnd w:id="9"/>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10" w:name="_Ref360184146"/>
      <w:r>
        <w:rPr>
          <w:noProof/>
        </w:rPr>
        <w:drawing>
          <wp:inline distT="0" distB="0" distL="0" distR="0" wp14:anchorId="7033D0B1" wp14:editId="0EDA1455">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0"/>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xml:space="preserve">: if two or more mutations are required for adaptation, but each mutation is deleterious on </w:t>
      </w:r>
      <w:r>
        <w:rPr>
          <w:lang w:bidi="hi-IN"/>
        </w:rPr>
        <w:lastRenderedPageBreak/>
        <w:t>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17DB4"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17DB4"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17DB4"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3"/>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E1623D">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sidR="00E1623D">
        <w:rPr>
          <w:rFonts w:eastAsiaTheme="minorEastAsia"/>
          <w:lang w:bidi="hi-IN"/>
        </w:rPr>
        <w:t xml:space="preserve"> – that hypermutation is weaker than selection</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6D5802">
        <w:rPr>
          <w:lang w:bidi="hi-IN"/>
        </w:rPr>
        <w:instrText xml:space="preserve"> REF _Ref358791100 \h </w:instrText>
      </w:r>
      <w:r w:rsidR="006D5802">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6D5802">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 approximations and simulations results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w:t>
      </w:r>
      <w:bookmarkStart w:id="14" w:name="_GoBack"/>
      <w:bookmarkEnd w:id="14"/>
      <w:r w:rsidR="006D5802">
        <w:rPr>
          <w:lang w:bidi="hi-IN"/>
        </w:rPr>
        <w:t>uals</w:t>
      </w:r>
      <w:proofErr w:type="gramEnd"/>
      <w:r w:rsidR="006D5802">
        <w:rPr>
          <w:lang w:bidi="hi-IN"/>
        </w:rPr>
        <w:t xml:space="preserve"> with deleterious mutations cannot contribute to adaptation. </w:t>
      </w:r>
      <w:r w:rsidR="00E1623D" w:rsidRPr="00E1623D">
        <w:rPr>
          <w:highlight w:val="yellow"/>
          <w:lang w:bidi="hi-IN"/>
        </w:rPr>
        <w:t>T</w:t>
      </w:r>
      <w:r w:rsidR="006D5802" w:rsidRPr="00E1623D">
        <w:rPr>
          <w:highlight w:val="yellow"/>
          <w:lang w:bidi="hi-IN"/>
        </w:rPr>
        <w:t>he adaptation rate in the simulations is</w:t>
      </w:r>
      <w:r w:rsidR="006D5802" w:rsidRPr="00E1623D">
        <w:rPr>
          <w:highlight w:val="yellow"/>
        </w:rPr>
        <w:t xml:space="preserve"> slightly lower </w:t>
      </w:r>
      <w:r w:rsidR="00E1623D" w:rsidRPr="00E1623D">
        <w:rPr>
          <w:highlight w:val="yellow"/>
        </w:rPr>
        <w:t xml:space="preserve">than in the analytic approximations 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6D5802" w:rsidRPr="00E1623D">
        <w:rPr>
          <w:highlight w:val="yellow"/>
        </w:rPr>
        <w:fldChar w:fldCharType="begin"/>
      </w:r>
      <w:r w:rsidR="006D5802" w:rsidRPr="006733DF">
        <w:rPr>
          <w:highlight w:val="yellow"/>
        </w:rPr>
        <w:instrText xml:space="preserve"> REF _Ref360562760 \h  \* MERGEFORMAT </w:instrText>
      </w:r>
      <w:r w:rsidR="006D5802" w:rsidRPr="006733DF">
        <w:rPr>
          <w:highlight w:val="yellow"/>
        </w:rPr>
      </w:r>
      <w:r w:rsidR="006D5802" w:rsidRPr="00E1623D">
        <w:rPr>
          <w:highlight w:val="yellow"/>
        </w:rPr>
        <w:fldChar w:fldCharType="separate"/>
      </w:r>
      <w:r w:rsidR="006D5802" w:rsidRPr="00E1623D">
        <w:rPr>
          <w:highlight w:val="yellow"/>
        </w:rPr>
        <w:t>Figure S6</w:t>
      </w:r>
      <w:r w:rsidR="006D5802" w:rsidRPr="00E1623D">
        <w:rPr>
          <w:highlight w:val="yellow"/>
        </w:rPr>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092B79">
      <w:pPr>
        <w:pStyle w:val="FigureLegend"/>
      </w:pPr>
      <w:bookmarkStart w:id="15"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5"/>
      <w:r w:rsidRPr="00C11B88">
        <w:rPr>
          <w:b/>
          <w:bCs/>
        </w:rPr>
        <w:t xml:space="preserve"> – </w:t>
      </w:r>
      <w:r>
        <w:rPr>
          <w:b/>
          <w:bCs/>
        </w:rPr>
        <w:t>C</w:t>
      </w:r>
      <w:r w:rsidRPr="00C11B88">
        <w:rPr>
          <w:b/>
          <w:bCs/>
        </w:rPr>
        <w:t>omplex adaptation with three mutational strategies.</w:t>
      </w:r>
      <w:r>
        <w:t xml:space="preserve"> The figure shows the adaptation </w:t>
      </w:r>
      <w:r w:rsidR="004C392E">
        <w:t xml:space="preserve">rate </w:t>
      </w:r>
      <w:r w:rsidRPr="00C11B88">
        <w:rPr>
          <w:i/>
          <w:iCs/>
        </w:rPr>
        <w:t>ν</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BF336A">
        <w:t xml:space="preserve"> </w:t>
      </w:r>
      <w:r w:rsidR="00812DB3">
        <w:t>T</w:t>
      </w:r>
      <w:r w:rsidR="00BF336A">
        <w:t xml:space="preserve">he adaptation </w:t>
      </w:r>
      <w:r w:rsidR="00812DB3">
        <w:t xml:space="preserve">rate </w:t>
      </w:r>
      <w:r w:rsidR="00BF336A">
        <w:t xml:space="preserve">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rsidRPr="00C23983">
        <w:instrText xml:space="preserve"> REF _Ref360526048 \h </w:instrText>
      </w:r>
      <w:r w:rsidR="00BF336A">
        <w:fldChar w:fldCharType="separate"/>
      </w:r>
      <w:r w:rsidR="00C23983" w:rsidRPr="00C23983">
        <w:rPr>
          <w:noProof/>
        </w:rPr>
        <w:t>9</w:t>
      </w:r>
      <w:r w:rsidR="00C23983" w:rsidRPr="00C23983">
        <w:t>-</w:t>
      </w:r>
      <w:r w:rsidR="00BF336A">
        <w:fldChar w:fldCharType="end"/>
      </w:r>
      <w:r w:rsidR="00BF336A">
        <w:fldChar w:fldCharType="begin"/>
      </w:r>
      <w:r w:rsidR="00BF336A" w:rsidRPr="00C23983">
        <w:instrText xml:space="preserve"> REF _Ref360621538 \h </w:instrText>
      </w:r>
      <w:r w:rsidR="00BF336A">
        <w:fldChar w:fldCharType="separate"/>
      </w:r>
      <w:r w:rsidR="00C23983" w:rsidRPr="00C23983">
        <w:rPr>
          <w:noProof/>
        </w:rPr>
        <w:t>10</w:t>
      </w:r>
      <w:r w:rsidR="00BF336A">
        <w:fldChar w:fldCharType="end"/>
      </w:r>
      <w:r w:rsidR="00BF336A">
        <w:t>).</w:t>
      </w:r>
      <w:r w:rsidR="00E83AB1">
        <w:t xml:space="preserve"> </w:t>
      </w:r>
      <w:r w:rsidR="00E4303E">
        <w:t xml:space="preserve">Parameters (see </w:t>
      </w:r>
      <w:r w:rsidR="00E4303E">
        <w:fldChar w:fldCharType="begin"/>
      </w:r>
      <w:r w:rsidR="00E4303E" w:rsidRPr="006733DF">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3AB25E3D" wp14:editId="67D62F50">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EF797F">
      <w:pPr>
        <w:pStyle w:val="FigureLegend"/>
        <w:rPr>
          <w:lang w:bidi="hi-IN"/>
        </w:rPr>
      </w:pPr>
      <w:bookmarkStart w:id="16"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6"/>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17DB4"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7" w:name="_Ref36062153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10</w:t>
            </w:r>
            <w:r w:rsidR="009850ED">
              <w:rPr>
                <w:noProof/>
              </w:rPr>
              <w:fldChar w:fldCharType="end"/>
            </w:r>
            <w:r>
              <w:t>)</w:t>
            </w:r>
            <w:bookmarkEnd w:id="17"/>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17DB4"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290173">
              <w:rPr>
                <w:rFonts w:eastAsiaTheme="minorEastAsia"/>
                <w:lang w:bidi="hi-IN"/>
              </w:rPr>
              <w:t>,</w:t>
            </w:r>
          </w:p>
        </w:tc>
        <w:tc>
          <w:tcPr>
            <w:tcW w:w="500" w:type="pct"/>
            <w:tcBorders>
              <w:top w:val="nil"/>
              <w:left w:val="nil"/>
              <w:bottom w:val="nil"/>
              <w:right w:val="nil"/>
            </w:tcBorders>
          </w:tcPr>
          <w:p w:rsidR="00290173" w:rsidRDefault="00290173" w:rsidP="001C5D6C">
            <w:bookmarkStart w:id="18" w:name="_Ref361310097"/>
            <w:r>
              <w:t>(</w:t>
            </w:r>
            <w:fldSimple w:instr=" SEQ Equation ">
              <w:r w:rsidR="00FA72C5">
                <w:rPr>
                  <w:noProof/>
                </w:rPr>
                <w:t>11</w:t>
              </w:r>
            </w:fldSimple>
            <w:r>
              <w:t>)</w:t>
            </w:r>
            <w:bookmarkEnd w:id="18"/>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w:t>
      </w:r>
      <w:r w:rsidR="00042973">
        <w:lastRenderedPageBreak/>
        <w:t xml:space="preserve">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 xml:space="preserve">(Moore and Tonsor 1994; Gavrilets 1996; Coyne et al. 2000; Whitlock and Phillips </w:t>
      </w:r>
      <w:r w:rsidR="00ED08B5" w:rsidRPr="00ED08B5">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9" w:name="_Ref360528371"/>
      <w:bookmarkStart w:id="20" w:name="_Ref360527938"/>
      <w:r>
        <w:t>Appendix 1</w:t>
      </w:r>
      <w:bookmarkEnd w:id="19"/>
    </w:p>
    <w:bookmarkEnd w:id="20"/>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B17DB4"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B17DB4"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B17DB4"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B17DB4"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w:t>
      </w:r>
      <w:proofErr w:type="gramStart"/>
      <w:r>
        <w:rPr>
          <w:rFonts w:eastAsiaTheme="minorEastAsia"/>
          <w:lang w:bidi="hi-IN"/>
        </w:rPr>
        <w:t>to 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21" w:name="_Ref360530640"/>
      <w:r>
        <w:t>Appendix 2</w:t>
      </w:r>
      <w:bookmarkEnd w:id="21"/>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B17DB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B17DB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17DB4"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2" w:name="_Ref360530760"/>
      <w:r>
        <w:t>Appendix 3</w:t>
      </w:r>
      <w:bookmarkEnd w:id="22"/>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23"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3"/>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B17DB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lastRenderedPageBreak/>
        <w:t>Plugging that in the fixation probability:</w:t>
      </w:r>
    </w:p>
    <w:p w:rsidR="00335E62" w:rsidRDefault="00B17DB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17DB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17DB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B17DB4"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B17DB4">
        <w:rPr>
          <w:noProof/>
        </w:rPr>
        <w:drawing>
          <wp:inline distT="0" distB="0" distL="0" distR="0" wp14:anchorId="1EE1F225" wp14:editId="5D13465D">
            <wp:extent cx="3596536" cy="2880000"/>
            <wp:effectExtent l="0" t="0" r="4445" b="0"/>
            <wp:docPr id="3" name="Picture 3"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23983">
      <w:pPr>
        <w:pStyle w:val="FigureLegend"/>
        <w:rPr>
          <w:b/>
          <w:bCs/>
        </w:rPr>
      </w:pPr>
      <w:bookmarkStart w:id="24"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4"/>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w:t>
      </w:r>
      <w:r w:rsidR="00C23983">
        <w:t xml:space="preserve">fold </w:t>
      </w:r>
      <w:r w:rsidR="00806F37">
        <w:t>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=1) is normal mutagenesis; CM (dashed red with circles) is constitutive mutagenesis; SIM (solid blue with triangles) is stress-induced mutagenesis. Lines are analytic approximations</w:t>
      </w:r>
      <w:r w:rsidR="00C23983">
        <w:t>;</w:t>
      </w:r>
      <w:r w:rsidR="00806F37">
        <w:t xml:space="preserve"> markers are means of stochastic simulations results and error bars are standard error</w:t>
      </w:r>
      <w:r w:rsidR="00485B00">
        <w:t>s</w:t>
      </w:r>
      <w:r w:rsidR="00806F37">
        <w:t xml:space="preserve"> of the mean (at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rsidRPr="00C23983">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9A2A4B" w:rsidP="00C87978">
      <w:pPr>
        <w:jc w:val="center"/>
      </w:pPr>
      <w:r>
        <w:rPr>
          <w:noProof/>
        </w:rPr>
        <w:lastRenderedPageBreak/>
        <w:drawing>
          <wp:inline distT="0" distB="0" distL="0" distR="0" wp14:anchorId="477F3E38" wp14:editId="7782BB6A">
            <wp:extent cx="1620000" cy="3240000"/>
            <wp:effectExtent l="0" t="0" r="0" b="0"/>
            <wp:docPr id="7" name="Picture 7" descr="D:\workspace\ruggedsim\manuscript\fixation_regression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fixation_regression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3240000"/>
                    </a:xfrm>
                    <a:prstGeom prst="rect">
                      <a:avLst/>
                    </a:prstGeom>
                    <a:noFill/>
                    <a:ln>
                      <a:noFill/>
                    </a:ln>
                  </pic:spPr>
                </pic:pic>
              </a:graphicData>
            </a:graphic>
          </wp:inline>
        </w:drawing>
      </w:r>
      <w:r>
        <w:rPr>
          <w:noProof/>
        </w:rPr>
        <w:t xml:space="preserve"> </w:t>
      </w:r>
      <w:r>
        <w:rPr>
          <w:noProof/>
        </w:rPr>
        <w:drawing>
          <wp:inline distT="0" distB="0" distL="0" distR="0" wp14:anchorId="6D5CBFE0" wp14:editId="1A39E3A5">
            <wp:extent cx="1321200" cy="3240000"/>
            <wp:effectExtent l="0" t="0" r="0" b="0"/>
            <wp:docPr id="4" name="Picture 4" descr="D:\workspace\ruggedsim\manuscript\fixation_regression_unloaded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fixation_regression_unloaded_s_0.05_logN_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484"/>
                    <a:stretch/>
                  </pic:blipFill>
                  <pic:spPr bwMode="auto">
                    <a:xfrm>
                      <a:off x="0" y="0"/>
                      <a:ext cx="13212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A14950">
      <w:pPr>
        <w:pStyle w:val="FigureLegend"/>
      </w:pPr>
      <w:bookmarkStart w:id="25"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5"/>
      <w:r w:rsidR="00EE6EA2" w:rsidRPr="00EE6EA2">
        <w:rPr>
          <w:b/>
          <w:bCs/>
        </w:rPr>
        <w:t xml:space="preserve"> – Fixation </w:t>
      </w:r>
      <w:r w:rsidR="00175D8E">
        <w:rPr>
          <w:b/>
          <w:bCs/>
        </w:rPr>
        <w:t>probability</w:t>
      </w:r>
      <w:r w:rsidR="00175D8E">
        <w:t xml:space="preserve"> </w:t>
      </w:r>
      <w:r w:rsidR="00EE6EA2">
        <w:t xml:space="preserve">of </w:t>
      </w:r>
      <w:r w:rsidR="00175D8E">
        <w:t>the</w:t>
      </w:r>
      <w:r w:rsidR="00EE6EA2">
        <w:t xml:space="preserve"> double mutant</w:t>
      </w:r>
      <w:r w:rsidR="00C23983">
        <w:t xml:space="preserve"> </w:t>
      </w:r>
      <w:r w:rsidR="00C23983">
        <w:rPr>
          <w:i/>
          <w:iCs/>
        </w:rPr>
        <w:t>AB</w:t>
      </w:r>
      <w:r w:rsidR="00C23983">
        <w:t xml:space="preserve"> as a function of </w:t>
      </w:r>
      <w:r w:rsidR="00C23983" w:rsidRPr="00E4303E">
        <w:rPr>
          <w:i/>
          <w:iCs/>
        </w:rPr>
        <w:t>τ</w:t>
      </w:r>
      <w:r w:rsidR="00C23983">
        <w:t xml:space="preserve"> the mutation rate fold increase</w:t>
      </w:r>
      <w:r w:rsidR="00175D8E">
        <w:t xml:space="preserve"> 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confidence intervals (computed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9A2A4B" w:rsidRPr="00A14950">
        <w:rPr>
          <w:highlight w:val="yellow"/>
        </w:rPr>
        <w:fldChar w:fldCharType="begin"/>
      </w:r>
      <w:r w:rsidR="009A2A4B" w:rsidRPr="00A14950">
        <w:rPr>
          <w:highlight w:val="yellow"/>
        </w:rPr>
        <w:instrText xml:space="preserve"> REF _Ref361735010 \r \h </w:instrText>
      </w:r>
      <w:r w:rsidR="009A2A4B" w:rsidRPr="00A14950">
        <w:rPr>
          <w:highlight w:val="yellow"/>
        </w:rPr>
      </w:r>
      <w:r w:rsidR="00A14950">
        <w:rPr>
          <w:highlight w:val="yellow"/>
        </w:rPr>
        <w:instrText xml:space="preserve"> \* MERGEFORMAT </w:instrText>
      </w:r>
      <w:r w:rsidR="009A2A4B" w:rsidRPr="00A14950">
        <w:rPr>
          <w:highlight w:val="yellow"/>
        </w:rPr>
        <w:fldChar w:fldCharType="separate"/>
      </w:r>
      <w:r w:rsidR="009A2A4B" w:rsidRPr="00A14950">
        <w:rPr>
          <w:highlight w:val="yellow"/>
        </w:rPr>
        <w:fldChar w:fldCharType="end"/>
      </w:r>
      <w:r w:rsidR="009A2A4B" w:rsidRPr="00A14950">
        <w:rPr>
          <w:highlight w:val="yellow"/>
        </w:rPr>
        <w:fldChar w:fldCharType="begin"/>
      </w:r>
      <w:r w:rsidR="009A2A4B" w:rsidRPr="00A14950">
        <w:rPr>
          <w:highlight w:val="yellow"/>
        </w:rPr>
        <w:instrText xml:space="preserve"> REF _Ref361735010 \h </w:instrText>
      </w:r>
      <w:r w:rsidR="009A2A4B" w:rsidRPr="00A14950">
        <w:rPr>
          <w:highlight w:val="yellow"/>
        </w:rPr>
      </w:r>
      <w:r w:rsidR="00A14950" w:rsidRPr="00A14950">
        <w:rPr>
          <w:highlight w:val="yellow"/>
        </w:rPr>
        <w:instrText xml:space="preserve"> \* MERGEFORMAT </w:instrText>
      </w:r>
      <w:r w:rsidR="009A2A4B" w:rsidRPr="00A14950">
        <w:rPr>
          <w:highlight w:val="yellow"/>
        </w:rPr>
        <w:fldChar w:fldCharType="separate"/>
      </w:r>
      <w:r w:rsidR="009A2A4B" w:rsidRPr="00A14950">
        <w:rPr>
          <w:highlight w:val="yellow"/>
          <w:lang w:bidi="hi-IN"/>
        </w:rPr>
        <w:t>Model</w:t>
      </w:r>
      <w:r w:rsidR="009A2A4B" w:rsidRPr="00A14950">
        <w:rPr>
          <w:highlight w:val="yellow"/>
        </w:rPr>
        <w:fldChar w:fldCharType="end"/>
      </w:r>
      <w:r w:rsidR="009A2A4B" w:rsidRPr="00A14950">
        <w:rPr>
          <w:highlight w:val="yellow"/>
        </w:rPr>
        <w:t xml:space="preserve"> section). The three right panels are results of simulations in which we did not allow </w:t>
      </w:r>
      <w:r w:rsidR="009A2A4B" w:rsidRPr="00A14950">
        <w:rPr>
          <w:i/>
          <w:iCs/>
          <w:highlight w:val="yellow"/>
        </w:rPr>
        <w:t>AB</w:t>
      </w:r>
      <w:r w:rsidR="009A2A4B" w:rsidRPr="00A14950">
        <w:rPr>
          <w:highlight w:val="yellow"/>
        </w:rPr>
        <w:t xml:space="preserve"> to appear on a deleterious background. This comparison shows that if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fixation probability is close to our analytic approximations (compare solid and dashed lines).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 see Eq. </w:t>
      </w:r>
      <w:r w:rsidR="00C23983">
        <w:fldChar w:fldCharType="begin"/>
      </w:r>
      <w:r w:rsidR="00C23983" w:rsidRPr="00C23983">
        <w:instrText xml:space="preserve"> REF _Ref361310097 \h </w:instrText>
      </w:r>
      <w:r w:rsidR="00C23983">
        <w:fldChar w:fldCharType="separate"/>
      </w:r>
      <w:r w:rsidR="00C23983" w:rsidRPr="00C23983">
        <w:rPr>
          <w:noProof/>
        </w:rPr>
        <w:t>11</w:t>
      </w:r>
      <w:r w:rsidR="00C23983">
        <w:fldChar w:fldCharType="end"/>
      </w:r>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9A2A4B" w:rsidRDefault="009A2A4B" w:rsidP="00C23983">
      <w:pPr>
        <w:pStyle w:val="FigureLegend"/>
      </w:pPr>
    </w:p>
    <w:p w:rsidR="009A2A4B" w:rsidRPr="009A2A4B" w:rsidRDefault="009A2A4B" w:rsidP="009A2A4B">
      <w:pPr>
        <w:pStyle w:val="FigureLegend"/>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1+sH</m:t>
              </m:r>
            </m:e>
          </m:d>
          <m:d>
            <m:dPr>
              <m:ctrlPr>
                <w:rPr>
                  <w:rFonts w:ascii="Cambria Math" w:hAnsi="Cambria Math"/>
                  <w:i/>
                </w:rPr>
              </m:ctrlPr>
            </m:dPr>
            <m:e>
              <m:r>
                <w:rPr>
                  <w:rFonts w:ascii="Cambria Math" w:hAnsi="Cambria Math"/>
                </w:rPr>
                <m:t>1-s</m:t>
              </m:r>
            </m:e>
          </m:d>
        </m:oMath>
      </m:oMathPara>
    </w:p>
    <w:p w:rsidR="009A2A4B" w:rsidRPr="009A2A4B" w:rsidRDefault="009A2A4B" w:rsidP="009A2A4B">
      <w:pPr>
        <w:pStyle w:val="FigureLegend"/>
        <w:rPr>
          <w:rFonts w:eastAsiaTheme="minorEastAsia"/>
        </w:rPr>
      </w:pPr>
      <m:oMathPara>
        <m:oMath>
          <m:r>
            <w:rPr>
              <w:rFonts w:ascii="Cambria Math" w:eastAsiaTheme="minorEastAsia" w:hAnsi="Cambria Math"/>
            </w:rPr>
            <m:t>ρ</m:t>
          </m:r>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α-1</m:t>
              </m:r>
            </m:num>
            <m:den>
              <m:r>
                <w:rPr>
                  <w:rFonts w:ascii="Cambria Math" w:eastAsiaTheme="minorEastAsia" w:hAnsi="Cambria Math"/>
                </w:rPr>
                <m:t>α</m:t>
              </m:r>
            </m:den>
          </m:f>
          <m:r>
            <w:rPr>
              <w:rFonts w:ascii="Cambria Math" w:eastAsiaTheme="minorEastAsia" w:hAnsi="Cambria Math"/>
            </w:rPr>
            <m:t>=2</m:t>
          </m:r>
          <m:f>
            <m:fPr>
              <m:ctrlPr>
                <w:rPr>
                  <w:rFonts w:ascii="Cambria Math" w:eastAsiaTheme="minorEastAsia" w:hAnsi="Cambria Math"/>
                  <w:i/>
                </w:rPr>
              </m:ctrlPr>
            </m:fPr>
            <m:num>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1+sH</m:t>
                      </m:r>
                    </m:e>
                  </m:d>
                  <m:d>
                    <m:dPr>
                      <m:ctrlPr>
                        <w:rPr>
                          <w:rFonts w:ascii="Cambria Math" w:eastAsiaTheme="minorEastAsia" w:hAnsi="Cambria Math"/>
                          <w:i/>
                        </w:rPr>
                      </m:ctrlPr>
                    </m:dPr>
                    <m:e>
                      <m:r>
                        <w:rPr>
                          <w:rFonts w:ascii="Cambria Math" w:eastAsiaTheme="minorEastAsia" w:hAnsi="Cambria Math"/>
                        </w:rPr>
                        <m:t>1-s</m:t>
                      </m:r>
                    </m:e>
                  </m:d>
                  <m:r>
                    <w:rPr>
                      <w:rFonts w:ascii="Cambria Math" w:eastAsiaTheme="minorEastAsia" w:hAnsi="Cambria Math"/>
                    </w:rPr>
                    <m:t>-1</m:t>
                  </m:r>
                </m:e>
              </m:d>
            </m:num>
            <m:den>
              <m:d>
                <m:dPr>
                  <m:ctrlPr>
                    <w:rPr>
                      <w:rFonts w:ascii="Cambria Math" w:eastAsiaTheme="minorEastAsia" w:hAnsi="Cambria Math"/>
                      <w:i/>
                    </w:rPr>
                  </m:ctrlPr>
                </m:dPr>
                <m:e>
                  <m:r>
                    <w:rPr>
                      <w:rFonts w:ascii="Cambria Math" w:eastAsiaTheme="minorEastAsia" w:hAnsi="Cambria Math"/>
                    </w:rPr>
                    <m:t>1+sH</m:t>
                  </m:r>
                </m:e>
              </m:d>
              <m:d>
                <m:dPr>
                  <m:ctrlPr>
                    <w:rPr>
                      <w:rFonts w:ascii="Cambria Math" w:eastAsiaTheme="minorEastAsia" w:hAnsi="Cambria Math"/>
                      <w:i/>
                    </w:rPr>
                  </m:ctrlPr>
                </m:dPr>
                <m:e>
                  <m:r>
                    <w:rPr>
                      <w:rFonts w:ascii="Cambria Math" w:eastAsiaTheme="minorEastAsia" w:hAnsi="Cambria Math"/>
                    </w:rPr>
                    <m:t>1-s</m:t>
                  </m:r>
                </m:e>
              </m:d>
            </m:den>
          </m:f>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H-</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s</m:t>
              </m:r>
              <m:r>
                <w:rPr>
                  <w:rFonts w:ascii="Cambria Math" w:eastAsiaTheme="minorEastAsia" w:hAnsi="Cambria Math"/>
                </w:rPr>
                <m:t>H</m:t>
              </m:r>
            </m:num>
            <m:den>
              <m:r>
                <w:rPr>
                  <w:rFonts w:ascii="Cambria Math" w:eastAsiaTheme="minorEastAsia" w:hAnsi="Cambria Math"/>
                </w:rPr>
                <m:t>1+sH-s-</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H</m:t>
              </m:r>
            </m:den>
          </m:f>
          <m:r>
            <w:rPr>
              <w:rFonts w:ascii="Cambria Math" w:eastAsiaTheme="minorEastAsia" w:hAnsi="Cambria Math"/>
            </w:rPr>
            <m:t>=2sH</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1+sH</m:t>
                  </m:r>
                </m:e>
              </m:d>
              <m:d>
                <m:dPr>
                  <m:ctrlPr>
                    <w:rPr>
                      <w:rFonts w:ascii="Cambria Math" w:eastAsiaTheme="minorEastAsia" w:hAnsi="Cambria Math"/>
                      <w:i/>
                    </w:rPr>
                  </m:ctrlPr>
                </m:dPr>
                <m:e>
                  <m:r>
                    <w:rPr>
                      <w:rFonts w:ascii="Cambria Math" w:eastAsiaTheme="minorEastAsia" w:hAnsi="Cambria Math"/>
                    </w:rPr>
                    <m:t>1-s</m:t>
                  </m:r>
                </m:e>
              </m:d>
            </m:den>
          </m:f>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1-s-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num>
            <m:den>
              <m:r>
                <w:rPr>
                  <w:rFonts w:ascii="Cambria Math" w:eastAsiaTheme="minorEastAsia" w:hAnsi="Cambria Math"/>
                </w:rPr>
                <m:t>1-s</m:t>
              </m:r>
            </m:den>
          </m:f>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num>
                <m:den>
                  <m:r>
                    <w:rPr>
                      <w:rFonts w:ascii="Cambria Math" w:eastAsiaTheme="minorEastAsia" w:hAnsi="Cambria Math"/>
                    </w:rPr>
                    <m:t>1-s</m:t>
                  </m:r>
                </m:den>
              </m:f>
            </m:e>
          </m:d>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m:oMathPara>
    </w:p>
    <w:p w:rsidR="0034713C" w:rsidRPr="0034713C" w:rsidRDefault="0034713C" w:rsidP="0034713C">
      <w:pPr>
        <w:spacing w:line="240" w:lineRule="auto"/>
        <w:rPr>
          <w:rFonts w:ascii="Consolas" w:hAnsi="Consolas" w:cs="Consolas"/>
          <w:lang w:bidi="hi-IN"/>
        </w:rPr>
      </w:pPr>
    </w:p>
    <w:sectPr w:rsidR="0034713C" w:rsidRPr="0034713C"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3A0" w:rsidRDefault="007173A0" w:rsidP="009A122D">
      <w:pPr>
        <w:spacing w:after="0" w:line="240" w:lineRule="auto"/>
      </w:pPr>
      <w:r>
        <w:separator/>
      </w:r>
    </w:p>
  </w:endnote>
  <w:endnote w:type="continuationSeparator" w:id="0">
    <w:p w:rsidR="007173A0" w:rsidRDefault="007173A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443A928-F567-491F-A7CA-FCDA47FC3061}"/>
    <w:embedBold r:id="rId2" w:fontKey="{300C2B67-EEE3-46B5-93F7-350AC8C5C013}"/>
    <w:embedItalic r:id="rId3" w:fontKey="{B24884C6-7BF1-4D3E-B2CF-6561D8858A22}"/>
    <w:embedBoldItalic r:id="rId4" w:fontKey="{3AFFFCD8-F005-4090-80D5-E844E0E4B298}"/>
  </w:font>
  <w:font w:name="Tahoma">
    <w:panose1 w:val="020B0604030504040204"/>
    <w:charset w:val="00"/>
    <w:family w:val="swiss"/>
    <w:pitch w:val="variable"/>
    <w:sig w:usb0="E1002EFF" w:usb1="C000605B" w:usb2="00000029" w:usb3="00000000" w:csb0="000101FF" w:csb1="00000000"/>
    <w:embedRegular r:id="rId5" w:fontKey="{A7CFC336-253F-4660-82B6-FD4B8A700588}"/>
  </w:font>
  <w:font w:name="cmr10">
    <w:panose1 w:val="020B0500000000000000"/>
    <w:charset w:val="00"/>
    <w:family w:val="swiss"/>
    <w:pitch w:val="variable"/>
    <w:sig w:usb0="00000003" w:usb1="00000000" w:usb2="00000000" w:usb3="00000000" w:csb0="00000001" w:csb1="00000000"/>
    <w:embedRegular r:id="rId6" w:fontKey="{73810DCF-8EDD-49AE-B761-4169AF6CB8CE}"/>
  </w:font>
  <w:font w:name="Cambria Math">
    <w:panose1 w:val="02040503050406030204"/>
    <w:charset w:val="00"/>
    <w:family w:val="roman"/>
    <w:pitch w:val="variable"/>
    <w:sig w:usb0="E00002FF" w:usb1="420024FF" w:usb2="00000000" w:usb3="00000000" w:csb0="0000019F" w:csb1="00000000"/>
    <w:embedRegular r:id="rId7" w:fontKey="{DDFB1EB1-A1EC-4851-8874-1F8E3E7C791A}"/>
    <w:embedItalic r:id="rId8" w:fontKey="{D5C3C2BB-E83E-4903-B276-53C9545078F3}"/>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Regular r:id="rId9" w:fontKey="{8A0716A8-BB57-4A27-852A-7699CE542A3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17DB4" w:rsidRDefault="00B17DB4">
        <w:pPr>
          <w:pStyle w:val="Footer"/>
          <w:jc w:val="center"/>
        </w:pPr>
        <w:r>
          <w:fldChar w:fldCharType="begin"/>
        </w:r>
        <w:r>
          <w:instrText xml:space="preserve"> PAGE   \* MERGEFORMAT </w:instrText>
        </w:r>
        <w:r>
          <w:fldChar w:fldCharType="separate"/>
        </w:r>
        <w:r w:rsidR="006733DF">
          <w:rPr>
            <w:noProof/>
          </w:rPr>
          <w:t>8</w:t>
        </w:r>
        <w:r>
          <w:rPr>
            <w:noProof/>
          </w:rPr>
          <w:fldChar w:fldCharType="end"/>
        </w:r>
      </w:p>
    </w:sdtContent>
  </w:sdt>
  <w:p w:rsidR="00B17DB4" w:rsidRDefault="00B17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3A0" w:rsidRDefault="007173A0" w:rsidP="009A122D">
      <w:pPr>
        <w:spacing w:after="0" w:line="240" w:lineRule="auto"/>
      </w:pPr>
      <w:r>
        <w:separator/>
      </w:r>
    </w:p>
  </w:footnote>
  <w:footnote w:type="continuationSeparator" w:id="0">
    <w:p w:rsidR="007173A0" w:rsidRDefault="007173A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2B79"/>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53133"/>
    <w:rsid w:val="0046652F"/>
    <w:rsid w:val="004747BD"/>
    <w:rsid w:val="00477861"/>
    <w:rsid w:val="00485B00"/>
    <w:rsid w:val="004A2989"/>
    <w:rsid w:val="004B1858"/>
    <w:rsid w:val="004B5CB1"/>
    <w:rsid w:val="004C392E"/>
    <w:rsid w:val="004C5F1B"/>
    <w:rsid w:val="004C737E"/>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5F6245"/>
    <w:rsid w:val="00607B56"/>
    <w:rsid w:val="00625517"/>
    <w:rsid w:val="00630B3C"/>
    <w:rsid w:val="00633ED1"/>
    <w:rsid w:val="00651511"/>
    <w:rsid w:val="00652D72"/>
    <w:rsid w:val="00665310"/>
    <w:rsid w:val="006733DF"/>
    <w:rsid w:val="00691767"/>
    <w:rsid w:val="006A479B"/>
    <w:rsid w:val="006B774C"/>
    <w:rsid w:val="006C02DB"/>
    <w:rsid w:val="006D14E9"/>
    <w:rsid w:val="006D5802"/>
    <w:rsid w:val="00701833"/>
    <w:rsid w:val="007058D2"/>
    <w:rsid w:val="007173A0"/>
    <w:rsid w:val="00733446"/>
    <w:rsid w:val="00753267"/>
    <w:rsid w:val="007A2944"/>
    <w:rsid w:val="007B25AD"/>
    <w:rsid w:val="007C4DDB"/>
    <w:rsid w:val="007E25F3"/>
    <w:rsid w:val="007E6659"/>
    <w:rsid w:val="00806F37"/>
    <w:rsid w:val="00812DB3"/>
    <w:rsid w:val="00824294"/>
    <w:rsid w:val="0082586B"/>
    <w:rsid w:val="0085140E"/>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A2A4B"/>
    <w:rsid w:val="009D699D"/>
    <w:rsid w:val="009E654C"/>
    <w:rsid w:val="00A00B27"/>
    <w:rsid w:val="00A03104"/>
    <w:rsid w:val="00A14950"/>
    <w:rsid w:val="00A307DC"/>
    <w:rsid w:val="00A30A19"/>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87978"/>
    <w:rsid w:val="00C96FC9"/>
    <w:rsid w:val="00CB2F61"/>
    <w:rsid w:val="00CD0FB7"/>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2745E"/>
    <w:rsid w:val="00E41B1B"/>
    <w:rsid w:val="00E4303E"/>
    <w:rsid w:val="00E466DE"/>
    <w:rsid w:val="00E5128F"/>
    <w:rsid w:val="00E627A2"/>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03785"/>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A0E"/>
    <w:rsid w:val="00B53A0E"/>
    <w:rsid w:val="00F259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A0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A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22525-BB99-4970-986B-AA2017946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8430</TotalTime>
  <Pages>16</Pages>
  <Words>27559</Words>
  <Characters>137797</Characters>
  <Application>Microsoft Office Word</Application>
  <DocSecurity>0</DocSecurity>
  <Lines>1148</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181</cp:revision>
  <dcterms:created xsi:type="dcterms:W3CDTF">2013-06-18T10:07:00Z</dcterms:created>
  <dcterms:modified xsi:type="dcterms:W3CDTF">2013-07-16T11:14:00Z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