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61EB6">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changes the balance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C87978">
        <w:rPr>
          <w:noProof/>
          <w:lang w:bidi="hi-IN"/>
        </w:rPr>
        <w:t>June 30,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A725E6">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A725E6">
        <w:t xml:space="preserve">this increased rate </w:t>
      </w:r>
      <w:r>
        <w:fldChar w:fldCharType="begin" w:fldLock="1"/>
      </w:r>
      <w:r w:rsidR="004F4440">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w:t>
      </w:r>
      <w:r w:rsidR="00A725E6">
        <w:t>constitutive</w:t>
      </w:r>
      <w:r>
        <w:t xml:space="preserve"> mutators suffer from the accumulation of deleterious mutations and are purged from the environment, leading to "the rise and fall of the mutator allele" </w:t>
      </w:r>
      <w:r>
        <w:fldChar w:fldCharType="begin" w:fldLock="1"/>
      </w:r>
      <w:r w:rsidR="004F4440">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4F4440">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two traits – </w:t>
      </w:r>
      <w:r w:rsidRPr="00A725E6">
        <w:rPr>
          <w:i/>
          <w:iCs/>
        </w:rPr>
        <w:t>adaptability</w:t>
      </w:r>
      <w:r>
        <w:t xml:space="preserve"> and </w:t>
      </w:r>
      <w:r w:rsidRPr="00A725E6">
        <w:rPr>
          <w:i/>
          <w:iCs/>
        </w:rPr>
        <w:t>adaptedness</w:t>
      </w:r>
      <w:r>
        <w:t>.</w:t>
      </w:r>
    </w:p>
    <w:p w:rsidR="00A725E6" w:rsidRDefault="00A725E6" w:rsidP="00A725E6">
      <w:r>
        <w:t xml:space="preserve">Stress-induced mutagenesis (SIM), the increase of the mutation rate in stressed or maladapted individuals, has been demonstrated in numerous species, both prokaryote and eukaryote </w:t>
      </w:r>
      <w:r>
        <w:fldChar w:fldCharType="begin" w:fldLock="1"/>
      </w:r>
      <w:r w:rsidR="004F4440">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Hastings, and Rosenberg 2007; Sharp and Agrawal 2012; MacLean, Torres-Barcel\u00f3, and Moxon 2013)" }, "properties" : { "noteIndex" : 0 }, "schema" : "https://github.com/citation-style-language/schema/raw/master/csl-citation.json" }</w:instrText>
      </w:r>
      <w:r>
        <w:fldChar w:fldCharType="separate"/>
      </w:r>
      <w:r w:rsidRPr="00625517">
        <w:rPr>
          <w:noProof/>
        </w:rPr>
        <w:t>(Galhardo, Hastings, and Rosenberg 2007; Sharp and Agrawal 2012; MacLean, Torres-Barceló, and Moxon 2013)</w:t>
      </w:r>
      <w:r>
        <w:fldChar w:fldCharType="end"/>
      </w:r>
      <w:r>
        <w:t xml:space="preserve">. Various stress responses regulate the mutation rate by shifting cells to error-prone DNA polymerases </w:t>
      </w:r>
      <w:r>
        <w:fldChar w:fldCharType="begin" w:fldLock="1"/>
      </w:r>
      <w:r w:rsidR="004F4440">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Fonville, and Rosenberg 2005)" }, "properties" : { "noteIndex" : 0 }, "schema" : "https://github.com/citation-style-language/schema/raw/master/csl-citation.json" }</w:instrText>
      </w:r>
      <w:r>
        <w:fldChar w:fldCharType="separate"/>
      </w:r>
      <w:r w:rsidRPr="00625517">
        <w:rPr>
          <w:noProof/>
        </w:rPr>
        <w:t>(Ponder, Fonville, and Rosenberg 2005)</w:t>
      </w:r>
      <w:r>
        <w:fldChar w:fldCharType="end"/>
      </w:r>
      <w:r>
        <w:t xml:space="preserve"> and by inhibiting the mismatch repair system </w:t>
      </w:r>
      <w:r>
        <w:fldChar w:fldCharType="begin" w:fldLock="1"/>
      </w:r>
      <w:r w:rsidR="004F4440">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1307C7" w:rsidRPr="00A725E6" w:rsidRDefault="001307C7" w:rsidP="004F4440">
      <w:r>
        <w:t xml:space="preserve">SIM is considered by many to have a </w:t>
      </w:r>
      <w:r w:rsidR="00A725E6">
        <w:t xml:space="preserve">significant </w:t>
      </w:r>
      <w:r>
        <w:t xml:space="preserve">impact on </w:t>
      </w:r>
      <w:r>
        <w:rPr>
          <w:i/>
          <w:iCs/>
        </w:rPr>
        <w:t xml:space="preserve">adaptability </w:t>
      </w:r>
      <w:r w:rsidR="00A725E6">
        <w:t>(</w:t>
      </w:r>
      <w:r w:rsidR="004F4440">
        <w:t>or</w:t>
      </w:r>
      <w:r w:rsidR="00A725E6">
        <w:t xml:space="preserve"> </w:t>
      </w:r>
      <w:r>
        <w:t xml:space="preserve"> </w:t>
      </w:r>
      <w:r>
        <w:rPr>
          <w:i/>
          <w:iCs/>
        </w:rPr>
        <w:t>evolvability</w:t>
      </w:r>
      <w:r w:rsidR="00A725E6">
        <w:t>)</w:t>
      </w:r>
      <w:r w:rsidR="004F4440">
        <w:t xml:space="preserve"> - </w:t>
      </w:r>
      <w:r w:rsidR="00EF3BEC">
        <w:t xml:space="preserve">the capacity </w:t>
      </w:r>
      <w:r w:rsidR="004F4440">
        <w:t xml:space="preserve">of </w:t>
      </w:r>
      <w:r>
        <w:t xml:space="preserve">populations to evolve and adapt </w:t>
      </w:r>
      <w:r>
        <w:fldChar w:fldCharType="begin" w:fldLock="1"/>
      </w:r>
      <w:r w:rsidR="004F4440">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Denamur, and Matic 2004; Rosenberg et al. 2012)" }, "properties" : { "noteIndex" : 0 }, "schema" : "https://github.com/citation-style-language/schema/raw/master/csl-citation.json" }</w:instrText>
      </w:r>
      <w:r>
        <w:fldChar w:fldCharType="separate"/>
      </w:r>
      <w:r w:rsidRPr="00625517">
        <w:rPr>
          <w:noProof/>
        </w:rPr>
        <w:t>(Tenaillon, Denamur, and Matic 2004; Rosenberg et al. 2012)</w:t>
      </w:r>
      <w:r>
        <w:fldChar w:fldCharType="end"/>
      </w:r>
      <w:r w:rsidR="00A725E6">
        <w:t xml:space="preserve">. </w:t>
      </w:r>
      <w:r w:rsidR="00A725E6" w:rsidRPr="004F4440">
        <w:rPr>
          <w:highlight w:val="yellow"/>
        </w:rPr>
        <w:t>However,</w:t>
      </w:r>
      <w:r w:rsidRPr="004F4440">
        <w:rPr>
          <w:highlight w:val="yellow"/>
        </w:rPr>
        <w:t xml:space="preserve"> there is currently no theoretical treatment of this </w:t>
      </w:r>
      <w:r w:rsidR="00A725E6" w:rsidRPr="004F4440">
        <w:rPr>
          <w:highlight w:val="yellow"/>
        </w:rPr>
        <w:t>impact</w:t>
      </w:r>
      <w:r w:rsidRPr="004F4440">
        <w:rPr>
          <w:highlight w:val="yellow"/>
        </w:rPr>
        <w:t>.</w:t>
      </w:r>
      <w:r>
        <w:t xml:space="preserve"> The effect of SIM on </w:t>
      </w:r>
      <w:r w:rsidRPr="00A725E6">
        <w:rPr>
          <w:i/>
          <w:iCs/>
        </w:rPr>
        <w:t>adaptedness</w:t>
      </w:r>
      <w:r>
        <w:t xml:space="preserve"> – the capacity of populations to remain adapted to current environmental conditions –</w:t>
      </w:r>
      <w:r w:rsidR="00A725E6">
        <w:t xml:space="preserve"> </w:t>
      </w:r>
      <w:r>
        <w:t>receive</w:t>
      </w:r>
      <w:r w:rsidR="00A725E6">
        <w:t>d</w:t>
      </w:r>
      <w:r>
        <w:t xml:space="preserve"> theoretical treatment by </w:t>
      </w:r>
      <w:proofErr w:type="spellStart"/>
      <w:r>
        <w:t>Agrawal</w:t>
      </w:r>
      <w:proofErr w:type="spellEnd"/>
      <w:r>
        <w:t xml:space="preserve"> </w:t>
      </w:r>
      <w:r>
        <w:fldChar w:fldCharType="begin" w:fldLock="1"/>
      </w:r>
      <w:r w:rsidR="004F4440">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4F4440">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4F4440">
      <w:pPr>
        <w:rPr>
          <w:lang w:bidi="hi-IN"/>
        </w:rPr>
      </w:pPr>
      <w:r>
        <w:t>Here, w</w:t>
      </w:r>
      <w:r w:rsidR="00625517">
        <w:t>e analyze</w:t>
      </w:r>
      <w:r>
        <w:t>d</w:t>
      </w:r>
      <w:r w:rsidR="004F4440">
        <w:t xml:space="preserve"> </w:t>
      </w:r>
      <w:r w:rsidR="00625517">
        <w:t>population geneti</w:t>
      </w:r>
      <w:r w:rsidR="00932C9B">
        <w:t>c model</w:t>
      </w:r>
      <w:r w:rsidR="004F4440">
        <w:t xml:space="preserve">s for </w:t>
      </w:r>
      <w:r w:rsidR="00932C9B">
        <w:t>asexual population</w:t>
      </w:r>
      <w:r w:rsidR="004F4440">
        <w:t>s</w:t>
      </w:r>
      <w:r w:rsidR="00625517">
        <w:t xml:space="preserve">. We </w:t>
      </w:r>
      <w:r>
        <w:t>develop</w:t>
      </w:r>
      <w:r w:rsidR="004F4440">
        <w:t>ed</w:t>
      </w:r>
      <w:r>
        <w:t xml:space="preserve"> general </w:t>
      </w:r>
      <w:r w:rsidR="00625517">
        <w:t xml:space="preserve">expressions that demonstrate that SIM increases </w:t>
      </w:r>
      <w:r w:rsidR="00932C9B">
        <w:t xml:space="preserve">both the mean fitness and the </w:t>
      </w:r>
      <w:r w:rsidR="00625517">
        <w:t>adaptation rate</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w:t>
      </w:r>
      <w:r>
        <w:rPr>
          <w:lang w:bidi="hi-IN"/>
        </w:rPr>
        <w:lastRenderedPageBreak/>
        <w:t xml:space="preserve">deleterious mutations is </w:t>
      </w:r>
      <w:r w:rsidR="00EF3BEC" w:rsidRPr="00EF3BEC">
        <w:rPr>
          <w:rFonts w:cs="Times New Roman"/>
          <w:i/>
          <w:iCs/>
          <w:lang w:bidi="hi-IN"/>
        </w:rPr>
        <w:t>ω</w:t>
      </w:r>
      <w:proofErr w:type="gramStart"/>
      <w:r w:rsidR="00EF3BEC" w:rsidRPr="00EF3BEC">
        <w:rPr>
          <w:i/>
          <w:iCs/>
          <w:lang w:bidi="hi-IN"/>
        </w:rPr>
        <w:t>=</w:t>
      </w:r>
      <w:r w:rsidRPr="00EF3BEC">
        <w:rPr>
          <w:i/>
          <w:iCs/>
          <w:lang w:bidi="hi-IN"/>
        </w:rPr>
        <w:t>(</w:t>
      </w:r>
      <w:proofErr w:type="gramEnd"/>
      <w:r w:rsidRPr="00EF3BEC">
        <w:rPr>
          <w:i/>
          <w:iCs/>
          <w:lang w:bidi="hi-IN"/>
        </w:rPr>
        <w:t>1-s)</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s&gt;U</w:t>
      </w:r>
      <w:r>
        <w:rPr>
          <w:lang w:bidi="hi-IN"/>
        </w:rPr>
        <w: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t>, the mutation rate fold increase</w:t>
      </w:r>
      <w:r w:rsidR="00101FCD">
        <w:t xml:space="preserve">; and stress-induced mutagenesis (SIM)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EF3BEC">
      <w:pPr>
        <w:rPr>
          <w:lang w:bidi="hi-IN"/>
        </w:rPr>
      </w:pPr>
      <w:r>
        <w:rPr>
          <w:lang w:bidi="hi-IN"/>
        </w:rPr>
        <w:t>We analyze</w:t>
      </w:r>
      <w:r w:rsidR="00401E4A">
        <w:rPr>
          <w:lang w:bidi="hi-IN"/>
        </w:rPr>
        <w:t xml:space="preserve"> two models, 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401E4A">
        <w:rPr>
          <w:lang w:bidi="hi-IN"/>
        </w:rPr>
        <w:t xml:space="preserve">of populations and used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p>
    <w:p w:rsidR="001033CA" w:rsidRDefault="001033CA" w:rsidP="001033CA">
      <w:pPr>
        <w:pStyle w:val="Heading2"/>
      </w:pPr>
      <w:r>
        <w:t>Mutation-selection balance</w:t>
      </w:r>
    </w:p>
    <w:p w:rsidR="001033CA" w:rsidRDefault="002B1207" w:rsidP="00EF3BEC">
      <w:pPr>
        <w:rPr>
          <w:rFonts w:eastAsiaTheme="minorEastAsia"/>
          <w:lang w:bidi="hi-IN"/>
        </w:rPr>
      </w:pPr>
      <w:r>
        <w:rPr>
          <w:lang w:bidi="hi-IN"/>
        </w:rPr>
        <w:t xml:space="preserve">Denote the frequency, fitness and </w:t>
      </w:r>
      <w:r w:rsidR="00D82F82">
        <w:rPr>
          <w:lang w:bidi="hi-IN"/>
        </w:rPr>
        <w:t xml:space="preserve">deleterious </w:t>
      </w:r>
      <w:r>
        <w:rPr>
          <w:lang w:bidi="hi-IN"/>
        </w:rPr>
        <w:t xml:space="preserve">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sidR="00EF3BEC">
        <w:rPr>
          <w:lang w:bidi="hi-IN"/>
        </w:rPr>
        <w:t>A</w:t>
      </w:r>
      <w:r w:rsidR="00564668">
        <w:rPr>
          <w:lang w:bidi="hi-IN"/>
        </w:rPr>
        <w:t xml:space="preserve">ssume that a small fraction </w:t>
      </w:r>
      <m:oMath>
        <m:r>
          <w:rPr>
            <w:rFonts w:ascii="Cambria Math" w:hAnsi="Cambria Math"/>
            <w:lang w:bidi="hi-IN"/>
          </w:rPr>
          <m:t>β≪1</m:t>
        </m:r>
      </m:oMath>
      <w:r w:rsidR="00564668">
        <w:rPr>
          <w:rFonts w:eastAsiaTheme="minorEastAsia"/>
          <w:lang w:bidi="hi-IN"/>
        </w:rPr>
        <w:t xml:space="preserve"> of </w:t>
      </w:r>
      <w:r w:rsidR="00EF3BEC">
        <w:rPr>
          <w:rFonts w:eastAsiaTheme="minorEastAsia"/>
          <w:lang w:bidi="hi-IN"/>
        </w:rPr>
        <w:t>all</w:t>
      </w:r>
      <w:r w:rsidR="00564668">
        <w:rPr>
          <w:rFonts w:eastAsiaTheme="minorEastAsia"/>
          <w:lang w:bidi="hi-IN"/>
        </w:rPr>
        <w:t xml:space="preserve"> mutations are beneficial mutations which reduce the number of deleterious mutations carried by an individual.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be described by</w:t>
      </w:r>
      <w:r w:rsidR="00564668">
        <w:rPr>
          <w:rFonts w:eastAsiaTheme="minorEastAsia"/>
          <w:lang w:bidi="hi-IN"/>
        </w:rPr>
        <w:t xml:space="preserve"> (</w:t>
      </w:r>
      <w:proofErr w:type="gramStart"/>
      <w:r w:rsidR="00564668">
        <w:rPr>
          <w:rFonts w:eastAsiaTheme="minorEastAsia"/>
          <w:lang w:bidi="hi-IN"/>
        </w:rPr>
        <w:t xml:space="preserve">denoting </w:t>
      </w:r>
      <w:proofErr w:type="gramEnd"/>
      <m:oMath>
        <m:r>
          <w:rPr>
            <w:rFonts w:ascii="Cambria Math" w:eastAsiaTheme="minorEastAsia" w:hAnsi="Cambria Math"/>
            <w:lang w:bidi="hi-IN"/>
          </w:rPr>
          <m:t>δ=1-β</m:t>
        </m:r>
      </m:oMath>
      <w:r w:rsidR="00564668">
        <w:rPr>
          <w:rFonts w:eastAsiaTheme="minorEastAsia"/>
          <w:lang w:bidi="hi-IN"/>
        </w:rPr>
        <w:t>)</w:t>
      </w:r>
      <w:r>
        <w:rPr>
          <w:rFonts w:eastAsiaTheme="minorEastAsia"/>
          <w:lang w:bidi="hi-IN"/>
        </w:rPr>
        <w:t xml:space="preserve">: </w:t>
      </w:r>
    </w:p>
    <w:p w:rsidR="002B1207" w:rsidRDefault="001F51E7"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564668">
      <w:pPr>
        <w:rPr>
          <w:rFonts w:eastAsiaTheme="minorEastAsia"/>
          <w:lang w:bidi="hi-IN"/>
        </w:rPr>
      </w:pPr>
      <w:r>
        <w:rPr>
          <w:rFonts w:eastAsiaTheme="minorEastAsia"/>
          <w:lang w:bidi="hi-IN"/>
        </w:rPr>
        <w:t>This can be written as a matrix equation by</w:t>
      </w:r>
      <w:r w:rsidR="00125157">
        <w:rPr>
          <w:rFonts w:eastAsiaTheme="minorEastAsia"/>
          <w:lang w:bidi="hi-IN"/>
        </w:rPr>
        <w:t xml:space="preserve"> multiplying the frequencies vector </w:t>
      </w:r>
      <w:r w:rsidR="00125157" w:rsidRPr="00EF3BEC">
        <w:rPr>
          <w:rFonts w:eastAsiaTheme="minorEastAsia"/>
          <w:i/>
          <w:iCs/>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1F51E7"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EF3BEC" w:rsidP="00EF3BEC">
      <w:pPr>
        <w:rPr>
          <w:rFonts w:eastAsiaTheme="minorEastAsia"/>
          <w:lang w:bidi="hi-IN"/>
        </w:rPr>
      </w:pPr>
      <w:r>
        <w:rPr>
          <w:rFonts w:eastAsiaTheme="minorEastAsia"/>
          <w:lang w:bidi="hi-IN"/>
        </w:rPr>
        <w:t>At the MSB,</w:t>
      </w:r>
      <w:r w:rsidR="004A2989">
        <w:rPr>
          <w:rFonts w:eastAsiaTheme="minorEastAsia"/>
          <w:lang w:bidi="hi-IN"/>
        </w:rPr>
        <w:t xml:space="preserve"> </w:t>
      </w:r>
      <w:r w:rsidR="004A2989">
        <w:rPr>
          <w:rFonts w:eastAsiaTheme="minorEastAsia"/>
          <w:i/>
          <w:iCs/>
          <w:lang w:bidi="hi-IN"/>
        </w:rPr>
        <w:t>f*</w:t>
      </w:r>
      <w:r>
        <w:rPr>
          <w:rFonts w:eastAsiaTheme="minorEastAsia"/>
          <w:lang w:bidi="hi-IN"/>
        </w:rPr>
        <w:t xml:space="preserve"> </w:t>
      </w:r>
      <w:r w:rsidR="004A2989">
        <w:rPr>
          <w:rFonts w:eastAsiaTheme="minorEastAsia"/>
          <w:lang w:bidi="hi-IN"/>
        </w:rPr>
        <w:t>fulfills</w:t>
      </w:r>
      <w:r>
        <w:rPr>
          <w:rFonts w:eastAsiaTheme="minorEastAsia"/>
          <w:lang w:bidi="hi-IN"/>
        </w:rPr>
        <w:t xml:space="preserve"> (a star * denotes equilibrium quantities)</w:t>
      </w:r>
      <w:r w:rsidR="004A2989">
        <w:rPr>
          <w:rFonts w:eastAsiaTheme="minorEastAsia"/>
          <w:lang w:bidi="hi-IN"/>
        </w:rPr>
        <w:t>:</w:t>
      </w:r>
    </w:p>
    <w:p w:rsidR="004A2989" w:rsidRPr="004A2989" w:rsidRDefault="001F51E7"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Default="00EF3BEC" w:rsidP="00EF3BEC">
      <w:pPr>
        <w:rPr>
          <w:rFonts w:eastAsiaTheme="minorEastAsia"/>
          <w:lang w:bidi="hi-IN"/>
        </w:rPr>
      </w:pPr>
      <w:r>
        <w:rPr>
          <w:rFonts w:eastAsiaTheme="minorEastAsia"/>
          <w:lang w:bidi="hi-IN"/>
        </w:rPr>
        <w:t xml:space="preserve">Because </w:t>
      </w:r>
      <w:r w:rsidR="004A2989">
        <w:rPr>
          <w:rFonts w:eastAsiaTheme="minorEastAsia"/>
          <w:i/>
          <w:iCs/>
          <w:lang w:bidi="hi-IN"/>
        </w:rPr>
        <w:t>M</w:t>
      </w:r>
      <w:r>
        <w:rPr>
          <w:rFonts w:eastAsiaTheme="minorEastAsia"/>
          <w:lang w:bidi="hi-IN"/>
        </w:rPr>
        <w:t xml:space="preserve"> is a positive matrix</w:t>
      </w:r>
      <w:r w:rsidR="004A2989">
        <w:rPr>
          <w:rFonts w:eastAsiaTheme="minorEastAsia"/>
          <w:lang w:bidi="hi-IN"/>
        </w:rPr>
        <w:t xml:space="preserve"> and by the </w:t>
      </w:r>
      <w:proofErr w:type="spellStart"/>
      <w:r w:rsidR="004A2989">
        <w:rPr>
          <w:rFonts w:eastAsiaTheme="minorEastAsia"/>
          <w:i/>
          <w:iCs/>
          <w:lang w:bidi="hi-IN"/>
        </w:rPr>
        <w:t>Perron-Frobenius</w:t>
      </w:r>
      <w:proofErr w:type="spellEnd"/>
      <w:r w:rsidR="004A2989">
        <w:rPr>
          <w:rFonts w:eastAsiaTheme="minorEastAsia"/>
          <w:i/>
          <w:iCs/>
          <w:lang w:bidi="hi-IN"/>
        </w:rPr>
        <w:t xml:space="preserve"> Theorem</w:t>
      </w:r>
      <w:r w:rsidR="004A2989">
        <w:rPr>
          <w:rFonts w:eastAsiaTheme="minorEastAsia"/>
          <w:lang w:bidi="hi-IN"/>
        </w:rPr>
        <w:t xml:space="preserve"> </w:t>
      </w:r>
      <w:r w:rsidR="004A2989">
        <w:rPr>
          <w:rFonts w:eastAsiaTheme="minorEastAsia"/>
          <w:lang w:bidi="hi-IN"/>
        </w:rPr>
        <w:fldChar w:fldCharType="begin" w:fldLock="1"/>
      </w:r>
      <w:r w:rsidR="004F4440">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709 pg.)" }, "properties" : { "noteIndex" : 0 }, "schema" : "https://github.com/citation-style-language/schema/raw/master/csl-citation.json" }</w:instrText>
      </w:r>
      <w:r w:rsidR="004A2989">
        <w:rPr>
          <w:rFonts w:eastAsiaTheme="minorEastAsia"/>
          <w:lang w:bidi="hi-IN"/>
        </w:rPr>
        <w:fldChar w:fldCharType="separate"/>
      </w:r>
      <w:r w:rsidR="004A2989">
        <w:rPr>
          <w:rFonts w:eastAsiaTheme="minorEastAsia"/>
          <w:noProof/>
          <w:lang w:bidi="hi-IN"/>
        </w:rPr>
        <w:t>(Otto and Day 2007, p. 709</w:t>
      </w:r>
      <w:r w:rsidR="004A2989" w:rsidRPr="004A2989">
        <w:rPr>
          <w:rFonts w:eastAsiaTheme="minorEastAsia"/>
          <w:noProof/>
          <w:lang w:bidi="hi-IN"/>
        </w:rPr>
        <w:t>)</w:t>
      </w:r>
      <w:r w:rsidR="004A2989">
        <w:rPr>
          <w:rFonts w:eastAsiaTheme="minorEastAsia"/>
          <w:lang w:bidi="hi-IN"/>
        </w:rPr>
        <w:fldChar w:fldCharType="end"/>
      </w:r>
      <w:r w:rsidR="004A2989">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sidR="004A2989">
        <w:rPr>
          <w:rFonts w:eastAsiaTheme="minorEastAsia"/>
          <w:lang w:bidi="hi-IN"/>
        </w:rPr>
        <w:t xml:space="preserve"> is the largest eigenvalue of </w:t>
      </w:r>
      <w:r w:rsidR="004A2989">
        <w:rPr>
          <w:rFonts w:eastAsiaTheme="minorEastAsia"/>
          <w:i/>
          <w:iCs/>
          <w:lang w:bidi="hi-IN"/>
        </w:rPr>
        <w:t>M</w:t>
      </w:r>
      <w:r w:rsidR="004A2989">
        <w:rPr>
          <w:rFonts w:eastAsiaTheme="minorEastAsia"/>
          <w:lang w:bidi="hi-IN"/>
        </w:rPr>
        <w:t xml:space="preserve"> and </w:t>
      </w:r>
      <w:r w:rsidR="004A2989">
        <w:rPr>
          <w:rFonts w:eastAsiaTheme="minorEastAsia"/>
          <w:i/>
          <w:iCs/>
          <w:lang w:bidi="hi-IN"/>
        </w:rPr>
        <w:t>f*</w:t>
      </w:r>
      <w:r w:rsidR="004A2989">
        <w:rPr>
          <w:rFonts w:eastAsiaTheme="minorEastAsia"/>
          <w:lang w:bidi="hi-IN"/>
        </w:rPr>
        <w:t xml:space="preserve"> is its unique</w:t>
      </w:r>
      <w:r w:rsidR="005F1227">
        <w:rPr>
          <w:rFonts w:eastAsiaTheme="minorEastAsia"/>
          <w:lang w:bidi="hi-IN"/>
        </w:rPr>
        <w:t xml:space="preserve"> no</w:t>
      </w:r>
      <w:r w:rsidR="004A2989">
        <w:rPr>
          <w:rFonts w:eastAsiaTheme="minorEastAsia"/>
          <w:lang w:bidi="hi-IN"/>
        </w:rPr>
        <w:t xml:space="preserve">n-negative eigenvector with </w:t>
      </w:r>
      <m:oMath>
        <m:r>
          <w:rPr>
            <w:rFonts w:ascii="Cambria Math" w:eastAsiaTheme="minorEastAsia" w:hAnsi="Cambria Math"/>
            <w:lang w:bidi="hi-IN"/>
          </w:rPr>
          <m:t>∑f=1</m:t>
        </m:r>
      </m:oMath>
      <w:r w:rsidR="004A2989">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5F1227">
        <w:rPr>
          <w:rFonts w:cs="Times New Roman"/>
          <w:i/>
          <w:iCs/>
          <w:lang w:bidi="hi-IN"/>
        </w:rPr>
        <w:t>δ=1</w:t>
      </w:r>
      <w:r w:rsidR="004A2989" w:rsidRPr="004A2989">
        <w:rPr>
          <w:rFonts w:cs="Times New Roman"/>
          <w:lang w:bidi="hi-IN"/>
        </w:rPr>
        <w:t xml:space="preserve"> </w:t>
      </w:r>
      <w:r w:rsidR="004A2989" w:rsidRPr="002B1207">
        <w:rPr>
          <w:lang w:bidi="hi-IN"/>
        </w:rPr>
        <w:t>and</w:t>
      </w:r>
      <w:r w:rsidR="004A2989" w:rsidRPr="002B1207">
        <w:rPr>
          <w:rFonts w:cs="Times New Roman"/>
          <w:lang w:bidi="hi-IN"/>
        </w:rPr>
        <w:t xml:space="preserve"> </w:t>
      </w:r>
      <w:r w:rsidR="004A2989" w:rsidRPr="005F1227">
        <w:rPr>
          <w:rFonts w:cs="Times New Roman"/>
          <w:i/>
          <w:iCs/>
          <w:lang w:bidi="hi-IN"/>
        </w:rPr>
        <w:t>β</w:t>
      </w:r>
      <w:r w:rsidR="004A2989" w:rsidRPr="005F1227">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1F51E7"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1033CA" w:rsidRPr="00FC3218" w:rsidRDefault="00A03104" w:rsidP="00EF3BEC">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w:t>
      </w:r>
      <w:r w:rsidR="00EF3BEC">
        <w:rPr>
          <w:rFonts w:eastAsiaTheme="minorEastAsia"/>
          <w:lang w:bidi="hi-IN"/>
        </w:rPr>
        <w:t xml:space="preserve">(constant uniform mutation rate) </w:t>
      </w:r>
      <w:r w:rsidR="00FC3218">
        <w:rPr>
          <w:rFonts w:eastAsiaTheme="minorEastAsia"/>
          <w:lang w:bidi="hi-IN"/>
        </w:rPr>
        <w:t xml:space="preserve">then the frequencies vector </w:t>
      </w:r>
      <w:r w:rsidR="00EF3BEC">
        <w:rPr>
          <w:rFonts w:eastAsiaTheme="minorEastAsia"/>
          <w:lang w:bidi="hi-IN"/>
        </w:rPr>
        <w:t xml:space="preserve">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w:t>
      </w:r>
      <w:r w:rsidR="00FC3218">
        <w:rPr>
          <w:rFonts w:eastAsiaTheme="minorEastAsia"/>
          <w:lang w:bidi="hi-IN"/>
        </w:rPr>
        <w:lastRenderedPageBreak/>
        <w:t xml:space="preserve">number of deleterious mutations per individual is Poisson distributed with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4F4440">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With beneficial mutations this eigenvalue problem is harder to solve analytically. By neglecting elements outside the main three diagonals</w:t>
      </w:r>
      <w:r w:rsidR="00F35F7B">
        <w:rPr>
          <w:rFonts w:eastAsiaTheme="minorEastAsia"/>
          <w:lang w:bidi="hi-IN"/>
        </w:rPr>
        <w:t xml:space="preserve"> of </w:t>
      </w:r>
      <w:r w:rsidR="00F35F7B">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4F4440">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w:t>
      </w:r>
      <w:proofErr w:type="gramStart"/>
      <w:r>
        <w:rPr>
          <w:rFonts w:eastAsiaTheme="minorEastAsia"/>
          <w:lang w:bidi="hi-IN"/>
        </w:rPr>
        <w:t>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sidR="0046652F">
        <w:rPr>
          <w:rFonts w:eastAsiaTheme="minorEastAsia"/>
          <w:lang w:bidi="hi-IN"/>
        </w:rPr>
        <w:t xml:space="preserve">matrices </w:t>
      </w:r>
      <w:r>
        <w:rPr>
          <w:rFonts w:eastAsiaTheme="minorEastAsia"/>
          <w:lang w:bidi="hi-IN"/>
        </w:rPr>
        <w:t xml:space="preserve">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46652F">
        <w:rPr>
          <w:rFonts w:eastAsiaTheme="minorEastAsia"/>
          <w:lang w:bidi="hi-IN"/>
        </w:rPr>
        <w:t xml:space="preserve"> – see </w:t>
      </w:r>
      <w:r w:rsidR="00F35F7B">
        <w:rPr>
          <w:rFonts w:eastAsiaTheme="minorEastAsia"/>
          <w:lang w:bidi="hi-IN"/>
        </w:rPr>
        <w:t xml:space="preserve">the </w:t>
      </w:r>
      <w:proofErr w:type="spellStart"/>
      <w:r w:rsidR="00F35F7B" w:rsidRPr="00F35F7B">
        <w:rPr>
          <w:rFonts w:eastAsiaTheme="minorEastAsia"/>
          <w:i/>
          <w:iCs/>
          <w:lang w:bidi="hi-IN"/>
        </w:rPr>
        <w:t>mean_fitness</w:t>
      </w:r>
      <w:proofErr w:type="spellEnd"/>
      <w:r w:rsidR="00F35F7B">
        <w:rPr>
          <w:rFonts w:eastAsiaTheme="minorEastAsia"/>
          <w:lang w:bidi="hi-IN"/>
        </w:rPr>
        <w:t xml:space="preserve"> function in the </w:t>
      </w:r>
      <w:r w:rsidR="0046652F" w:rsidRPr="00F35F7B">
        <w:rPr>
          <w:rFonts w:eastAsiaTheme="minorEastAsia"/>
          <w:lang w:bidi="hi-IN"/>
        </w:rPr>
        <w:t>Python</w:t>
      </w:r>
      <w:r w:rsidR="0046652F">
        <w:rPr>
          <w:rFonts w:eastAsiaTheme="minorEastAsia"/>
          <w:lang w:bidi="hi-IN"/>
        </w:rPr>
        <w:t xml:space="preserve"> code in Supplementary File X.</w:t>
      </w:r>
    </w:p>
    <w:p w:rsidR="000D56CE" w:rsidRDefault="001F5496" w:rsidP="000D56CE">
      <w:pPr>
        <w:pStyle w:val="Heading2"/>
        <w:rPr>
          <w:rFonts w:eastAsiaTheme="minorEastAsia"/>
        </w:rPr>
      </w:pPr>
      <w:r>
        <w:rPr>
          <w:rFonts w:eastAsiaTheme="minorEastAsia"/>
        </w:rPr>
        <w:t>Adaptation o</w:t>
      </w:r>
      <w:r w:rsidR="000D56CE">
        <w:rPr>
          <w:rFonts w:eastAsiaTheme="minorEastAsia"/>
        </w:rPr>
        <w:t>n a rugged fitness landscape</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Pr="00607B56" w:rsidRDefault="005F1227" w:rsidP="005F1227">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Pr>
          <w:i/>
          <w:iCs/>
        </w:rPr>
        <w:t>(1-s</w:t>
      </w:r>
      <w:proofErr w:type="gramStart"/>
      <w:r>
        <w:rPr>
          <w:i/>
          <w:iCs/>
        </w:rPr>
        <w:t>)</w:t>
      </w:r>
      <w:r w:rsidRPr="005F1227">
        <w:rPr>
          <w:i/>
          <w:iCs/>
          <w:vertAlign w:val="superscript"/>
        </w:rPr>
        <w:t>2</w:t>
      </w:r>
      <w:proofErr w:type="gramEnd"/>
      <w:r>
        <w:rPr>
          <w:i/>
          <w:iCs/>
        </w:rPr>
        <w:t xml:space="preserve"> </w:t>
      </w:r>
      <w:r>
        <w:t xml:space="preserve"> </w:t>
      </w:r>
      <w:r w:rsidR="00607B56" w:rsidRPr="005F1227">
        <w:rPr>
          <w:i/>
          <w:iCs/>
        </w:rPr>
        <w:t>1</w:t>
      </w:r>
      <w:r w:rsidR="00607B56">
        <w:rPr>
          <w:i/>
          <w:iCs/>
        </w:rPr>
        <w:t>+sH</w:t>
      </w:r>
      <w:r w:rsidR="00607B56">
        <w:t xml:space="preserve"> (</w:t>
      </w:r>
      <w:r w:rsidR="00607B56">
        <w:rPr>
          <w:i/>
          <w:iCs/>
        </w:rPr>
        <w:t>H</w:t>
      </w:r>
      <w:r w:rsidR="00607B56">
        <w:t xml:space="preserve"> is the double mutant relative advantage)</w:t>
      </w:r>
      <w:r>
        <w:t>, making it the optimal genotype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t>)</w:t>
      </w:r>
      <w:r w:rsidR="00607B56">
        <w:t xml:space="preserve">. </w:t>
      </w:r>
      <w:r>
        <w:t xml:space="preserve">We study four different mutational strategies: NM, CM, </w:t>
      </w:r>
      <w:proofErr w:type="gramStart"/>
      <w:r>
        <w:t>SIM</w:t>
      </w:r>
      <w:proofErr w:type="gramEnd"/>
      <w:r>
        <w:t xml:space="preserve">-I with which </w:t>
      </w:r>
      <w:r w:rsidR="00607B56">
        <w:t xml:space="preserve">all genotypes except </w:t>
      </w:r>
      <w:proofErr w:type="spellStart"/>
      <w:r w:rsidR="00607B56">
        <w:rPr>
          <w:i/>
          <w:iCs/>
        </w:rPr>
        <w:t>ab</w:t>
      </w:r>
      <w:proofErr w:type="spellEnd"/>
      <w:r w:rsidR="00607B56">
        <w:t xml:space="preserve"> and </w:t>
      </w:r>
      <w:r w:rsidR="00607B56">
        <w:rPr>
          <w:i/>
          <w:iCs/>
        </w:rPr>
        <w:t>AB</w:t>
      </w:r>
      <w:r w:rsidR="00607B56">
        <w:t xml:space="preserve"> hypermutate</w:t>
      </w:r>
      <w:r>
        <w:t xml:space="preserve">, and SIM-II with which </w:t>
      </w:r>
      <w:r w:rsidR="00607B56">
        <w:t xml:space="preserve">all genotypes except </w:t>
      </w:r>
      <w:r w:rsidR="00607B56">
        <w:rPr>
          <w:i/>
          <w:iCs/>
        </w:rPr>
        <w:t>AB</w:t>
      </w:r>
      <w:r w:rsidR="00607B56">
        <w:t xml:space="preserve"> hypermutate.</w:t>
      </w:r>
    </w:p>
    <w:p w:rsidR="000D56CE" w:rsidRDefault="000D56CE" w:rsidP="00607B56">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D56CE" w:rsidRDefault="000D56CE" w:rsidP="000D56CE">
      <w:pPr>
        <w:keepNext/>
        <w:jc w:val="center"/>
      </w:pPr>
      <w:r>
        <w:rPr>
          <w:noProof/>
        </w:rPr>
        <w:lastRenderedPageBreak/>
        <w:drawing>
          <wp:inline distT="0" distB="0" distL="0" distR="0" wp14:anchorId="63539610" wp14:editId="18B0D1E3">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607B56">
      <w:pPr>
        <w:pStyle w:val="FigureLegend"/>
        <w:rPr>
          <w:lang w:bidi="hi-IN"/>
        </w:rPr>
      </w:pPr>
      <w:bookmarkStart w:id="0" w:name="_Ref354316371"/>
      <w:r w:rsidRPr="000D56CE">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1</w:t>
      </w:r>
      <w:r w:rsidR="00477861">
        <w:rPr>
          <w:b/>
          <w:bCs/>
        </w:rPr>
        <w:fldChar w:fldCharType="end"/>
      </w:r>
      <w:bookmarkEnd w:id="0"/>
      <w:r w:rsidRPr="000D56CE">
        <w:rPr>
          <w:b/>
          <w:bCs/>
        </w:rPr>
        <w:t xml:space="preserve"> – Adaptive landscape illustration.</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xml:space="preserve">, and in panel b also the number of deleterious alleles across the genome. Mutagenesis is induced in stressed genotypes (fitness </w:t>
      </w:r>
      <w:r w:rsidRPr="00607B56">
        <w:rPr>
          <w:i/>
          <w:iCs/>
        </w:rPr>
        <w:t>&lt;1</w:t>
      </w:r>
      <w:r w:rsidR="00607B56">
        <w:t xml:space="preserve"> or </w:t>
      </w:r>
      <w:r w:rsidR="00607B56" w:rsidRPr="00607B56">
        <w:rPr>
          <w:i/>
          <w:iCs/>
        </w:rPr>
        <w:t>&lt;1+sH</w:t>
      </w:r>
      <w:r w:rsidR="00607B56">
        <w:t>, depending on the scenario</w:t>
      </w:r>
      <w:r w:rsidRPr="000D56CE">
        <w:t xml:space="preserve">), indicated by ellipses, while adapted genotypes (fitness </w:t>
      </w:r>
      <w:r w:rsidR="00607B56">
        <w:rPr>
          <w:i/>
          <w:iCs/>
        </w:rPr>
        <w:t>&gt;</w:t>
      </w:r>
      <w:r w:rsidRPr="00607B56">
        <w:rPr>
          <w:i/>
          <w:iCs/>
        </w:rPr>
        <w:t>1</w:t>
      </w:r>
      <w:r w:rsidR="00607B56">
        <w:t xml:space="preserve"> or </w:t>
      </w:r>
      <w:r w:rsidR="00607B56" w:rsidRPr="00607B56">
        <w:rPr>
          <w:i/>
          <w:iCs/>
        </w:rPr>
        <w:t>&gt;1+sH</w:t>
      </w:r>
      <w:r w:rsidR="00607B56">
        <w:t>, depending on the scenario</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w:t>
      </w:r>
      <w:proofErr w:type="spellStart"/>
      <w:r w:rsidRPr="000D56CE">
        <w:t>colour</w:t>
      </w:r>
      <w:proofErr w:type="spellEnd"/>
      <w:r w:rsidRPr="000D56CE">
        <w:t xml:space="preserve"> represents fitness (see </w:t>
      </w:r>
      <w:proofErr w:type="spellStart"/>
      <w:r w:rsidRPr="000D56CE">
        <w:t>colourbar</w:t>
      </w:r>
      <w:proofErr w:type="spellEnd"/>
      <w:r w:rsidRPr="000D56CE">
        <w:t>),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proofErr w:type="gramStart"/>
      <w:r w:rsidRPr="000D56CE">
        <w:rPr>
          <w:i/>
          <w:iCs/>
        </w:rPr>
        <w:t>)</w:t>
      </w:r>
      <w:r>
        <w:rPr>
          <w:i/>
          <w:iCs/>
          <w:vertAlign w:val="superscript"/>
        </w:rPr>
        <w:t>x</w:t>
      </w:r>
      <w:proofErr w:type="gramEnd"/>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proofErr w:type="spellStart"/>
      <w:r>
        <w:rPr>
          <w:i/>
          <w:iCs/>
        </w:rPr>
        <w:t>ab</w:t>
      </w:r>
      <w:proofErr w:type="spellEnd"/>
      <w:r>
        <w:t xml:space="preserve">) individuals </w:t>
      </w:r>
      <w:proofErr w:type="gramStart"/>
      <w: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proofErr w:type="spellStart"/>
      <w:r>
        <w:rPr>
          <w:i/>
          <w:iCs/>
        </w:rPr>
        <w:t>Ab</w:t>
      </w:r>
      <w:proofErr w:type="spellEnd"/>
      <w:r>
        <w:t xml:space="preserve"> and </w:t>
      </w:r>
      <w:proofErr w:type="spellStart"/>
      <w:r>
        <w:rPr>
          <w:i/>
          <w:iCs/>
        </w:rPr>
        <w:t>aB</w:t>
      </w:r>
      <w:proofErr w:type="spellEnd"/>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proofErr w:type="gramStart"/>
      <w:r w:rsidRPr="00FD5294">
        <w:rPr>
          <w:i/>
          <w:iCs/>
        </w:rPr>
        <w:t>N</w:t>
      </w:r>
      <w:r>
        <w:t>(</w:t>
      </w:r>
      <w:proofErr w:type="gramEnd"/>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lastRenderedPageBreak/>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Therefore, 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1" w:name="_Ref358733007"/>
            <w:bookmarkStart w:id="2" w:name="_Ref354149705"/>
            <w:r>
              <w:t>(</w:t>
            </w:r>
            <w:fldSimple w:instr=" SEQ Equation ">
              <w:r>
                <w:rPr>
                  <w:noProof/>
                </w:rPr>
                <w:t>1</w:t>
              </w:r>
            </w:fldSimple>
            <w:bookmarkEnd w:id="1"/>
            <w:r>
              <w:t>)</w:t>
            </w:r>
            <w:bookmarkEnd w:id="2"/>
          </w:p>
        </w:tc>
      </w:tr>
      <w:tr w:rsidR="002D7506" w:rsidTr="00563FAB">
        <w:tc>
          <w:tcPr>
            <w:tcW w:w="4500" w:type="pct"/>
            <w:vAlign w:val="center"/>
          </w:tcPr>
          <w:p w:rsidR="002D7506" w:rsidRDefault="001F51E7"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3" w:name="_Ref358733010"/>
            <w:bookmarkStart w:id="4" w:name="_Ref354129072"/>
            <w:r>
              <w:t>(</w:t>
            </w:r>
            <w:fldSimple w:instr=" SEQ Equation ">
              <w:r>
                <w:rPr>
                  <w:noProof/>
                </w:rPr>
                <w:t>2</w:t>
              </w:r>
            </w:fldSimple>
            <w:bookmarkEnd w:id="3"/>
            <w:r>
              <w:t>)</w:t>
            </w:r>
            <w:bookmarkEnd w:id="4"/>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r w:rsidR="003F5091">
        <w:t xml:space="preserve">for </w:t>
      </w:r>
      <w:r w:rsidR="003F5091" w:rsidRPr="003F5091">
        <w:rPr>
          <w:i/>
          <w:iCs/>
        </w:rPr>
        <w:t>Escherichia</w:t>
      </w:r>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E5128F" w:rsidRDefault="00E5128F" w:rsidP="000D56CE"/>
    <w:p w:rsidR="002D7506" w:rsidRDefault="002D7506" w:rsidP="00E5128F">
      <w:pPr>
        <w:pStyle w:val="FigureLegend"/>
      </w:pPr>
      <w:bookmarkStart w:id="5" w:name="_Ref358791100"/>
      <w:r>
        <w:t xml:space="preserve">Table </w:t>
      </w:r>
      <w:fldSimple w:instr=" SEQ Table \* ARABIC ">
        <w:r>
          <w:rPr>
            <w:noProof/>
          </w:rPr>
          <w:t>1</w:t>
        </w:r>
      </w:fldSimple>
      <w:bookmarkEnd w:id="5"/>
      <w:r>
        <w:t xml:space="preserve"> </w:t>
      </w:r>
      <w:r>
        <w:rPr>
          <w:rFonts w:ascii="Arial" w:hAnsi="Arial" w:cs="Arial"/>
        </w:rPr>
        <w:t>–</w:t>
      </w:r>
      <w:r>
        <w:t xml:space="preserve"> </w:t>
      </w:r>
      <w:r w:rsidRPr="00524B4A">
        <w:t>Model parameter</w:t>
      </w:r>
      <w:r>
        <w:t>s and estimated values for bacteria</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4F4440">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Perfeito, and Sousa 2011)" }, "properties" : { "noteIndex" : 0 }, "schema" : "https://github.com/citation-style-language/schema/raw/master/csl-citation.json" }</w:instrText>
            </w:r>
            <w:r>
              <w:fldChar w:fldCharType="separate"/>
            </w:r>
            <w:r w:rsidRPr="002D7506">
              <w:rPr>
                <w:noProof/>
              </w:rPr>
              <w:t>(Kibota and Lynch 1996; Gordo, Perfeito, and Sousa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4F4440">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4F4440">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4F4440">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4F4440">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E5128F">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4</w:t>
            </w:r>
            <w:r>
              <w:t>-10</w:t>
            </w:r>
            <w:r>
              <w:rPr>
                <w:vertAlign w:val="superscript"/>
              </w:rPr>
              <w:t>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p>
        </w:tc>
      </w:tr>
    </w:tbl>
    <w:p w:rsidR="00E5128F" w:rsidRDefault="00E5128F" w:rsidP="00E5128F"/>
    <w:p w:rsidR="002D7506" w:rsidRDefault="002D7506" w:rsidP="002D7506">
      <w:pPr>
        <w:pStyle w:val="Heading3"/>
      </w:pPr>
      <w:r>
        <w:t>Appearance of a double mutant</w:t>
      </w:r>
    </w:p>
    <w:p w:rsidR="002D7506" w:rsidRDefault="002D7506" w:rsidP="00925154">
      <w:r>
        <w:t>Because there are no double mutants (</w:t>
      </w:r>
      <w:r>
        <w:rPr>
          <w:i/>
          <w:iCs/>
        </w:rPr>
        <w:t>AB</w:t>
      </w:r>
      <w:r>
        <w:t>) at the time of the environmental change, double mutants can appear either via a double mu</w:t>
      </w:r>
      <w:r w:rsidR="003F5091">
        <w:t>tation in a wildtype individual</w:t>
      </w:r>
      <w:r>
        <w:t xml:space="preserve"> </w:t>
      </w:r>
      <w:proofErr w:type="spellStart"/>
      <w:r>
        <w:rPr>
          <w:i/>
          <w:iCs/>
        </w:rPr>
        <w:t>ab</w:t>
      </w:r>
      <w:proofErr w:type="spellEnd"/>
      <w:r>
        <w:t>, or via a sin</w:t>
      </w:r>
      <w:r w:rsidR="003F5091">
        <w:t>gle mutation in a single mutant</w:t>
      </w:r>
      <w:r>
        <w:t xml:space="preserve"> </w:t>
      </w:r>
      <w:proofErr w:type="spellStart"/>
      <w:r>
        <w:rPr>
          <w:i/>
          <w:iCs/>
        </w:rPr>
        <w:t>Ab</w:t>
      </w:r>
      <w:proofErr w:type="spellEnd"/>
      <w:r>
        <w:t xml:space="preserve"> or </w:t>
      </w:r>
      <w:proofErr w:type="spellStart"/>
      <w:r>
        <w:rPr>
          <w:i/>
          <w:iCs/>
        </w:rPr>
        <w:t>aB</w:t>
      </w:r>
      <w:proofErr w:type="spellEnd"/>
      <w:r>
        <w:rPr>
          <w:i/>
          <w:iCs/>
        </w:rPr>
        <w:t xml:space="preserve"> </w:t>
      </w:r>
      <w:r w:rsidRPr="00D65806">
        <w:t>(</w:t>
      </w:r>
      <w:r>
        <w:t xml:space="preserve">Figure 1a). We assume that at the MSB the number of deleterious mutations per individual follows a Poisson distribution </w:t>
      </w:r>
      <w:r w:rsidRPr="002D7506">
        <w:fldChar w:fldCharType="begin" w:fldLock="1"/>
      </w:r>
      <w:r w:rsidR="004F4440">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fldChar w:fldCharType="separate"/>
      </w:r>
      <w:r w:rsidRPr="002D7506">
        <w:rPr>
          <w:noProof/>
        </w:rPr>
        <w:t>(Haigh 1978)</w:t>
      </w:r>
      <w:r w:rsidRPr="002D7506">
        <w:fldChar w:fldCharType="end"/>
      </w:r>
      <w:r>
        <w:t xml:space="preserve">. Therefore, the frequencies of mutation-free wildtype </w:t>
      </w:r>
      <w:proofErr w:type="spellStart"/>
      <w:r>
        <w:rPr>
          <w:i/>
          <w:iCs/>
        </w:rPr>
        <w:t>ab</w:t>
      </w:r>
      <w:proofErr w:type="spellEnd"/>
      <w:r>
        <w:t xml:space="preserve"> and single mutants </w:t>
      </w:r>
      <w:proofErr w:type="spellStart"/>
      <w:r w:rsidRPr="00BB678E">
        <w:rPr>
          <w:i/>
          <w:iCs/>
        </w:rPr>
        <w:t>aB</w:t>
      </w:r>
      <w:proofErr w:type="spellEnd"/>
      <w:r>
        <w:t xml:space="preserve"> and </w:t>
      </w:r>
      <w:proofErr w:type="spellStart"/>
      <w:r w:rsidRPr="005F3FF6">
        <w:rPr>
          <w:i/>
          <w:iCs/>
        </w:rPr>
        <w:t>Ab</w:t>
      </w:r>
      <w:proofErr w:type="spellEnd"/>
      <w:r>
        <w:t xml:space="preserve"> </w:t>
      </w:r>
      <w:r w:rsidRPr="005F3FF6">
        <w:t>are</w:t>
      </w:r>
      <w:r>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t xml:space="preserve"> </w:t>
      </w:r>
      <w:proofErr w:type="gramStart"/>
      <w:r>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t xml:space="preserve">. The probability </w:t>
      </w:r>
      <w:r>
        <w:rPr>
          <w:i/>
          <w:iCs/>
        </w:rPr>
        <w:t>q</w:t>
      </w:r>
      <w:r>
        <w:t xml:space="preserve"> that a </w:t>
      </w:r>
      <w:r>
        <w:lastRenderedPageBreak/>
        <w:t>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CB2F61">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w:r w:rsidR="00CB2F61">
              <w:t>.</w:t>
            </w:r>
          </w:p>
        </w:tc>
        <w:tc>
          <w:tcPr>
            <w:tcW w:w="500" w:type="pct"/>
            <w:vAlign w:val="center"/>
          </w:tcPr>
          <w:p w:rsidR="002D7506" w:rsidRDefault="002D7506" w:rsidP="00563FAB">
            <w:bookmarkStart w:id="6" w:name="_Ref354134924"/>
            <w:r>
              <w:t>(</w:t>
            </w:r>
            <w:fldSimple w:instr=" SEQ Equation ">
              <w:r>
                <w:rPr>
                  <w:noProof/>
                </w:rPr>
                <w:t>3</w:t>
              </w:r>
            </w:fldSimple>
            <w:r>
              <w:t>)</w:t>
            </w:r>
            <w:bookmarkEnd w:id="6"/>
          </w:p>
        </w:tc>
      </w:tr>
    </w:tbl>
    <w:p w:rsidR="002D7506" w:rsidRDefault="003F5091" w:rsidP="00925154">
      <w:r>
        <w:t>With</w:t>
      </w:r>
      <w:r w:rsidR="00925154">
        <w:t xml:space="preserve"> SIM</w:t>
      </w:r>
      <w:r>
        <w:t>-I</w:t>
      </w:r>
      <w:r w:rsidR="002D7506">
        <w:t xml:space="preserve"> the mutation rate of single mutants </w:t>
      </w:r>
      <w:proofErr w:type="gramStart"/>
      <w:r w:rsidR="002D7506">
        <w:t>is</w:t>
      </w:r>
      <w:proofErr w:type="gramEnd"/>
      <w:r w:rsidR="002D7506">
        <w:t xml:space="preserve">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1F51E7"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w:r w:rsidR="00CB2F61">
              <w:t>.</w:t>
            </w:r>
          </w:p>
        </w:tc>
        <w:tc>
          <w:tcPr>
            <w:tcW w:w="500" w:type="pct"/>
            <w:vAlign w:val="center"/>
          </w:tcPr>
          <w:p w:rsidR="002D7506" w:rsidRDefault="002D7506" w:rsidP="00563FAB">
            <w:bookmarkStart w:id="7" w:name="_Ref354134926"/>
            <w:r>
              <w:t>(</w:t>
            </w:r>
            <w:fldSimple w:instr=" SEQ Equation ">
              <w:r>
                <w:rPr>
                  <w:noProof/>
                </w:rPr>
                <w:t>4</w:t>
              </w:r>
            </w:fldSimple>
            <w:r>
              <w:t>)</w:t>
            </w:r>
            <w:bookmarkEnd w:id="7"/>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r w:rsidR="003F5091">
        <w:t>-I</w:t>
      </w:r>
      <w:r>
        <w:t>:</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1F51E7"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1F51E7"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1F51E7" w:rsidP="00CB2F61">
      <w:pPr>
        <w:jc w:val="center"/>
      </w:pPr>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w:r w:rsidR="00CB2F61">
        <w:rPr>
          <w:rFonts w:eastAsiaTheme="minorEastAsia"/>
        </w:rPr>
        <w:t>.</w:t>
      </w:r>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54774" w:rsidP="00CB2F61">
            <w:pPr>
              <w:ind w:left="340"/>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8" w:name="_Ref354319257"/>
            <w:r>
              <w:t>(</w:t>
            </w:r>
            <w:fldSimple w:instr=" SEQ Equation ">
              <w:r>
                <w:rPr>
                  <w:noProof/>
                </w:rPr>
                <w:t>5</w:t>
              </w:r>
            </w:fldSimple>
            <w:r>
              <w:t>)</w:t>
            </w:r>
            <w:bookmarkEnd w:id="8"/>
          </w:p>
        </w:tc>
      </w:tr>
    </w:tbl>
    <w:p w:rsidR="002D7506" w:rsidRDefault="002D7506" w:rsidP="002D7506">
      <w:r>
        <w:t>For a population with SIM</w:t>
      </w:r>
      <w:r w:rsidR="003F5091">
        <w:t>-I</w:t>
      </w:r>
      <w:r>
        <w:t xml:space="preserve">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1F51E7" w:rsidP="002D7506">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1F51E7"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1F51E7"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1F51E7" w:rsidP="00CB2F61">
      <w:pPr>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CB2F61">
        <w:rPr>
          <w:rFonts w:eastAsiaTheme="minorEastAsia"/>
        </w:rPr>
        <w:t>.</w:t>
      </w:r>
    </w:p>
    <w:p w:rsidR="002D7506" w:rsidRDefault="002D7506" w:rsidP="002D7506">
      <w:r>
        <w:lastRenderedPageBreak/>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1F51E7" w:rsidP="00CB2F61">
      <w:pPr>
        <w:jc w:val="center"/>
      </w:pPr>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CB2F61">
        <w:t>.</w:t>
      </w:r>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2D7506" w:rsidTr="00563FAB">
        <w:tc>
          <w:tcPr>
            <w:tcW w:w="4500" w:type="pct"/>
            <w:tcBorders>
              <w:top w:val="nil"/>
              <w:left w:val="nil"/>
              <w:bottom w:val="nil"/>
              <w:right w:val="nil"/>
            </w:tcBorders>
            <w:vAlign w:val="center"/>
          </w:tcPr>
          <w:p w:rsidR="002D7506" w:rsidRDefault="001F51E7" w:rsidP="00354774">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tcBorders>
              <w:top w:val="nil"/>
              <w:left w:val="nil"/>
              <w:bottom w:val="nil"/>
              <w:right w:val="nil"/>
            </w:tcBorders>
            <w:vAlign w:val="center"/>
          </w:tcPr>
          <w:p w:rsidR="002D7506" w:rsidRDefault="002D7506" w:rsidP="00563FAB">
            <w:bookmarkStart w:id="9" w:name="_Ref354319499"/>
            <w:r>
              <w:t>(</w:t>
            </w:r>
            <w:fldSimple w:instr=" SEQ Equation ">
              <w:r>
                <w:rPr>
                  <w:noProof/>
                </w:rPr>
                <w:t>6</w:t>
              </w:r>
            </w:fldSimple>
            <w:r>
              <w:t>)</w:t>
            </w:r>
            <w:bookmarkEnd w:id="9"/>
          </w:p>
        </w:tc>
      </w:tr>
    </w:tbl>
    <w:p w:rsidR="002D7506" w:rsidRPr="00AB0448" w:rsidRDefault="002D7506" w:rsidP="003F5091">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2D7506" w:rsidRDefault="002D7506" w:rsidP="003F5091">
      <w:pPr>
        <w:pStyle w:val="Heading3"/>
      </w:pPr>
      <w:bookmarkStart w:id="10" w:name="_Ref354319797"/>
      <w:r>
        <w:t xml:space="preserve">Fixation probability with stress-induced </w:t>
      </w:r>
      <w:bookmarkEnd w:id="10"/>
      <w:r w:rsidR="003F5091">
        <w:t>mutagenesis</w:t>
      </w:r>
    </w:p>
    <w:p w:rsidR="003F5091" w:rsidRDefault="002D7506" w:rsidP="003F5091">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4F4440">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xml:space="preserve">, the fixation probability ρ of the double mutant is: </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rsidR="00CB2F61">
              <w:t>.</w:t>
            </w:r>
          </w:p>
        </w:tc>
        <w:tc>
          <w:tcPr>
            <w:tcW w:w="500" w:type="pct"/>
            <w:tcBorders>
              <w:top w:val="nil"/>
              <w:left w:val="nil"/>
              <w:bottom w:val="nil"/>
              <w:right w:val="nil"/>
            </w:tcBorders>
            <w:vAlign w:val="center"/>
          </w:tcPr>
          <w:p w:rsidR="003F5091" w:rsidRDefault="003F5091" w:rsidP="00CE78D0">
            <w:r>
              <w:t>(</w:t>
            </w:r>
            <w:fldSimple w:instr=" SEQ Equation ">
              <w:r>
                <w:rPr>
                  <w:noProof/>
                </w:rPr>
                <w:t>7</w:t>
              </w:r>
            </w:fldSimple>
            <w:r>
              <w:t>)</w:t>
            </w:r>
          </w:p>
        </w:tc>
      </w:tr>
    </w:tbl>
    <w:p w:rsidR="003F5091" w:rsidRDefault="003F5091" w:rsidP="003F5091">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rsidR="00CB2F61">
              <w:t>.</w:t>
            </w:r>
          </w:p>
        </w:tc>
        <w:tc>
          <w:tcPr>
            <w:tcW w:w="500" w:type="pct"/>
            <w:tcBorders>
              <w:top w:val="nil"/>
              <w:left w:val="nil"/>
              <w:bottom w:val="nil"/>
              <w:right w:val="nil"/>
            </w:tcBorders>
            <w:vAlign w:val="center"/>
          </w:tcPr>
          <w:p w:rsidR="003F5091" w:rsidRDefault="003F5091" w:rsidP="00CE78D0">
            <w:r>
              <w:t>(</w:t>
            </w:r>
            <w:fldSimple w:instr=" SEQ Equation ">
              <w:r w:rsidR="00E5128F">
                <w:rPr>
                  <w:noProof/>
                </w:rPr>
                <w:t>8</w:t>
              </w:r>
            </w:fldSimple>
            <w:r>
              <w:t>)</w:t>
            </w:r>
          </w:p>
        </w:tc>
      </w:tr>
    </w:tbl>
    <w:p w:rsidR="003F5091" w:rsidRDefault="003F5091" w:rsidP="003F5091">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2D7506" w:rsidRDefault="003F5091" w:rsidP="00544FA2">
      <w:r>
        <w:t xml:space="preserve">At this stage, double mutants are still very rate, so we can use the population mean fitness at the MSB. Without stress-induced mutagenesis,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w:t>
      </w:r>
      <w:r w:rsidR="00544FA2">
        <w:t xml:space="preserve">(see </w:t>
      </w:r>
      <w:r>
        <w:fldChar w:fldCharType="begin"/>
      </w:r>
      <w:r>
        <w:instrText xml:space="preserve"> REF _Ref359745744 \r \h </w:instrText>
      </w:r>
      <w:r>
        <w:fldChar w:fldCharType="separate"/>
      </w:r>
      <w:r>
        <w:rPr>
          <w:rFonts w:hint="cs"/>
          <w:cs/>
        </w:rPr>
        <w:t>‎</w:t>
      </w:r>
      <w:r>
        <w:t>3.1</w:t>
      </w:r>
      <w:r>
        <w:fldChar w:fldCharType="end"/>
      </w:r>
      <w:r w:rsidR="00544FA2">
        <w:t>)</w:t>
      </w:r>
      <w:r>
        <w:t>.</w:t>
      </w:r>
      <w:r w:rsidR="002D7506">
        <w:t xml:space="preserve"> </w:t>
      </w:r>
      <w:r w:rsidR="00544FA2">
        <w:t>W</w:t>
      </w:r>
      <w:r w:rsidR="002D7506">
        <w:t>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44FA2">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1" w:name="_Ref354316816"/>
            <w:r>
              <w:t>(</w:t>
            </w:r>
            <w:fldSimple w:instr=" SEQ Equation ">
              <w:r>
                <w:rPr>
                  <w:noProof/>
                </w:rPr>
                <w:t>9</w:t>
              </w:r>
            </w:fldSimple>
            <w:r>
              <w:t>)</w:t>
            </w:r>
            <w:bookmarkEnd w:id="11"/>
          </w:p>
        </w:tc>
      </w:tr>
    </w:tbl>
    <w:p w:rsidR="002D7506" w:rsidRPr="00CC2E91" w:rsidRDefault="00B72912" w:rsidP="00544FA2">
      <w:r>
        <w:t>A</w:t>
      </w:r>
      <w:r w:rsidR="002D7506">
        <w:t xml:space="preserve">ssuming </w:t>
      </w:r>
      <w:proofErr w:type="spellStart"/>
      <w:r w:rsidR="00544FA2" w:rsidRPr="00544FA2">
        <w:rPr>
          <w:i/>
          <w:iCs/>
        </w:rPr>
        <w:t>sH</w:t>
      </w:r>
      <w:proofErr w:type="spellEnd"/>
      <w:r w:rsidR="00544FA2">
        <w:t xml:space="preserve"> </w:t>
      </w:r>
      <w:r w:rsidR="002D7506" w:rsidRPr="00544FA2">
        <w:t>is</w:t>
      </w:r>
      <w:r w:rsidR="00544FA2">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B72912" w:rsidRDefault="00544FA2" w:rsidP="00CB2F61">
            <w:pPr>
              <w:jc w:val="center"/>
            </w:pPr>
            <m:oMath>
              <m:r>
                <w:rPr>
                  <w:rFonts w:ascii="Cambria Math" w:hAnsi="Cambria Math"/>
                </w:rPr>
                <m:t>ρ≈2sH</m:t>
              </m:r>
            </m:oMath>
            <w:r w:rsidR="00CB2F61">
              <w:t>,</w:t>
            </w:r>
          </w:p>
        </w:tc>
        <w:tc>
          <w:tcPr>
            <w:tcW w:w="500" w:type="pct"/>
            <w:vAlign w:val="center"/>
          </w:tcPr>
          <w:p w:rsidR="002D7506" w:rsidRDefault="002D7506" w:rsidP="00563FAB">
            <w:bookmarkStart w:id="12" w:name="_Ref354134928"/>
            <w:r>
              <w:t>(</w:t>
            </w:r>
            <w:fldSimple w:instr=" SEQ Equation ">
              <w:r>
                <w:rPr>
                  <w:noProof/>
                </w:rPr>
                <w:t>10</w:t>
              </w:r>
            </w:fldSimple>
            <w:r>
              <w:t>)</w:t>
            </w:r>
            <w:bookmarkEnd w:id="12"/>
          </w:p>
        </w:tc>
      </w:tr>
    </w:tbl>
    <w:p w:rsidR="00544FA2" w:rsidRDefault="00544FA2" w:rsidP="00925154">
      <w:pPr>
        <w:rPr>
          <w:lang w:bidi="hi-IN"/>
        </w:rPr>
      </w:pPr>
      <w:r>
        <w:rPr>
          <w:lang w:bidi="hi-IN"/>
        </w:rPr>
        <w:t xml:space="preserve">which is a classic result of population genetics theory </w:t>
      </w:r>
      <w:r>
        <w:rPr>
          <w:lang w:bidi="hi-IN"/>
        </w:rPr>
        <w:fldChar w:fldCharType="begin" w:fldLock="1"/>
      </w:r>
      <w:r w:rsidR="004F4440">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B72912" w:rsidRDefault="00544FA2" w:rsidP="00544FA2">
      <w:pPr>
        <w:rPr>
          <w:lang w:bidi="hi-IN"/>
        </w:rPr>
      </w:pPr>
      <w:r>
        <w:rPr>
          <w:lang w:bidi="hi-IN"/>
        </w:rPr>
        <w:t>T</w:t>
      </w:r>
      <w:r w:rsidR="00B72912">
        <w:rPr>
          <w:lang w:bidi="hi-IN"/>
        </w:rPr>
        <w:t>he fixation probability with SIM</w:t>
      </w:r>
      <w:r>
        <w:rPr>
          <w:lang w:bidi="hi-IN"/>
        </w:rPr>
        <w:t>-I</w:t>
      </w:r>
      <w:r w:rsidR="00B72912">
        <w:rPr>
          <w:lang w:bidi="hi-IN"/>
        </w:rPr>
        <w:t xml:space="preserve"> equals that of NM and CM because the mutation rate of the wildtype </w:t>
      </w:r>
      <w:proofErr w:type="spellStart"/>
      <w:r w:rsidR="00B72912">
        <w:rPr>
          <w:i/>
          <w:iCs/>
          <w:lang w:bidi="hi-IN"/>
        </w:rPr>
        <w:t>ab</w:t>
      </w:r>
      <w:proofErr w:type="spellEnd"/>
      <w:r w:rsidR="00B72912">
        <w:rPr>
          <w:lang w:bidi="hi-IN"/>
        </w:rPr>
        <w:t xml:space="preserve"> equals that of the double mutant </w:t>
      </w:r>
      <w:r w:rsidR="00B72912">
        <w:rPr>
          <w:i/>
          <w:iCs/>
          <w:lang w:bidi="hi-IN"/>
        </w:rPr>
        <w:t>AB</w:t>
      </w:r>
      <w:r w:rsidR="00925154">
        <w:rPr>
          <w:lang w:bidi="hi-IN"/>
        </w:rPr>
        <w:t xml:space="preserve">. However, </w:t>
      </w:r>
      <w:r>
        <w:rPr>
          <w:lang w:bidi="hi-IN"/>
        </w:rPr>
        <w:t>with SIM-II</w:t>
      </w:r>
      <w:r w:rsidR="00925154">
        <w:rPr>
          <w:lang w:bidi="hi-IN"/>
        </w:rPr>
        <w:t xml:space="preserve"> the mutation rate of </w:t>
      </w:r>
      <w:proofErr w:type="spellStart"/>
      <w:r w:rsidR="00925154">
        <w:rPr>
          <w:i/>
          <w:iCs/>
          <w:lang w:bidi="hi-IN"/>
        </w:rPr>
        <w:t>ab</w:t>
      </w:r>
      <w:proofErr w:type="spellEnd"/>
      <w:r w:rsidR="00925154">
        <w:rPr>
          <w:lang w:bidi="hi-IN"/>
        </w:rPr>
        <w:t xml:space="preserve"> is higher than that of </w:t>
      </w:r>
      <w:r w:rsidR="00925154">
        <w:rPr>
          <w:i/>
          <w:iCs/>
          <w:lang w:bidi="hi-IN"/>
        </w:rPr>
        <w:t>AB</w:t>
      </w:r>
      <w:r w:rsidR="00925154">
        <w:rPr>
          <w:lang w:bidi="hi-IN"/>
        </w:rPr>
        <w:t xml:space="preserve"> and therefore </w:t>
      </w:r>
      <w:r w:rsidR="00925154">
        <w:rPr>
          <w:i/>
          <w:iCs/>
          <w:lang w:bidi="hi-IN"/>
        </w:rPr>
        <w:t>AB</w:t>
      </w:r>
      <w:r w:rsidR="00925154">
        <w:rPr>
          <w:lang w:bidi="hi-IN"/>
        </w:rPr>
        <w:t xml:space="preserve"> has an additional advantage due to the accumulation of deleterious mutations in the stressed </w:t>
      </w:r>
      <w:r w:rsidR="00925154">
        <w:rPr>
          <w:lang w:bidi="hi-IN"/>
        </w:rPr>
        <w:lastRenderedPageBreak/>
        <w:t>population</w:t>
      </w:r>
      <w:r>
        <w:rPr>
          <w:lang w:bidi="hi-IN"/>
        </w:rPr>
        <w:t xml:space="preserve"> (we can assume the population reached a MSB after the environmental change because the convergence to MSB is much quicker </w:t>
      </w:r>
      <w:proofErr w:type="spellStart"/>
      <w:r>
        <w:rPr>
          <w:lang w:bidi="hi-IN"/>
        </w:rPr>
        <w:t>then</w:t>
      </w:r>
      <w:proofErr w:type="spellEnd"/>
      <w:r>
        <w:rPr>
          <w:lang w:bidi="hi-IN"/>
        </w:rPr>
        <w:t xml:space="preserve"> adaptation)</w:t>
      </w:r>
      <w:r w:rsidR="00925154">
        <w:rPr>
          <w:lang w:bidi="hi-IN"/>
        </w:rPr>
        <w:t>:</w:t>
      </w:r>
    </w:p>
    <w:p w:rsidR="00DE1C4B" w:rsidRPr="00DE1C4B" w:rsidRDefault="001F51E7"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hAnsi="Cambria Math"/>
                  <w:i/>
                  <w:lang w:bidi="hi-IN"/>
                </w:rPr>
              </m:ctrlPr>
            </m:fPr>
            <m:num>
              <m:r>
                <w:rPr>
                  <w:rFonts w:ascii="Cambria Math" w:hAnsi="Cambria Math"/>
                  <w:lang w:bidi="hi-IN"/>
                </w:rPr>
                <m:t>α-1</m:t>
              </m:r>
            </m:num>
            <m:den>
              <m:r>
                <w:rPr>
                  <w:rFonts w:ascii="Cambria Math" w:hAnsi="Cambria Math"/>
                  <w:lang w:bidi="hi-IN"/>
                </w:rPr>
                <m:t>α</m:t>
              </m:r>
            </m:den>
          </m:f>
          <m:r>
            <w:rPr>
              <w:rFonts w:ascii="Cambria Math" w:hAnsi="Cambria Math"/>
              <w:lang w:bidi="hi-IN"/>
            </w:rPr>
            <m:t>+o</m:t>
          </m:r>
          <m:d>
            <m:dPr>
              <m:ctrlPr>
                <w:rPr>
                  <w:rFonts w:ascii="Cambria Math" w:hAnsi="Cambria Math"/>
                  <w:i/>
                  <w:lang w:bidi="hi-IN"/>
                </w:rPr>
              </m:ctrlPr>
            </m:dPr>
            <m:e>
              <m:r>
                <w:rPr>
                  <w:rFonts w:ascii="Cambria Math" w:hAnsi="Cambria Math"/>
                  <w:lang w:bidi="hi-IN"/>
                </w:rPr>
                <m:t>α-1</m:t>
              </m:r>
            </m:e>
          </m:d>
        </m:oMath>
      </m:oMathPara>
    </w:p>
    <w:p w:rsidR="00DE1C4B" w:rsidRPr="00DE1C4B" w:rsidRDefault="001F51E7" w:rsidP="00544FA2">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SIM-II</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m:oMathPara>
    </w:p>
    <w:p w:rsidR="00DE1C4B" w:rsidRPr="00DE1C4B" w:rsidRDefault="001F51E7"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oMath>
      </m:oMathPara>
    </w:p>
    <w:p w:rsidR="00DE1C4B" w:rsidRPr="00DE1C4B" w:rsidRDefault="001F51E7" w:rsidP="00CB2F61">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w:r w:rsidR="00CB2F61">
        <w:rPr>
          <w:rFonts w:eastAsiaTheme="minorEastAsia"/>
          <w:lang w:bidi="hi-IN"/>
        </w:rPr>
        <w:t>.</w:t>
      </w:r>
    </w:p>
    <w:p w:rsidR="00B82D73" w:rsidRDefault="00B82D73" w:rsidP="00B82D73">
      <w:pPr>
        <w:pStyle w:val="Heading3"/>
      </w:pPr>
      <w:bookmarkStart w:id="13" w:name="_Ref360181968"/>
      <w:r>
        <w:t>Adaptation rate</w:t>
      </w:r>
      <w:bookmarkEnd w:id="13"/>
    </w:p>
    <w:p w:rsidR="00B82D73" w:rsidRDefault="00B82D73" w:rsidP="00B82D73">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The constraint </w:t>
      </w:r>
      <w:r>
        <w:fldChar w:fldCharType="begin"/>
      </w:r>
      <w:r>
        <w:instrText xml:space="preserve"> REF _Ref354129072 \h  \* MERGEFORMAT </w:instrText>
      </w:r>
      <w:r>
        <w:fldChar w:fldCharType="separate"/>
      </w:r>
      <w:r>
        <w:t>(</w:t>
      </w:r>
      <w:r>
        <w:rPr>
          <w:noProof/>
        </w:rPr>
        <w:t>2</w:t>
      </w:r>
      <w:r>
        <w:t>)</w: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p>
    <w:p w:rsidR="00B82D73" w:rsidRPr="00D516F5" w:rsidRDefault="00B82D73" w:rsidP="00B82D73">
      <w:r>
        <w:t xml:space="preserve">Once a double mutant appears it has a probability </w:t>
      </w:r>
      <w:r w:rsidRPr="00B82D73">
        <w:rPr>
          <w:i/>
          <w:iCs/>
        </w:rPr>
        <w:t>ρ</w:t>
      </w:r>
      <w:r>
        <w:t xml:space="preserve"> t</w:t>
      </w:r>
      <w:r w:rsidRPr="00D516F5">
        <w:t>o go to fixation</w:t>
      </w:r>
      <w:r>
        <w:t xml:space="preserve">. </w:t>
      </w:r>
    </w:p>
    <w:p w:rsidR="00B82D73" w:rsidRPr="00CB2F61" w:rsidRDefault="00B82D73" w:rsidP="00CB2F61">
      <w:r w:rsidRPr="00CB2F61">
        <w:t xml:space="preserve">The time for adaptation </w:t>
      </w:r>
      <w:r w:rsidRPr="00CB2F61">
        <w:rPr>
          <w:i/>
          <w:iCs/>
        </w:rPr>
        <w:t>T</w:t>
      </w:r>
      <w:r w:rsidRPr="00CB2F61">
        <w:t xml:space="preserve"> can be approximated by the waiting time for a double mutant who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CB2F61">
        <w:rPr>
          <w:i/>
          <w:iCs/>
          <w:vertAlign w:val="superscript"/>
        </w:rPr>
        <w:t>2</w:t>
      </w:r>
      <w:r w:rsidRPr="00CB2F61">
        <w:rPr>
          <w:i/>
          <w:iCs/>
        </w:rPr>
        <w:t>&lt;2</w:t>
      </w:r>
      <w:r w:rsidRPr="00CB2F61">
        <w:t xml:space="preserve"> 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B82D73" w:rsidTr="00CE78D0">
        <w:tc>
          <w:tcPr>
            <w:tcW w:w="4500" w:type="pct"/>
            <w:vAlign w:val="center"/>
          </w:tcPr>
          <w:p w:rsidR="00B82D73" w:rsidRDefault="00B82D73" w:rsidP="00CB2F61">
            <w:pPr>
              <w:jc w:val="center"/>
            </w:pPr>
            <m:oMath>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≈1/Nq</m:t>
              </m:r>
              <m:r>
                <w:rPr>
                  <w:rFonts w:ascii="Cambria Math" w:hAnsi="Cambria Math" w:cstheme="majorBidi"/>
                </w:rPr>
                <m:t>ρ</m:t>
              </m:r>
            </m:oMath>
            <w:r w:rsidR="00CB2F61">
              <w:t>.</w:t>
            </w:r>
          </w:p>
        </w:tc>
        <w:tc>
          <w:tcPr>
            <w:tcW w:w="500" w:type="pct"/>
            <w:vAlign w:val="center"/>
          </w:tcPr>
          <w:p w:rsidR="00B82D73" w:rsidRDefault="00B82D73" w:rsidP="00CE78D0">
            <w:bookmarkStart w:id="14" w:name="_Ref354319010"/>
            <w:r>
              <w:t>(</w:t>
            </w:r>
            <w:fldSimple w:instr=" SEQ Equation ">
              <w:r>
                <w:rPr>
                  <w:noProof/>
                </w:rPr>
                <w:t>11</w:t>
              </w:r>
            </w:fldSimple>
            <w:r>
              <w:t>)</w:t>
            </w:r>
            <w:bookmarkEnd w:id="14"/>
          </w:p>
        </w:tc>
      </w:tr>
    </w:tbl>
    <w:p w:rsidR="00B82D73" w:rsidRDefault="00B82D73" w:rsidP="00B82D73">
      <w:pPr>
        <w:rPr>
          <w:lang w:bidi="hi-IN"/>
        </w:rPr>
      </w:pPr>
      <w:r>
        <w:rPr>
          <w:lang w:bidi="hi-IN"/>
        </w:rPr>
        <w:t>The adaptation rate is the inverse of the expected adaptation time</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830851">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830851">
            <w:r>
              <w:t>(</w:t>
            </w:r>
            <w:fldSimple w:instr=" SEQ Equation ">
              <w:r>
                <w:rPr>
                  <w:noProof/>
                </w:rPr>
                <w:t>12</w:t>
              </w:r>
            </w:fldSimple>
            <w:r>
              <w:t>)</w:t>
            </w:r>
          </w:p>
        </w:tc>
      </w:tr>
    </w:tbl>
    <w:p w:rsidR="001033CA" w:rsidRDefault="001033CA" w:rsidP="001033CA">
      <w:pPr>
        <w:pStyle w:val="Heading1"/>
        <w:rPr>
          <w:lang w:bidi="hi-IN"/>
        </w:rPr>
      </w:pPr>
      <w:r>
        <w:rPr>
          <w:lang w:bidi="hi-IN"/>
        </w:rPr>
        <w:t>Results</w:t>
      </w:r>
    </w:p>
    <w:p w:rsidR="001033CA" w:rsidRDefault="001033CA" w:rsidP="001033CA">
      <w:pPr>
        <w:pStyle w:val="Heading2"/>
      </w:pPr>
      <w:bookmarkStart w:id="15" w:name="_Ref359745744"/>
      <w:r>
        <w:t>Mutation-selection balance</w:t>
      </w:r>
      <w:bookmarkEnd w:id="15"/>
    </w:p>
    <w:p w:rsidR="00125157" w:rsidRPr="00125157" w:rsidRDefault="00125157" w:rsidP="00F35F7B">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4F4440">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rsidR="00F35F7B">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w:t>
      </w:r>
      <w:proofErr w:type="spellStart"/>
      <w:r>
        <w:t>Agrawal</w:t>
      </w:r>
      <w:proofErr w:type="spellEnd"/>
      <w:r>
        <w:t xml:space="preserve"> </w:t>
      </w:r>
      <w:r>
        <w:fldChar w:fldCharType="begin" w:fldLock="1"/>
      </w:r>
      <w:r w:rsidR="004F4440">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lastRenderedPageBreak/>
        <w:t>With beneficial mutations</w:t>
      </w:r>
      <w:r w:rsidR="00F35F7B">
        <w:t xml:space="preserve"> (</w:t>
      </w:r>
      <m:oMath>
        <m:r>
          <w:rPr>
            <w:rFonts w:ascii="Cambria Math" w:hAnsi="Cambria Math"/>
          </w:rPr>
          <m:t>β&gt;0</m:t>
        </m:r>
      </m:oMath>
      <w:r w:rsidR="00F35F7B">
        <w:t>)</w:t>
      </w:r>
      <w:r>
        <w:t>, this is still a good approximation</w:t>
      </w:r>
      <w:r w:rsidR="00F35F7B">
        <w:t xml:space="preserve"> (</w:t>
      </w:r>
      <w:proofErr w:type="gramStart"/>
      <w:r w:rsidR="00F35F7B">
        <w:t xml:space="preserve">because </w:t>
      </w:r>
      <w:proofErr w:type="gramEnd"/>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4F4440">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D72D8D" w:rsidP="00305197">
      <w:pPr>
        <w:pStyle w:val="FigureLegend"/>
        <w:rPr>
          <w:b/>
          <w:bCs/>
        </w:rPr>
      </w:pPr>
      <w:bookmarkStart w:id="16" w:name="_Ref360184146"/>
      <w:r>
        <w:rPr>
          <w:rFonts w:eastAsiaTheme="minorEastAsia"/>
          <w:noProof/>
        </w:rPr>
        <w:drawing>
          <wp:inline distT="0" distB="0" distL="0" distR="0" wp14:anchorId="2735BFAA" wp14:editId="5406A91C">
            <wp:extent cx="5276850" cy="4222750"/>
            <wp:effectExtent l="0" t="0" r="0" b="635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EE3CB4" w:rsidRPr="00EB6923" w:rsidRDefault="00EE3CB4" w:rsidP="00305197">
      <w:pPr>
        <w:pStyle w:val="FigureLegend"/>
      </w:pPr>
      <w:bookmarkStart w:id="17"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16"/>
      <w:bookmarkEnd w:id="17"/>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D72D8D">
        <w:t>'</w:t>
      </w:r>
      <w:r w:rsidR="003A1D28">
        <w:t>x</w:t>
      </w:r>
      <w:r w:rsidR="00D72D8D">
        <w:t>'</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1F5496" w:rsidP="00354774">
      <w:pPr>
        <w:pStyle w:val="Heading2"/>
        <w:rPr>
          <w:rFonts w:eastAsiaTheme="minorEastAsia"/>
        </w:rPr>
      </w:pPr>
      <w:r>
        <w:rPr>
          <w:rFonts w:eastAsiaTheme="minorEastAsia"/>
        </w:rPr>
        <w:t>Adaptation o</w:t>
      </w:r>
      <w:r w:rsidR="00354774">
        <w:rPr>
          <w:rFonts w:eastAsiaTheme="minorEastAsia"/>
        </w:rPr>
        <w:t>n a rugged fitness landscape</w:t>
      </w:r>
    </w:p>
    <w:p w:rsidR="005F1227" w:rsidRPr="00B82D73" w:rsidRDefault="005F1227" w:rsidP="00B66998">
      <w:pPr>
        <w:rPr>
          <w:i/>
          <w:iCs/>
          <w:lang w:bidi="hi-IN"/>
        </w:rPr>
      </w:pPr>
      <w:r>
        <w:t>We define two adaptive evo</w:t>
      </w:r>
      <w:r w:rsidR="00FD52EB">
        <w:t>lution scenarios: in scenario I,</w:t>
      </w:r>
      <w:r>
        <w:t xml:space="preserve"> a new carbon source </w:t>
      </w:r>
      <w:r w:rsidR="00FD52EB">
        <w:t xml:space="preserve">appears and </w:t>
      </w:r>
      <w:r>
        <w:t xml:space="preserve">can only be utilized by the double mutant </w:t>
      </w:r>
      <w:r>
        <w:rPr>
          <w:i/>
          <w:iCs/>
        </w:rPr>
        <w:t>AB</w:t>
      </w:r>
      <w:r w:rsidR="00FD52EB">
        <w:t xml:space="preserve">, making </w:t>
      </w:r>
      <w:r w:rsidRPr="00607B56">
        <w:rPr>
          <w:i/>
          <w:iCs/>
        </w:rPr>
        <w:t>AB</w:t>
      </w:r>
      <w:r>
        <w:t xml:space="preserve"> the optimal </w:t>
      </w:r>
      <w:r w:rsidR="00FD52EB">
        <w:t xml:space="preserve">genotype </w:t>
      </w:r>
      <w:r>
        <w:t>without affecting the fitness values of other genotypes</w:t>
      </w:r>
      <w:r w:rsidR="00FD52EB">
        <w:t>. T</w:t>
      </w:r>
      <w:r w:rsidR="00B82D73">
        <w:t>herefore</w:t>
      </w:r>
      <w:r w:rsidR="00FD52EB">
        <w:t>,</w:t>
      </w:r>
      <w:r w:rsidR="00B82D73">
        <w:t xml:space="preserve"> in </w:t>
      </w:r>
      <w:r w:rsidR="00FD52EB">
        <w:t xml:space="preserve">scenario I, </w:t>
      </w:r>
      <w:r w:rsidR="00B82D73">
        <w:t xml:space="preserve">SIM does not induce hypermutation in neither </w:t>
      </w:r>
      <w:r w:rsidR="00B82D73" w:rsidRPr="00B82D73">
        <w:rPr>
          <w:i/>
          <w:iCs/>
        </w:rPr>
        <w:t xml:space="preserve">AB </w:t>
      </w:r>
      <w:r w:rsidR="00B82D73">
        <w:t xml:space="preserve">nor </w:t>
      </w:r>
      <w:r w:rsidR="00B82D73">
        <w:rPr>
          <w:i/>
          <w:iCs/>
        </w:rPr>
        <w:t>ab</w:t>
      </w:r>
      <w:r>
        <w:t>. In scenario</w:t>
      </w:r>
      <w:r w:rsidR="00FD52EB">
        <w:t xml:space="preserve"> II</w:t>
      </w:r>
      <w:r>
        <w:t xml:space="preserve">, an antibiotic drug renders all genotypes less fit, and the double mutant </w:t>
      </w:r>
      <w:r w:rsidRPr="00607B56">
        <w:rPr>
          <w:i/>
          <w:iCs/>
        </w:rPr>
        <w:t>AB</w:t>
      </w:r>
      <w:r>
        <w:t xml:space="preserve"> confers resistance to the drug</w:t>
      </w:r>
      <w:r w:rsidR="00FD52EB">
        <w:t xml:space="preserve">. This makes </w:t>
      </w:r>
      <w:r w:rsidR="00FD52EB">
        <w:rPr>
          <w:i/>
          <w:iCs/>
        </w:rPr>
        <w:t>AB</w:t>
      </w:r>
      <w:r>
        <w:t xml:space="preserve"> the optimal genotype</w:t>
      </w:r>
      <w:r w:rsidR="00FD52EB">
        <w:t xml:space="preserve"> again, but i</w:t>
      </w:r>
      <w:r w:rsidR="00B82D73">
        <w:t xml:space="preserve">n this </w:t>
      </w:r>
      <w:r w:rsidR="00B82D73">
        <w:lastRenderedPageBreak/>
        <w:t xml:space="preserve">scenario SIM induces hypermutation in all </w:t>
      </w:r>
      <w:r w:rsidR="00FD52EB">
        <w:t xml:space="preserve">other </w:t>
      </w:r>
      <w:r w:rsidR="00B82D73">
        <w:t>genotypes</w:t>
      </w:r>
      <w:r w:rsidR="00FD52EB">
        <w:t xml:space="preserve"> (including </w:t>
      </w:r>
      <w:proofErr w:type="spellStart"/>
      <w:r w:rsidR="00FD52EB">
        <w:rPr>
          <w:i/>
          <w:iCs/>
        </w:rPr>
        <w:t>ab</w:t>
      </w:r>
      <w:proofErr w:type="spellEnd"/>
      <w:r w:rsidR="00FD52EB">
        <w:t>)</w:t>
      </w:r>
      <w:r w:rsidR="00B82D73" w:rsidRPr="00B82D73">
        <w:t>.</w:t>
      </w:r>
      <w:r w:rsidR="00B66998">
        <w:t xml:space="preserve"> In the following section, </w:t>
      </w:r>
      <w:r w:rsidR="00B82D73">
        <w:t xml:space="preserve">we </w:t>
      </w:r>
      <w:r w:rsidR="00B66998">
        <w:t xml:space="preserve">distinguish these two scenarios by </w:t>
      </w:r>
      <w:r w:rsidR="00B82D73">
        <w:t>SIM-I and SIM-II.</w:t>
      </w:r>
    </w:p>
    <w:p w:rsidR="00354774" w:rsidRDefault="00354774" w:rsidP="00B66998">
      <w:pPr>
        <w:rPr>
          <w:lang w:bidi="hi-IN"/>
        </w:rPr>
      </w:pPr>
      <w:r>
        <w:rPr>
          <w:lang w:bidi="hi-IN"/>
        </w:rPr>
        <w:t>The adaptation rate</w:t>
      </w:r>
      <w:r w:rsidR="00563FAB">
        <w:rPr>
          <w:lang w:bidi="hi-IN"/>
        </w:rPr>
        <w:t xml:space="preserve"> </w:t>
      </w:r>
      <w:r w:rsidR="00563FAB" w:rsidRPr="00563FAB">
        <w:rPr>
          <w:i/>
          <w:iCs/>
        </w:rPr>
        <w:t>ν</w:t>
      </w:r>
      <w:r>
        <w:rPr>
          <w:lang w:bidi="hi-IN"/>
        </w:rPr>
        <w:t xml:space="preserve"> is the inverse of the </w:t>
      </w:r>
      <w:r w:rsidR="00563FAB">
        <w:rPr>
          <w:lang w:bidi="hi-IN"/>
        </w:rPr>
        <w:t xml:space="preserve">expected </w:t>
      </w:r>
      <w:r>
        <w:rPr>
          <w:lang w:bidi="hi-IN"/>
        </w:rPr>
        <w:t>adaptation time</w:t>
      </w:r>
      <w:r w:rsidR="00B66998">
        <w:rPr>
          <w:lang w:bidi="hi-IN"/>
        </w:rPr>
        <w:t xml:space="preserve">. This can be approximated (see </w:t>
      </w:r>
      <w:r w:rsidR="00B66998">
        <w:rPr>
          <w:lang w:bidi="hi-IN"/>
        </w:rPr>
        <w:fldChar w:fldCharType="begin"/>
      </w:r>
      <w:r w:rsidR="00B66998">
        <w:rPr>
          <w:lang w:bidi="hi-IN"/>
        </w:rPr>
        <w:instrText xml:space="preserve"> REF _Ref360181968 \r \h </w:instrText>
      </w:r>
      <w:r w:rsidR="00B66998">
        <w:rPr>
          <w:lang w:bidi="hi-IN"/>
        </w:rPr>
      </w:r>
      <w:r w:rsidR="00B66998">
        <w:rPr>
          <w:lang w:bidi="hi-IN"/>
        </w:rPr>
        <w:fldChar w:fldCharType="separate"/>
      </w:r>
      <w:r w:rsidR="00B66998">
        <w:rPr>
          <w:rFonts w:hint="cs"/>
          <w:cs/>
          <w:lang w:bidi="hi-IN"/>
        </w:rPr>
        <w:t>‎</w:t>
      </w:r>
      <w:r w:rsidR="00B66998">
        <w:rPr>
          <w:lang w:bidi="hi-IN"/>
        </w:rPr>
        <w:t>2.2.4</w:t>
      </w:r>
      <w:r w:rsidR="00B66998">
        <w:rPr>
          <w:lang w:bidi="hi-IN"/>
        </w:rPr>
        <w:fldChar w:fldCharType="end"/>
      </w:r>
      <w:r w:rsidR="00B66998">
        <w:rPr>
          <w:lang w:bidi="hi-IN"/>
        </w:rPr>
        <w:t xml:space="preserve">) </w:t>
      </w:r>
      <w:r>
        <w:rPr>
          <w:lang w:bidi="hi-IN"/>
        </w:rPr>
        <w:t xml:space="preserve">by </w:t>
      </w:r>
      <w:r>
        <w:rPr>
          <w:i/>
          <w:iCs/>
          <w:lang w:bidi="hi-IN"/>
        </w:rPr>
        <w:t>1/</w:t>
      </w:r>
      <w:proofErr w:type="spellStart"/>
      <w:r>
        <w:rPr>
          <w:i/>
          <w:iCs/>
          <w:lang w:bidi="hi-IN"/>
        </w:rPr>
        <w:t>N</w:t>
      </w:r>
      <w:r w:rsidRPr="005E3A59">
        <w:rPr>
          <w:i/>
          <w:iCs/>
        </w:rPr>
        <w:t>ρ</w:t>
      </w:r>
      <w:r>
        <w:rPr>
          <w:i/>
          <w:iCs/>
          <w:lang w:bidi="hi-IN"/>
        </w:rPr>
        <w:t>q</w:t>
      </w:r>
      <w:proofErr w:type="spellEnd"/>
      <w:r>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1F51E7"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830851">
            <w:r>
              <w:t>(</w:t>
            </w:r>
            <w:fldSimple w:instr=" SEQ Equation ">
              <w:r>
                <w:rPr>
                  <w:noProof/>
                </w:rPr>
                <w:t>13</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1F51E7"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oMath>
            </m:oMathPara>
          </w:p>
        </w:tc>
        <w:tc>
          <w:tcPr>
            <w:tcW w:w="500" w:type="pct"/>
            <w:tcBorders>
              <w:top w:val="nil"/>
              <w:left w:val="nil"/>
              <w:bottom w:val="nil"/>
              <w:right w:val="nil"/>
            </w:tcBorders>
          </w:tcPr>
          <w:p w:rsidR="00CB2F61" w:rsidRDefault="00CB2F61" w:rsidP="00830851">
            <w:r>
              <w:t>(</w:t>
            </w:r>
            <w:fldSimple w:instr=" SEQ Equation ">
              <w:r>
                <w:rPr>
                  <w:noProof/>
                </w:rPr>
                <w:t>14</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1F51E7" w:rsidP="00CB2F61">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2</m:t>
                    </m:r>
                    <m:ctrlPr>
                      <w:rPr>
                        <w:rFonts w:ascii="Cambria Math" w:hAnsi="Cambria Math"/>
                        <w:i/>
                        <w:lang w:bidi="hi-IN"/>
                      </w:rPr>
                    </m:ctrlPr>
                  </m:num>
                  <m:den>
                    <m:d>
                      <m:dPr>
                        <m:ctrlPr>
                          <w:rPr>
                            <w:rFonts w:ascii="Cambria Math" w:hAnsi="Cambria Math"/>
                            <w:i/>
                          </w:rPr>
                        </m:ctrlPr>
                      </m:dPr>
                      <m:e>
                        <m:r>
                          <w:rPr>
                            <w:rFonts w:ascii="Cambria Math" w:hAnsi="Cambria Math"/>
                          </w:rPr>
                          <m:t>2-τU</m:t>
                        </m:r>
                      </m:e>
                    </m:d>
                    <m:r>
                      <w:rPr>
                        <w:rFonts w:ascii="Cambria Math" w:hAnsi="Cambria Math"/>
                      </w:rPr>
                      <m:t>τ</m:t>
                    </m:r>
                  </m:den>
                </m:f>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CM</m:t>
                        </m:r>
                      </m:sub>
                    </m:sSub>
                  </m:num>
                  <m:den>
                    <m:r>
                      <w:rPr>
                        <w:rFonts w:ascii="Cambria Math" w:hAnsi="Cambria Math"/>
                      </w:rPr>
                      <m:t>τ</m:t>
                    </m:r>
                  </m:den>
                </m:f>
              </m:oMath>
            </m:oMathPara>
          </w:p>
        </w:tc>
        <w:tc>
          <w:tcPr>
            <w:tcW w:w="500" w:type="pct"/>
            <w:tcBorders>
              <w:top w:val="nil"/>
              <w:left w:val="nil"/>
              <w:bottom w:val="nil"/>
              <w:right w:val="nil"/>
            </w:tcBorders>
          </w:tcPr>
          <w:p w:rsidR="00CB2F61" w:rsidRDefault="00CB2F61" w:rsidP="00830851">
            <w:r>
              <w:t>(</w:t>
            </w:r>
            <w:fldSimple w:instr=" SEQ Equation ">
              <w:r>
                <w:rPr>
                  <w:noProof/>
                </w:rPr>
                <w:t>15</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1F51E7" w:rsidP="00CB2F61">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w:r w:rsidR="00CB2F61">
              <w:rPr>
                <w:rFonts w:eastAsiaTheme="minorEastAsia"/>
                <w:lang w:bidi="hi-IN"/>
              </w:rPr>
              <w:t>.</w:t>
            </w:r>
          </w:p>
        </w:tc>
        <w:tc>
          <w:tcPr>
            <w:tcW w:w="500" w:type="pct"/>
            <w:tcBorders>
              <w:top w:val="nil"/>
              <w:left w:val="nil"/>
              <w:bottom w:val="nil"/>
              <w:right w:val="nil"/>
            </w:tcBorders>
          </w:tcPr>
          <w:p w:rsidR="00CB2F61" w:rsidRDefault="00CB2F61" w:rsidP="00830851">
            <w:r>
              <w:t>(</w:t>
            </w:r>
            <w:fldSimple w:instr=" SEQ Equation ">
              <w:r>
                <w:rPr>
                  <w:noProof/>
                </w:rPr>
                <w:t>16</w:t>
              </w:r>
            </w:fldSimple>
            <w:r>
              <w:t>)</w:t>
            </w:r>
          </w:p>
        </w:tc>
      </w:tr>
    </w:tbl>
    <w:p w:rsidR="005A2F68" w:rsidRPr="005A2F68" w:rsidRDefault="005A2F68" w:rsidP="005A2F68">
      <w:pPr>
        <w:rPr>
          <w:rFonts w:eastAsiaTheme="minorEastAsia"/>
          <w:lang w:bidi="hi-IN"/>
        </w:rPr>
      </w:pPr>
      <w:r>
        <w:rPr>
          <w:rFonts w:eastAsiaTheme="minorEastAsia"/>
          <w:lang w:bidi="hi-IN"/>
        </w:rPr>
        <w:t xml:space="preserve">The right-hand side approximations are for small values of </w:t>
      </w:r>
      <w:proofErr w:type="spellStart"/>
      <w:proofErr w:type="gramStart"/>
      <w:r w:rsidRPr="00AB0448">
        <w:rPr>
          <w:i/>
          <w:iCs/>
        </w:rPr>
        <w:t>τ</w:t>
      </w:r>
      <w:r>
        <w:rPr>
          <w:i/>
          <w:iCs/>
        </w:rPr>
        <w:t>U</w:t>
      </w:r>
      <w:proofErr w:type="spellEnd"/>
      <w:proofErr w:type="gramEnd"/>
      <w:r>
        <w:t>.</w:t>
      </w:r>
    </w:p>
    <w:p w:rsidR="00544FA2" w:rsidRDefault="00AB0448" w:rsidP="00C96FC9">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 MERGEFORMAT </w:instrText>
      </w:r>
      <w:r w:rsidR="00701833" w:rsidRPr="00701833">
        <w:rPr>
          <w:rFonts w:eastAsiaTheme="minorEastAsia"/>
          <w:lang w:bidi="hi-IN"/>
        </w:rPr>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5A2F68">
        <w:t xml:space="preserve">adaptation with SIM-I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w:t>
      </w:r>
      <w:r w:rsidR="00FC507C">
        <w:t xml:space="preserve">, so the adaptation rate increases </w:t>
      </w:r>
      <w:r w:rsidR="00FC507C">
        <w:rPr>
          <w:rFonts w:eastAsiaTheme="minorEastAsia"/>
          <w:lang w:bidi="hi-IN"/>
        </w:rPr>
        <w:t xml:space="preserve">linearly </w:t>
      </w:r>
      <w:r w:rsidR="00FC507C">
        <w:t xml:space="preserve">with  </w:t>
      </w:r>
      <w:r w:rsidR="00FC507C" w:rsidRPr="00FC507C">
        <w:rPr>
          <w:i/>
          <w:iCs/>
        </w:rPr>
        <w:t>τ</w:t>
      </w:r>
      <w:r w:rsidR="005A2F68">
        <w:t>. Third, adaptation with SIM-II is the fastest</w:t>
      </w:r>
      <w:r w:rsidR="00FC507C">
        <w:t xml:space="preserve">. This is </w:t>
      </w:r>
      <w:r w:rsidR="005A2F68">
        <w:t xml:space="preserve">because the appearance of double mutants is the same as with CM but their fixation is more </w:t>
      </w:r>
      <w:r w:rsidR="00FC507C">
        <w:t>likely</w:t>
      </w:r>
      <w:r w:rsidR="005A2F68">
        <w:t xml:space="preserve"> because of the difference in mutation rate</w:t>
      </w:r>
      <w:r w:rsidR="00FC507C">
        <w:t>s</w:t>
      </w:r>
      <w:r w:rsidR="005A2F68">
        <w:t xml:space="preserve"> between double mutants and the rest of the population.</w:t>
      </w:r>
      <w:r w:rsidR="00B82D73">
        <w:t xml:space="preserve"> Note that </w:t>
      </w:r>
      <w:r w:rsidR="00FC507C">
        <w:t xml:space="preserve">the </w:t>
      </w:r>
      <w:r w:rsidR="00B82D73">
        <w:t>advantage</w:t>
      </w:r>
      <w:r w:rsidR="00544FA2">
        <w:rPr>
          <w:rFonts w:eastAsiaTheme="minorEastAsia"/>
          <w:lang w:bidi="hi-IN"/>
        </w:rPr>
        <w:t xml:space="preserve"> </w:t>
      </w:r>
      <w:r w:rsidR="00FC507C">
        <w:rPr>
          <w:rFonts w:eastAsiaTheme="minorEastAsia"/>
          <w:lang w:bidi="hi-IN"/>
        </w:rPr>
        <w:t xml:space="preserve">of SIM-II on CM </w:t>
      </w:r>
      <w:r w:rsidR="00544FA2">
        <w:rPr>
          <w:rFonts w:eastAsiaTheme="minorEastAsia"/>
          <w:lang w:bidi="hi-IN"/>
        </w:rPr>
        <w:t xml:space="preserve">increases linearly with </w:t>
      </w:r>
      <w:r w:rsidR="00544FA2" w:rsidRPr="00DE1C4B">
        <w:rPr>
          <w:i/>
          <w:iCs/>
        </w:rPr>
        <w:t>τ</w:t>
      </w:r>
      <w:r w:rsidR="00F804BA">
        <w:rPr>
          <w:rFonts w:eastAsiaTheme="minorEastAsia"/>
          <w:lang w:bidi="hi-IN"/>
        </w:rPr>
        <w:t xml:space="preserve"> but with a modest slope of </w:t>
      </w:r>
      <w:r w:rsidR="00F804BA">
        <w:rPr>
          <w:rFonts w:eastAsiaTheme="minorEastAsia"/>
          <w:i/>
          <w:iCs/>
          <w:lang w:bidi="hi-IN"/>
        </w:rPr>
        <w:t>U/2sH</w:t>
      </w:r>
      <w:r w:rsidR="00F804BA">
        <w:rPr>
          <w:rFonts w:eastAsiaTheme="minorEastAsia"/>
          <w:lang w:bidi="hi-IN"/>
        </w:rPr>
        <w:t>, which can be quite small (</w:t>
      </w:r>
      <w:r w:rsidR="00F804BA">
        <w:rPr>
          <w:rFonts w:eastAsiaTheme="minorEastAsia"/>
          <w:i/>
          <w:iCs/>
          <w:lang w:bidi="hi-IN"/>
        </w:rPr>
        <w:t>U/2sH</w:t>
      </w:r>
      <w:r w:rsidR="00F804BA">
        <w:rPr>
          <w:rFonts w:eastAsiaTheme="minorEastAsia"/>
          <w:lang w:bidi="hi-IN"/>
        </w:rPr>
        <w:t xml:space="preserve">=0.0002 </w:t>
      </w:r>
      <w:r w:rsidR="000A40AD">
        <w:rPr>
          <w:rFonts w:eastAsiaTheme="minorEastAsia"/>
          <w:lang w:bidi="hi-IN"/>
        </w:rPr>
        <w:t xml:space="preserve">for typical values, see </w:t>
      </w:r>
      <w:r w:rsidR="000A40AD">
        <w:rPr>
          <w:lang w:bidi="hi-IN"/>
        </w:rPr>
        <w:fldChar w:fldCharType="begin"/>
      </w:r>
      <w:r w:rsidR="000A40AD">
        <w:rPr>
          <w:lang w:bidi="hi-IN"/>
        </w:rPr>
        <w:instrText xml:space="preserve"> REF _Ref358791100 \h </w:instrText>
      </w:r>
      <w:r w:rsidR="000A40AD">
        <w:rPr>
          <w:lang w:bidi="hi-IN"/>
        </w:rPr>
      </w:r>
      <w:r w:rsidR="000A40AD">
        <w:rPr>
          <w:lang w:bidi="hi-IN"/>
        </w:rPr>
        <w:fldChar w:fldCharType="separate"/>
      </w:r>
      <w:r w:rsidR="000A40AD">
        <w:t xml:space="preserve">Table </w:t>
      </w:r>
      <w:r w:rsidR="000A40AD">
        <w:rPr>
          <w:noProof/>
        </w:rPr>
        <w:t>1</w:t>
      </w:r>
      <w:r w:rsidR="000A40AD">
        <w:rPr>
          <w:lang w:bidi="hi-IN"/>
        </w:rPr>
        <w:fldChar w:fldCharType="end"/>
      </w:r>
      <w:r w:rsidR="000A40AD">
        <w:rPr>
          <w:rFonts w:eastAsiaTheme="minorEastAsia"/>
          <w:lang w:bidi="hi-IN"/>
        </w:rPr>
        <w:t>).</w:t>
      </w:r>
      <w:r w:rsidR="00C96FC9">
        <w:rPr>
          <w:rFonts w:eastAsiaTheme="minorEastAsia"/>
          <w:lang w:bidi="hi-IN"/>
        </w:rPr>
        <w:t xml:space="preserve"> This was verified with the simulation results in which only the fixation probability of SIM-II significantly changed with </w:t>
      </w:r>
      <w:r w:rsidR="00C96FC9" w:rsidRPr="00FC507C">
        <w:rPr>
          <w:i/>
          <w:iCs/>
        </w:rPr>
        <w:t>τ</w:t>
      </w:r>
      <w:r w:rsidR="00C96FC9">
        <w:rPr>
          <w:rFonts w:eastAsiaTheme="minorEastAsia"/>
          <w:lang w:bidi="hi-IN"/>
        </w:rPr>
        <w:t xml:space="preserve"> (</w:t>
      </w:r>
      <w:r w:rsidR="00C96FC9">
        <w:rPr>
          <w:rFonts w:eastAsiaTheme="minorEastAsia"/>
          <w:lang w:bidi="hi-IN"/>
        </w:rPr>
        <w:fldChar w:fldCharType="begin"/>
      </w:r>
      <w:r w:rsidR="00C96FC9">
        <w:rPr>
          <w:rFonts w:eastAsiaTheme="minorEastAsia"/>
          <w:lang w:bidi="hi-IN"/>
        </w:rPr>
        <w:instrText xml:space="preserve"> REF _Ref360366778 \h </w:instrText>
      </w:r>
      <w:r w:rsidR="00C96FC9">
        <w:rPr>
          <w:rFonts w:eastAsiaTheme="minorEastAsia"/>
          <w:lang w:bidi="hi-IN"/>
        </w:rPr>
      </w:r>
      <w:r w:rsidR="00C96FC9">
        <w:rPr>
          <w:rFonts w:eastAsiaTheme="minorEastAsia"/>
          <w:lang w:bidi="hi-IN"/>
        </w:rPr>
        <w:fldChar w:fldCharType="separate"/>
      </w:r>
      <w:r w:rsidR="00C96FC9">
        <w:t xml:space="preserve">Figure </w:t>
      </w:r>
      <w:r w:rsidR="00C96FC9">
        <w:rPr>
          <w:noProof/>
        </w:rPr>
        <w:t>S</w:t>
      </w:r>
      <w:bookmarkStart w:id="18" w:name="_GoBack"/>
      <w:bookmarkEnd w:id="18"/>
      <w:r w:rsidR="00C96FC9">
        <w:rPr>
          <w:noProof/>
        </w:rPr>
        <w:t>8</w:t>
      </w:r>
      <w:r w:rsidR="00C96FC9">
        <w:rPr>
          <w:rFonts w:eastAsiaTheme="minorEastAsia"/>
          <w:lang w:bidi="hi-IN"/>
        </w:rPr>
        <w:fldChar w:fldCharType="end"/>
      </w:r>
      <w:r w:rsidR="00C96FC9">
        <w:rPr>
          <w:rFonts w:eastAsiaTheme="minorEastAsia"/>
          <w:lang w:bidi="hi-IN"/>
        </w:rPr>
        <w:t xml:space="preserve">). </w:t>
      </w:r>
    </w:p>
    <w:p w:rsidR="00DB72B7" w:rsidRDefault="00B82D73" w:rsidP="00477861">
      <w:r>
        <w:rPr>
          <w:rFonts w:eastAsiaTheme="minorEastAsia"/>
          <w:lang w:bidi="hi-IN"/>
        </w:rPr>
        <w:t xml:space="preserve">These approximations, and therefore these results, all depend on the constraints above, of which the most important is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w:t>
      </w:r>
      <w:r w:rsidR="00701833">
        <w:rPr>
          <w:rFonts w:eastAsiaTheme="minorEastAsia"/>
          <w:lang w:bidi="hi-IN"/>
        </w:rPr>
        <w:t xml:space="preserve"> When </w:t>
      </w:r>
      <w:r w:rsidR="0043685D">
        <w:rPr>
          <w:rFonts w:eastAsiaTheme="minorEastAsia"/>
          <w:lang w:bidi="hi-IN"/>
        </w:rPr>
        <w:t>these constraints</w:t>
      </w:r>
      <w:r w:rsidR="00701833">
        <w:rPr>
          <w:rFonts w:eastAsiaTheme="minorEastAsia"/>
          <w:lang w:bidi="hi-IN"/>
        </w:rPr>
        <w:t xml:space="preserve"> are met, the approximations agree with the results of our stochastic simulations (</w:t>
      </w:r>
      <w:r w:rsidR="0043685D">
        <w:rPr>
          <w:rFonts w:eastAsiaTheme="minorEastAsia"/>
          <w:lang w:bidi="hi-IN"/>
        </w:rPr>
        <w:fldChar w:fldCharType="begin"/>
      </w:r>
      <w:r w:rsidR="0043685D">
        <w:rPr>
          <w:rFonts w:eastAsiaTheme="minorEastAsia"/>
          <w:lang w:bidi="hi-IN"/>
        </w:rPr>
        <w:instrText xml:space="preserve"> REF _Ref360183807 \h </w:instrText>
      </w:r>
      <w:r w:rsidR="0043685D">
        <w:rPr>
          <w:rFonts w:eastAsiaTheme="minorEastAsia"/>
          <w:lang w:bidi="hi-IN"/>
        </w:rPr>
      </w:r>
      <w:r w:rsidR="0043685D">
        <w:rPr>
          <w:rFonts w:eastAsiaTheme="minorEastAsia"/>
          <w:lang w:bidi="hi-IN"/>
        </w:rPr>
        <w:fldChar w:fldCharType="separate"/>
      </w:r>
      <w:r w:rsidR="00477861">
        <w:t xml:space="preserve">Figures </w:t>
      </w:r>
      <w:r w:rsidR="00477861">
        <w:rPr>
          <w:noProof/>
        </w:rPr>
        <w:t>S5</w:t>
      </w:r>
      <w:r w:rsidR="0043685D">
        <w:rPr>
          <w:rFonts w:eastAsiaTheme="minorEastAsia"/>
          <w:lang w:bidi="hi-IN"/>
        </w:rPr>
        <w:fldChar w:fldCharType="end"/>
      </w:r>
      <w:r w:rsidR="0043685D">
        <w:rPr>
          <w:rFonts w:eastAsiaTheme="minorEastAsia"/>
          <w:lang w:bidi="hi-IN"/>
        </w:rPr>
        <w:t>-</w:t>
      </w:r>
      <w:r w:rsidR="00477861">
        <w:rPr>
          <w:rFonts w:eastAsiaTheme="minorEastAsia"/>
          <w:lang w:bidi="hi-IN"/>
        </w:rPr>
        <w:t>S</w:t>
      </w:r>
      <w:r w:rsidR="00477861">
        <w:rPr>
          <w:rFonts w:eastAsiaTheme="minorEastAsia"/>
          <w:lang w:bidi="hi-IN"/>
        </w:rPr>
        <w:fldChar w:fldCharType="begin"/>
      </w:r>
      <w:r w:rsidR="00477861">
        <w:rPr>
          <w:rFonts w:eastAsiaTheme="minorEastAsia"/>
          <w:lang w:bidi="hi-IN"/>
        </w:rPr>
        <w:instrText xml:space="preserve"> REF _Ref360183903 \h </w:instrText>
      </w:r>
      <w:r w:rsidR="00477861">
        <w:rPr>
          <w:rFonts w:eastAsiaTheme="minorEastAsia"/>
          <w:lang w:bidi="hi-IN"/>
        </w:rPr>
      </w:r>
      <w:r w:rsidR="00477861">
        <w:rPr>
          <w:rFonts w:eastAsiaTheme="minorEastAsia"/>
          <w:lang w:bidi="hi-IN"/>
        </w:rPr>
        <w:fldChar w:fldCharType="separate"/>
      </w:r>
      <w:r w:rsidR="00477861">
        <w:rPr>
          <w:noProof/>
        </w:rPr>
        <w:t>7</w:t>
      </w:r>
      <w:r w:rsidR="00477861">
        <w:rPr>
          <w:rFonts w:eastAsiaTheme="minorEastAsia"/>
          <w:lang w:bidi="hi-IN"/>
        </w:rPr>
        <w:fldChar w:fldCharType="end"/>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can be anything between 1 and 1,000</w:t>
      </w:r>
      <w:r w:rsidR="000E60A3">
        <w:t xml:space="preserve">. More </w:t>
      </w:r>
      <w:r w:rsidR="000A40AD">
        <w:t>generally, we can expect that if</w:t>
      </w:r>
      <w:r w:rsidR="000E60A3">
        <w:t xml:space="preserve"> selection is strong and mutation rates are low, then CM and SIM wi</w:t>
      </w:r>
      <w:r w:rsidR="000A40AD">
        <w:t>ll have a big advantage over NM. Between them, CM and SIM can both be more successful, depending on the scenario.</w:t>
      </w:r>
      <w:r w:rsidR="000E60A3">
        <w:t xml:space="preserve"> </w:t>
      </w:r>
    </w:p>
    <w:p w:rsidR="00C11B88" w:rsidRDefault="00C87978" w:rsidP="00C87978">
      <w:pPr>
        <w:keepNext/>
        <w:jc w:val="center"/>
      </w:pPr>
      <w:r>
        <w:rPr>
          <w:noProof/>
        </w:rPr>
        <w:lastRenderedPageBreak/>
        <w:drawing>
          <wp:inline distT="0" distB="0" distL="0" distR="0" wp14:anchorId="40D15F4B" wp14:editId="3B419DC2">
            <wp:extent cx="5279390" cy="4218305"/>
            <wp:effectExtent l="0" t="0" r="0" b="0"/>
            <wp:docPr id="1" name="Picture 1" descr="D:\workspace\ruggedsim\manuscript\adaptat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adaptation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9390" cy="4218305"/>
                    </a:xfrm>
                    <a:prstGeom prst="rect">
                      <a:avLst/>
                    </a:prstGeom>
                    <a:noFill/>
                    <a:ln>
                      <a:noFill/>
                    </a:ln>
                  </pic:spPr>
                </pic:pic>
              </a:graphicData>
            </a:graphic>
          </wp:inline>
        </w:drawing>
      </w:r>
    </w:p>
    <w:p w:rsidR="00F804BA" w:rsidRPr="00E4303E" w:rsidRDefault="00C11B88" w:rsidP="00CB2F61">
      <w:pPr>
        <w:pStyle w:val="FigureLegend"/>
      </w:pPr>
      <w:bookmarkStart w:id="19"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9"/>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a). </w:t>
      </w:r>
      <w:r w:rsidR="00E4303E">
        <w:t xml:space="preserve">NM (represented by </w:t>
      </w:r>
      <w:r w:rsidR="00E4303E" w:rsidRPr="00E4303E">
        <w:rPr>
          <w:i/>
          <w:iCs/>
        </w:rPr>
        <w:t>τ</w:t>
      </w:r>
      <w:r w:rsidR="00E4303E">
        <w:t xml:space="preserve">=1) is normal mutagenesis; </w:t>
      </w:r>
      <w:r>
        <w:t xml:space="preserve">CM (dashed red with circles) is constitutive mutagenesis; SIM-I (solid blue with circles) is stress-induced mutagenesis where the wildtype </w:t>
      </w:r>
      <w:proofErr w:type="spellStart"/>
      <w:r>
        <w:rPr>
          <w:i/>
          <w:iCs/>
        </w:rPr>
        <w:t>ab</w:t>
      </w:r>
      <w:proofErr w:type="spellEnd"/>
      <w:r>
        <w:t xml:space="preserve"> is not stressed; SIM-II (dotted green with x's) is stress-induced mutagenesis where the wildtype </w:t>
      </w:r>
      <w:proofErr w:type="spellStart"/>
      <w:r>
        <w:rPr>
          <w:i/>
          <w:iCs/>
        </w:rPr>
        <w:t>ab</w:t>
      </w:r>
      <w:proofErr w:type="spellEnd"/>
      <w:r>
        <w:t xml:space="preserve"> is stressed. Note that the advantage of SIM-II over CM but this cannot be seen in this resolution. The markers represent results of </w:t>
      </w:r>
      <w:r w:rsidR="005F620D">
        <w:t xml:space="preserve">stochastic </w:t>
      </w:r>
      <w:r>
        <w:t>simulations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b) and the error bars are the SEM</w:t>
      </w:r>
      <w:r w:rsidR="00E4303E">
        <w:t xml:space="preserve"> (at least 100 simulations per point)</w:t>
      </w:r>
      <w:r>
        <w:t>.</w:t>
      </w:r>
      <w:r w:rsidR="00E4303E">
        <w:t xml:space="preserve"> 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p>
    <w:p w:rsidR="00AC687F" w:rsidRDefault="00AC687F" w:rsidP="00AC687F">
      <w:pPr>
        <w:pStyle w:val="Heading2"/>
      </w:pPr>
      <w:r>
        <w:t>Adaptability and adaptedness</w:t>
      </w:r>
    </w:p>
    <w:p w:rsidR="00AC687F" w:rsidRPr="00B85CA4" w:rsidRDefault="00305197" w:rsidP="0082586B">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D6393B">
        <w:rPr>
          <w:i/>
          <w:iCs/>
        </w:rPr>
        <w:t>τ</w:t>
      </w:r>
      <w:r w:rsidR="00135B27" w:rsidRPr="00D6393B">
        <w:rPr>
          <w:i/>
          <w:iCs/>
          <w:vertAlign w:val="subscript"/>
        </w:rPr>
        <w:t>CM</w:t>
      </w:r>
      <w:proofErr w:type="spellEnd"/>
      <w:r w:rsidR="00B85CA4" w:rsidRPr="00D6393B">
        <w:t>=2</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D6393B" w:rsidRPr="00D6393B">
        <w:t>7</w:t>
      </w:r>
      <w:r w:rsidR="00135B27">
        <w:t xml:space="preserve"> in which all individuals increase their mutation rate 2-fold and stressed individuals further</w:t>
      </w:r>
      <w:r w:rsidR="00D6393B">
        <w:t xml:space="preserve"> increase their mutation rate 7</w:t>
      </w:r>
      <w:r w:rsidR="00135B27">
        <w:t>-fold</w:t>
      </w:r>
      <w:r w:rsidR="00B85CA4">
        <w:t xml:space="preserve">. </w:t>
      </w:r>
      <w:r w:rsidR="0082586B">
        <w:t>However, this increase in adaptation rate can have a price: t</w:t>
      </w:r>
      <w:r w:rsidR="00B85CA4">
        <w:t xml:space="preserve">he mutational burden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0.9992</w:t>
      </w:r>
      <w:r w:rsidR="0082586B">
        <w:t xml:space="preserve"> with the mixed strategy. This price in not paid with </w:t>
      </w:r>
      <w:r w:rsidR="00B85CA4">
        <w:t>SIM</w:t>
      </w:r>
      <w:r w:rsidR="0082586B">
        <w:t xml:space="preserve">, because the mean fitness only </w:t>
      </w:r>
      <w:r w:rsidR="0082586B">
        <w:lastRenderedPageBreak/>
        <w:t>depends on the mutation rate of fit individuals (neglecting the effects of beneficial mutations)</w:t>
      </w:r>
      <w:r w:rsidR="00B85CA4">
        <w:t>.</w:t>
      </w:r>
    </w:p>
    <w:p w:rsidR="009040D1" w:rsidRDefault="00305197" w:rsidP="009040D1">
      <w:pPr>
        <w:keepNext/>
      </w:pPr>
      <w:r>
        <w:rPr>
          <w:noProof/>
        </w:rPr>
        <w:drawing>
          <wp:inline distT="0" distB="0" distL="0" distR="0" wp14:anchorId="5F4DE953" wp14:editId="4AFD0ACA">
            <wp:extent cx="5276850" cy="4222750"/>
            <wp:effectExtent l="0" t="0" r="0" b="6350"/>
            <wp:docPr id="12" name="Picture 12" descr="D:\workspace\ruggedsim\manuscript\trade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tradeof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9040D1" w:rsidRDefault="009040D1" w:rsidP="00514DED">
      <w:pPr>
        <w:pStyle w:val="FigureLegend"/>
        <w:rPr>
          <w:lang w:bidi="hi-IN"/>
        </w:rPr>
      </w:pPr>
      <w:bookmarkStart w:id="20"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20"/>
      <w:r w:rsidRPr="009040D1">
        <w:rPr>
          <w:b/>
          <w:bCs/>
          <w:noProof/>
        </w:rPr>
        <w:t xml:space="preserve"> - </w:t>
      </w:r>
      <w:r w:rsidR="006D14E9">
        <w:rPr>
          <w:b/>
          <w:bCs/>
          <w:noProof/>
        </w:rPr>
        <w:t>A</w:t>
      </w:r>
      <w:r w:rsidRPr="009040D1">
        <w:rPr>
          <w:b/>
          <w:bCs/>
          <w:noProof/>
        </w:rPr>
        <w:t>daptedness and adaptability.</w:t>
      </w:r>
      <w:r>
        <w:rPr>
          <w:b/>
          <w:bCs/>
          <w:noProof/>
        </w:rPr>
        <w:t xml:space="preserve"> </w:t>
      </w:r>
      <w:r>
        <w:rPr>
          <w:noProof/>
        </w:rPr>
        <w:t xml:space="preserve">The figure shows the </w:t>
      </w:r>
      <w:r w:rsidR="0082586B">
        <w:rPr>
          <w:noProof/>
        </w:rPr>
        <w:t xml:space="preserve">change in </w:t>
      </w:r>
      <w:r>
        <w:rPr>
          <w:noProof/>
        </w:rPr>
        <w:t xml:space="preserve">population mean fitness </w:t>
      </w:r>
      <w:r w:rsidR="0082586B">
        <w:rPr>
          <w:noProof/>
        </w:rPr>
        <w:t xml:space="preserve">(x-axis) </w:t>
      </w:r>
      <w:r>
        <w:rPr>
          <w:noProof/>
        </w:rPr>
        <w:t>and adaptation rate</w:t>
      </w:r>
      <w:r w:rsidR="0082586B">
        <w:rPr>
          <w:noProof/>
        </w:rPr>
        <w:t xml:space="preserve"> (y-axis)</w:t>
      </w:r>
      <w:r>
        <w:rPr>
          <w:noProof/>
        </w:rPr>
        <w:t xml:space="preserve"> </w:t>
      </w:r>
      <w:r w:rsidR="00514DED">
        <w:rPr>
          <w:noProof/>
        </w:rPr>
        <w:t>by</w:t>
      </w:r>
      <w:r>
        <w:rPr>
          <w:noProof/>
        </w:rPr>
        <w:t xml:space="preserve"> a </w:t>
      </w:r>
      <w:r w:rsidR="0082586B">
        <w:rPr>
          <w:noProof/>
        </w:rPr>
        <w:t xml:space="preserve">mutational strategy </w:t>
      </w:r>
      <w:r>
        <w:rPr>
          <w:noProof/>
        </w:rPr>
        <w:t xml:space="preserve">compared 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514DED">
        <w:rPr>
          <w:lang w:bidi="hi-IN"/>
        </w:rPr>
        <w:t xml:space="preserve"> increases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This figure shows SIM-I as SIM-II preforms even better.</w:t>
      </w:r>
      <w:r w:rsidR="006D14E9">
        <w:rPr>
          <w:lang w:bidi="hi-IN"/>
        </w:rPr>
        <w:t xml:space="preserve"> 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004B35" w:rsidRDefault="00004B35" w:rsidP="00004B35">
      <w:pPr>
        <w:pStyle w:val="Heading1"/>
        <w:rPr>
          <w:lang w:bidi="hi-IN"/>
        </w:rPr>
      </w:pPr>
      <w:r>
        <w:rPr>
          <w:lang w:bidi="hi-IN"/>
        </w:rPr>
        <w:t>Discussion</w:t>
      </w:r>
    </w:p>
    <w:p w:rsidR="00004B35" w:rsidRDefault="00004B35" w:rsidP="00514DED">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analyze the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4F4440">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7409B" w:rsidRDefault="00CE78D0" w:rsidP="00514DED">
      <w:pPr>
        <w:rPr>
          <w:lang w:bidi="hi-IN"/>
        </w:rPr>
      </w:pPr>
      <w:r>
        <w:rPr>
          <w:lang w:bidi="hi-IN"/>
        </w:rPr>
        <w:t xml:space="preserve">One of the features included in our model was that of a mixed strategy – a mutational strategy that combines CM and SIM. There are two examples of such as strategy. First, if individuals' </w:t>
      </w:r>
      <w:r w:rsidR="00514DED">
        <w:rPr>
          <w:lang w:bidi="hi-IN"/>
        </w:rPr>
        <w:t>information is not complete</w:t>
      </w:r>
      <w:r>
        <w:rPr>
          <w:lang w:bidi="hi-IN"/>
        </w:rPr>
        <w:t xml:space="preserve"> (which is the case in any biological realistic scenario) then </w:t>
      </w:r>
      <w:r w:rsidR="00514DED">
        <w:rPr>
          <w:lang w:bidi="hi-IN"/>
        </w:rPr>
        <w:t>we</w:t>
      </w:r>
      <w:r>
        <w:rPr>
          <w:lang w:bidi="hi-IN"/>
        </w:rPr>
        <w:t xml:space="preserve"> expect that there would be errors in the </w:t>
      </w:r>
      <w:r>
        <w:rPr>
          <w:lang w:bidi="hi-IN"/>
        </w:rPr>
        <w:lastRenderedPageBreak/>
        <w:t>induction of mutagenesis: 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without stress and increase it even more under stress</w:t>
      </w:r>
      <w:r w:rsidR="0007409B">
        <w:rPr>
          <w:lang w:bidi="hi-IN"/>
        </w:rPr>
        <w:t xml:space="preserve"> </w:t>
      </w:r>
      <w:r w:rsidR="0007409B">
        <w:rPr>
          <w:lang w:bidi="hi-IN"/>
        </w:rPr>
        <w:fldChar w:fldCharType="begin" w:fldLock="1"/>
      </w:r>
      <w:r w:rsidR="004F4440">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Pr>
          <w:lang w:bidi="hi-IN"/>
        </w:rPr>
        <w:t>.</w:t>
      </w:r>
      <w:r w:rsidR="0007409B" w:rsidRPr="0007409B">
        <w:rPr>
          <w:lang w:bidi="hi-IN"/>
        </w:rPr>
        <w:t xml:space="preserve"> </w:t>
      </w:r>
    </w:p>
    <w:p w:rsidR="0007409B" w:rsidRDefault="00514DED" w:rsidP="00514DED">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Pr>
          <w:lang w:bidi="hi-IN"/>
        </w:rPr>
        <w:t xml:space="preserve">best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is not clear that is the result of selection on adaptability and adaptedness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4F4440">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4F4440">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4F4440">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enzymes, aka the "drift barrier hypothesis" </w:t>
      </w:r>
      <w:r w:rsidR="00B37F95">
        <w:rPr>
          <w:lang w:bidi="hi-IN"/>
        </w:rPr>
        <w:fldChar w:fldCharType="begin" w:fldLock="1"/>
      </w:r>
      <w:r w:rsidR="004F4440">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4F4440">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514DED">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4F4440">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4F4440">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4F4440">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Engels, and Denniston 1990; Wade and Goodnight 1991; Peck, Ellner, and Gould 2000)" }, "properties" : { "noteIndex" : 0 }, "schema" : "https://github.com/citation-style-language/schema/raw/master/csl-citation.json" }</w:instrText>
      </w:r>
      <w:r>
        <w:rPr>
          <w:lang w:bidi="hi-IN"/>
        </w:rPr>
        <w:fldChar w:fldCharType="separate"/>
      </w:r>
      <w:r w:rsidRPr="00B37F95">
        <w:rPr>
          <w:noProof/>
          <w:lang w:bidi="hi-IN"/>
        </w:rPr>
        <w:t>(Crow, Engels, and Denniston 1990; Wade and Goodnight 1991; Peck, Ellner, and Gould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4F4440">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Barton, and Turelli 2000; Whitlock and Phillips 2000)" }, "properties" : { "noteIndex" : 0 }, "schema" : "https://github.com/citation-style-language/schema/raw/master/csl-citation.json" }</w:instrText>
      </w:r>
      <w:r>
        <w:rPr>
          <w:lang w:bidi="hi-IN"/>
        </w:rPr>
        <w:fldChar w:fldCharType="separate"/>
      </w:r>
      <w:r w:rsidRPr="00B37F95">
        <w:rPr>
          <w:noProof/>
          <w:lang w:bidi="hi-IN"/>
        </w:rPr>
        <w:t>(Moore and Tonsor 1994; Gavrilets 1996; Coyne, Barton, and Turelli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4F4440">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Whitlock 1997; Hadany 2003; Hadany and Beker 2003; Weissman et al. 2009)" }, "properties" : { "noteIndex" : 0 }, "schema" : "https://github.com/citation-style-language/schema/raw/master/csl-citation.json" }</w:instrText>
      </w:r>
      <w:r>
        <w:rPr>
          <w:lang w:bidi="hi-IN"/>
        </w:rPr>
        <w:fldChar w:fldCharType="separate"/>
      </w:r>
      <w:r w:rsidRPr="00B37F95">
        <w:rPr>
          <w:noProof/>
          <w:lang w:bidi="hi-IN"/>
        </w:rPr>
        <w:t>(Whitlock 1995; Whitlock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SIM is another mechanism that can help resolve this century old problem.</w:t>
      </w:r>
    </w:p>
    <w:p w:rsidR="00DF6C0E" w:rsidRDefault="00DF6C0E" w:rsidP="00446BDA">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4F4440">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446BDA">
      <w:r>
        <w:rPr>
          <w:lang w:bidi="hi-IN"/>
        </w:rPr>
        <w:t xml:space="preserve">Stress-induced mutagenesis has been implicated as a driver of adaptive evolution for several decades </w:t>
      </w:r>
      <w:r>
        <w:rPr>
          <w:lang w:bidi="hi-IN"/>
        </w:rPr>
        <w:fldChar w:fldCharType="begin" w:fldLock="1"/>
      </w:r>
      <w:r w:rsidR="004F4440">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Overbaugh, and Miller 1988)" }, "properties" : { "noteIndex" : 0 }, "schema" : "https://github.com/citation-style-language/schema/raw/master/csl-citation.json" }</w:instrText>
      </w:r>
      <w:r>
        <w:rPr>
          <w:lang w:bidi="hi-IN"/>
        </w:rPr>
        <w:fldChar w:fldCharType="separate"/>
      </w:r>
      <w:r w:rsidRPr="00DF6C0E">
        <w:rPr>
          <w:noProof/>
          <w:lang w:bidi="hi-IN"/>
        </w:rPr>
        <w:t>(Cairns, Overbaugh, and Miller 1988)</w:t>
      </w:r>
      <w:r>
        <w:rPr>
          <w:lang w:bidi="hi-IN"/>
        </w:rPr>
        <w:fldChar w:fldCharType="end"/>
      </w:r>
      <w:r>
        <w:rPr>
          <w:lang w:bidi="hi-IN"/>
        </w:rPr>
        <w:t xml:space="preserve">. We provide theoretical </w:t>
      </w:r>
      <w:r>
        <w:rPr>
          <w:lang w:bidi="hi-IN"/>
        </w:rPr>
        <w:lastRenderedPageBreak/>
        <w:t>treatment of this concept. We show that stress-</w:t>
      </w:r>
      <w:r w:rsidR="00FB30D0">
        <w:rPr>
          <w:lang w:bidi="hi-IN"/>
        </w:rPr>
        <w:t>induced</w:t>
      </w:r>
      <w:r>
        <w:rPr>
          <w:lang w:bidi="hi-IN"/>
        </w:rPr>
        <w:t xml:space="preserve"> mutagenesis indeed increases the rate of adaptation</w:t>
      </w:r>
      <w:r w:rsidR="00446BDA">
        <w:rPr>
          <w:lang w:bidi="hi-IN"/>
        </w:rPr>
        <w:t xml:space="preserve"> and </w:t>
      </w:r>
      <w:r w:rsidR="00FB30D0">
        <w:rPr>
          <w:lang w:bidi="hi-IN"/>
        </w:rPr>
        <w:t xml:space="preserve">that in contrast to constitutive </w:t>
      </w:r>
      <w:proofErr w:type="gramStart"/>
      <w:r w:rsidR="00FB30D0">
        <w:rPr>
          <w:lang w:bidi="hi-IN"/>
        </w:rPr>
        <w:t>mutagenesis</w:t>
      </w:r>
      <w:r w:rsidR="00446BDA">
        <w:rPr>
          <w:lang w:bidi="hi-IN"/>
        </w:rPr>
        <w:t>,</w:t>
      </w:r>
      <w:proofErr w:type="gramEnd"/>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701833" w:rsidRPr="00F650EA" w:rsidRDefault="00701833" w:rsidP="00701833">
      <w:pPr>
        <w:pStyle w:val="Heading1"/>
      </w:pPr>
      <w:r>
        <w:lastRenderedPageBreak/>
        <w:t>Supporting Figures</w:t>
      </w:r>
    </w:p>
    <w:p w:rsidR="00701833" w:rsidRDefault="00C96FC9" w:rsidP="00C87978">
      <w:pPr>
        <w:keepNext/>
        <w:jc w:val="center"/>
      </w:pPr>
      <w:r>
        <w:rPr>
          <w:noProof/>
        </w:rPr>
        <w:lastRenderedPageBreak/>
        <w:softHyphen/>
      </w:r>
      <w:r w:rsidR="00C87978">
        <w:rPr>
          <w:noProof/>
        </w:rPr>
        <w:drawing>
          <wp:inline distT="0" distB="0" distL="0" distR="0" wp14:anchorId="6893C7F7" wp14:editId="086B2DBE">
            <wp:extent cx="4425315" cy="8850630"/>
            <wp:effectExtent l="0" t="0" r="0" b="7620"/>
            <wp:docPr id="4" name="Picture 4" descr="D:\workspace\ruggedsim\manuscript\results_s_0.05_logN_6.pi.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esults_s_0.05_logN_6.pi.10.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5315" cy="8850630"/>
                    </a:xfrm>
                    <a:prstGeom prst="rect">
                      <a:avLst/>
                    </a:prstGeom>
                    <a:noFill/>
                    <a:ln>
                      <a:noFill/>
                    </a:ln>
                  </pic:spPr>
                </pic:pic>
              </a:graphicData>
            </a:graphic>
          </wp:inline>
        </w:drawing>
      </w:r>
    </w:p>
    <w:p w:rsidR="00701833" w:rsidRDefault="00701833" w:rsidP="0043685D">
      <w:pPr>
        <w:pStyle w:val="FigureLegend"/>
      </w:pPr>
      <w:bookmarkStart w:id="21" w:name="_Ref360183807"/>
      <w:r>
        <w:lastRenderedPageBreak/>
        <w:t xml:space="preserve">Figure </w:t>
      </w:r>
      <w:fldSimple w:instr=" SEQ Figure \* ARABIC ">
        <w:r w:rsidR="00C96FC9">
          <w:rPr>
            <w:noProof/>
          </w:rPr>
          <w:t>5</w:t>
        </w:r>
      </w:fldSimple>
      <w:bookmarkEnd w:id="21"/>
    </w:p>
    <w:p w:rsidR="0043685D" w:rsidRDefault="00C87978" w:rsidP="00C87978">
      <w:pPr>
        <w:jc w:val="center"/>
        <w:rPr>
          <w:lang w:bidi="hi-IN"/>
        </w:rPr>
      </w:pPr>
      <w:r>
        <w:rPr>
          <w:noProof/>
        </w:rPr>
        <w:lastRenderedPageBreak/>
        <w:drawing>
          <wp:inline distT="0" distB="0" distL="0" distR="0" wp14:anchorId="12C691CA" wp14:editId="66D3BBF6">
            <wp:extent cx="4425315" cy="8850630"/>
            <wp:effectExtent l="0" t="0" r="0" b="7620"/>
            <wp:docPr id="6" name="Picture 6" descr="D:\workspace\ruggedsim\manuscript\results_s_0.05_logN_6.pi.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esults_s_0.05_logN_6.pi.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5315" cy="8850630"/>
                    </a:xfrm>
                    <a:prstGeom prst="rect">
                      <a:avLst/>
                    </a:prstGeom>
                    <a:noFill/>
                    <a:ln>
                      <a:noFill/>
                    </a:ln>
                  </pic:spPr>
                </pic:pic>
              </a:graphicData>
            </a:graphic>
          </wp:inline>
        </w:drawing>
      </w:r>
    </w:p>
    <w:p w:rsidR="0043685D" w:rsidRDefault="0043685D" w:rsidP="0043685D">
      <w:pPr>
        <w:pStyle w:val="FigureLegend"/>
      </w:pPr>
      <w:r>
        <w:lastRenderedPageBreak/>
        <w:t xml:space="preserve">Figure </w:t>
      </w:r>
      <w:fldSimple w:instr=" SEQ Figure \* ARABIC ">
        <w:r w:rsidR="00C96FC9">
          <w:rPr>
            <w:noProof/>
          </w:rPr>
          <w:t>6</w:t>
        </w:r>
      </w:fldSimple>
    </w:p>
    <w:p w:rsidR="00B37F95" w:rsidRDefault="00C87978" w:rsidP="00C87978">
      <w:pPr>
        <w:jc w:val="center"/>
        <w:rPr>
          <w:lang w:bidi="hi-IN"/>
        </w:rPr>
      </w:pPr>
      <w:r>
        <w:rPr>
          <w:noProof/>
        </w:rPr>
        <w:lastRenderedPageBreak/>
        <w:drawing>
          <wp:inline distT="0" distB="0" distL="0" distR="0" wp14:anchorId="63DEB471" wp14:editId="71BD385A">
            <wp:extent cx="4425315" cy="8850630"/>
            <wp:effectExtent l="0" t="0" r="0" b="7620"/>
            <wp:docPr id="10" name="Picture 10" descr="D:\workspace\ruggedsim\manuscript\results_s_0.05_logN_6.pi.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esults_s_0.05_logN_6.pi.1.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315" cy="8850630"/>
                    </a:xfrm>
                    <a:prstGeom prst="rect">
                      <a:avLst/>
                    </a:prstGeom>
                    <a:noFill/>
                    <a:ln>
                      <a:noFill/>
                    </a:ln>
                  </pic:spPr>
                </pic:pic>
              </a:graphicData>
            </a:graphic>
          </wp:inline>
        </w:drawing>
      </w:r>
    </w:p>
    <w:p w:rsidR="0043685D" w:rsidRDefault="0043685D" w:rsidP="0043685D">
      <w:pPr>
        <w:pStyle w:val="FigureLegend"/>
      </w:pPr>
      <w:bookmarkStart w:id="22" w:name="_Ref360183903"/>
      <w:r>
        <w:lastRenderedPageBreak/>
        <w:t xml:space="preserve">Figure </w:t>
      </w:r>
      <w:fldSimple w:instr=" SEQ Figure \* ARABIC ">
        <w:r w:rsidR="00C96FC9">
          <w:rPr>
            <w:noProof/>
          </w:rPr>
          <w:t>7</w:t>
        </w:r>
      </w:fldSimple>
      <w:bookmarkEnd w:id="22"/>
    </w:p>
    <w:p w:rsidR="00C96FC9" w:rsidRDefault="00C96FC9" w:rsidP="00C96FC9">
      <w:pPr>
        <w:pStyle w:val="FigureLegend"/>
        <w:keepNext/>
      </w:pPr>
      <w:r>
        <w:rPr>
          <w:noProof/>
        </w:rPr>
        <w:lastRenderedPageBreak/>
        <w:drawing>
          <wp:inline distT="0" distB="0" distL="0" distR="0" wp14:anchorId="0327C4B8" wp14:editId="27B2693D">
            <wp:extent cx="4425950" cy="8858885"/>
            <wp:effectExtent l="0" t="0" r="0" b="0"/>
            <wp:docPr id="11" name="Picture 1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fixation_regression_s_0.05_logN_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5950" cy="8858885"/>
                    </a:xfrm>
                    <a:prstGeom prst="rect">
                      <a:avLst/>
                    </a:prstGeom>
                    <a:noFill/>
                    <a:ln>
                      <a:noFill/>
                    </a:ln>
                  </pic:spPr>
                </pic:pic>
              </a:graphicData>
            </a:graphic>
          </wp:inline>
        </w:drawing>
      </w:r>
    </w:p>
    <w:p w:rsidR="00C96FC9" w:rsidRDefault="00C96FC9" w:rsidP="00C96FC9">
      <w:pPr>
        <w:pStyle w:val="FigureLegend"/>
      </w:pPr>
      <w:bookmarkStart w:id="23" w:name="_Ref360366778"/>
      <w:r>
        <w:lastRenderedPageBreak/>
        <w:t xml:space="preserve">Figure </w:t>
      </w:r>
      <w:fldSimple w:instr=" SEQ Figure \* ARABIC ">
        <w:r>
          <w:rPr>
            <w:noProof/>
          </w:rPr>
          <w:t>8</w:t>
        </w:r>
      </w:fldSimple>
      <w:bookmarkEnd w:id="23"/>
    </w:p>
    <w:sectPr w:rsidR="00C96FC9" w:rsidSect="00753267">
      <w:footerReference w:type="default" r:id="rId18"/>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51E7" w:rsidRDefault="001F51E7" w:rsidP="009A122D">
      <w:pPr>
        <w:spacing w:after="0" w:line="240" w:lineRule="auto"/>
      </w:pPr>
      <w:r>
        <w:separator/>
      </w:r>
    </w:p>
  </w:endnote>
  <w:endnote w:type="continuationSeparator" w:id="0">
    <w:p w:rsidR="001F51E7" w:rsidRDefault="001F51E7"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D53F5A9E-7C87-43BF-9881-7B3C69B379EE}"/>
    <w:embedBold r:id="rId2" w:fontKey="{1573E257-E828-4D61-8237-C8CADE35AEE5}"/>
    <w:embedItalic r:id="rId3" w:fontKey="{88D0E4E1-ECA6-4906-8D86-72F6808742D9}"/>
    <w:embedBoldItalic r:id="rId4" w:fontKey="{461D715F-86D9-46B5-BF78-8635F74349A4}"/>
  </w:font>
  <w:font w:name="Tahoma">
    <w:panose1 w:val="020B0604030504040204"/>
    <w:charset w:val="00"/>
    <w:family w:val="swiss"/>
    <w:pitch w:val="variable"/>
    <w:sig w:usb0="E1002EFF" w:usb1="C000605B" w:usb2="00000029" w:usb3="00000000" w:csb0="000101FF" w:csb1="00000000"/>
    <w:embedRegular r:id="rId5" w:fontKey="{D7294915-C54C-4CCF-B9AC-3DE15E6A951C}"/>
  </w:font>
  <w:font w:name="cmr10">
    <w:panose1 w:val="020B0500000000000000"/>
    <w:charset w:val="00"/>
    <w:family w:val="swiss"/>
    <w:pitch w:val="variable"/>
    <w:sig w:usb0="00000003" w:usb1="00000000" w:usb2="00000000" w:usb3="00000000" w:csb0="00000001" w:csb1="00000000"/>
    <w:embedRegular r:id="rId6" w:fontKey="{414FEC10-0C23-4DC4-9091-61956D6D2843}"/>
  </w:font>
  <w:font w:name="Cambria Math">
    <w:panose1 w:val="02040503050406030204"/>
    <w:charset w:val="00"/>
    <w:family w:val="roman"/>
    <w:pitch w:val="variable"/>
    <w:sig w:usb0="E00002FF" w:usb1="420024FF" w:usb2="00000000" w:usb3="00000000" w:csb0="0000019F" w:csb1="00000000"/>
    <w:embedRegular r:id="rId7" w:fontKey="{C37112F1-29A5-4E43-A346-9892A23FDBA6}"/>
    <w:embedItalic r:id="rId8" w:fontKey="{A3A4D7B2-0312-4547-8BE0-3C7C1E6B71E5}"/>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C11B88" w:rsidRDefault="00C11B88">
        <w:pPr>
          <w:pStyle w:val="Footer"/>
          <w:jc w:val="center"/>
        </w:pPr>
        <w:r>
          <w:fldChar w:fldCharType="begin"/>
        </w:r>
        <w:r>
          <w:instrText xml:space="preserve"> PAGE   \* MERGEFORMAT </w:instrText>
        </w:r>
        <w:r>
          <w:fldChar w:fldCharType="separate"/>
        </w:r>
        <w:r w:rsidR="00C96FC9">
          <w:rPr>
            <w:noProof/>
          </w:rPr>
          <w:t>11</w:t>
        </w:r>
        <w:r>
          <w:rPr>
            <w:noProof/>
          </w:rPr>
          <w:fldChar w:fldCharType="end"/>
        </w:r>
      </w:p>
    </w:sdtContent>
  </w:sdt>
  <w:p w:rsidR="00C11B88" w:rsidRDefault="00C11B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51E7" w:rsidRDefault="001F51E7" w:rsidP="009A122D">
      <w:pPr>
        <w:spacing w:after="0" w:line="240" w:lineRule="auto"/>
      </w:pPr>
      <w:r>
        <w:separator/>
      </w:r>
    </w:p>
  </w:footnote>
  <w:footnote w:type="continuationSeparator" w:id="0">
    <w:p w:rsidR="001F51E7" w:rsidRDefault="001F51E7"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450D"/>
    <w:rsid w:val="00004B35"/>
    <w:rsid w:val="000056D9"/>
    <w:rsid w:val="00010EC0"/>
    <w:rsid w:val="000265F8"/>
    <w:rsid w:val="00042C46"/>
    <w:rsid w:val="000545AB"/>
    <w:rsid w:val="00072913"/>
    <w:rsid w:val="0007409B"/>
    <w:rsid w:val="0008670D"/>
    <w:rsid w:val="000A40AD"/>
    <w:rsid w:val="000C6518"/>
    <w:rsid w:val="000D56CE"/>
    <w:rsid w:val="000E60A3"/>
    <w:rsid w:val="00101FCD"/>
    <w:rsid w:val="001033CA"/>
    <w:rsid w:val="00125157"/>
    <w:rsid w:val="001307C7"/>
    <w:rsid w:val="00132ABF"/>
    <w:rsid w:val="00135B27"/>
    <w:rsid w:val="001910E3"/>
    <w:rsid w:val="001C455A"/>
    <w:rsid w:val="001F51E7"/>
    <w:rsid w:val="001F5496"/>
    <w:rsid w:val="002135AE"/>
    <w:rsid w:val="0021470E"/>
    <w:rsid w:val="00245A8B"/>
    <w:rsid w:val="002630C5"/>
    <w:rsid w:val="00275A3C"/>
    <w:rsid w:val="002B1207"/>
    <w:rsid w:val="002D7506"/>
    <w:rsid w:val="00305197"/>
    <w:rsid w:val="003247B3"/>
    <w:rsid w:val="00354774"/>
    <w:rsid w:val="00373875"/>
    <w:rsid w:val="003A1D28"/>
    <w:rsid w:val="003D42F5"/>
    <w:rsid w:val="003D4900"/>
    <w:rsid w:val="003F5091"/>
    <w:rsid w:val="00401E4A"/>
    <w:rsid w:val="00412A85"/>
    <w:rsid w:val="0043685D"/>
    <w:rsid w:val="00446BDA"/>
    <w:rsid w:val="0046652F"/>
    <w:rsid w:val="00477861"/>
    <w:rsid w:val="004A2989"/>
    <w:rsid w:val="004B1858"/>
    <w:rsid w:val="004F4440"/>
    <w:rsid w:val="00514DED"/>
    <w:rsid w:val="005202A0"/>
    <w:rsid w:val="00544FA2"/>
    <w:rsid w:val="005467DB"/>
    <w:rsid w:val="005515F1"/>
    <w:rsid w:val="00563FAB"/>
    <w:rsid w:val="00564668"/>
    <w:rsid w:val="005A2F68"/>
    <w:rsid w:val="005E3A59"/>
    <w:rsid w:val="005F1227"/>
    <w:rsid w:val="005F620D"/>
    <w:rsid w:val="00607B56"/>
    <w:rsid w:val="00625517"/>
    <w:rsid w:val="006C02DB"/>
    <w:rsid w:val="006D14E9"/>
    <w:rsid w:val="00701833"/>
    <w:rsid w:val="007058D2"/>
    <w:rsid w:val="00753267"/>
    <w:rsid w:val="007E25F3"/>
    <w:rsid w:val="007E6659"/>
    <w:rsid w:val="0082586B"/>
    <w:rsid w:val="00890BB3"/>
    <w:rsid w:val="008A5282"/>
    <w:rsid w:val="009040D1"/>
    <w:rsid w:val="00925154"/>
    <w:rsid w:val="00932C9B"/>
    <w:rsid w:val="00946BF8"/>
    <w:rsid w:val="00961209"/>
    <w:rsid w:val="00961EB6"/>
    <w:rsid w:val="009A122D"/>
    <w:rsid w:val="00A03104"/>
    <w:rsid w:val="00A70358"/>
    <w:rsid w:val="00A725E6"/>
    <w:rsid w:val="00A9277F"/>
    <w:rsid w:val="00AB0448"/>
    <w:rsid w:val="00AC498F"/>
    <w:rsid w:val="00AC687F"/>
    <w:rsid w:val="00AD2B33"/>
    <w:rsid w:val="00B10C13"/>
    <w:rsid w:val="00B37F95"/>
    <w:rsid w:val="00B43DD1"/>
    <w:rsid w:val="00B5286A"/>
    <w:rsid w:val="00B66998"/>
    <w:rsid w:val="00B72912"/>
    <w:rsid w:val="00B82D73"/>
    <w:rsid w:val="00B85CA4"/>
    <w:rsid w:val="00B86C28"/>
    <w:rsid w:val="00B96911"/>
    <w:rsid w:val="00BA6231"/>
    <w:rsid w:val="00BF2DDC"/>
    <w:rsid w:val="00C11B88"/>
    <w:rsid w:val="00C2360B"/>
    <w:rsid w:val="00C555BC"/>
    <w:rsid w:val="00C87978"/>
    <w:rsid w:val="00C96FC9"/>
    <w:rsid w:val="00CB2F61"/>
    <w:rsid w:val="00CE78D0"/>
    <w:rsid w:val="00D3522A"/>
    <w:rsid w:val="00D40F2C"/>
    <w:rsid w:val="00D6393B"/>
    <w:rsid w:val="00D66493"/>
    <w:rsid w:val="00D72D8D"/>
    <w:rsid w:val="00D82F82"/>
    <w:rsid w:val="00DB72B7"/>
    <w:rsid w:val="00DE1C4B"/>
    <w:rsid w:val="00DF6C0E"/>
    <w:rsid w:val="00E4303E"/>
    <w:rsid w:val="00E466DE"/>
    <w:rsid w:val="00E5128F"/>
    <w:rsid w:val="00EA4F71"/>
    <w:rsid w:val="00EB3214"/>
    <w:rsid w:val="00EB5020"/>
    <w:rsid w:val="00EB6923"/>
    <w:rsid w:val="00EE3CB4"/>
    <w:rsid w:val="00EF3BEC"/>
    <w:rsid w:val="00F27D77"/>
    <w:rsid w:val="00F35F7B"/>
    <w:rsid w:val="00F619A9"/>
    <w:rsid w:val="00F804BA"/>
    <w:rsid w:val="00F83F2E"/>
    <w:rsid w:val="00F8789F"/>
    <w:rsid w:val="00FB30D0"/>
    <w:rsid w:val="00FC3218"/>
    <w:rsid w:val="00FC507C"/>
    <w:rsid w:val="00FD52E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F91C86-DAA3-4159-A384-70EF70051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5628</TotalTime>
  <Pages>24</Pages>
  <Words>24635</Words>
  <Characters>123180</Characters>
  <Application>Microsoft Office Word</Application>
  <DocSecurity>0</DocSecurity>
  <Lines>1026</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76</cp:revision>
  <dcterms:created xsi:type="dcterms:W3CDTF">2013-06-18T10:07:00Z</dcterms:created>
  <dcterms:modified xsi:type="dcterms:W3CDTF">2013-06-30T11:44:00Z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http://www.zotero.org/styles/biology-letters</vt:lpwstr>
  </property>
  <property fmtid="{D5CDD505-2E9C-101B-9397-08002B2CF9AE}" pid="10" name="Mendeley Recent Style Name 2_1">
    <vt:lpwstr>Biology Letters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