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430A5A" w:rsidRDefault="00D5184D" w:rsidP="00121E76">
      <w:pPr>
        <w:pStyle w:val="Title"/>
        <w:spacing w:line="480" w:lineRule="auto"/>
        <w:ind w:firstLine="284"/>
        <w:jc w:val="center"/>
        <w:rPr>
          <w:sz w:val="36"/>
          <w:szCs w:val="28"/>
        </w:rPr>
      </w:pPr>
      <w:r w:rsidRPr="00430A5A">
        <w:rPr>
          <w:sz w:val="36"/>
          <w:szCs w:val="28"/>
        </w:rPr>
        <w:softHyphen/>
        <w:t>Stress-Induced Mutagenesis and Complex Adaptation</w:t>
      </w:r>
    </w:p>
    <w:p w:rsidR="002630C5" w:rsidRPr="00430A5A" w:rsidRDefault="002630C5" w:rsidP="00121E76">
      <w:pPr>
        <w:pStyle w:val="Subtitle"/>
        <w:spacing w:line="480" w:lineRule="auto"/>
        <w:ind w:firstLine="284"/>
        <w:jc w:val="center"/>
      </w:pPr>
      <w:proofErr w:type="spellStart"/>
      <w:r w:rsidRPr="00430A5A">
        <w:t>Yoav</w:t>
      </w:r>
      <w:proofErr w:type="spellEnd"/>
      <w:r w:rsidRPr="00430A5A">
        <w:t xml:space="preserve"> Ram and </w:t>
      </w:r>
      <w:proofErr w:type="spellStart"/>
      <w:r w:rsidRPr="00430A5A">
        <w:t>Lilach</w:t>
      </w:r>
      <w:proofErr w:type="spellEnd"/>
      <w:r w:rsidRPr="00430A5A">
        <w:t xml:space="preserve"> </w:t>
      </w:r>
      <w:proofErr w:type="spellStart"/>
      <w:r w:rsidRPr="00430A5A">
        <w:t>Hadany</w:t>
      </w:r>
      <w:proofErr w:type="spellEnd"/>
    </w:p>
    <w:p w:rsidR="0038310A" w:rsidRPr="00430A5A" w:rsidRDefault="0038310A" w:rsidP="00121E76">
      <w:pPr>
        <w:spacing w:line="480" w:lineRule="auto"/>
        <w:ind w:firstLine="284"/>
        <w:rPr>
          <w:rFonts w:ascii="Times New Roman" w:hAnsi="Times New Roman" w:cs="Times New Roman"/>
          <w:sz w:val="24"/>
          <w:szCs w:val="24"/>
        </w:rPr>
      </w:pPr>
    </w:p>
    <w:p w:rsidR="00CA14DA" w:rsidRDefault="0038310A" w:rsidP="00463A59">
      <w:pPr>
        <w:spacing w:line="480" w:lineRule="auto"/>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463A59" w:rsidP="00121E76">
      <w:pPr>
        <w:spacing w:line="480" w:lineRule="auto"/>
        <w:ind w:firstLine="284"/>
        <w:rPr>
          <w:lang w:bidi="hi-IN"/>
        </w:rPr>
      </w:pPr>
      <w:r>
        <w:rPr>
          <w:lang w:bidi="hi-IN"/>
        </w:rPr>
        <w:t xml:space="preserve">       </w:t>
      </w:r>
      <w:r w:rsidR="0038310A">
        <w:rPr>
          <w:lang w:bidi="hi-IN"/>
        </w:rPr>
        <w:t xml:space="preserve">LH - </w:t>
      </w:r>
      <w:hyperlink r:id="rId10" w:history="1">
        <w:r w:rsidR="00B8554B">
          <w:rPr>
            <w:rStyle w:val="Hyperlink"/>
            <w:lang w:bidi="hi-IN"/>
          </w:rPr>
          <w:t>lilach.hadany@gmail.com</w:t>
        </w:r>
      </w:hyperlink>
      <w:r w:rsidR="00CA14DA">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463A59">
      <w:pPr>
        <w:spacing w:line="480" w:lineRule="auto"/>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463A59" w:rsidRDefault="002630C5" w:rsidP="00463A59">
      <w:pPr>
        <w:spacing w:line="480" w:lineRule="auto"/>
        <w:ind w:firstLine="284"/>
        <w:rPr>
          <w:lang w:bidi="hi-IN"/>
        </w:rPr>
      </w:pPr>
      <w:r>
        <w:rPr>
          <w:lang w:bidi="hi-IN"/>
        </w:rPr>
        <w:t>Tel-Aviv 69978, Israel</w:t>
      </w:r>
      <w:r w:rsidR="0038310A">
        <w:rPr>
          <w:lang w:bidi="hi-IN"/>
        </w:rPr>
        <w:t>. Tel. +972.3.640.6886</w:t>
      </w:r>
    </w:p>
    <w:p w:rsidR="0092329E" w:rsidRPr="0092329E" w:rsidRDefault="0092329E" w:rsidP="00463A59">
      <w:pPr>
        <w:spacing w:line="480" w:lineRule="auto"/>
        <w:rPr>
          <w:lang w:bidi="hi-IN"/>
        </w:rPr>
      </w:pPr>
      <w:r>
        <w:rPr>
          <w:b/>
          <w:bCs/>
          <w:lang w:bidi="hi-IN"/>
        </w:rPr>
        <w:t>Date:</w:t>
      </w:r>
      <w:r w:rsidR="0024147C">
        <w:rPr>
          <w:lang w:bidi="hi-IN"/>
        </w:rPr>
        <w:t xml:space="preserve"> 20</w:t>
      </w:r>
      <w:r>
        <w:rPr>
          <w:lang w:bidi="hi-IN"/>
        </w:rPr>
        <w:t xml:space="preserve"> July 2014</w:t>
      </w:r>
    </w:p>
    <w:p w:rsidR="00347C94" w:rsidRDefault="00347C94" w:rsidP="00463A59">
      <w:pPr>
        <w:spacing w:line="480" w:lineRule="auto"/>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sidR="00463A59">
        <w:rPr>
          <w:lang w:bidi="hi-IN"/>
        </w:rPr>
        <w:t xml:space="preserve">, </w:t>
      </w:r>
      <w:r w:rsidR="00CA14DA">
        <w:rPr>
          <w:lang w:bidi="hi-IN"/>
        </w:rPr>
        <w:t>simulations</w:t>
      </w:r>
      <w:r>
        <w:rPr>
          <w:lang w:bidi="hi-IN"/>
        </w:rPr>
        <w:t xml:space="preserve">, </w:t>
      </w:r>
      <w:r w:rsidR="00CA14DA">
        <w:rPr>
          <w:lang w:bidi="hi-IN"/>
        </w:rPr>
        <w:t>t</w:t>
      </w:r>
      <w:r>
        <w:rPr>
          <w:lang w:bidi="hi-IN"/>
        </w:rPr>
        <w:t>rade-off</w:t>
      </w:r>
    </w:p>
    <w:p w:rsidR="0038310A" w:rsidRDefault="00D64ACB" w:rsidP="00D64ACB">
      <w:pPr>
        <w:spacing w:line="480" w:lineRule="auto"/>
        <w:rPr>
          <w:lang w:bidi="hi-IN"/>
        </w:rPr>
      </w:pPr>
      <w:proofErr w:type="gramStart"/>
      <w:r>
        <w:rPr>
          <w:b/>
          <w:bCs/>
          <w:lang w:bidi="hi-IN"/>
        </w:rPr>
        <w:t>Published</w:t>
      </w:r>
      <w:bookmarkStart w:id="0" w:name="_GoBack"/>
      <w:bookmarkEnd w:id="0"/>
      <w:r>
        <w:rPr>
          <w:b/>
          <w:bCs/>
          <w:lang w:bidi="hi-IN"/>
        </w:rPr>
        <w:t>:</w:t>
      </w:r>
      <w:r>
        <w:rPr>
          <w:lang w:bidi="hi-IN"/>
        </w:rPr>
        <w:t xml:space="preserve"> </w:t>
      </w:r>
      <w:r w:rsidRPr="00D64ACB">
        <w:rPr>
          <w:lang w:bidi="hi-IN"/>
        </w:rPr>
        <w:t xml:space="preserve">Ram, Y. and </w:t>
      </w:r>
      <w:proofErr w:type="spellStart"/>
      <w:r w:rsidRPr="00D64ACB">
        <w:rPr>
          <w:lang w:bidi="hi-IN"/>
        </w:rPr>
        <w:t>Hadany</w:t>
      </w:r>
      <w:proofErr w:type="spellEnd"/>
      <w:r w:rsidRPr="00D64ACB">
        <w:rPr>
          <w:lang w:bidi="hi-IN"/>
        </w:rPr>
        <w:t>, L. 2014.</w:t>
      </w:r>
      <w:proofErr w:type="gramEnd"/>
      <w:r w:rsidRPr="00D64ACB">
        <w:rPr>
          <w:lang w:bidi="hi-IN"/>
        </w:rPr>
        <w:t xml:space="preserve"> </w:t>
      </w:r>
      <w:proofErr w:type="gramStart"/>
      <w:r w:rsidRPr="00D64ACB">
        <w:rPr>
          <w:lang w:bidi="hi-IN"/>
        </w:rPr>
        <w:t xml:space="preserve">Stress-induced mutagenesis </w:t>
      </w:r>
      <w:proofErr w:type="spellStart"/>
      <w:r w:rsidRPr="00D64ACB">
        <w:rPr>
          <w:lang w:bidi="hi-IN"/>
        </w:rPr>
        <w:t>anc</w:t>
      </w:r>
      <w:proofErr w:type="spellEnd"/>
      <w:r w:rsidRPr="00D64ACB">
        <w:rPr>
          <w:lang w:bidi="hi-IN"/>
        </w:rPr>
        <w:t xml:space="preserve"> complex adaptation.</w:t>
      </w:r>
      <w:proofErr w:type="gramEnd"/>
      <w:r w:rsidRPr="00D64ACB">
        <w:rPr>
          <w:lang w:bidi="hi-IN"/>
        </w:rPr>
        <w:t xml:space="preserve"> </w:t>
      </w:r>
      <w:r w:rsidRPr="00D64ACB">
        <w:rPr>
          <w:i/>
          <w:iCs/>
          <w:lang w:bidi="hi-IN"/>
        </w:rPr>
        <w:t>Proceedings of the Royal Society B</w:t>
      </w:r>
      <w:r>
        <w:rPr>
          <w:lang w:bidi="hi-IN"/>
        </w:rPr>
        <w:t xml:space="preserve">, 281: 20141025. DOI: </w:t>
      </w:r>
      <w:r w:rsidRPr="00D64ACB">
        <w:rPr>
          <w:lang w:bidi="hi-IN"/>
        </w:rPr>
        <w:t>10.1098/rspb.2014.1025</w:t>
      </w:r>
      <w:r>
        <w:rPr>
          <w:lang w:bidi="hi-IN"/>
        </w:rPr>
        <w:t xml:space="preserve">. URL: </w:t>
      </w:r>
      <w:hyperlink r:id="rId11" w:history="1">
        <w:r w:rsidRPr="00D64ACB">
          <w:rPr>
            <w:rStyle w:val="Hyperlink"/>
            <w:lang w:bidi="hi-IN"/>
          </w:rPr>
          <w:t>http://dx.doi.org/10.1098/rspb.2014.1025</w:t>
        </w:r>
      </w:hyperlink>
      <w:r w:rsidR="0038310A">
        <w:rPr>
          <w:lang w:bidi="hi-IN"/>
        </w:rPr>
        <w:br w:type="page"/>
      </w:r>
    </w:p>
    <w:p w:rsidR="003757EA" w:rsidRDefault="002C7209" w:rsidP="00121E76">
      <w:pPr>
        <w:pStyle w:val="Heading1"/>
        <w:keepLines w:val="0"/>
        <w:numPr>
          <w:ilvl w:val="0"/>
          <w:numId w:val="0"/>
        </w:numPr>
        <w:tabs>
          <w:tab w:val="left" w:pos="482"/>
        </w:tabs>
        <w:spacing w:after="180" w:line="480" w:lineRule="auto"/>
        <w:jc w:val="both"/>
      </w:pPr>
      <w:r>
        <w:lastRenderedPageBreak/>
        <w:t>Summary</w:t>
      </w:r>
    </w:p>
    <w:p w:rsidR="00961941" w:rsidRDefault="00C22795" w:rsidP="00121E76">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121E76">
      <w:pPr>
        <w:spacing w:line="480" w:lineRule="auto"/>
      </w:pPr>
      <w:r>
        <w:br w:type="page"/>
      </w:r>
    </w:p>
    <w:p w:rsidR="00625517" w:rsidRDefault="00625517" w:rsidP="00121E76">
      <w:pPr>
        <w:pStyle w:val="Heading1"/>
        <w:keepLines w:val="0"/>
        <w:tabs>
          <w:tab w:val="left" w:pos="482"/>
        </w:tabs>
        <w:spacing w:after="180" w:line="480" w:lineRule="auto"/>
        <w:ind w:left="0" w:firstLine="0"/>
        <w:jc w:val="both"/>
      </w:pPr>
      <w:r>
        <w:lastRenderedPageBreak/>
        <w:t>Introduction</w:t>
      </w:r>
    </w:p>
    <w:p w:rsidR="00F63FED" w:rsidRDefault="001307C7" w:rsidP="00121E76">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616194">
        <w:fldChar w:fldCharType="begin" w:fldLock="1"/>
      </w:r>
      <w:r w:rsidR="0024147C">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"previouslyFormattedCitation" : "[1\u20133]" }, "properties" : { "noteIndex" : 0 }, "schema" : "https://github.com/citation-style-language/schema/raw/master/csl-citation.json" }</w:instrText>
      </w:r>
      <w:r w:rsidR="00616194">
        <w:fldChar w:fldCharType="separate"/>
      </w:r>
      <w:r w:rsidR="00A328A2" w:rsidRPr="00A328A2">
        <w:rPr>
          <w:noProof/>
        </w:rPr>
        <w:t>[1–3]</w:t>
      </w:r>
      <w:r w:rsidR="00616194">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616194" w:rsidRPr="00FB3C6B">
        <w:fldChar w:fldCharType="begin" w:fldLock="1"/>
      </w:r>
      <w:r w:rsidR="0024147C">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616194" w:rsidRPr="00FB3C6B">
        <w:fldChar w:fldCharType="separate"/>
      </w:r>
      <w:r w:rsidR="00635E26" w:rsidRPr="00635E26">
        <w:rPr>
          <w:noProof/>
        </w:rPr>
        <w:t>[4]</w:t>
      </w:r>
      <w:r w:rsidR="00616194"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616194" w:rsidRPr="00FB3C6B">
        <w:fldChar w:fldCharType="begin" w:fldLock="1"/>
      </w:r>
      <w:r w:rsidR="0024147C">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616194" w:rsidRPr="00FB3C6B">
        <w:fldChar w:fldCharType="separate"/>
      </w:r>
      <w:r w:rsidR="00635E26" w:rsidRPr="00635E26">
        <w:rPr>
          <w:noProof/>
        </w:rPr>
        <w:t>[5]</w:t>
      </w:r>
      <w:r w:rsidR="00616194"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616194" w:rsidRPr="00FB3C6B">
        <w:fldChar w:fldCharType="begin" w:fldLock="1"/>
      </w:r>
      <w:r w:rsidR="0024147C">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616194" w:rsidRPr="00FB3C6B">
        <w:fldChar w:fldCharType="separate"/>
      </w:r>
      <w:r w:rsidR="00635E26" w:rsidRPr="00635E26">
        <w:rPr>
          <w:noProof/>
        </w:rPr>
        <w:t>[6,7]</w:t>
      </w:r>
      <w:r w:rsidR="00616194"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616194">
        <w:fldChar w:fldCharType="begin" w:fldLock="1"/>
      </w:r>
      <w:r w:rsidR="0024147C">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616194">
        <w:fldChar w:fldCharType="separate"/>
      </w:r>
      <w:r w:rsidR="00635E26" w:rsidRPr="00635E26">
        <w:rPr>
          <w:noProof/>
        </w:rPr>
        <w:t>[8]</w:t>
      </w:r>
      <w:r w:rsidR="00616194">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616194" w:rsidRPr="00FB3C6B">
        <w:fldChar w:fldCharType="begin" w:fldLock="1"/>
      </w:r>
      <w:r w:rsidR="0024147C">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616194" w:rsidRPr="00FB3C6B">
        <w:fldChar w:fldCharType="separate"/>
      </w:r>
      <w:r w:rsidR="00635E26" w:rsidRPr="00635E26">
        <w:rPr>
          <w:noProof/>
        </w:rPr>
        <w:t>[9,10]</w:t>
      </w:r>
      <w:r w:rsidR="00616194" w:rsidRPr="00FB3C6B">
        <w:fldChar w:fldCharType="end"/>
      </w:r>
      <w:r w:rsidR="00E1760D">
        <w:t>,</w:t>
      </w:r>
      <w:r w:rsidR="003E2958">
        <w:t xml:space="preserve"> mathematical analysis, and</w:t>
      </w:r>
      <w:r w:rsidR="00E1760D">
        <w:t xml:space="preserve"> simulations </w:t>
      </w:r>
      <w:r w:rsidR="00616194">
        <w:fldChar w:fldCharType="begin" w:fldLock="1"/>
      </w:r>
      <w:r w:rsidR="0024147C">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616194">
        <w:fldChar w:fldCharType="separate"/>
      </w:r>
      <w:r w:rsidR="00635E26" w:rsidRPr="00635E26">
        <w:rPr>
          <w:noProof/>
        </w:rPr>
        <w:t>[11–13]</w:t>
      </w:r>
      <w:r w:rsidR="00616194">
        <w:fldChar w:fldCharType="end"/>
      </w:r>
      <w:r w:rsidR="00E1760D">
        <w:t>.</w:t>
      </w:r>
      <w:r w:rsidR="003E2958">
        <w:t xml:space="preserve"> </w:t>
      </w:r>
    </w:p>
    <w:p w:rsidR="00625517" w:rsidRPr="00F4470C" w:rsidRDefault="00E26B85" w:rsidP="00121E76">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616194">
        <w:fldChar w:fldCharType="begin" w:fldLock="1"/>
      </w:r>
      <w:r w:rsidR="0024147C">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616194">
        <w:fldChar w:fldCharType="separate"/>
      </w:r>
      <w:r w:rsidR="00635E26" w:rsidRPr="00635E26">
        <w:rPr>
          <w:noProof/>
        </w:rPr>
        <w:t>[14]</w:t>
      </w:r>
      <w:r w:rsidR="00616194">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121E76">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616194">
        <w:fldChar w:fldCharType="begin" w:fldLock="1"/>
      </w:r>
      <w:r w:rsidR="0024147C">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616194">
        <w:fldChar w:fldCharType="separate"/>
      </w:r>
      <w:r w:rsidR="00635E26" w:rsidRPr="00635E26">
        <w:rPr>
          <w:noProof/>
        </w:rPr>
        <w:t>[15]</w:t>
      </w:r>
      <w:r w:rsidR="00616194">
        <w:fldChar w:fldCharType="end"/>
      </w:r>
      <w:r w:rsidR="001B2273">
        <w:t xml:space="preserve">. SIM </w:t>
      </w:r>
      <w:r w:rsidR="00A70BE8">
        <w:t>has been</w:t>
      </w:r>
      <w:r w:rsidR="00AE4609">
        <w:t xml:space="preserve"> observed </w:t>
      </w:r>
      <w:r w:rsidR="001B2273">
        <w:t xml:space="preserve">in lab strains </w:t>
      </w:r>
      <w:r w:rsidR="00616194">
        <w:rPr>
          <w:i/>
          <w:iCs/>
        </w:rPr>
        <w:fldChar w:fldCharType="begin" w:fldLock="1"/>
      </w:r>
      <w:r w:rsidR="0024147C">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616194">
        <w:rPr>
          <w:i/>
          <w:iCs/>
        </w:rPr>
        <w:fldChar w:fldCharType="separate"/>
      </w:r>
      <w:r w:rsidR="00635E26" w:rsidRPr="00635E26">
        <w:rPr>
          <w:iCs/>
          <w:noProof/>
        </w:rPr>
        <w:t>[16,17]</w:t>
      </w:r>
      <w:r w:rsidR="00616194">
        <w:rPr>
          <w:i/>
          <w:iCs/>
        </w:rPr>
        <w:fldChar w:fldCharType="end"/>
      </w:r>
      <w:r w:rsidR="005B12CD">
        <w:t xml:space="preserve"> and</w:t>
      </w:r>
      <w:r w:rsidR="00AE4609">
        <w:t xml:space="preserve"> </w:t>
      </w:r>
      <w:r w:rsidR="00AE4609">
        <w:lastRenderedPageBreak/>
        <w:t>natural populations</w:t>
      </w:r>
      <w:r w:rsidR="001B2273">
        <w:t xml:space="preserve"> of </w:t>
      </w:r>
      <w:r w:rsidR="001B2273" w:rsidRPr="00FB3C6B">
        <w:rPr>
          <w:i/>
          <w:iCs/>
        </w:rPr>
        <w:t>Escherichia coli</w:t>
      </w:r>
      <w:r w:rsidR="00AE4609" w:rsidRPr="00FB3C6B">
        <w:t xml:space="preserve"> </w:t>
      </w:r>
      <w:r w:rsidR="00616194" w:rsidRPr="00FB3C6B">
        <w:fldChar w:fldCharType="begin" w:fldLock="1"/>
      </w:r>
      <w:r w:rsidR="0024147C">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"previouslyFormattedCitation" : "[18,19]" }, "properties" : { "noteIndex" : 0 }, "schema" : "https://github.com/citation-style-language/schema/raw/master/csl-citation.json" }</w:instrText>
      </w:r>
      <w:r w:rsidR="00616194" w:rsidRPr="00FB3C6B">
        <w:fldChar w:fldCharType="separate"/>
      </w:r>
      <w:r w:rsidR="00A328A2" w:rsidRPr="00A328A2">
        <w:rPr>
          <w:noProof/>
        </w:rPr>
        <w:t>[18,</w:t>
      </w:r>
      <w:r w:rsidR="0024147C">
        <w:rPr>
          <w:noProof/>
        </w:rPr>
        <w:t xml:space="preserve"> but see </w:t>
      </w:r>
      <w:r w:rsidR="00A328A2" w:rsidRPr="00A328A2">
        <w:rPr>
          <w:noProof/>
        </w:rPr>
        <w:t>19]</w:t>
      </w:r>
      <w:r w:rsidR="00616194"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616194" w:rsidRPr="00FB3C6B">
        <w:fldChar w:fldCharType="begin" w:fldLock="1"/>
      </w:r>
      <w:r w:rsidR="0024147C">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616194" w:rsidRPr="00FB3C6B">
        <w:fldChar w:fldCharType="separate"/>
      </w:r>
      <w:r w:rsidR="00635E26" w:rsidRPr="00635E26">
        <w:rPr>
          <w:noProof/>
        </w:rPr>
        <w:t>[20]</w:t>
      </w:r>
      <w:r w:rsidR="00616194" w:rsidRPr="00FB3C6B">
        <w:fldChar w:fldCharType="end"/>
      </w:r>
      <w:r w:rsidR="00C53C8F" w:rsidRPr="00FB3C6B">
        <w:t xml:space="preserve">, </w:t>
      </w:r>
      <w:r w:rsidR="00C53C8F" w:rsidRPr="00FB3C6B">
        <w:rPr>
          <w:i/>
          <w:iCs/>
        </w:rPr>
        <w:t xml:space="preserve">Helicobacter pylori </w:t>
      </w:r>
      <w:r w:rsidR="00616194" w:rsidRPr="00FB3C6B">
        <w:rPr>
          <w:i/>
          <w:iCs/>
        </w:rPr>
        <w:fldChar w:fldCharType="begin" w:fldLock="1"/>
      </w:r>
      <w:r w:rsidR="0024147C">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616194" w:rsidRPr="00FB3C6B">
        <w:rPr>
          <w:i/>
          <w:iCs/>
        </w:rPr>
        <w:fldChar w:fldCharType="separate"/>
      </w:r>
      <w:r w:rsidR="00635E26" w:rsidRPr="00635E26">
        <w:rPr>
          <w:iCs/>
          <w:noProof/>
        </w:rPr>
        <w:t>[21]</w:t>
      </w:r>
      <w:r w:rsidR="00616194" w:rsidRPr="00FB3C6B">
        <w:rPr>
          <w:i/>
          <w:iCs/>
        </w:rPr>
        <w:fldChar w:fldCharType="end"/>
      </w:r>
      <w:r w:rsidR="00C53C8F" w:rsidRPr="00FB3C6B">
        <w:t>,</w:t>
      </w:r>
      <w:r w:rsidR="00E26B85">
        <w:t xml:space="preserve"> </w:t>
      </w:r>
      <w:r w:rsidR="00E26B85">
        <w:rPr>
          <w:i/>
          <w:iCs/>
        </w:rPr>
        <w:t xml:space="preserve">Vibrio cholera </w:t>
      </w:r>
      <w:r w:rsidR="00616194">
        <w:rPr>
          <w:i/>
          <w:iCs/>
        </w:rPr>
        <w:fldChar w:fldCharType="begin" w:fldLock="1"/>
      </w:r>
      <w:r w:rsidR="0024147C">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616194">
        <w:rPr>
          <w:i/>
          <w:iCs/>
        </w:rPr>
        <w:fldChar w:fldCharType="separate"/>
      </w:r>
      <w:r w:rsidR="00635E26" w:rsidRPr="00635E26">
        <w:rPr>
          <w:iCs/>
          <w:noProof/>
        </w:rPr>
        <w:t>[22]</w:t>
      </w:r>
      <w:r w:rsidR="00616194">
        <w:rPr>
          <w:i/>
          <w:iCs/>
        </w:rPr>
        <w:fldChar w:fldCharType="end"/>
      </w:r>
      <w:r w:rsidR="00C53C8F" w:rsidRPr="00FB3C6B">
        <w:t xml:space="preserve"> and </w:t>
      </w:r>
      <w:r w:rsidR="00C53C8F" w:rsidRPr="00FB3C6B">
        <w:rPr>
          <w:i/>
          <w:iCs/>
        </w:rPr>
        <w:t>Streptococcus pneumonia</w:t>
      </w:r>
      <w:r w:rsidR="00C53C8F" w:rsidRPr="00FB3C6B">
        <w:t xml:space="preserve"> </w:t>
      </w:r>
      <w:r w:rsidR="00616194" w:rsidRPr="00FB3C6B">
        <w:fldChar w:fldCharType="begin" w:fldLock="1"/>
      </w:r>
      <w:r w:rsidR="0024147C">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616194" w:rsidRPr="00FB3C6B">
        <w:fldChar w:fldCharType="separate"/>
      </w:r>
      <w:r w:rsidR="00635E26" w:rsidRPr="00635E26">
        <w:rPr>
          <w:noProof/>
        </w:rPr>
        <w:t>[23]</w:t>
      </w:r>
      <w:r w:rsidR="00616194"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616194" w:rsidRPr="00FB3C6B">
        <w:fldChar w:fldCharType="begin" w:fldLock="1"/>
      </w:r>
      <w:r w:rsidR="0024147C">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616194" w:rsidRPr="00FB3C6B">
        <w:fldChar w:fldCharType="separate"/>
      </w:r>
      <w:r w:rsidR="00635E26" w:rsidRPr="00635E26">
        <w:rPr>
          <w:noProof/>
        </w:rPr>
        <w:t>[24,25]</w:t>
      </w:r>
      <w:r w:rsidR="00616194" w:rsidRPr="00FB3C6B">
        <w:fldChar w:fldCharType="end"/>
      </w:r>
      <w:r w:rsidR="00C53C8F" w:rsidRPr="00FB3C6B">
        <w:t xml:space="preserve">, algae </w:t>
      </w:r>
      <w:r w:rsidR="00616194" w:rsidRPr="00FB3C6B">
        <w:fldChar w:fldCharType="begin" w:fldLock="1"/>
      </w:r>
      <w:r w:rsidR="0024147C">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616194" w:rsidRPr="00FB3C6B">
        <w:fldChar w:fldCharType="separate"/>
      </w:r>
      <w:r w:rsidR="00635E26" w:rsidRPr="00635E26">
        <w:rPr>
          <w:noProof/>
        </w:rPr>
        <w:t>[26]</w:t>
      </w:r>
      <w:r w:rsidR="00616194" w:rsidRPr="00FB3C6B">
        <w:fldChar w:fldCharType="end"/>
      </w:r>
      <w:r w:rsidR="00C53C8F" w:rsidRPr="00FB3C6B">
        <w:t xml:space="preserve">, </w:t>
      </w:r>
      <w:r w:rsidR="005B12CD">
        <w:t>nematodes</w:t>
      </w:r>
      <w:r w:rsidR="00C53C8F" w:rsidRPr="00FB3C6B">
        <w:t xml:space="preserve"> </w:t>
      </w:r>
      <w:r w:rsidR="00616194" w:rsidRPr="00FB3C6B">
        <w:fldChar w:fldCharType="begin" w:fldLock="1"/>
      </w:r>
      <w:r w:rsidR="0024147C">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616194" w:rsidRPr="00FB3C6B">
        <w:fldChar w:fldCharType="separate"/>
      </w:r>
      <w:r w:rsidR="00635E26" w:rsidRPr="00635E26">
        <w:rPr>
          <w:noProof/>
        </w:rPr>
        <w:t>[27]</w:t>
      </w:r>
      <w:r w:rsidR="00616194" w:rsidRPr="00FB3C6B">
        <w:fldChar w:fldCharType="end"/>
      </w:r>
      <w:r w:rsidR="00C53C8F" w:rsidRPr="00FB3C6B">
        <w:t xml:space="preserve">, flies </w:t>
      </w:r>
      <w:r w:rsidR="00616194" w:rsidRPr="00FB3C6B">
        <w:fldChar w:fldCharType="begin" w:fldLock="1"/>
      </w:r>
      <w:r w:rsidR="0024147C">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616194" w:rsidRPr="00FB3C6B">
        <w:fldChar w:fldCharType="separate"/>
      </w:r>
      <w:r w:rsidR="00635E26" w:rsidRPr="00635E26">
        <w:rPr>
          <w:noProof/>
        </w:rPr>
        <w:t>[28]</w:t>
      </w:r>
      <w:r w:rsidR="00616194" w:rsidRPr="00FB3C6B">
        <w:fldChar w:fldCharType="end"/>
      </w:r>
      <w:r w:rsidR="00C53C8F" w:rsidRPr="00FB3C6B">
        <w:t xml:space="preserve">, and human cancer cells </w:t>
      </w:r>
      <w:r w:rsidR="00616194" w:rsidRPr="00FB3C6B">
        <w:fldChar w:fldCharType="begin" w:fldLock="1"/>
      </w:r>
      <w:r w:rsidR="0024147C">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616194" w:rsidRPr="00FB3C6B">
        <w:fldChar w:fldCharType="separate"/>
      </w:r>
      <w:r w:rsidR="00635E26" w:rsidRPr="00635E26">
        <w:rPr>
          <w:noProof/>
        </w:rPr>
        <w:t>[29]</w:t>
      </w:r>
      <w:r w:rsidR="00616194"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616194">
        <w:fldChar w:fldCharType="begin" w:fldLock="1"/>
      </w:r>
      <w:r w:rsidR="0024147C">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1 ( \n        \n          A switch from high-fidelity to error-prone DNA double-strand break repair underlies stress-induced mutation.\n        \n         - Ponder, Rebecca G.; Fonville, Natalie C; Rosenberg, Susan M. )\n\n        \n        \n\n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\n\n        \n\n        From Duplicate 2 ( \n        \n          A switch from high-fidelity to error-prone DNA double-strand break repair underlies stress-induced mutation.\n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"http://www.mendeley.com/documents/?uuid=afa929a9-b6d4-4301-8b7d-5273ba10127f" ] } ], "mendeley" : { "previouslyFormattedCitation" : "[30]" }, "properties" : { "noteIndex" : 0 }, "schema" : "https://github.com/citation-style-language/schema/raw/master/csl-citation.json" }</w:instrText>
      </w:r>
      <w:r w:rsidR="00616194">
        <w:fldChar w:fldCharType="separate"/>
      </w:r>
      <w:r w:rsidR="00635E26" w:rsidRPr="00635E26">
        <w:rPr>
          <w:noProof/>
        </w:rPr>
        <w:t>[30]</w:t>
      </w:r>
      <w:r w:rsidR="00616194">
        <w:fldChar w:fldCharType="end"/>
      </w:r>
      <w:r>
        <w:t xml:space="preserve"> and by inhibiting the mismatch repair system </w:t>
      </w:r>
      <w:r w:rsidR="00616194">
        <w:fldChar w:fldCharType="begin" w:fldLock="1"/>
      </w:r>
      <w:r w:rsidR="0024147C">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616194">
        <w:fldChar w:fldCharType="separate"/>
      </w:r>
      <w:r w:rsidR="00635E26" w:rsidRPr="00635E26">
        <w:rPr>
          <w:noProof/>
        </w:rPr>
        <w:t>[31]</w:t>
      </w:r>
      <w:r w:rsidR="00616194">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616194">
        <w:fldChar w:fldCharType="begin" w:fldLock="1"/>
      </w:r>
      <w:r w:rsidR="0024147C">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616194">
        <w:fldChar w:fldCharType="separate"/>
      </w:r>
      <w:r w:rsidR="00635E26" w:rsidRPr="00635E26">
        <w:rPr>
          <w:noProof/>
        </w:rPr>
        <w:t>[32]</w:t>
      </w:r>
      <w:r w:rsidR="00616194">
        <w:fldChar w:fldCharType="end"/>
      </w:r>
      <w:r w:rsidR="00C2015F">
        <w:t>.</w:t>
      </w:r>
    </w:p>
    <w:p w:rsidR="001307C7" w:rsidRPr="003F04B0" w:rsidRDefault="00F12058" w:rsidP="00121E76">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616194" w:rsidRPr="00FB3C6B">
        <w:fldChar w:fldCharType="begin" w:fldLock="1"/>
      </w:r>
      <w:r w:rsidR="0024147C">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616194" w:rsidRPr="00FB3C6B">
        <w:fldChar w:fldCharType="separate"/>
      </w:r>
      <w:r w:rsidR="00635E26" w:rsidRPr="00635E26">
        <w:rPr>
          <w:noProof/>
        </w:rPr>
        <w:t>[17,33,34]</w:t>
      </w:r>
      <w:r w:rsidR="00616194"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616194" w:rsidRPr="00FB3C6B">
        <w:fldChar w:fldCharType="begin" w:fldLock="1"/>
      </w:r>
      <w:r w:rsidR="0024147C">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FB3C6B">
        <w:fldChar w:fldCharType="separate"/>
      </w:r>
      <w:r w:rsidR="00635E26" w:rsidRPr="00635E26">
        <w:rPr>
          <w:noProof/>
        </w:rPr>
        <w:t>[35]</w:t>
      </w:r>
      <w:r w:rsidR="00616194" w:rsidRPr="00FB3C6B">
        <w:fldChar w:fldCharType="end"/>
      </w:r>
      <w:r w:rsidR="009770F6" w:rsidRPr="00FB3C6B">
        <w:t xml:space="preserve"> and </w:t>
      </w:r>
      <w:r w:rsidR="00A20010" w:rsidRPr="00FB3C6B">
        <w:t xml:space="preserve">stochastic </w:t>
      </w:r>
      <w:r w:rsidR="00616194" w:rsidRPr="00FB3C6B">
        <w:fldChar w:fldCharType="begin" w:fldLock="1"/>
      </w:r>
      <w:r w:rsidR="0024147C">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616194" w:rsidRPr="00FB3C6B">
        <w:fldChar w:fldCharType="separate"/>
      </w:r>
      <w:r w:rsidR="00635E26" w:rsidRPr="00635E26">
        <w:rPr>
          <w:noProof/>
        </w:rPr>
        <w:t>[36]</w:t>
      </w:r>
      <w:r w:rsidR="00616194" w:rsidRPr="00FB3C6B">
        <w:fldChar w:fldCharType="end"/>
      </w:r>
      <w:r w:rsidR="00A20010" w:rsidRPr="00FB3C6B">
        <w:t xml:space="preserve"> models. </w:t>
      </w:r>
      <w:r w:rsidR="005B12CD">
        <w:t>These</w:t>
      </w:r>
      <w:r w:rsidR="00A20010" w:rsidRPr="00FB3C6B">
        <w:t xml:space="preserve"> </w:t>
      </w:r>
      <w:r w:rsidR="00800DD3">
        <w:t>articles</w:t>
      </w:r>
      <w:r w:rsidR="00800DD3" w:rsidRPr="00FB3C6B">
        <w:t xml:space="preserve"> </w:t>
      </w:r>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616194" w:rsidRPr="003F04B0">
        <w:fldChar w:fldCharType="begin" w:fldLock="1"/>
      </w:r>
      <w:r w:rsidR="0024147C">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F04B0">
        <w:fldChar w:fldCharType="separate"/>
      </w:r>
      <w:r w:rsidR="00635E26" w:rsidRPr="00635E26">
        <w:rPr>
          <w:noProof/>
        </w:rPr>
        <w:t>[37]</w:t>
      </w:r>
      <w:r w:rsidR="00616194" w:rsidRPr="003F04B0">
        <w:fldChar w:fldCharType="end"/>
      </w:r>
      <w:r w:rsidR="00932C9B" w:rsidRPr="003F04B0">
        <w:t>.</w:t>
      </w:r>
    </w:p>
    <w:p w:rsidR="00625517" w:rsidRDefault="00600689" w:rsidP="00121E76">
      <w:pPr>
        <w:spacing w:line="480" w:lineRule="auto"/>
        <w:rPr>
          <w:lang w:bidi="hi-IN"/>
        </w:rPr>
      </w:pPr>
      <w:r w:rsidRPr="003F04B0">
        <w:t xml:space="preserve">Here, we analyze population genetics models of adaptive evolution to explore the rate </w:t>
      </w:r>
      <w:r w:rsidR="00800DD3">
        <w:t xml:space="preserve">of complex </w:t>
      </w:r>
      <w:r w:rsidRPr="003F04B0">
        <w:t>adaptation</w:t>
      </w:r>
      <w:r w:rsidR="00800DD3">
        <w:t xml:space="preserve"> on rugged fitness landscapes, in which </w:t>
      </w:r>
      <w:r w:rsidRPr="003F04B0">
        <w:t xml:space="preserve">adaptations require two separately deleterious mutations </w:t>
      </w:r>
      <w:r w:rsidR="00616194" w:rsidRPr="003F04B0">
        <w:fldChar w:fldCharType="begin" w:fldLock="1"/>
      </w:r>
      <w:r w:rsidR="0024147C">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616194" w:rsidRPr="003F04B0">
        <w:fldChar w:fldCharType="separate"/>
      </w:r>
      <w:r w:rsidR="00635E26" w:rsidRPr="00635E26">
        <w:rPr>
          <w:noProof/>
        </w:rPr>
        <w:t>[38,39]</w:t>
      </w:r>
      <w:r w:rsidR="00616194"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w:t>
      </w:r>
      <w:r w:rsidR="00FC62DB">
        <w:rPr>
          <w:lang w:bidi="hi-IN"/>
        </w:rPr>
        <w:lastRenderedPageBreak/>
        <w:t xml:space="preserve">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121E76">
      <w:pPr>
        <w:pStyle w:val="Heading1"/>
        <w:spacing w:line="480" w:lineRule="auto"/>
        <w:rPr>
          <w:lang w:bidi="hi-IN"/>
        </w:rPr>
      </w:pPr>
      <w:r w:rsidRPr="0038310A">
        <w:rPr>
          <w:szCs w:val="24"/>
        </w:rPr>
        <w:softHyphen/>
      </w:r>
      <w:bookmarkStart w:id="1" w:name="_Ref361735010"/>
      <w:r>
        <w:rPr>
          <w:lang w:bidi="hi-IN"/>
        </w:rPr>
        <w:t>Model</w:t>
      </w:r>
      <w:bookmarkEnd w:id="1"/>
    </w:p>
    <w:p w:rsidR="005316EE" w:rsidRPr="007169AD" w:rsidRDefault="005316EE" w:rsidP="00121E76">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121E76">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CD3F78" w:rsidRDefault="00CD3F78" w:rsidP="00121E76">
      <w:pPr>
        <w:spacing w:line="480" w:lineRule="auto"/>
        <w:rPr>
          <w:lang w:bidi="hi-IN"/>
        </w:rPr>
      </w:pPr>
    </w:p>
    <w:p w:rsidR="00CD3F78" w:rsidRDefault="002D7AB0" w:rsidP="00121E76">
      <w:pPr>
        <w:pStyle w:val="FigureLegend"/>
        <w:spacing w:line="480" w:lineRule="auto"/>
        <w:rPr>
          <w:b/>
          <w:bCs/>
          <w:sz w:val="20"/>
          <w:szCs w:val="20"/>
        </w:rPr>
      </w:pPr>
      <w:bookmarkStart w:id="2" w:name="_Ref354316371"/>
      <w:r w:rsidRPr="00121E76">
        <w:rPr>
          <w:b/>
          <w:bCs/>
          <w:noProof/>
          <w:sz w:val="20"/>
          <w:szCs w:val="20"/>
        </w:rPr>
        <w:lastRenderedPageBreak/>
        <w:drawing>
          <wp:inline distT="0" distB="0" distL="0" distR="0" wp14:anchorId="70D47E26" wp14:editId="22F85D42">
            <wp:extent cx="5266690" cy="2179955"/>
            <wp:effectExtent l="0" t="0" r="0" b="0"/>
            <wp:docPr id="2" name="Picture 2"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p>
    <w:p w:rsidR="00CD3F78" w:rsidRPr="001E1864" w:rsidRDefault="00CD3F78" w:rsidP="00121E76">
      <w:pPr>
        <w:pStyle w:val="FigureLegend"/>
        <w:spacing w:line="480" w:lineRule="auto"/>
        <w:jc w:val="left"/>
      </w:pPr>
      <w:r w:rsidRPr="001E1864">
        <w:rPr>
          <w:b/>
          <w:bCs/>
        </w:rPr>
        <w:t xml:space="preserve">Figure </w:t>
      </w:r>
      <w:r w:rsidR="00616194" w:rsidRPr="001E1864">
        <w:rPr>
          <w:b/>
          <w:bCs/>
        </w:rPr>
        <w:fldChar w:fldCharType="begin"/>
      </w:r>
      <w:r w:rsidRPr="001E1864">
        <w:rPr>
          <w:b/>
          <w:bCs/>
        </w:rPr>
        <w:instrText xml:space="preserve"> SEQ Figure \* ARABIC </w:instrText>
      </w:r>
      <w:r w:rsidR="00616194" w:rsidRPr="001E1864">
        <w:rPr>
          <w:b/>
          <w:bCs/>
        </w:rPr>
        <w:fldChar w:fldCharType="separate"/>
      </w:r>
      <w:r w:rsidR="00EB2B08">
        <w:rPr>
          <w:b/>
          <w:bCs/>
          <w:noProof/>
        </w:rPr>
        <w:t>1</w:t>
      </w:r>
      <w:r w:rsidR="00616194" w:rsidRPr="001E1864">
        <w:rPr>
          <w:b/>
          <w:bCs/>
        </w:rPr>
        <w:fldChar w:fldCharType="end"/>
      </w:r>
      <w:bookmarkEnd w:id="2"/>
      <w:r w:rsidRPr="001E1864">
        <w:rPr>
          <w:b/>
          <w:bCs/>
        </w:rPr>
        <w:t xml:space="preserve"> – Adaptation on a rugged fitness landscape.</w:t>
      </w:r>
      <w:r w:rsidRPr="001E1864">
        <w:t xml:space="preserve"> The figure shows the fi</w:t>
      </w:r>
      <w:r w:rsidR="00BD46F2" w:rsidRPr="001E1864">
        <w:t xml:space="preserve">tness of the possible genotypes, which are </w:t>
      </w:r>
      <w:r w:rsidR="005E3B94" w:rsidRPr="001E1864">
        <w:t>represented</w:t>
      </w:r>
      <w:r w:rsidR="00BD46F2" w:rsidRPr="001E1864">
        <w:t xml:space="preserve"> by the allele combination at the specific loci (</w:t>
      </w:r>
      <w:r w:rsidRPr="001E1864">
        <w:rPr>
          <w:i/>
          <w:iCs/>
        </w:rPr>
        <w:t>ab</w:t>
      </w:r>
      <w:r w:rsidRPr="001E1864">
        <w:t xml:space="preserve">, </w:t>
      </w:r>
      <w:r w:rsidRPr="001E1864">
        <w:rPr>
          <w:i/>
          <w:iCs/>
        </w:rPr>
        <w:t>Ab</w:t>
      </w:r>
      <w:r w:rsidRPr="001E1864">
        <w:t xml:space="preserve">, </w:t>
      </w:r>
      <w:proofErr w:type="spellStart"/>
      <w:r w:rsidRPr="001E1864">
        <w:rPr>
          <w:i/>
          <w:iCs/>
        </w:rPr>
        <w:t>aB</w:t>
      </w:r>
      <w:proofErr w:type="spellEnd"/>
      <w:r w:rsidRPr="001E1864">
        <w:t xml:space="preserve">, and </w:t>
      </w:r>
      <w:r w:rsidRPr="001E1864">
        <w:rPr>
          <w:i/>
          <w:iCs/>
        </w:rPr>
        <w:t>AB</w:t>
      </w:r>
      <w:r w:rsidR="00BD46F2" w:rsidRPr="001E1864">
        <w:t xml:space="preserve">) and </w:t>
      </w:r>
      <w:r w:rsidRPr="001E1864">
        <w:t xml:space="preserve">the number of deleterious alleles across the genome following the forward-slash ('/'). The y-axis represents fitness: the wildtype </w:t>
      </w:r>
      <w:r w:rsidRPr="001E1864">
        <w:rPr>
          <w:i/>
          <w:iCs/>
        </w:rPr>
        <w:t>ab/0</w:t>
      </w:r>
      <w:r w:rsidRPr="001E1864">
        <w:t xml:space="preserve"> has fitness 1; the fittest genotype</w:t>
      </w:r>
      <w:r w:rsidRPr="001E1864">
        <w:rPr>
          <w:i/>
          <w:iCs/>
        </w:rPr>
        <w:t xml:space="preserve"> AB/</w:t>
      </w:r>
      <w:r w:rsidRPr="001E1864">
        <w:t>0 has fitness 1+</w:t>
      </w:r>
      <w:r w:rsidRPr="001E1864">
        <w:rPr>
          <w:i/>
          <w:iCs/>
        </w:rPr>
        <w:t>sH</w:t>
      </w:r>
      <w:r w:rsidRPr="001E1864">
        <w:t xml:space="preserve">; deleterious alleles, either at the </w:t>
      </w:r>
      <w:r w:rsidRPr="001E1864">
        <w:rPr>
          <w:i/>
          <w:iCs/>
        </w:rPr>
        <w:t>A/</w:t>
      </w:r>
      <w:proofErr w:type="gramStart"/>
      <w:r w:rsidRPr="001E1864">
        <w:rPr>
          <w:i/>
          <w:iCs/>
        </w:rPr>
        <w:t>a</w:t>
      </w:r>
      <w:r w:rsidRPr="001E1864">
        <w:t xml:space="preserve"> and</w:t>
      </w:r>
      <w:proofErr w:type="gramEnd"/>
      <w:r w:rsidRPr="001E1864">
        <w:t xml:space="preserve"> </w:t>
      </w:r>
      <w:r w:rsidRPr="001E1864">
        <w:rPr>
          <w:i/>
          <w:iCs/>
        </w:rPr>
        <w:t>B/b</w:t>
      </w:r>
      <w:r w:rsidRPr="001E1864">
        <w:t xml:space="preserve"> loci, or at the non-specific loci, reduce fitness by 1-</w:t>
      </w:r>
      <w:r w:rsidRPr="001E1864">
        <w:rPr>
          <w:i/>
          <w:iCs/>
        </w:rPr>
        <w:t>s</w:t>
      </w:r>
      <w:r w:rsidRPr="001E1864">
        <w:t>. The x-axis represents the number of accumulated mutations</w:t>
      </w:r>
      <w:r w:rsidR="002D7AB0" w:rsidRPr="001E1864">
        <w:t xml:space="preserve"> (genotypes are jittered to increase separation)</w:t>
      </w:r>
      <w:r w:rsidRPr="001E1864">
        <w:t xml:space="preserve">. Solid lines represent mutations at the </w:t>
      </w:r>
      <w:r w:rsidRPr="001E1864">
        <w:rPr>
          <w:i/>
          <w:iCs/>
        </w:rPr>
        <w:t>a/A</w:t>
      </w:r>
      <w:r w:rsidRPr="001E1864">
        <w:t xml:space="preserve"> and </w:t>
      </w:r>
      <w:r w:rsidRPr="001E1864">
        <w:rPr>
          <w:i/>
          <w:iCs/>
        </w:rPr>
        <w:t>b/B</w:t>
      </w:r>
      <w:r w:rsidRPr="001E1864">
        <w:t xml:space="preserve"> loci, occurring with probability </w:t>
      </w:r>
      <w:r w:rsidRPr="001E1864">
        <w:rPr>
          <w:i/>
          <w:iCs/>
        </w:rPr>
        <w:t>µ</w:t>
      </w:r>
      <w:r w:rsidRPr="001E1864">
        <w:t xml:space="preserve">. Dashed lines represent deleterious mutations in the rest of the genome, occurring with rate </w:t>
      </w:r>
      <w:r w:rsidRPr="001E1864">
        <w:rPr>
          <w:i/>
          <w:iCs/>
        </w:rPr>
        <w:t>U</w:t>
      </w:r>
      <w:r w:rsidRPr="001E1864">
        <w:t xml:space="preserve">. Mutagenesis is induced in stressed genotypes with fitness &lt;1 (gray background). Fit genotypes, with fitness </w:t>
      </w:r>
      <w:r w:rsidRPr="001E1864">
        <w:rPr>
          <w:rFonts w:ascii="Times New Roman" w:hAnsi="Times New Roman" w:cs="Times New Roman"/>
        </w:rPr>
        <w:t>≥</w:t>
      </w:r>
      <w:r w:rsidRPr="001E1864">
        <w:t xml:space="preserve">1, do not </w:t>
      </w:r>
      <w:proofErr w:type="spellStart"/>
      <w:r w:rsidRPr="001E1864">
        <w:t>hypermutate</w:t>
      </w:r>
      <w:proofErr w:type="spellEnd"/>
      <w:r w:rsidRPr="001E1864">
        <w:t xml:space="preserve"> (white background). </w:t>
      </w:r>
      <w:r w:rsidRPr="001E1864">
        <w:rPr>
          <w:b/>
          <w:bCs/>
        </w:rPr>
        <w:t>(A)</w:t>
      </w:r>
      <w:r w:rsidRPr="001E1864">
        <w:t xml:space="preserve"> In the analytic model genotypes with deleterious alleles in non-specific loci are considered "Evolutionary Dead Ends" and do not contribute to adaptation. </w:t>
      </w:r>
      <w:r w:rsidRPr="001E1864">
        <w:rPr>
          <w:b/>
          <w:bCs/>
        </w:rPr>
        <w:t>(B)</w:t>
      </w:r>
      <w:r w:rsidRPr="001E1864">
        <w:t xml:space="preserve"> In the simulations individuals can accumulate up to 25 deleterious alleles (the figure only shows three). Multiple mutations can occur simultaneously but are not shown for simplicity of the illustration.</w:t>
      </w:r>
    </w:p>
    <w:p w:rsidR="005316EE" w:rsidRPr="00331E7E" w:rsidRDefault="00191D82" w:rsidP="00121E76">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due of their minor short term effects</w:t>
      </w:r>
      <w:r w:rsidR="005316EE" w:rsidRPr="00331E7E">
        <w:t>.</w:t>
      </w:r>
    </w:p>
    <w:p w:rsidR="005316EE" w:rsidRPr="00BA2B02" w:rsidRDefault="005316EE" w:rsidP="00121E76">
      <w:pPr>
        <w:spacing w:line="480" w:lineRule="auto"/>
        <w:rPr>
          <w:lang w:bidi="hi-IN"/>
        </w:rPr>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w:t>
      </w:r>
      <w:r w:rsidRPr="00BA2B02">
        <w:lastRenderedPageBreak/>
        <w:t xml:space="preserve">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121E76">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121E76">
            <w:pPr>
              <w:spacing w:line="480" w:lineRule="auto"/>
            </w:pPr>
            <w:bookmarkStart w:id="3" w:name="_Ref374443384"/>
            <w:bookmarkStart w:id="4" w:name="_Ref374460264"/>
            <w:r w:rsidRPr="00BA2B02">
              <w:t>(</w:t>
            </w:r>
            <w:r w:rsidR="00616194">
              <w:fldChar w:fldCharType="begin"/>
            </w:r>
            <w:r w:rsidR="00DA55AA">
              <w:instrText xml:space="preserve"> SEQ Equation </w:instrText>
            </w:r>
            <w:r w:rsidR="00616194">
              <w:fldChar w:fldCharType="separate"/>
            </w:r>
            <w:r w:rsidR="00EB2B08">
              <w:rPr>
                <w:noProof/>
              </w:rPr>
              <w:t>1</w:t>
            </w:r>
            <w:r w:rsidR="00616194">
              <w:rPr>
                <w:noProof/>
              </w:rPr>
              <w:fldChar w:fldCharType="end"/>
            </w:r>
            <w:bookmarkEnd w:id="3"/>
            <w:r w:rsidRPr="00BA2B02">
              <w:t>)</w:t>
            </w:r>
            <w:bookmarkEnd w:id="4"/>
          </w:p>
        </w:tc>
      </w:tr>
    </w:tbl>
    <w:p w:rsidR="005316EE" w:rsidRDefault="005316EE" w:rsidP="00121E76">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p>
    <w:p w:rsidR="005316EE" w:rsidRDefault="005316EE" w:rsidP="00121E76">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121E76">
      <w:pPr>
        <w:spacing w:line="480" w:lineRule="auto"/>
      </w:pPr>
      <w:r>
        <w:t>We analyzed this model with two methods. The first is analytic (</w:t>
      </w:r>
      <w:r w:rsidR="006620EE">
        <w:t>Figure 1A</w:t>
      </w:r>
      <w:r>
        <w:t>),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w:t>
      </w:r>
      <w:r>
        <w:lastRenderedPageBreak/>
        <w:t xml:space="preserve">mutation-selection balance (MSB) and is Poisson distributed with mean </w:t>
      </w:r>
      <w:r w:rsidRPr="00527A49">
        <w:rPr>
          <w:i/>
          <w:iCs/>
        </w:rPr>
        <w:t>U/s</w:t>
      </w:r>
      <w:r>
        <w:t xml:space="preserve"> </w:t>
      </w:r>
      <w:r w:rsidR="00616194">
        <w:fldChar w:fldCharType="begin" w:fldLock="1"/>
      </w:r>
      <w:r w:rsidR="0024147C">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"[40]" }, "properties" : { "noteIndex" : 0 }, "schema" : "https://github.com/citation-style-language/schema/raw/master/csl-citation.json" }</w:instrText>
      </w:r>
      <w:r w:rsidR="00616194">
        <w:fldChar w:fldCharType="separate"/>
      </w:r>
      <w:r w:rsidRPr="00CD660F">
        <w:rPr>
          <w:noProof/>
        </w:rPr>
        <w:t>(Haigh 1978)</w:t>
      </w:r>
      <w:r w:rsidR="00616194">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616194">
        <w:fldChar w:fldCharType="begin" w:fldLock="1"/>
      </w:r>
      <w:r w:rsidR="0024147C">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"[41]" }, "properties" : { "noteIndex" : 0 }, "schema" : "https://github.com/citation-style-language/schema/raw/master/csl-citation.json" }</w:instrText>
      </w:r>
      <w:r w:rsidR="00616194">
        <w:fldChar w:fldCharType="separate"/>
      </w:r>
      <w:r w:rsidR="00635E26" w:rsidRPr="00635E26">
        <w:rPr>
          <w:noProof/>
        </w:rPr>
        <w:t>[41]</w:t>
      </w:r>
      <w:r w:rsidR="00616194">
        <w:fldChar w:fldCharType="end"/>
      </w:r>
      <w:r>
        <w:t>.</w:t>
      </w:r>
    </w:p>
    <w:p w:rsidR="005316EE" w:rsidRDefault="005316EE" w:rsidP="00121E76">
      <w:pPr>
        <w:spacing w:line="480" w:lineRule="auto"/>
      </w:pPr>
      <w:r>
        <w:t>The second method is a stochastic Wright-Fisher simulation with selection, mutation and genetic drift (</w:t>
      </w:r>
      <w:r w:rsidR="006620EE">
        <w:t>Figure 1</w:t>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121E76">
      <w:pPr>
        <w:pStyle w:val="Heading2"/>
        <w:spacing w:line="480" w:lineRule="auto"/>
      </w:pPr>
      <w:r>
        <w:t>Wright-Fisher simulations</w:t>
      </w:r>
    </w:p>
    <w:p w:rsidR="00582BAA" w:rsidRDefault="005316EE" w:rsidP="00582BAA">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smooth fitness landscape</w:t>
      </w:r>
      <w:r w:rsidR="00191D82">
        <w:t xml:space="preserve"> (the fitness of </w:t>
      </w:r>
      <w:r w:rsidR="00191D82">
        <w:rPr>
          <w:i/>
        </w:rPr>
        <w:t>AB/</w:t>
      </w:r>
      <w:proofErr w:type="gramStart"/>
      <w:r w:rsidR="00191D82">
        <w:rPr>
          <w:i/>
        </w:rPr>
        <w:t xml:space="preserve">x </w:t>
      </w:r>
      <w:r w:rsidR="00191D82">
        <w:t xml:space="preserve"> is</w:t>
      </w:r>
      <w:proofErr w:type="gramEnd"/>
      <w:r w:rsidR="00191D82">
        <w:t xml:space="preserve"> (1-</w:t>
      </w:r>
      <w:r w:rsidR="00191D82">
        <w:rPr>
          <w:i/>
        </w:rPr>
        <w:t>s</w:t>
      </w:r>
      <w:r w:rsidR="00191D82">
        <w:t>)</w:t>
      </w:r>
      <w:r w:rsidR="00191D82">
        <w:rPr>
          <w:vertAlign w:val="superscript"/>
        </w:rPr>
        <w:t>2+</w:t>
      </w:r>
      <w:r w:rsidR="00191D82">
        <w:rPr>
          <w:i/>
          <w:vertAlign w:val="superscript"/>
        </w:rPr>
        <w:t>x</w:t>
      </w:r>
      <w:r w:rsidR="00616194" w:rsidRPr="00331E7E">
        <w:t>)</w:t>
      </w:r>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r w:rsidR="00191D82">
        <w:t>for</w:t>
      </w:r>
      <w:r w:rsidRPr="00020A87">
        <w:t xml:space="preserve"> the average number of deleterious alleles per individual to </w:t>
      </w:r>
      <w:r w:rsidR="00191D82">
        <w:t xml:space="preserve">reach </w:t>
      </w:r>
      <w:r w:rsidRPr="00020A87">
        <w:t>99.</w:t>
      </w:r>
      <w:r>
        <w:t>99</w:t>
      </w:r>
      <w:r w:rsidRPr="00020A87">
        <w:t xml:space="preserve">% of its MSB value, </w:t>
      </w:r>
      <w:r w:rsidRPr="00020A87">
        <w:rPr>
          <w:i/>
          <w:iCs/>
        </w:rPr>
        <w:t>U/s</w:t>
      </w:r>
      <w:r w:rsidRPr="00020A87">
        <w:t xml:space="preserve"> </w:t>
      </w:r>
      <w:r w:rsidR="00616194" w:rsidRPr="00020A87">
        <w:fldChar w:fldCharType="begin" w:fldLock="1"/>
      </w:r>
      <w:r w:rsidR="0024147C">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sidRPr="00020A87">
        <w:fldChar w:fldCharType="separate"/>
      </w:r>
      <w:r w:rsidR="00635E26" w:rsidRPr="00635E26">
        <w:rPr>
          <w:noProof/>
        </w:rPr>
        <w:t>[42]</w:t>
      </w:r>
      <w:r w:rsidR="00616194" w:rsidRPr="00020A87">
        <w:fldChar w:fldCharType="end"/>
      </w:r>
      <w:r w:rsidR="00582BAA">
        <w:t>.</w:t>
      </w:r>
    </w:p>
    <w:p w:rsidR="005316EE" w:rsidRPr="00020A87" w:rsidRDefault="005316EE" w:rsidP="00582BAA">
      <w:pPr>
        <w:spacing w:line="480" w:lineRule="auto"/>
      </w:pPr>
      <w:proofErr w:type="gramStart"/>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B).</w:t>
      </w:r>
      <w:proofErr w:type="gramEnd"/>
      <w:r w:rsidRPr="00020A87">
        <w:t xml:space="preserve">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xml:space="preserve">, respectively). Therefore, each simulation </w:t>
      </w:r>
      <w:r w:rsidRPr="00020A87">
        <w:lastRenderedPageBreak/>
        <w:t>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631789" w:rsidP="00121E76">
      <w:pPr>
        <w:spacing w:line="480" w:lineRule="auto"/>
      </w:pPr>
      <w:r>
        <w:fldChar w:fldCharType="begin"/>
      </w:r>
      <w:r>
        <w:instrText xml:space="preserve"> REF _Ref358791100 \h  \* MERGEFORMAT </w:instrText>
      </w:r>
      <w:r>
        <w:fldChar w:fldCharType="separate"/>
      </w:r>
      <w:r w:rsidR="00EB2B08">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1710DA" w:rsidRDefault="001710DA" w:rsidP="001710DA">
      <w:pPr>
        <w:pStyle w:val="FigureLegend"/>
        <w:spacing w:line="480" w:lineRule="auto"/>
      </w:pPr>
      <w:bookmarkStart w:id="5" w:name="_Ref358791100"/>
      <w:r>
        <w:t xml:space="preserve">Table </w:t>
      </w:r>
      <w:r>
        <w:fldChar w:fldCharType="begin"/>
      </w:r>
      <w:r w:rsidRPr="00E1623D">
        <w:instrText xml:space="preserve"> SEQ Table \* ARABIC </w:instrText>
      </w:r>
      <w:r>
        <w:fldChar w:fldCharType="separate"/>
      </w:r>
      <w:r w:rsidR="00EB2B08">
        <w:rPr>
          <w:noProof/>
        </w:rPr>
        <w:t>1</w:t>
      </w:r>
      <w:r>
        <w:rPr>
          <w:noProof/>
        </w:rPr>
        <w:fldChar w:fldCharType="end"/>
      </w:r>
      <w:bookmarkEnd w:id="5"/>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1710DA" w:rsidTr="00EB2B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1710DA" w:rsidRDefault="001710DA" w:rsidP="00EB2B08">
            <w:pPr>
              <w:pStyle w:val="FigureLegend"/>
              <w:spacing w:line="480" w:lineRule="auto"/>
            </w:pPr>
            <w:r>
              <w:t>Symbol</w:t>
            </w:r>
          </w:p>
        </w:tc>
        <w:tc>
          <w:tcPr>
            <w:tcW w:w="2858" w:type="dxa"/>
          </w:tcPr>
          <w:p w:rsidR="001710DA" w:rsidRDefault="001710DA" w:rsidP="00EB2B08">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1710DA" w:rsidRDefault="001710DA" w:rsidP="00EB2B08">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1710DA" w:rsidRDefault="001710DA" w:rsidP="00EB2B08">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1710DA" w:rsidTr="00EB2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EB2B08">
            <w:pPr>
              <w:pStyle w:val="FigureLegend"/>
              <w:spacing w:line="480" w:lineRule="auto"/>
              <w:rPr>
                <w:i/>
                <w:iCs/>
              </w:rPr>
            </w:pPr>
            <w:r w:rsidRPr="00524B4A">
              <w:rPr>
                <w:i/>
                <w:iCs/>
              </w:rPr>
              <w:t>s</w:t>
            </w:r>
          </w:p>
        </w:tc>
        <w:tc>
          <w:tcPr>
            <w:tcW w:w="2858" w:type="dxa"/>
          </w:tcPr>
          <w:p w:rsidR="001710DA" w:rsidRDefault="001710DA" w:rsidP="00EB2B08">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1710DA" w:rsidRDefault="001710DA" w:rsidP="00EB2B0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1710DA" w:rsidRDefault="001710DA" w:rsidP="00EB2B0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4147C">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"http://www.mendeley.com/documents/?uuid=fc5ca0dc-1a8c-49b6-a3ab-c66286134900" ] } ], "mendeley" : { "previouslyFormattedCitation" : "[43,44]" }, "properties" : { "noteIndex" : 0 }, "schema" : "https://github.com/citation-style-language/schema/raw/master/csl-citation.json" }</w:instrText>
            </w:r>
            <w:r>
              <w:fldChar w:fldCharType="separate"/>
            </w:r>
            <w:r w:rsidR="00257928" w:rsidRPr="00257928">
              <w:rPr>
                <w:noProof/>
              </w:rPr>
              <w:t>[43,44]</w:t>
            </w:r>
            <w:r>
              <w:fldChar w:fldCharType="end"/>
            </w:r>
          </w:p>
        </w:tc>
      </w:tr>
      <w:tr w:rsidR="001710DA" w:rsidTr="00EB2B08">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EB2B08">
            <w:pPr>
              <w:pStyle w:val="FigureLegend"/>
              <w:spacing w:line="480" w:lineRule="auto"/>
              <w:rPr>
                <w:i/>
                <w:iCs/>
              </w:rPr>
            </w:pPr>
            <w:r w:rsidRPr="00524B4A">
              <w:rPr>
                <w:i/>
                <w:iCs/>
              </w:rPr>
              <w:t>H</w:t>
            </w:r>
          </w:p>
        </w:tc>
        <w:tc>
          <w:tcPr>
            <w:tcW w:w="2858" w:type="dxa"/>
          </w:tcPr>
          <w:p w:rsidR="001710DA" w:rsidRDefault="001710DA" w:rsidP="00EB2B08">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1710DA" w:rsidRDefault="001710DA" w:rsidP="00EB2B08">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1710DA" w:rsidRDefault="001710DA" w:rsidP="00EB2B0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4147C">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"[44]" }, "properties" : { "noteIndex" : 0 }, "schema" : "https://github.com/citation-style-language/schema/raw/master/csl-citation.json" }</w:instrText>
            </w:r>
            <w:r>
              <w:fldChar w:fldCharType="separate"/>
            </w:r>
            <w:r w:rsidR="00257928" w:rsidRPr="00257928">
              <w:rPr>
                <w:noProof/>
              </w:rPr>
              <w:t>[44]</w:t>
            </w:r>
            <w:r>
              <w:fldChar w:fldCharType="end"/>
            </w:r>
          </w:p>
        </w:tc>
      </w:tr>
      <w:tr w:rsidR="001710DA" w:rsidTr="00EB2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EB2B08">
            <w:pPr>
              <w:pStyle w:val="FigureLegend"/>
              <w:spacing w:line="480" w:lineRule="auto"/>
              <w:rPr>
                <w:i/>
                <w:iCs/>
              </w:rPr>
            </w:pPr>
            <w:r w:rsidRPr="00524B4A">
              <w:rPr>
                <w:i/>
                <w:iCs/>
              </w:rPr>
              <w:t>U</w:t>
            </w:r>
          </w:p>
        </w:tc>
        <w:tc>
          <w:tcPr>
            <w:tcW w:w="2858" w:type="dxa"/>
          </w:tcPr>
          <w:p w:rsidR="001710DA" w:rsidRDefault="001710DA" w:rsidP="00EB2B08">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1710DA" w:rsidRDefault="001710DA" w:rsidP="00EB2B0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1710DA" w:rsidRDefault="001710DA" w:rsidP="00EB2B0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4147C">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"[45,46]" }, "properties" : { "noteIndex" : 0 }, "schema" : "https://github.com/citation-style-language/schema/raw/master/csl-citation.json" }</w:instrText>
            </w:r>
            <w:r>
              <w:fldChar w:fldCharType="separate"/>
            </w:r>
            <w:r w:rsidR="00257928" w:rsidRPr="00257928">
              <w:rPr>
                <w:noProof/>
              </w:rPr>
              <w:t>[45,46]</w:t>
            </w:r>
            <w:r>
              <w:fldChar w:fldCharType="end"/>
            </w:r>
          </w:p>
        </w:tc>
      </w:tr>
      <w:tr w:rsidR="001710DA" w:rsidTr="00EB2B08">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EB2B08">
            <w:pPr>
              <w:pStyle w:val="FigureLegend"/>
              <w:spacing w:line="480" w:lineRule="auto"/>
              <w:rPr>
                <w:i/>
                <w:iCs/>
              </w:rPr>
            </w:pPr>
            <w:r w:rsidRPr="00524B4A">
              <w:rPr>
                <w:i/>
                <w:iCs/>
              </w:rPr>
              <w:t>µ</w:t>
            </w:r>
          </w:p>
        </w:tc>
        <w:tc>
          <w:tcPr>
            <w:tcW w:w="2858" w:type="dxa"/>
          </w:tcPr>
          <w:p w:rsidR="001710DA" w:rsidRDefault="001710DA" w:rsidP="00EB2B08">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1710DA" w:rsidRDefault="001710DA" w:rsidP="00EB2B0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1710DA" w:rsidRDefault="001710DA" w:rsidP="00EB2B0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4147C">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"[44]" }, "properties" : { "noteIndex" : 0 }, "schema" : "https://github.com/citation-style-language/schema/raw/master/csl-citation.json" }</w:instrText>
            </w:r>
            <w:r>
              <w:fldChar w:fldCharType="separate"/>
            </w:r>
            <w:r w:rsidR="00257928" w:rsidRPr="00257928">
              <w:rPr>
                <w:noProof/>
              </w:rPr>
              <w:t>[44]</w:t>
            </w:r>
            <w:r>
              <w:fldChar w:fldCharType="end"/>
            </w:r>
          </w:p>
        </w:tc>
      </w:tr>
      <w:tr w:rsidR="001710DA" w:rsidTr="00EB2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EB2B08">
            <w:pPr>
              <w:pStyle w:val="FigureLegend"/>
              <w:spacing w:line="480" w:lineRule="auto"/>
              <w:rPr>
                <w:i/>
                <w:iCs/>
              </w:rPr>
            </w:pPr>
            <w:r w:rsidRPr="00524B4A">
              <w:rPr>
                <w:i/>
                <w:iCs/>
              </w:rPr>
              <w:t>τ</w:t>
            </w:r>
          </w:p>
        </w:tc>
        <w:tc>
          <w:tcPr>
            <w:tcW w:w="2858" w:type="dxa"/>
          </w:tcPr>
          <w:p w:rsidR="001710DA" w:rsidRDefault="001710DA" w:rsidP="00EB2B08">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1710DA" w:rsidRDefault="001710DA" w:rsidP="00EB2B08">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1710DA" w:rsidRDefault="001710DA" w:rsidP="00EB2B0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4147C">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"[18,47]" }, "properties" : { "noteIndex" : 0 }, "schema" : "https://github.com/citation-style-language/schema/raw/master/csl-citation.json" }</w:instrText>
            </w:r>
            <w:r>
              <w:fldChar w:fldCharType="separate"/>
            </w:r>
            <w:r w:rsidR="00257928" w:rsidRPr="00257928">
              <w:rPr>
                <w:noProof/>
              </w:rPr>
              <w:t>[18,47]</w:t>
            </w:r>
            <w:r>
              <w:fldChar w:fldCharType="end"/>
            </w:r>
          </w:p>
        </w:tc>
      </w:tr>
      <w:tr w:rsidR="001710DA" w:rsidTr="00EB2B08">
        <w:tc>
          <w:tcPr>
            <w:cnfStyle w:val="001000000000" w:firstRow="0" w:lastRow="0" w:firstColumn="1" w:lastColumn="0" w:oddVBand="0" w:evenVBand="0" w:oddHBand="0" w:evenHBand="0" w:firstRowFirstColumn="0" w:firstRowLastColumn="0" w:lastRowFirstColumn="0" w:lastRowLastColumn="0"/>
            <w:tcW w:w="865" w:type="dxa"/>
          </w:tcPr>
          <w:p w:rsidR="001710DA" w:rsidRPr="00524B4A" w:rsidRDefault="001710DA" w:rsidP="00EB2B08">
            <w:pPr>
              <w:pStyle w:val="FigureLegend"/>
              <w:spacing w:line="480" w:lineRule="auto"/>
              <w:rPr>
                <w:i/>
                <w:iCs/>
              </w:rPr>
            </w:pPr>
            <w:r w:rsidRPr="00524B4A">
              <w:rPr>
                <w:i/>
                <w:iCs/>
              </w:rPr>
              <w:t>N</w:t>
            </w:r>
          </w:p>
        </w:tc>
        <w:tc>
          <w:tcPr>
            <w:tcW w:w="2858" w:type="dxa"/>
          </w:tcPr>
          <w:p w:rsidR="001710DA" w:rsidRDefault="001710DA" w:rsidP="00EB2B08">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1710DA" w:rsidRPr="000E4EA4" w:rsidRDefault="001710DA" w:rsidP="00EB2B08">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1710DA" w:rsidRPr="00EA316D" w:rsidRDefault="001710DA" w:rsidP="00EB2B0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4147C">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"[48,49]" }, "properties" : { "noteIndex" : 0 }, "schema" : "https://github.com/citation-style-language/schema/raw/master/csl-citation.json" }</w:instrText>
            </w:r>
            <w:r w:rsidRPr="00EA316D">
              <w:fldChar w:fldCharType="separate"/>
            </w:r>
            <w:r w:rsidR="00257928" w:rsidRPr="00257928">
              <w:rPr>
                <w:noProof/>
              </w:rPr>
              <w:t>[48,49]</w:t>
            </w:r>
            <w:r w:rsidRPr="00EA316D">
              <w:fldChar w:fldCharType="end"/>
            </w:r>
          </w:p>
        </w:tc>
      </w:tr>
    </w:tbl>
    <w:p w:rsidR="001710DA" w:rsidRDefault="001710DA" w:rsidP="00121E76">
      <w:pPr>
        <w:spacing w:line="480" w:lineRule="auto"/>
      </w:pPr>
    </w:p>
    <w:p w:rsidR="005316EE" w:rsidRPr="00BA2B02" w:rsidRDefault="005316EE" w:rsidP="00121E76">
      <w:pPr>
        <w:pStyle w:val="Heading1"/>
        <w:spacing w:line="480" w:lineRule="auto"/>
        <w:rPr>
          <w:lang w:bidi="hi-IN"/>
        </w:rPr>
      </w:pPr>
      <w:r w:rsidRPr="00BA2B02">
        <w:rPr>
          <w:lang w:bidi="hi-IN"/>
        </w:rPr>
        <w:t>Results</w:t>
      </w:r>
    </w:p>
    <w:p w:rsidR="005316EE" w:rsidRDefault="00DD0EC1" w:rsidP="00121E76">
      <w:pPr>
        <w:pStyle w:val="Heading2"/>
        <w:spacing w:line="480" w:lineRule="auto"/>
      </w:pPr>
      <w:r>
        <w:softHyphen/>
      </w:r>
      <w:r>
        <w:softHyphen/>
      </w:r>
      <w:r>
        <w:softHyphen/>
      </w:r>
      <w:r>
        <w:softHyphen/>
      </w:r>
      <w:r w:rsidR="005316EE">
        <w:t>Appearance of a double mutant</w:t>
      </w:r>
    </w:p>
    <w:p w:rsidR="005316EE" w:rsidRDefault="005316EE" w:rsidP="00121E76">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rsidR="006620EE">
        <w:t>Figure 1</w:t>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w:t>
      </w:r>
      <w:r>
        <w:lastRenderedPageBreak/>
        <w:t>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121E76">
      <w:pPr>
        <w:spacing w:after="0" w:line="480" w:lineRule="auto"/>
        <w:jc w:val="both"/>
      </w:pPr>
      <w:r>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631789">
        <w:fldChar w:fldCharType="begin"/>
      </w:r>
      <w:r w:rsidR="00631789">
        <w:instrText xml:space="preserve"> REF _Ref358791100 \h  \* MERGEFORMAT </w:instrText>
      </w:r>
      <w:r w:rsidR="00631789">
        <w:fldChar w:fldCharType="separate"/>
      </w:r>
      <w:r w:rsidR="00EB2B08">
        <w:t>Table 1</w:t>
      </w:r>
      <w:r w:rsidR="00631789">
        <w:fldChar w:fldCharType="end"/>
      </w:r>
      <w:r>
        <w:t>).</w:t>
      </w:r>
    </w:p>
    <w:p w:rsidR="005316EE" w:rsidRPr="00BA2B02" w:rsidRDefault="005316EE" w:rsidP="00121E76">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121E76">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121E76">
            <w:pPr>
              <w:spacing w:line="480" w:lineRule="auto"/>
            </w:pPr>
            <w:bookmarkStart w:id="6" w:name="_Ref378231031"/>
            <w:bookmarkStart w:id="7" w:name="_Ref354134924"/>
            <w:r w:rsidRPr="00BA2B02">
              <w:t>(</w:t>
            </w:r>
            <w:r w:rsidR="00616194">
              <w:fldChar w:fldCharType="begin"/>
            </w:r>
            <w:r w:rsidR="00DA55AA">
              <w:instrText xml:space="preserve"> SEQ Equation </w:instrText>
            </w:r>
            <w:r w:rsidR="00616194">
              <w:fldChar w:fldCharType="separate"/>
            </w:r>
            <w:r w:rsidR="00EB2B08">
              <w:rPr>
                <w:noProof/>
              </w:rPr>
              <w:t>2</w:t>
            </w:r>
            <w:r w:rsidR="00616194">
              <w:rPr>
                <w:noProof/>
              </w:rPr>
              <w:fldChar w:fldCharType="end"/>
            </w:r>
            <w:bookmarkEnd w:id="6"/>
            <w:r w:rsidRPr="00BA2B02">
              <w:t>)</w:t>
            </w:r>
            <w:bookmarkEnd w:id="7"/>
          </w:p>
        </w:tc>
      </w:tr>
    </w:tbl>
    <w:p w:rsidR="005316EE" w:rsidRDefault="005316EE" w:rsidP="00121E76">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121E76">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EB2B08" w:rsidP="00121E76">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121E76">
            <w:pPr>
              <w:spacing w:line="480" w:lineRule="auto"/>
            </w:pPr>
            <w:bookmarkStart w:id="8" w:name="_Ref354134926"/>
            <w:r>
              <w:t>(</w:t>
            </w:r>
            <w:r w:rsidR="00616194">
              <w:fldChar w:fldCharType="begin"/>
            </w:r>
            <w:r w:rsidRPr="00EC7EBC">
              <w:instrText xml:space="preserve"> SEQ Equation </w:instrText>
            </w:r>
            <w:r w:rsidR="00616194">
              <w:fldChar w:fldCharType="separate"/>
            </w:r>
            <w:r w:rsidR="00EB2B08">
              <w:rPr>
                <w:noProof/>
              </w:rPr>
              <w:t>3</w:t>
            </w:r>
            <w:r w:rsidR="00616194">
              <w:rPr>
                <w:noProof/>
              </w:rPr>
              <w:fldChar w:fldCharType="end"/>
            </w:r>
            <w:r>
              <w:t>)</w:t>
            </w:r>
            <w:bookmarkEnd w:id="8"/>
          </w:p>
        </w:tc>
      </w:tr>
    </w:tbl>
    <w:p w:rsidR="005316EE" w:rsidRDefault="005316EE" w:rsidP="00121E76">
      <w:pPr>
        <w:spacing w:line="480" w:lineRule="auto"/>
      </w:pPr>
      <w:r>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121E76">
      <w:pPr>
        <w:spacing w:line="480" w:lineRule="auto"/>
      </w:pPr>
      <w:r>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121E76">
      <w:pPr>
        <w:pStyle w:val="Heading2"/>
        <w:spacing w:line="480" w:lineRule="auto"/>
      </w:pPr>
      <w:bookmarkStart w:id="9" w:name="_Ref354319797"/>
      <w:r>
        <w:t xml:space="preserve">Fixation probability </w:t>
      </w:r>
      <w:bookmarkEnd w:id="9"/>
      <w:r>
        <w:t>of the double mutant</w:t>
      </w:r>
    </w:p>
    <w:p w:rsidR="005316EE" w:rsidRPr="005447DA" w:rsidRDefault="005316EE" w:rsidP="00121E76">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rsidR="00616194">
        <w:fldChar w:fldCharType="begin" w:fldLock="1"/>
      </w:r>
      <w:r w:rsidR="0024147C">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"[50]" }, "properties" : { "noteIndex" : 0 }, "schema" : "https://github.com/citation-style-language/schema/raw/master/csl-citation.json" }</w:instrText>
      </w:r>
      <w:r w:rsidR="00616194">
        <w:fldChar w:fldCharType="separate"/>
      </w:r>
      <w:r w:rsidR="00257928" w:rsidRPr="00257928">
        <w:rPr>
          <w:noProof/>
        </w:rPr>
        <w:t>[50]</w:t>
      </w:r>
      <w:r w:rsidR="00616194">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121E76">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121E76">
            <w:pPr>
              <w:spacing w:line="480" w:lineRule="auto"/>
            </w:pPr>
            <w:bookmarkStart w:id="10" w:name="_Ref378231034"/>
            <w:r>
              <w:t>(</w:t>
            </w:r>
            <w:r w:rsidR="00616194">
              <w:fldChar w:fldCharType="begin"/>
            </w:r>
            <w:r w:rsidRPr="00EC7EBC">
              <w:instrText xml:space="preserve"> SEQ Equation </w:instrText>
            </w:r>
            <w:r w:rsidR="00616194">
              <w:fldChar w:fldCharType="separate"/>
            </w:r>
            <w:r w:rsidR="00EB2B08">
              <w:rPr>
                <w:noProof/>
              </w:rPr>
              <w:t>4</w:t>
            </w:r>
            <w:r w:rsidR="00616194">
              <w:rPr>
                <w:noProof/>
              </w:rPr>
              <w:fldChar w:fldCharType="end"/>
            </w:r>
            <w:bookmarkEnd w:id="10"/>
            <w:r>
              <w:t>)</w:t>
            </w:r>
          </w:p>
        </w:tc>
      </w:tr>
    </w:tbl>
    <w:p w:rsidR="005316EE" w:rsidRDefault="005316EE" w:rsidP="00121E76">
      <w:pPr>
        <w:spacing w:line="480" w:lineRule="auto"/>
        <w:rPr>
          <w:lang w:bidi="hi-IN"/>
        </w:rPr>
      </w:pPr>
      <w:bookmarkStart w:id="11" w:name="_Ref360181968"/>
      <w:r>
        <w:rPr>
          <w:lang w:bidi="hi-IN"/>
        </w:rPr>
        <w:t xml:space="preserve">That is, the fixation probability of the double mutant is roughly twice its adaptive advantage. This is a classic result of population genetics theory </w:t>
      </w:r>
      <w:r w:rsidR="00616194">
        <w:rPr>
          <w:lang w:bidi="hi-IN"/>
        </w:rPr>
        <w:fldChar w:fldCharType="begin" w:fldLock="1"/>
      </w:r>
      <w:r w:rsidR="0024147C">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"[51,52]" }, "properties" : { "noteIndex" : 0 }, "schema" : "https://github.com/citation-style-language/schema/raw/master/csl-citation.json" }</w:instrText>
      </w:r>
      <w:r w:rsidR="00616194">
        <w:rPr>
          <w:lang w:bidi="hi-IN"/>
        </w:rPr>
        <w:fldChar w:fldCharType="separate"/>
      </w:r>
      <w:r w:rsidR="00257928" w:rsidRPr="00257928">
        <w:rPr>
          <w:noProof/>
          <w:lang w:bidi="hi-IN"/>
        </w:rPr>
        <w:t>[51,52]</w:t>
      </w:r>
      <w:r w:rsidR="00616194">
        <w:rPr>
          <w:lang w:bidi="hi-IN"/>
        </w:rPr>
        <w:fldChar w:fldCharType="end"/>
      </w:r>
      <w:r>
        <w:rPr>
          <w:lang w:bidi="hi-IN"/>
        </w:rPr>
        <w:t>.</w:t>
      </w:r>
    </w:p>
    <w:p w:rsidR="005316EE" w:rsidRDefault="005316EE" w:rsidP="00121E76">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121E76">
      <w:pPr>
        <w:pStyle w:val="Heading2"/>
        <w:spacing w:line="480" w:lineRule="auto"/>
      </w:pPr>
      <w:r>
        <w:t>Adaptation rate</w:t>
      </w:r>
      <w:bookmarkEnd w:id="11"/>
    </w:p>
    <w:p w:rsidR="005316EE" w:rsidRPr="000448EE" w:rsidRDefault="005316EE" w:rsidP="00121E76">
      <w:pPr>
        <w:spacing w:line="480" w:lineRule="auto"/>
      </w:pPr>
      <w:r w:rsidRPr="00A328A2">
        <w:rPr>
          <w:lang w:val="en-GB"/>
        </w:rPr>
        <w:t xml:space="preserve">From the probability </w:t>
      </w:r>
      <w:r w:rsidRPr="00A328A2">
        <w:rPr>
          <w:i/>
          <w:iCs/>
          <w:lang w:val="en-GB"/>
        </w:rPr>
        <w:t>q</w:t>
      </w:r>
      <w:r w:rsidRPr="00A328A2">
        <w:rPr>
          <w:lang w:val="en-GB"/>
        </w:rPr>
        <w:t xml:space="preserve"> that a random offspring is a double mutant, we can derive the probability that one or more double mutants appear in the next generation</w:t>
      </w:r>
      <w:proofErr w:type="gramStart"/>
      <w:r w:rsidRPr="00A328A2">
        <w:rPr>
          <w:lang w:val="en-GB"/>
        </w:rPr>
        <w:t xml:space="preserve">: </w:t>
      </w:r>
      <w:proofErr w:type="gramEnd"/>
      <m:oMath>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1-q</m:t>
                </m:r>
              </m:e>
            </m:d>
          </m:e>
          <m:sup>
            <m:r>
              <w:rPr>
                <w:rFonts w:ascii="Cambria Math" w:hAnsi="Cambria Math"/>
                <w:lang w:val="en-GB"/>
              </w:rPr>
              <m:t>N</m:t>
            </m:r>
          </m:sup>
        </m:sSup>
        <m:r>
          <w:rPr>
            <w:rFonts w:ascii="Cambria Math" w:hAnsi="Cambria Math"/>
            <w:lang w:val="en-GB"/>
          </w:rPr>
          <m:t>≈Nq</m:t>
        </m:r>
      </m:oMath>
      <w:r w:rsidRPr="00A328A2">
        <w:rPr>
          <w:lang w:val="en-GB"/>
        </w:rPr>
        <w:t xml:space="preserve">. </w:t>
      </w:r>
      <w:r w:rsidRPr="00BA2B02">
        <w:t xml:space="preserve">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121E76">
      <w:pPr>
        <w:spacing w:line="480" w:lineRule="auto"/>
        <w:rPr>
          <w:lang w:bidi="hi-IN"/>
        </w:rPr>
      </w:pPr>
      <w:r w:rsidRPr="000448EE">
        <w:lastRenderedPageBreak/>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proofErr w:type="spellStart"/>
      <w:r w:rsidR="005316EE" w:rsidRPr="00CB2F61">
        <w:rPr>
          <w:i/>
          <w:iCs/>
        </w:rPr>
        <w:t>Nqρ</w:t>
      </w:r>
      <w:proofErr w:type="spellEnd"/>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121E76">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121E76">
            <w:pPr>
              <w:spacing w:line="480" w:lineRule="auto"/>
            </w:pPr>
            <w:bookmarkStart w:id="12" w:name="_Ref378231036"/>
            <w:r>
              <w:t>(</w:t>
            </w:r>
            <w:r w:rsidR="00616194">
              <w:fldChar w:fldCharType="begin"/>
            </w:r>
            <w:r w:rsidRPr="00EC7EBC">
              <w:instrText xml:space="preserve"> SEQ Equation </w:instrText>
            </w:r>
            <w:r w:rsidR="00616194">
              <w:fldChar w:fldCharType="separate"/>
            </w:r>
            <w:r w:rsidR="00EB2B08">
              <w:rPr>
                <w:noProof/>
              </w:rPr>
              <w:t>5</w:t>
            </w:r>
            <w:r w:rsidR="00616194">
              <w:rPr>
                <w:noProof/>
              </w:rPr>
              <w:fldChar w:fldCharType="end"/>
            </w:r>
            <w:bookmarkEnd w:id="12"/>
            <w:r>
              <w:t>)</w:t>
            </w:r>
          </w:p>
        </w:tc>
      </w:tr>
    </w:tbl>
    <w:p w:rsidR="005316EE" w:rsidRDefault="005316EE" w:rsidP="00121E76">
      <w:pPr>
        <w:spacing w:line="480" w:lineRule="auto"/>
      </w:pPr>
      <w:proofErr w:type="gramStart"/>
      <w:r>
        <w:t xml:space="preserve">Plugging </w:t>
      </w:r>
      <w:proofErr w:type="spellStart"/>
      <w:r>
        <w:t>eqs</w:t>
      </w:r>
      <w:proofErr w:type="spellEnd"/>
      <w:r>
        <w:t>.</w:t>
      </w:r>
      <w:proofErr w:type="gramEnd"/>
      <w:r>
        <w:t xml:space="preserve">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EB2B08" w:rsidP="00121E76">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121E76">
            <w:pPr>
              <w:spacing w:line="480" w:lineRule="auto"/>
            </w:pPr>
            <w:r>
              <w:t>(</w:t>
            </w:r>
            <w:r w:rsidR="00616194">
              <w:fldChar w:fldCharType="begin"/>
            </w:r>
            <w:r w:rsidRPr="00C23983">
              <w:instrText xml:space="preserve"> SEQ Equation </w:instrText>
            </w:r>
            <w:r w:rsidR="00616194">
              <w:fldChar w:fldCharType="separate"/>
            </w:r>
            <w:r w:rsidR="00EB2B08">
              <w:rPr>
                <w:noProof/>
              </w:rPr>
              <w:t>6</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EB2B08" w:rsidP="00121E76">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121E76">
            <w:pPr>
              <w:spacing w:line="480" w:lineRule="auto"/>
            </w:pPr>
            <w:r>
              <w:t>(</w:t>
            </w:r>
            <w:r w:rsidR="00616194">
              <w:fldChar w:fldCharType="begin"/>
            </w:r>
            <w:r w:rsidR="00DA55AA">
              <w:instrText xml:space="preserve"> SEQ Equation </w:instrText>
            </w:r>
            <w:r w:rsidR="00616194">
              <w:fldChar w:fldCharType="separate"/>
            </w:r>
            <w:r w:rsidR="00EB2B08">
              <w:rPr>
                <w:noProof/>
              </w:rPr>
              <w:t>7</w:t>
            </w:r>
            <w:r w:rsidR="00616194">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EB2B08" w:rsidP="00121E76">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121E76">
            <w:pPr>
              <w:spacing w:line="480" w:lineRule="auto"/>
            </w:pPr>
            <w:r>
              <w:t>(</w:t>
            </w:r>
            <w:r w:rsidR="00616194">
              <w:fldChar w:fldCharType="begin"/>
            </w:r>
            <w:r w:rsidRPr="00C23983">
              <w:instrText xml:space="preserve"> SEQ Equation </w:instrText>
            </w:r>
            <w:r w:rsidR="00616194">
              <w:fldChar w:fldCharType="separate"/>
            </w:r>
            <w:r w:rsidR="00EB2B08">
              <w:rPr>
                <w:noProof/>
              </w:rPr>
              <w:t>8</w:t>
            </w:r>
            <w:r w:rsidR="00616194">
              <w:rPr>
                <w:noProof/>
              </w:rPr>
              <w:fldChar w:fldCharType="end"/>
            </w:r>
            <w:r>
              <w:t>)</w:t>
            </w:r>
          </w:p>
        </w:tc>
      </w:tr>
    </w:tbl>
    <w:p w:rsidR="005316EE" w:rsidRDefault="005316EE" w:rsidP="00121E76">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631789">
        <w:fldChar w:fldCharType="begin"/>
      </w:r>
      <w:r w:rsidR="00631789">
        <w:instrText xml:space="preserve"> REF _Ref358791100 \h  \* MERGEFORMAT </w:instrText>
      </w:r>
      <w:r w:rsidR="00631789">
        <w:fldChar w:fldCharType="separate"/>
      </w:r>
      <w:r w:rsidR="00EB2B08">
        <w:t>Table 1</w:t>
      </w:r>
      <w:r w:rsidR="00631789">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sidR="00616194">
        <w:rPr>
          <w:lang w:bidi="hi-IN"/>
        </w:rPr>
        <w:fldChar w:fldCharType="begin" w:fldLock="1"/>
      </w:r>
      <w:r w:rsidR="0024147C">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"[53]" }, "properties" : { "noteIndex" : 0 }, "schema" : "https://github.com/citation-style-language/schema/raw/master/csl-citation.json" }</w:instrText>
      </w:r>
      <w:r w:rsidR="00616194">
        <w:rPr>
          <w:lang w:bidi="hi-IN"/>
        </w:rPr>
        <w:fldChar w:fldCharType="separate"/>
      </w:r>
      <w:r w:rsidR="00257928" w:rsidRPr="00257928">
        <w:rPr>
          <w:noProof/>
          <w:lang w:bidi="hi-IN"/>
        </w:rPr>
        <w:t>[53]</w:t>
      </w:r>
      <w:r w:rsidR="00616194">
        <w:rPr>
          <w:lang w:bidi="hi-IN"/>
        </w:rPr>
        <w:fldChar w:fldCharType="end"/>
      </w:r>
      <w:r>
        <w:rPr>
          <w:lang w:bidi="hi-IN"/>
        </w:rPr>
        <w:t xml:space="preserve"> for a result similar to eq. 6.</w:t>
      </w:r>
    </w:p>
    <w:p w:rsidR="0084602B" w:rsidRDefault="00323C45" w:rsidP="00121E76">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121E76">
      <w:pPr>
        <w:spacing w:line="480" w:lineRule="auto"/>
      </w:pPr>
      <w:r>
        <w:rPr>
          <w:rFonts w:eastAsiaTheme="minorEastAsia"/>
          <w:lang w:bidi="hi-IN"/>
        </w:rPr>
        <w:lastRenderedPageBreak/>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CD3F78" w:rsidRDefault="00DD0EC1" w:rsidP="00121E76">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631789">
        <w:fldChar w:fldCharType="begin"/>
      </w:r>
      <w:r w:rsidR="00631789">
        <w:instrText xml:space="preserve"> REF _Ref358791100 \h  \* MERGEFORMAT </w:instrText>
      </w:r>
      <w:r w:rsidR="00631789">
        <w:fldChar w:fldCharType="separate"/>
      </w:r>
      <w:r w:rsidR="00EB2B08">
        <w:t>Table 1</w:t>
      </w:r>
      <w:r w:rsidR="00631789">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616194">
        <w:fldChar w:fldCharType="begin" w:fldLock="1"/>
      </w:r>
      <w:r w:rsidR="0024147C">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"[54]" }, "properties" : { "noteIndex" : 0 }, "schema" : "https://github.com/citation-style-language/schema/raw/master/csl-citation.json" }</w:instrText>
      </w:r>
      <w:r w:rsidR="00616194">
        <w:fldChar w:fldCharType="separate"/>
      </w:r>
      <w:r w:rsidR="00257928" w:rsidRPr="00257928">
        <w:rPr>
          <w:noProof/>
        </w:rPr>
        <w:t>[54]</w:t>
      </w:r>
      <w:r w:rsidR="00616194">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p>
    <w:p w:rsidR="00CD3F78" w:rsidRDefault="00CD3F78" w:rsidP="00121E76">
      <w:pPr>
        <w:spacing w:after="200" w:line="480" w:lineRule="auto"/>
        <w:rPr>
          <w:lang w:bidi="hi-IN"/>
        </w:rPr>
      </w:pPr>
      <w:r>
        <w:rPr>
          <w:lang w:bidi="hi-IN"/>
        </w:rPr>
        <w:br w:type="page"/>
      </w:r>
    </w:p>
    <w:p w:rsidR="00CD3F78" w:rsidRDefault="00CD3F78" w:rsidP="00121E76">
      <w:pPr>
        <w:pStyle w:val="FigureLegend"/>
        <w:spacing w:line="480" w:lineRule="auto"/>
        <w:rPr>
          <w:b/>
          <w:bCs/>
          <w:sz w:val="20"/>
          <w:szCs w:val="20"/>
        </w:rPr>
      </w:pPr>
      <w:r>
        <w:rPr>
          <w:b/>
          <w:bCs/>
          <w:noProof/>
          <w:sz w:val="20"/>
          <w:szCs w:val="20"/>
        </w:rPr>
        <w:lastRenderedPageBreak/>
        <w:drawing>
          <wp:inline distT="0" distB="0" distL="0" distR="0" wp14:anchorId="2D9A911E" wp14:editId="1DBE012B">
            <wp:extent cx="5266690" cy="3803650"/>
            <wp:effectExtent l="0" t="0" r="0" b="6350"/>
            <wp:docPr id="13" name="Picture 1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90" cy="3803650"/>
                    </a:xfrm>
                    <a:prstGeom prst="rect">
                      <a:avLst/>
                    </a:prstGeom>
                    <a:noFill/>
                    <a:ln>
                      <a:noFill/>
                    </a:ln>
                  </pic:spPr>
                </pic:pic>
              </a:graphicData>
            </a:graphic>
          </wp:inline>
        </w:drawing>
      </w:r>
    </w:p>
    <w:p w:rsidR="00CD3F78" w:rsidRPr="001E1864" w:rsidRDefault="00CD3F78" w:rsidP="001E1864">
      <w:pPr>
        <w:pStyle w:val="FigureLegend"/>
        <w:spacing w:line="480" w:lineRule="auto"/>
        <w:jc w:val="left"/>
      </w:pPr>
      <w:bookmarkStart w:id="13" w:name="_Ref383682047"/>
      <w:r w:rsidRPr="001E1864">
        <w:rPr>
          <w:b/>
          <w:bCs/>
        </w:rPr>
        <w:t xml:space="preserve">Figure </w:t>
      </w:r>
      <w:r w:rsidR="00616194" w:rsidRPr="001E1864">
        <w:rPr>
          <w:b/>
          <w:bCs/>
        </w:rPr>
        <w:fldChar w:fldCharType="begin"/>
      </w:r>
      <w:r w:rsidRPr="001E1864">
        <w:rPr>
          <w:b/>
          <w:bCs/>
        </w:rPr>
        <w:instrText xml:space="preserve"> SEQ Figure \* ARABIC </w:instrText>
      </w:r>
      <w:r w:rsidR="00616194" w:rsidRPr="001E1864">
        <w:rPr>
          <w:b/>
          <w:bCs/>
        </w:rPr>
        <w:fldChar w:fldCharType="separate"/>
      </w:r>
      <w:r w:rsidR="00EB2B08">
        <w:rPr>
          <w:b/>
          <w:bCs/>
          <w:noProof/>
        </w:rPr>
        <w:t>2</w:t>
      </w:r>
      <w:r w:rsidR="00616194" w:rsidRPr="001E1864">
        <w:rPr>
          <w:b/>
          <w:bCs/>
        </w:rPr>
        <w:fldChar w:fldCharType="end"/>
      </w:r>
      <w:bookmarkEnd w:id="13"/>
      <w:r w:rsidRPr="001E1864">
        <w:rPr>
          <w:b/>
          <w:bCs/>
        </w:rPr>
        <w:t xml:space="preserve"> – Complex adaptation with different mutational strategies.</w:t>
      </w:r>
      <w:r w:rsidRPr="001E1864">
        <w:t xml:space="preserve"> The figure shows the adaptation rate </w:t>
      </w:r>
      <w:r w:rsidRPr="001E1864">
        <w:rPr>
          <w:i/>
          <w:iCs/>
        </w:rPr>
        <w:t>ν</w:t>
      </w:r>
      <w:r w:rsidRPr="001E1864">
        <w:t xml:space="preserve"> as a function of the mutation rate increase </w:t>
      </w:r>
      <w:r w:rsidRPr="001E1864">
        <w:rPr>
          <w:i/>
          <w:iCs/>
        </w:rPr>
        <w:t>τ</w:t>
      </w:r>
      <w:r w:rsidRPr="001E1864">
        <w:t xml:space="preserve"> (both in log scale). A black circle is normal mutagenesis (NM</w:t>
      </w:r>
      <w:r w:rsidRPr="001E1864">
        <w:rPr>
          <w:i/>
          <w:iCs/>
        </w:rPr>
        <w:t>; τ</w:t>
      </w:r>
      <w:r w:rsidRPr="001E1864">
        <w:t>=1); solid line with circles is constitutive mutagenesis (CM); solid line with squares is stress-induced mutagenesis (SIM); dashed lines with triangles is stress-induced mutagenesis with environmental stress (</w:t>
      </w:r>
      <w:proofErr w:type="spellStart"/>
      <w:r w:rsidRPr="001E1864">
        <w:t>SIMe</w:t>
      </w:r>
      <w:proofErr w:type="spellEnd"/>
      <w:r w:rsidRPr="001E1864">
        <w:t xml:space="preserve">; see section 3.5). Lines are analytic approximations. Markers are the means of stochastic simulation results. Error bars represent 95% confidence interval of the mean (at least 1,000 simulations per point; computed with bootstrap with 1,000 samples per point). Parameters (see </w:t>
      </w:r>
      <w:r w:rsidR="00631789" w:rsidRPr="001E1864">
        <w:fldChar w:fldCharType="begin"/>
      </w:r>
      <w:r w:rsidR="00631789" w:rsidRPr="001E1864">
        <w:instrText xml:space="preserve"> REF _Ref358791100 \h  \* MERGEFORMAT </w:instrText>
      </w:r>
      <w:r w:rsidR="00631789" w:rsidRPr="001E1864">
        <w:fldChar w:fldCharType="separate"/>
      </w:r>
      <w:r w:rsidR="00EB2B08">
        <w:t>Table 1</w:t>
      </w:r>
      <w:r w:rsidR="00631789" w:rsidRPr="001E1864">
        <w:fldChar w:fldCharType="end"/>
      </w:r>
      <w:r w:rsidRPr="001E1864">
        <w:t xml:space="preserve">): </w:t>
      </w:r>
      <w:r w:rsidRPr="001E1864">
        <w:rPr>
          <w:i/>
          <w:iCs/>
        </w:rPr>
        <w:t>U</w:t>
      </w:r>
      <w:r w:rsidRPr="001E1864">
        <w:t xml:space="preserve">=0.0004, </w:t>
      </w:r>
      <w:r w:rsidRPr="001E1864">
        <w:rPr>
          <w:i/>
          <w:iCs/>
        </w:rPr>
        <w:t>s</w:t>
      </w:r>
      <w:r w:rsidRPr="001E1864">
        <w:t xml:space="preserve">=0.05, </w:t>
      </w:r>
      <w:r w:rsidRPr="001E1864">
        <w:rPr>
          <w:rFonts w:ascii="Times New Roman" w:hAnsi="Times New Roman" w:cs="Times New Roman"/>
          <w:i/>
          <w:iCs/>
        </w:rPr>
        <w:t>β</w:t>
      </w:r>
      <w:r w:rsidRPr="001E1864">
        <w:t xml:space="preserve">=0.0002, </w:t>
      </w:r>
      <w:r w:rsidRPr="001E1864">
        <w:rPr>
          <w:i/>
          <w:iCs/>
        </w:rPr>
        <w:t>H</w:t>
      </w:r>
      <w:r w:rsidRPr="001E1864">
        <w:t xml:space="preserve">=2, </w:t>
      </w:r>
      <w:r w:rsidRPr="001E1864">
        <w:rPr>
          <w:i/>
          <w:iCs/>
        </w:rPr>
        <w:t>N</w:t>
      </w:r>
      <w:r w:rsidRPr="001E1864">
        <w:t>=10</w:t>
      </w:r>
      <w:r w:rsidRPr="001E1864">
        <w:rPr>
          <w:vertAlign w:val="superscript"/>
        </w:rPr>
        <w:t>6</w:t>
      </w:r>
      <w:r w:rsidR="001E1864">
        <w:t>.</w:t>
      </w:r>
    </w:p>
    <w:p w:rsidR="005316EE" w:rsidRDefault="005316EE" w:rsidP="00121E76">
      <w:pPr>
        <w:spacing w:line="480" w:lineRule="auto"/>
        <w:rPr>
          <w:rFonts w:eastAsiaTheme="minorEastAsia"/>
          <w:lang w:bidi="hi-IN"/>
        </w:rPr>
      </w:pPr>
      <w:r w:rsidRPr="00E74930">
        <w:rPr>
          <w:lang w:bidi="hi-IN"/>
        </w:rPr>
        <w:t xml:space="preserve">What happens when mutation is </w:t>
      </w:r>
      <w:r w:rsidR="00DD7A57">
        <w:rPr>
          <w:lang w:bidi="hi-IN"/>
        </w:rPr>
        <w:t>as strong as</w:t>
      </w:r>
      <w:r w:rsidRPr="00E74930">
        <w:rPr>
          <w:lang w:bidi="hi-IN"/>
        </w:rPr>
        <w:t xml:space="preserve"> selection? </w:t>
      </w:r>
      <w:r w:rsidR="00396506">
        <w:t>Figure 3</w:t>
      </w:r>
      <w:r w:rsidRPr="00E74930">
        <w:rPr>
          <w:lang w:bidi="hi-IN"/>
        </w:rPr>
        <w:t>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Because our approximation 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396506">
        <w:t>Figure 3</w:t>
      </w:r>
      <w:r w:rsidR="00BA3BDB">
        <w:rPr>
          <w:lang w:bidi="hi-IN"/>
        </w:rPr>
        <w:t>A)</w:t>
      </w:r>
      <w:r w:rsidR="00DD7A57">
        <w:rPr>
          <w:rFonts w:eastAsiaTheme="minorEastAsia"/>
          <w:lang w:bidi="hi-IN"/>
        </w:rPr>
        <w:t>.</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xml:space="preserve">, the population carries more deleterious alleles after adaptation, </w:t>
      </w:r>
      <w:r>
        <w:rPr>
          <w:rFonts w:eastAsiaTheme="minorEastAsia"/>
          <w:lang w:bidi="hi-IN"/>
        </w:rPr>
        <w:lastRenderedPageBreak/>
        <w:t>resulting in a lower population mean fitness (</w:t>
      </w:r>
      <w:r w:rsidR="00396506">
        <w:t>Figure 3</w:t>
      </w:r>
      <w:r>
        <w:rPr>
          <w:rFonts w:eastAsiaTheme="minorEastAsia"/>
          <w:lang w:bidi="hi-IN"/>
        </w:rPr>
        <w:t>B)</w:t>
      </w:r>
      <w:r w:rsidR="00BF0B48">
        <w:rPr>
          <w:rFonts w:eastAsiaTheme="minorEastAsia"/>
          <w:lang w:bidi="hi-IN"/>
        </w:rPr>
        <w:t xml:space="preserve"> and eventually a lower fixation probability and </w:t>
      </w:r>
      <w:r w:rsidR="00396506">
        <w:rPr>
          <w:rFonts w:eastAsiaTheme="minorEastAsia"/>
          <w:lang w:bidi="hi-IN"/>
        </w:rPr>
        <w:t>adaptation</w:t>
      </w:r>
      <w:r w:rsidR="00BF0B48">
        <w:rPr>
          <w:rFonts w:eastAsiaTheme="minorEastAsia"/>
          <w:lang w:bidi="hi-IN"/>
        </w:rPr>
        <w:t xml:space="preserve"> rate (</w:t>
      </w:r>
      <w:r w:rsidR="00396506">
        <w:t>Figure 3</w:t>
      </w:r>
      <w:r w:rsidR="00BF0B48">
        <w:rPr>
          <w:rFonts w:eastAsiaTheme="minorEastAsia"/>
          <w:lang w:bidi="hi-IN"/>
        </w:rPr>
        <w:t xml:space="preserve">A) </w:t>
      </w:r>
      <w:r>
        <w:rPr>
          <w:rFonts w:eastAsiaTheme="minorEastAsia"/>
          <w:lang w:bidi="hi-IN"/>
        </w:rPr>
        <w:t xml:space="preserve">. </w:t>
      </w:r>
    </w:p>
    <w:p w:rsidR="005316EE" w:rsidRDefault="005316EE" w:rsidP="00C32505">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396506">
        <w:t>Figure 3</w:t>
      </w:r>
      <w:r w:rsidR="00D45CB2">
        <w:rPr>
          <w:lang w:bidi="hi-IN"/>
        </w:rPr>
        <w:t>A</w:t>
      </w:r>
      <w:r>
        <w:rPr>
          <w:lang w:bidi="hi-IN"/>
        </w:rPr>
        <w:t>).</w:t>
      </w:r>
    </w:p>
    <w:p w:rsidR="005316EE" w:rsidRDefault="005316EE" w:rsidP="00121E76">
      <w:pPr>
        <w:pStyle w:val="Heading2"/>
        <w:spacing w:line="480" w:lineRule="auto"/>
      </w:pPr>
      <w:r>
        <w:t xml:space="preserve">The trade-off between </w:t>
      </w:r>
      <w:r w:rsidRPr="0044354D">
        <w:rPr>
          <w:i/>
          <w:iCs/>
        </w:rPr>
        <w:t>adaptability</w:t>
      </w:r>
      <w:r>
        <w:t xml:space="preserve"> and </w:t>
      </w:r>
      <w:r w:rsidRPr="0044354D">
        <w:rPr>
          <w:i/>
          <w:iCs/>
        </w:rPr>
        <w:t>adaptedness</w:t>
      </w:r>
    </w:p>
    <w:p w:rsidR="005316EE" w:rsidRDefault="005316EE" w:rsidP="00121E76">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C32505" w:rsidRDefault="005316EE" w:rsidP="00121E76">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616194" w:rsidRPr="00331E7E">
        <w:rPr>
          <w:lang w:bidi="hi-IN"/>
        </w:rPr>
        <w:fldChar w:fldCharType="begin" w:fldLock="1"/>
      </w:r>
      <w:r w:rsidR="0024147C">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331E7E">
        <w:rPr>
          <w:lang w:bidi="hi-IN"/>
        </w:rPr>
        <w:fldChar w:fldCharType="separate"/>
      </w:r>
      <w:r w:rsidR="00635E26" w:rsidRPr="00331E7E">
        <w:rPr>
          <w:noProof/>
          <w:lang w:bidi="hi-IN"/>
        </w:rPr>
        <w:t>[37]</w:t>
      </w:r>
      <w:r w:rsidR="00616194" w:rsidRPr="00331E7E">
        <w:rPr>
          <w:lang w:bidi="hi-IN"/>
        </w:rPr>
        <w:fldChar w:fldCharType="end"/>
      </w:r>
      <w:r w:rsidRPr="00331E7E">
        <w:rPr>
          <w:lang w:bidi="hi-IN"/>
        </w:rPr>
        <w:t xml:space="preserve"> to calculate the population mean fitness at the mutation-selection balance. </w:t>
      </w:r>
    </w:p>
    <w:p w:rsidR="00C32505" w:rsidRDefault="00C32505" w:rsidP="00C32505">
      <w:pPr>
        <w:keepNext/>
        <w:spacing w:line="480" w:lineRule="auto"/>
        <w:jc w:val="center"/>
      </w:pPr>
      <w:r>
        <w:rPr>
          <w:noProof/>
        </w:rPr>
        <w:lastRenderedPageBreak/>
        <w:drawing>
          <wp:inline distT="0" distB="0" distL="0" distR="0" wp14:anchorId="3B4A5E48" wp14:editId="2F0FC49A">
            <wp:extent cx="5271770" cy="2027555"/>
            <wp:effectExtent l="0" t="0" r="5080" b="0"/>
            <wp:docPr id="3" name="Picture 3"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770" cy="2027555"/>
                    </a:xfrm>
                    <a:prstGeom prst="rect">
                      <a:avLst/>
                    </a:prstGeom>
                    <a:noFill/>
                    <a:ln>
                      <a:noFill/>
                    </a:ln>
                  </pic:spPr>
                </pic:pic>
              </a:graphicData>
            </a:graphic>
          </wp:inline>
        </w:drawing>
      </w:r>
    </w:p>
    <w:p w:rsidR="00C32505" w:rsidRDefault="00C32505" w:rsidP="00C32505">
      <w:pPr>
        <w:spacing w:line="480" w:lineRule="auto"/>
        <w:rPr>
          <w:sz w:val="16"/>
          <w:szCs w:val="16"/>
        </w:rPr>
      </w:pPr>
      <w:bookmarkStart w:id="14" w:name="_Ref383675982"/>
      <w:r w:rsidRPr="001E1864">
        <w:rPr>
          <w:b/>
          <w:bCs/>
          <w:sz w:val="16"/>
          <w:szCs w:val="16"/>
        </w:rPr>
        <w:t xml:space="preserve">Figure </w:t>
      </w:r>
      <w:r w:rsidRPr="001E1864">
        <w:rPr>
          <w:b/>
          <w:bCs/>
          <w:sz w:val="16"/>
          <w:szCs w:val="16"/>
        </w:rPr>
        <w:fldChar w:fldCharType="begin"/>
      </w:r>
      <w:r w:rsidRPr="001E1864">
        <w:rPr>
          <w:b/>
          <w:bCs/>
          <w:sz w:val="16"/>
          <w:szCs w:val="16"/>
        </w:rPr>
        <w:instrText xml:space="preserve"> SEQ Figure \* ARABIC </w:instrText>
      </w:r>
      <w:r w:rsidRPr="001E1864">
        <w:rPr>
          <w:b/>
          <w:bCs/>
          <w:sz w:val="16"/>
          <w:szCs w:val="16"/>
        </w:rPr>
        <w:fldChar w:fldCharType="separate"/>
      </w:r>
      <w:r w:rsidR="00EB2B08">
        <w:rPr>
          <w:b/>
          <w:bCs/>
          <w:noProof/>
          <w:sz w:val="16"/>
          <w:szCs w:val="16"/>
        </w:rPr>
        <w:t>3</w:t>
      </w:r>
      <w:r w:rsidRPr="001E1864">
        <w:rPr>
          <w:b/>
          <w:bCs/>
          <w:sz w:val="16"/>
          <w:szCs w:val="16"/>
        </w:rPr>
        <w:fldChar w:fldCharType="end"/>
      </w:r>
      <w:bookmarkEnd w:id="14"/>
      <w:r w:rsidRPr="001E1864">
        <w:rPr>
          <w:b/>
          <w:bCs/>
          <w:sz w:val="16"/>
          <w:szCs w:val="16"/>
        </w:rPr>
        <w:t xml:space="preserve"> – Adaptation with strong mutation.</w:t>
      </w:r>
      <w:r w:rsidRPr="001E1864">
        <w:rPr>
          <w:sz w:val="16"/>
          <w:szCs w:val="16"/>
        </w:rPr>
        <w:t xml:space="preserve"> </w:t>
      </w:r>
      <w:r w:rsidRPr="001E1864">
        <w:rPr>
          <w:noProof/>
          <w:sz w:val="16"/>
          <w:szCs w:val="16"/>
        </w:rPr>
        <w:t xml:space="preserve">When the deleterious mutation rate is high – here </w:t>
      </w:r>
      <w:r w:rsidRPr="001E1864">
        <w:rPr>
          <w:i/>
          <w:iCs/>
          <w:noProof/>
          <w:sz w:val="16"/>
          <w:szCs w:val="16"/>
        </w:rPr>
        <w:t>U=s/10</w:t>
      </w:r>
      <w:r w:rsidRPr="001E1864">
        <w:rPr>
          <w:noProof/>
          <w:sz w:val="16"/>
          <w:szCs w:val="16"/>
        </w:rPr>
        <w:t xml:space="preserve"> – the adaptation process can lead to hitch-hiking of deleterious alleles with the beneficial double mutant. </w:t>
      </w:r>
      <w:r w:rsidRPr="001E1864">
        <w:rPr>
          <w:b/>
          <w:bCs/>
          <w:noProof/>
          <w:sz w:val="16"/>
          <w:szCs w:val="16"/>
        </w:rPr>
        <w:t>(A)</w:t>
      </w:r>
      <w:r w:rsidRPr="001E1864">
        <w:rPr>
          <w:noProof/>
          <w:sz w:val="16"/>
          <w:szCs w:val="16"/>
        </w:rPr>
        <w:t xml:space="preserve"> </w:t>
      </w:r>
      <w:r w:rsidRPr="001E1864">
        <w:rPr>
          <w:sz w:val="16"/>
          <w:szCs w:val="16"/>
        </w:rPr>
        <w:t xml:space="preserve">The adaptation rate </w:t>
      </w:r>
      <w:r w:rsidRPr="001E1864">
        <w:rPr>
          <w:i/>
          <w:iCs/>
          <w:sz w:val="16"/>
          <w:szCs w:val="16"/>
        </w:rPr>
        <w:t>ν</w:t>
      </w:r>
      <w:r w:rsidRPr="001E1864">
        <w:rPr>
          <w:sz w:val="16"/>
          <w:szCs w:val="16"/>
        </w:rPr>
        <w:t xml:space="preserve"> as a function of the mutation rate increase </w:t>
      </w:r>
      <w:r w:rsidRPr="001E1864">
        <w:rPr>
          <w:i/>
          <w:iCs/>
          <w:sz w:val="16"/>
          <w:szCs w:val="16"/>
        </w:rPr>
        <w:t>τ</w:t>
      </w:r>
      <w:r w:rsidRPr="001E1864">
        <w:rPr>
          <w:sz w:val="16"/>
          <w:szCs w:val="16"/>
        </w:rPr>
        <w:t xml:space="preserve"> (both in log scale). A black circle for normal mutagenesis (NM</w:t>
      </w:r>
      <w:r w:rsidRPr="001E1864">
        <w:rPr>
          <w:i/>
          <w:iCs/>
          <w:sz w:val="16"/>
          <w:szCs w:val="16"/>
        </w:rPr>
        <w:t>; τ</w:t>
      </w:r>
      <w:r w:rsidRPr="001E1864">
        <w:rPr>
          <w:sz w:val="16"/>
          <w:szCs w:val="16"/>
        </w:rPr>
        <w:t xml:space="preserve">=1); red solid line and circles for constitutive mutagenesis (CM); blue solid line and squares for stress-induced mutagenesis (SIM). Lines are analytic approximations. Markers are the means of stochastic simulations results. Error bars represent 95% confidence interval of the mean (at least 1,000 simulations per point; computed with bootstrap with 1,000 samples per point). Parameters (see </w:t>
      </w:r>
      <w:r w:rsidRPr="001E1864">
        <w:rPr>
          <w:sz w:val="16"/>
          <w:szCs w:val="16"/>
        </w:rPr>
        <w:fldChar w:fldCharType="begin"/>
      </w:r>
      <w:r w:rsidRPr="001E1864">
        <w:rPr>
          <w:sz w:val="16"/>
          <w:szCs w:val="16"/>
        </w:rPr>
        <w:instrText xml:space="preserve"> REF _Ref358791100 \h  \* MERGEFORMAT </w:instrText>
      </w:r>
      <w:r w:rsidRPr="001E1864">
        <w:rPr>
          <w:sz w:val="16"/>
          <w:szCs w:val="16"/>
        </w:rPr>
      </w:r>
      <w:r w:rsidRPr="001E1864">
        <w:rPr>
          <w:sz w:val="16"/>
          <w:szCs w:val="16"/>
        </w:rPr>
        <w:fldChar w:fldCharType="separate"/>
      </w:r>
      <w:r w:rsidR="00EB2B08" w:rsidRPr="00EB2B08">
        <w:rPr>
          <w:sz w:val="16"/>
          <w:szCs w:val="16"/>
        </w:rPr>
        <w:t>Table 1</w:t>
      </w:r>
      <w:r w:rsidRPr="001E1864">
        <w:rPr>
          <w:sz w:val="16"/>
          <w:szCs w:val="16"/>
        </w:rPr>
        <w:fldChar w:fldCharType="end"/>
      </w:r>
      <w:r w:rsidRPr="001E1864">
        <w:rPr>
          <w:sz w:val="16"/>
          <w:szCs w:val="16"/>
        </w:rPr>
        <w:t xml:space="preserve">): </w:t>
      </w:r>
      <w:r w:rsidRPr="001E1864">
        <w:rPr>
          <w:i/>
          <w:iCs/>
          <w:sz w:val="16"/>
          <w:szCs w:val="16"/>
        </w:rPr>
        <w:t>U</w:t>
      </w:r>
      <w:r w:rsidRPr="001E1864">
        <w:rPr>
          <w:sz w:val="16"/>
          <w:szCs w:val="16"/>
        </w:rPr>
        <w:t xml:space="preserve">=0.005, </w:t>
      </w:r>
      <w:r w:rsidRPr="001E1864">
        <w:rPr>
          <w:i/>
          <w:iCs/>
          <w:sz w:val="16"/>
          <w:szCs w:val="16"/>
        </w:rPr>
        <w:t>s</w:t>
      </w:r>
      <w:r w:rsidRPr="001E1864">
        <w:rPr>
          <w:sz w:val="16"/>
          <w:szCs w:val="16"/>
        </w:rPr>
        <w:t xml:space="preserve">=0.05, </w:t>
      </w:r>
      <w:r w:rsidRPr="001E1864">
        <w:rPr>
          <w:rFonts w:cs="Times New Roman"/>
          <w:i/>
          <w:iCs/>
          <w:sz w:val="16"/>
          <w:szCs w:val="16"/>
        </w:rPr>
        <w:t>β</w:t>
      </w:r>
      <w:r w:rsidRPr="001E1864">
        <w:rPr>
          <w:sz w:val="16"/>
          <w:szCs w:val="16"/>
        </w:rPr>
        <w:t xml:space="preserve">=0.0002, </w:t>
      </w:r>
      <w:r w:rsidRPr="001E1864">
        <w:rPr>
          <w:i/>
          <w:iCs/>
          <w:sz w:val="16"/>
          <w:szCs w:val="16"/>
        </w:rPr>
        <w:t>H</w:t>
      </w:r>
      <w:r w:rsidRPr="001E1864">
        <w:rPr>
          <w:sz w:val="16"/>
          <w:szCs w:val="16"/>
        </w:rPr>
        <w:t xml:space="preserve">=2, </w:t>
      </w:r>
      <w:r w:rsidRPr="001E1864">
        <w:rPr>
          <w:i/>
          <w:iCs/>
          <w:sz w:val="16"/>
          <w:szCs w:val="16"/>
        </w:rPr>
        <w:t>N</w:t>
      </w:r>
      <w:r w:rsidRPr="001E1864">
        <w:rPr>
          <w:sz w:val="16"/>
          <w:szCs w:val="16"/>
        </w:rPr>
        <w:t>=10</w:t>
      </w:r>
      <w:r w:rsidRPr="001E1864">
        <w:rPr>
          <w:sz w:val="16"/>
          <w:szCs w:val="16"/>
          <w:vertAlign w:val="superscript"/>
        </w:rPr>
        <w:t>6</w:t>
      </w:r>
      <w:r w:rsidRPr="001E1864">
        <w:rPr>
          <w:sz w:val="16"/>
          <w:szCs w:val="16"/>
        </w:rPr>
        <w:t xml:space="preserve">. </w:t>
      </w:r>
      <w:r w:rsidRPr="001E1864">
        <w:rPr>
          <w:b/>
          <w:bCs/>
          <w:noProof/>
          <w:sz w:val="16"/>
          <w:szCs w:val="16"/>
        </w:rPr>
        <w:t>(B)</w:t>
      </w:r>
      <w:r w:rsidRPr="001E1864">
        <w:rPr>
          <w:noProof/>
          <w:sz w:val="16"/>
          <w:szCs w:val="16"/>
        </w:rPr>
        <w:t xml:space="preserve"> The population mean fitness </w:t>
      </w:r>
      <m:oMath>
        <m:acc>
          <m:accPr>
            <m:chr m:val="̅"/>
            <m:ctrlPr>
              <w:rPr>
                <w:rFonts w:ascii="Cambria Math" w:hAnsi="Cambria Math"/>
                <w:i/>
                <w:noProof/>
                <w:sz w:val="16"/>
                <w:szCs w:val="16"/>
              </w:rPr>
            </m:ctrlPr>
          </m:accPr>
          <m:e>
            <m:r>
              <w:rPr>
                <w:rFonts w:ascii="Cambria Math" w:hAnsi="Cambria Math"/>
                <w:noProof/>
                <w:sz w:val="16"/>
                <w:szCs w:val="16"/>
              </w:rPr>
              <m:t>ω</m:t>
            </m:r>
          </m:e>
        </m:acc>
      </m:oMath>
      <w:r w:rsidRPr="001E1864">
        <w:rPr>
          <w:rFonts w:eastAsiaTheme="minorEastAsia"/>
          <w:noProof/>
          <w:sz w:val="16"/>
          <w:szCs w:val="16"/>
        </w:rPr>
        <w:t xml:space="preserve"> after successful fixation of the beneficial double mutant as a function of the mutation rate increase </w:t>
      </w:r>
      <w:r w:rsidRPr="001E1864">
        <w:rPr>
          <w:i/>
          <w:iCs/>
          <w:sz w:val="16"/>
          <w:szCs w:val="16"/>
        </w:rPr>
        <w:t>τ</w:t>
      </w:r>
      <w:r w:rsidRPr="001E1864">
        <w:rPr>
          <w:sz w:val="16"/>
          <w:szCs w:val="16"/>
        </w:rPr>
        <w:t xml:space="preserve">. Solid lines are analytic approximations neglecting adaptation from deleterious background </w:t>
      </w:r>
      <w:r w:rsidRPr="001E1864">
        <w:rPr>
          <w:i/>
          <w:iCs/>
          <w:sz w:val="16"/>
          <w:szCs w:val="16"/>
        </w:rPr>
        <w:t>(e</w:t>
      </w:r>
      <w:r w:rsidRPr="001E1864">
        <w:rPr>
          <w:i/>
          <w:iCs/>
          <w:sz w:val="16"/>
          <w:szCs w:val="16"/>
          <w:vertAlign w:val="superscript"/>
        </w:rPr>
        <w:t>-</w:t>
      </w:r>
      <w:proofErr w:type="spellStart"/>
      <w:r w:rsidRPr="001E1864">
        <w:rPr>
          <w:rFonts w:ascii="Times New Roman" w:hAnsi="Times New Roman" w:cs="Times New Roman"/>
          <w:i/>
          <w:iCs/>
          <w:sz w:val="16"/>
          <w:szCs w:val="16"/>
          <w:vertAlign w:val="superscript"/>
        </w:rPr>
        <w:t>τ</w:t>
      </w:r>
      <w:r w:rsidRPr="001E1864">
        <w:rPr>
          <w:i/>
          <w:iCs/>
          <w:sz w:val="16"/>
          <w:szCs w:val="16"/>
          <w:vertAlign w:val="superscript"/>
        </w:rPr>
        <w:t>U</w:t>
      </w:r>
      <w:proofErr w:type="spellEnd"/>
      <w:r w:rsidRPr="001E1864">
        <w:rPr>
          <w:sz w:val="16"/>
          <w:szCs w:val="16"/>
        </w:rPr>
        <w:t>(1+</w:t>
      </w:r>
      <w:r w:rsidRPr="001E1864">
        <w:rPr>
          <w:i/>
          <w:iCs/>
          <w:sz w:val="16"/>
          <w:szCs w:val="16"/>
        </w:rPr>
        <w:t>sH</w:t>
      </w:r>
      <w:r w:rsidRPr="001E1864">
        <w:rPr>
          <w:sz w:val="16"/>
          <w:szCs w:val="16"/>
        </w:rPr>
        <w:t xml:space="preserve">)); dotted lines with filled squares (SIM) and circles (CM) are the means of stochastic simulation results; dashed lines with white triangles are predictions based on the genotype on which </w:t>
      </w:r>
      <w:r w:rsidRPr="001E1864">
        <w:rPr>
          <w:i/>
          <w:iCs/>
          <w:sz w:val="16"/>
          <w:szCs w:val="16"/>
        </w:rPr>
        <w:t>AB</w:t>
      </w:r>
      <w:r w:rsidRPr="001E1864">
        <w:rPr>
          <w:sz w:val="16"/>
          <w:szCs w:val="16"/>
        </w:rPr>
        <w:t xml:space="preserve"> appeared in the simulations, including MSB but disregarding the effects of drift during the fixation process (which only has a significant effect with CM due to higher mutation rates in the wildtype). Error bars are too small to see. Same parameter values as in panel A.</w:t>
      </w:r>
    </w:p>
    <w:p w:rsidR="005316EE" w:rsidRPr="00020A87" w:rsidRDefault="00BF0B48" w:rsidP="00C32505">
      <w:pPr>
        <w:spacing w:line="480" w:lineRule="auto"/>
        <w:rPr>
          <w:lang w:bidi="hi-IN"/>
        </w:rPr>
      </w:pPr>
      <w:r w:rsidRPr="00331E7E">
        <w:rPr>
          <w:lang w:bidi="hi-IN"/>
        </w:rPr>
        <w:t xml:space="preserve">This </w:t>
      </w:r>
      <w:r w:rsidR="005316EE" w:rsidRPr="00331E7E">
        <w:rPr>
          <w:lang w:bidi="hi-IN"/>
        </w:rPr>
        <w:t xml:space="preserve">extended model includes </w:t>
      </w:r>
      <w:r w:rsidR="00616194" w:rsidRPr="00331E7E">
        <w:rPr>
          <w:lang w:bidi="hi-IN"/>
        </w:rPr>
        <w:t>rare back- or compensatory mutations (which have a stronger effect on mutation-selection balance dynamics than on adaptive dynamics)</w:t>
      </w:r>
      <w:r w:rsidR="00191D82" w:rsidRPr="00331E7E">
        <w:rPr>
          <w:lang w:bidi="hi-IN"/>
        </w:rPr>
        <w:t xml:space="preserve"> </w:t>
      </w:r>
      <w:r w:rsidR="005316EE" w:rsidRPr="00331E7E">
        <w:rPr>
          <w:lang w:bidi="hi-IN"/>
        </w:rPr>
        <w:t>and allows more than one mutation to occur in the same individual and</w:t>
      </w:r>
      <w:r w:rsidR="005316EE" w:rsidRPr="00020A87">
        <w:rPr>
          <w:lang w:bidi="hi-IN"/>
        </w:rPr>
        <w:t xml:space="preserve"> generation. </w:t>
      </w:r>
      <w:r>
        <w:rPr>
          <w:lang w:bidi="hi-IN"/>
        </w:rPr>
        <w:t>The details of this model and the calculation of population</w:t>
      </w:r>
      <w:r w:rsidR="005316EE" w:rsidRPr="00020A87">
        <w:rPr>
          <w:lang w:bidi="hi-IN"/>
        </w:rPr>
        <w:t xml:space="preserve"> mean fitness with various mutational strategies</w:t>
      </w:r>
      <w:r>
        <w:rPr>
          <w:lang w:bidi="hi-IN"/>
        </w:rPr>
        <w:t xml:space="preserve"> are given in</w:t>
      </w:r>
      <w:r w:rsidR="00C56AB4">
        <w:rPr>
          <w:lang w:bidi="hi-IN"/>
        </w:rPr>
        <w:t xml:space="preserve"> </w:t>
      </w:r>
      <w:r w:rsidR="00C56AB4" w:rsidRPr="00C56AB4">
        <w:rPr>
          <w:lang w:bidi="hi-IN"/>
        </w:rPr>
        <w:t>Appendix D.</w:t>
      </w:r>
    </w:p>
    <w:p w:rsidR="005316EE" w:rsidRPr="005950EE" w:rsidRDefault="00DD7A57" w:rsidP="00121E76">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w:t>
      </w:r>
      <w:r w:rsidR="005316EE" w:rsidRPr="00020A87">
        <w:rPr>
          <w:lang w:bidi="hi-IN"/>
        </w:rPr>
        <w:lastRenderedPageBreak/>
        <w:t>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616194">
        <w:rPr>
          <w:lang w:bidi="hi-IN"/>
        </w:rPr>
        <w:fldChar w:fldCharType="begin" w:fldLock="1"/>
      </w:r>
      <w:r w:rsidR="0024147C">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"[55]" }, "properties" : { "noteIndex" : 0 }, "schema" : "https://github.com/citation-style-language/schema/raw/master/csl-citation.json" }</w:instrText>
      </w:r>
      <w:r w:rsidR="00616194">
        <w:rPr>
          <w:lang w:bidi="hi-IN"/>
        </w:rPr>
        <w:fldChar w:fldCharType="separate"/>
      </w:r>
      <w:r w:rsidR="00257928" w:rsidRPr="00257928">
        <w:rPr>
          <w:noProof/>
          <w:lang w:bidi="hi-IN"/>
        </w:rPr>
        <w:t>[55]</w:t>
      </w:r>
      <w:r w:rsidR="00616194">
        <w:rPr>
          <w:lang w:bidi="hi-IN"/>
        </w:rPr>
        <w:fldChar w:fldCharType="end"/>
      </w:r>
      <w:r w:rsidR="005316EE">
        <w:rPr>
          <w:lang w:bidi="hi-IN"/>
        </w:rPr>
        <w:t xml:space="preserve">. </w:t>
      </w:r>
    </w:p>
    <w:p w:rsidR="00CD3F78" w:rsidRDefault="005316EE" w:rsidP="00121E76">
      <w:pPr>
        <w:spacing w:line="480" w:lineRule="auto"/>
        <w:rPr>
          <w:lang w:bidi="hi-IN"/>
        </w:rPr>
      </w:pPr>
      <w:r w:rsidRPr="00020A87">
        <w:rPr>
          <w:lang w:bidi="hi-IN"/>
        </w:rPr>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616194" w:rsidRPr="00BA2B02">
        <w:rPr>
          <w:lang w:bidi="hi-IN"/>
        </w:rPr>
        <w:fldChar w:fldCharType="begin" w:fldLock="1"/>
      </w:r>
      <w:r w:rsidR="0024147C">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C32505">
      <w:pPr>
        <w:spacing w:after="200"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C32505" w:rsidRDefault="005316EE" w:rsidP="00121E76">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w:t>
      </w:r>
    </w:p>
    <w:p w:rsidR="00C32505" w:rsidRPr="00733307" w:rsidRDefault="00C32505" w:rsidP="00C32505">
      <w:pPr>
        <w:spacing w:line="480" w:lineRule="auto"/>
        <w:jc w:val="center"/>
        <w:rPr>
          <w:sz w:val="20"/>
          <w:szCs w:val="20"/>
        </w:rPr>
      </w:pPr>
      <w:r>
        <w:rPr>
          <w:noProof/>
          <w:sz w:val="20"/>
          <w:szCs w:val="20"/>
        </w:rPr>
        <w:lastRenderedPageBreak/>
        <w:drawing>
          <wp:inline distT="0" distB="0" distL="0" distR="0" wp14:anchorId="7F510250" wp14:editId="61D2A8E0">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C32505" w:rsidRPr="001E1864" w:rsidRDefault="00C32505" w:rsidP="00C32505">
      <w:pPr>
        <w:pStyle w:val="FigureLegend"/>
        <w:spacing w:line="480" w:lineRule="auto"/>
        <w:jc w:val="left"/>
        <w:rPr>
          <w:rFonts w:eastAsiaTheme="minorEastAsia"/>
          <w:lang w:bidi="hi-IN"/>
        </w:rPr>
      </w:pPr>
      <w:bookmarkStart w:id="15" w:name="_Ref360184105"/>
      <w:r w:rsidRPr="001E1864">
        <w:rPr>
          <w:b/>
          <w:bCs/>
        </w:rPr>
        <w:t xml:space="preserve">Figure </w:t>
      </w:r>
      <w:r w:rsidRPr="001E1864">
        <w:rPr>
          <w:b/>
          <w:bCs/>
        </w:rPr>
        <w:fldChar w:fldCharType="begin"/>
      </w:r>
      <w:r w:rsidRPr="001E1864">
        <w:rPr>
          <w:b/>
          <w:bCs/>
        </w:rPr>
        <w:instrText xml:space="preserve"> SEQ Figure \* ARABIC </w:instrText>
      </w:r>
      <w:r w:rsidRPr="001E1864">
        <w:rPr>
          <w:b/>
          <w:bCs/>
        </w:rPr>
        <w:fldChar w:fldCharType="separate"/>
      </w:r>
      <w:r w:rsidR="00EB2B08">
        <w:rPr>
          <w:b/>
          <w:bCs/>
          <w:noProof/>
        </w:rPr>
        <w:t>4</w:t>
      </w:r>
      <w:r w:rsidRPr="001E1864">
        <w:rPr>
          <w:b/>
          <w:bCs/>
        </w:rPr>
        <w:fldChar w:fldCharType="end"/>
      </w:r>
      <w:bookmarkEnd w:id="15"/>
      <w:r w:rsidRPr="001E1864">
        <w:rPr>
          <w:b/>
          <w:bCs/>
          <w:noProof/>
        </w:rPr>
        <w:t xml:space="preserve"> – The trade-off between </w:t>
      </w:r>
      <w:r w:rsidRPr="001E1864">
        <w:rPr>
          <w:b/>
          <w:bCs/>
          <w:i/>
          <w:iCs/>
          <w:noProof/>
        </w:rPr>
        <w:t>adaptedness</w:t>
      </w:r>
      <w:r w:rsidRPr="001E1864">
        <w:rPr>
          <w:b/>
          <w:bCs/>
          <w:noProof/>
        </w:rPr>
        <w:t xml:space="preserve"> and </w:t>
      </w:r>
      <w:r w:rsidRPr="001E1864">
        <w:rPr>
          <w:b/>
          <w:bCs/>
          <w:i/>
          <w:iCs/>
          <w:noProof/>
        </w:rPr>
        <w:t>adaptability</w:t>
      </w:r>
      <w:r w:rsidRPr="001E1864">
        <w:rPr>
          <w:b/>
          <w:bCs/>
          <w:noProof/>
        </w:rPr>
        <w:t xml:space="preserve">. </w:t>
      </w:r>
      <w:r w:rsidRPr="001E1864">
        <w:rPr>
          <w:noProof/>
        </w:rPr>
        <w:t xml:space="preserve">The figure shows the relative </w:t>
      </w:r>
      <w:r w:rsidRPr="001E1864">
        <w:rPr>
          <w:i/>
          <w:iCs/>
          <w:noProof/>
        </w:rPr>
        <w:t xml:space="preserve">adaptedness </w:t>
      </w:r>
      <w:r w:rsidRPr="001E1864">
        <w:rPr>
          <w:noProof/>
        </w:rPr>
        <w:t xml:space="preserve">and the relative </w:t>
      </w:r>
      <w:r w:rsidRPr="001E1864">
        <w:rPr>
          <w:i/>
          <w:iCs/>
          <w:noProof/>
        </w:rPr>
        <w:t>adaptability</w:t>
      </w:r>
      <w:r w:rsidRPr="001E1864">
        <w:rPr>
          <w:noProof/>
        </w:rPr>
        <w:t xml:space="preserve"> of different mutational strategies in comparison to normal mutagenesis (NM)</w:t>
      </w:r>
      <w:r w:rsidRPr="001E1864">
        <w:rPr>
          <w:lang w:bidi="hi-IN"/>
        </w:rPr>
        <w:t xml:space="preserve">. </w:t>
      </w:r>
      <w:r w:rsidRPr="001E1864">
        <w:rPr>
          <w:i/>
          <w:iCs/>
          <w:noProof/>
        </w:rPr>
        <w:t>Adaptedness</w:t>
      </w:r>
      <w:r w:rsidRPr="001E1864">
        <w:rPr>
          <w:noProof/>
        </w:rPr>
        <w:t xml:space="preserve"> is defined by the population mean fitness at MSB, </w:t>
      </w:r>
      <m:oMath>
        <m:acc>
          <m:accPr>
            <m:chr m:val="̅"/>
            <m:ctrlPr>
              <w:rPr>
                <w:rFonts w:ascii="Cambria Math" w:hAnsi="Cambria Math"/>
                <w:i/>
                <w:noProof/>
              </w:rPr>
            </m:ctrlPr>
          </m:accPr>
          <m:e>
            <m:r>
              <w:rPr>
                <w:rFonts w:ascii="Cambria Math" w:hAnsi="Cambria Math"/>
                <w:noProof/>
              </w:rPr>
              <m:t>ω</m:t>
            </m:r>
          </m:e>
        </m:acc>
      </m:oMath>
      <w:r w:rsidRPr="001E1864">
        <w:rPr>
          <w:rFonts w:eastAsiaTheme="minorEastAsia"/>
          <w:noProof/>
        </w:rPr>
        <w:t xml:space="preserve"> (see Appendix D)</w:t>
      </w:r>
      <w:r w:rsidRPr="001E1864">
        <w:t>.</w:t>
      </w:r>
      <w:r w:rsidRPr="001E1864">
        <w:rPr>
          <w:i/>
          <w:iCs/>
          <w:noProof/>
        </w:rPr>
        <w:t xml:space="preserve"> Adaptability</w:t>
      </w:r>
      <w:r w:rsidRPr="001E1864">
        <w:rPr>
          <w:noProof/>
        </w:rPr>
        <w:t xml:space="preserve"> is defined by the rate of complex adaptation, </w:t>
      </w:r>
      <m:oMath>
        <m:r>
          <w:rPr>
            <w:rFonts w:ascii="Cambria Math" w:hAnsi="Cambria Math"/>
            <w:noProof/>
          </w:rPr>
          <m:t>ν</m:t>
        </m:r>
      </m:oMath>
      <w:r w:rsidRPr="001E1864">
        <w:rPr>
          <w:rFonts w:eastAsiaTheme="minorEastAsia"/>
          <w:noProof/>
        </w:rPr>
        <w:t xml:space="preserve"> </w:t>
      </w:r>
      <w:r w:rsidRPr="001E1864">
        <w:rPr>
          <w:lang w:bidi="hi-IN"/>
        </w:rPr>
        <w:t>(</w:t>
      </w:r>
      <w:proofErr w:type="spellStart"/>
      <w:r w:rsidRPr="001E1864">
        <w:rPr>
          <w:lang w:bidi="hi-IN"/>
        </w:rPr>
        <w:t>eqs</w:t>
      </w:r>
      <w:proofErr w:type="spellEnd"/>
      <w:r w:rsidRPr="001E1864">
        <w:rPr>
          <w:lang w:bidi="hi-IN"/>
        </w:rPr>
        <w:t>. 6-8).</w:t>
      </w:r>
      <w:r w:rsidRPr="001E1864">
        <w:rPr>
          <w:noProof/>
        </w:rPr>
        <w:t xml:space="preserve"> </w:t>
      </w:r>
      <w:r w:rsidRPr="001E1864">
        <w:rPr>
          <w:lang w:bidi="hi-IN"/>
        </w:rPr>
        <w:t xml:space="preserve">Constitutive mutagenesis (CM) increases the mutation rate of all individuals </w:t>
      </w:r>
      <w:proofErr w:type="spellStart"/>
      <w:r w:rsidRPr="001E1864">
        <w:rPr>
          <w:rFonts w:cs="Times New Roman"/>
          <w:i/>
          <w:iCs/>
        </w:rPr>
        <w:t>τ</w:t>
      </w:r>
      <w:r w:rsidRPr="001E1864">
        <w:rPr>
          <w:rFonts w:cs="Times New Roman"/>
          <w:i/>
          <w:iCs/>
          <w:vertAlign w:val="subscript"/>
        </w:rPr>
        <w:t>CM</w:t>
      </w:r>
      <w:proofErr w:type="spellEnd"/>
      <w:r w:rsidRPr="001E1864">
        <w:rPr>
          <w:rFonts w:cs="Times New Roman"/>
        </w:rPr>
        <w:t>-fold</w:t>
      </w:r>
      <w:r w:rsidRPr="001E1864">
        <w:rPr>
          <w:lang w:bidi="hi-IN"/>
        </w:rPr>
        <w:t xml:space="preserve">; Stress-induced mutagenesis (SIM) increases the mutation rate of stressed </w:t>
      </w:r>
      <w:proofErr w:type="gramStart"/>
      <w:r w:rsidRPr="001E1864">
        <w:rPr>
          <w:lang w:bidi="hi-IN"/>
        </w:rPr>
        <w:t>individuals</w:t>
      </w:r>
      <w:proofErr w:type="gramEnd"/>
      <w:r w:rsidRPr="001E1864">
        <w:rPr>
          <w:rFonts w:cs="Times New Roman"/>
          <w:i/>
          <w:iCs/>
        </w:rPr>
        <w:t xml:space="preserve"> </w:t>
      </w:r>
      <w:proofErr w:type="spellStart"/>
      <w:r w:rsidRPr="001E1864">
        <w:rPr>
          <w:rFonts w:cs="Times New Roman"/>
          <w:i/>
          <w:iCs/>
        </w:rPr>
        <w:t>τ</w:t>
      </w:r>
      <w:r w:rsidRPr="001E1864">
        <w:rPr>
          <w:rFonts w:cs="Times New Roman"/>
          <w:i/>
          <w:iCs/>
          <w:vertAlign w:val="subscript"/>
        </w:rPr>
        <w:t>SIM</w:t>
      </w:r>
      <w:proofErr w:type="spellEnd"/>
      <w:r w:rsidRPr="001E1864">
        <w:rPr>
          <w:rFonts w:cs="Times New Roman"/>
        </w:rPr>
        <w:t>-fold</w:t>
      </w:r>
      <w:r w:rsidRPr="001E1864">
        <w:rPr>
          <w:lang w:bidi="hi-IN"/>
        </w:rPr>
        <w:t>; Mixed strategies (dashed line) increase the mutation rate of all individuals</w:t>
      </w:r>
      <w:r w:rsidRPr="001E1864">
        <w:t xml:space="preserve"> </w:t>
      </w:r>
      <w:proofErr w:type="spellStart"/>
      <w:r w:rsidRPr="001E1864">
        <w:rPr>
          <w:rFonts w:cs="Times New Roman"/>
          <w:i/>
          <w:iCs/>
        </w:rPr>
        <w:t>τ</w:t>
      </w:r>
      <w:r w:rsidRPr="001E1864">
        <w:rPr>
          <w:rFonts w:cs="Times New Roman"/>
          <w:i/>
          <w:iCs/>
          <w:vertAlign w:val="subscript"/>
        </w:rPr>
        <w:t>CM</w:t>
      </w:r>
      <w:proofErr w:type="spellEnd"/>
      <w:r w:rsidRPr="001E1864">
        <w:rPr>
          <w:rFonts w:cs="Times New Roman"/>
        </w:rPr>
        <w:t xml:space="preserve">-fold and of stressed individuals an additional </w:t>
      </w:r>
      <w:proofErr w:type="spellStart"/>
      <w:r w:rsidRPr="001E1864">
        <w:rPr>
          <w:rFonts w:cs="Times New Roman"/>
          <w:i/>
          <w:iCs/>
        </w:rPr>
        <w:t>τ</w:t>
      </w:r>
      <w:r w:rsidRPr="001E1864">
        <w:rPr>
          <w:rFonts w:cs="Times New Roman"/>
          <w:i/>
          <w:iCs/>
          <w:vertAlign w:val="subscript"/>
        </w:rPr>
        <w:t>SIM</w:t>
      </w:r>
      <w:proofErr w:type="spellEnd"/>
      <w:r w:rsidRPr="001E1864">
        <w:rPr>
          <w:rFonts w:cs="Times New Roman"/>
        </w:rPr>
        <w:t>-fold</w:t>
      </w:r>
      <w:r w:rsidRPr="001E1864">
        <w:t xml:space="preserve">. SIM breaks off the </w:t>
      </w:r>
      <w:r w:rsidRPr="001E1864">
        <w:rPr>
          <w:i/>
          <w:iCs/>
        </w:rPr>
        <w:t>adaptability-adaptedness</w:t>
      </w:r>
      <w:r w:rsidRPr="001E1864">
        <w:t xml:space="preserve"> trade-off of CM, increasing the </w:t>
      </w:r>
      <w:r w:rsidRPr="001E1864">
        <w:rPr>
          <w:i/>
          <w:iCs/>
        </w:rPr>
        <w:t>adaptability</w:t>
      </w:r>
      <w:r w:rsidRPr="001E1864">
        <w:t xml:space="preserve"> without compromising the </w:t>
      </w:r>
      <w:r w:rsidRPr="001E1864">
        <w:rPr>
          <w:i/>
          <w:iCs/>
        </w:rPr>
        <w:t>adaptedness</w:t>
      </w:r>
      <w:r w:rsidRPr="001E1864">
        <w:t xml:space="preserve"> of the population. </w:t>
      </w:r>
      <w:r w:rsidRPr="001E1864">
        <w:rPr>
          <w:lang w:bidi="hi-IN"/>
        </w:rPr>
        <w:t xml:space="preserve">Parameters (see </w:t>
      </w:r>
      <w:r w:rsidRPr="001E1864">
        <w:fldChar w:fldCharType="begin"/>
      </w:r>
      <w:r w:rsidRPr="001E1864">
        <w:instrText xml:space="preserve"> REF _Ref358791100 \h  \* MERGEFORMAT </w:instrText>
      </w:r>
      <w:r w:rsidRPr="001E1864">
        <w:fldChar w:fldCharType="separate"/>
      </w:r>
      <w:r w:rsidR="00EB2B08">
        <w:t>Table 1</w:t>
      </w:r>
      <w:r w:rsidRPr="001E1864">
        <w:fldChar w:fldCharType="end"/>
      </w:r>
      <w:r w:rsidRPr="001E1864">
        <w:rPr>
          <w:lang w:bidi="hi-IN"/>
        </w:rPr>
        <w:t xml:space="preserve">): </w:t>
      </w:r>
      <w:r w:rsidRPr="001E1864">
        <w:rPr>
          <w:i/>
          <w:iCs/>
          <w:lang w:bidi="hi-IN"/>
        </w:rPr>
        <w:t>N</w:t>
      </w:r>
      <w:r w:rsidRPr="001E1864">
        <w:rPr>
          <w:lang w:bidi="hi-IN"/>
        </w:rPr>
        <w:t>=10</w:t>
      </w:r>
      <w:r w:rsidRPr="001E1864">
        <w:rPr>
          <w:vertAlign w:val="superscript"/>
          <w:lang w:bidi="hi-IN"/>
        </w:rPr>
        <w:t>6</w:t>
      </w:r>
      <w:r w:rsidRPr="001E1864">
        <w:rPr>
          <w:lang w:bidi="hi-IN"/>
        </w:rPr>
        <w:t xml:space="preserve">, </w:t>
      </w:r>
      <w:r w:rsidRPr="001E1864">
        <w:rPr>
          <w:i/>
          <w:iCs/>
          <w:lang w:bidi="hi-IN"/>
        </w:rPr>
        <w:t>U</w:t>
      </w:r>
      <w:r w:rsidRPr="001E1864">
        <w:rPr>
          <w:lang w:bidi="hi-IN"/>
        </w:rPr>
        <w:t>=</w:t>
      </w:r>
      <w:r w:rsidRPr="001E1864">
        <w:rPr>
          <w:lang w:bidi="hi-IN"/>
        </w:rPr>
        <w:softHyphen/>
        <w:t xml:space="preserve">0.0004, </w:t>
      </w:r>
      <w:r w:rsidRPr="001E1864">
        <w:rPr>
          <w:rFonts w:cs="Times New Roman"/>
          <w:i/>
          <w:iCs/>
          <w:lang w:bidi="hi-IN"/>
        </w:rPr>
        <w:t>β</w:t>
      </w:r>
      <w:r w:rsidRPr="001E1864">
        <w:rPr>
          <w:lang w:bidi="hi-IN"/>
        </w:rPr>
        <w:t xml:space="preserve">=0.0002, </w:t>
      </w:r>
      <w:r w:rsidRPr="001E1864">
        <w:rPr>
          <w:i/>
          <w:iCs/>
          <w:lang w:bidi="hi-IN"/>
        </w:rPr>
        <w:t>s</w:t>
      </w:r>
      <w:r w:rsidRPr="001E1864">
        <w:rPr>
          <w:lang w:bidi="hi-IN"/>
        </w:rPr>
        <w:t xml:space="preserve">=0.05, </w:t>
      </w:r>
      <w:r w:rsidRPr="001E1864">
        <w:rPr>
          <w:i/>
          <w:iCs/>
          <w:lang w:bidi="hi-IN"/>
        </w:rPr>
        <w:t>H</w:t>
      </w:r>
      <w:r w:rsidRPr="001E1864">
        <w:rPr>
          <w:lang w:bidi="hi-IN"/>
        </w:rPr>
        <w:t xml:space="preserve">=2, </w:t>
      </w:r>
      <w:r w:rsidRPr="001E1864">
        <w:rPr>
          <w:rFonts w:cs="Times New Roman"/>
          <w:i/>
          <w:iCs/>
          <w:lang w:bidi="hi-IN"/>
        </w:rPr>
        <w:t>τ</w:t>
      </w:r>
      <w:r w:rsidRPr="001E1864">
        <w:rPr>
          <w:lang w:bidi="hi-IN"/>
        </w:rPr>
        <w:t>&lt;&lt;s/</w:t>
      </w:r>
      <w:r w:rsidRPr="001E1864">
        <w:rPr>
          <w:i/>
          <w:iCs/>
          <w:lang w:bidi="hi-IN"/>
        </w:rPr>
        <w:t>U</w:t>
      </w:r>
      <w:r w:rsidRPr="001E1864">
        <w:rPr>
          <w:rFonts w:eastAsiaTheme="minorEastAsia"/>
          <w:lang w:bidi="hi-IN"/>
        </w:rPr>
        <w:t>.</w:t>
      </w:r>
    </w:p>
    <w:p w:rsidR="005316EE" w:rsidRPr="00C03529" w:rsidRDefault="00396506" w:rsidP="00121E76">
      <w:pPr>
        <w:spacing w:line="480" w:lineRule="auto"/>
      </w:pPr>
      <w:r>
        <w:t xml:space="preserve"> 4</w:t>
      </w:r>
      <w:r w:rsidR="005316EE" w:rsidRPr="00BA2B02">
        <w:rPr>
          <w:lang w:bidi="hi-IN"/>
        </w:rPr>
        <w:t>)</w:t>
      </w:r>
      <w:r w:rsidR="005316EE" w:rsidRPr="00BA2B02">
        <w:t>. For example</w:t>
      </w:r>
      <w:r w:rsidR="005316EE" w:rsidRPr="00C03529">
        <w:t xml:space="preserve">, a 96-fold increase in adaptation rate can be achieved with CM with </w:t>
      </w:r>
      <w:r w:rsidR="005316EE" w:rsidRPr="00C03529">
        <w:rPr>
          <w:i/>
          <w:iCs/>
        </w:rPr>
        <w:t>τ</w:t>
      </w:r>
      <w:r w:rsidR="005316EE" w:rsidRPr="00C03529">
        <w:t xml:space="preserve">=10, with SIM with </w:t>
      </w:r>
      <w:r w:rsidR="005316EE" w:rsidRPr="00C03529">
        <w:rPr>
          <w:i/>
          <w:iCs/>
        </w:rPr>
        <w:t>τ</w:t>
      </w:r>
      <w:r w:rsidR="005316EE" w:rsidRPr="00C03529">
        <w:t xml:space="preserve">=96, or with a mixed strategy with </w:t>
      </w:r>
      <w:proofErr w:type="spellStart"/>
      <w:r w:rsidR="005316EE" w:rsidRPr="00C03529">
        <w:rPr>
          <w:i/>
          <w:iCs/>
        </w:rPr>
        <w:t>τ</w:t>
      </w:r>
      <w:r w:rsidR="005316EE" w:rsidRPr="00C03529">
        <w:rPr>
          <w:i/>
          <w:iCs/>
          <w:vertAlign w:val="subscript"/>
        </w:rPr>
        <w:t>CM</w:t>
      </w:r>
      <w:proofErr w:type="spellEnd"/>
      <w:r w:rsidR="005316EE" w:rsidRPr="00C03529">
        <w:t>=7</w:t>
      </w:r>
      <w:r w:rsidR="005316EE" w:rsidRPr="00C03529">
        <w:rPr>
          <w:i/>
          <w:iCs/>
        </w:rPr>
        <w:t xml:space="preserve"> </w:t>
      </w:r>
      <w:r w:rsidR="005316EE" w:rsidRPr="00C03529">
        <w:t>and</w:t>
      </w:r>
      <w:r w:rsidR="005316EE" w:rsidRPr="00C03529">
        <w:rPr>
          <w:i/>
          <w:iCs/>
        </w:rPr>
        <w:t xml:space="preserve"> </w:t>
      </w:r>
      <w:proofErr w:type="spellStart"/>
      <w:r w:rsidR="005316EE" w:rsidRPr="00C03529">
        <w:rPr>
          <w:i/>
          <w:iCs/>
        </w:rPr>
        <w:t>τ</w:t>
      </w:r>
      <w:r w:rsidR="005316EE" w:rsidRPr="00C03529">
        <w:rPr>
          <w:i/>
          <w:iCs/>
          <w:vertAlign w:val="subscript"/>
        </w:rPr>
        <w:t>SIM</w:t>
      </w:r>
      <w:proofErr w:type="spellEnd"/>
      <w:r w:rsidR="005316EE" w:rsidRPr="00C03529">
        <w:t xml:space="preserve">=2 in which all individuals increase their mutation rate 7-fold and stressed individuals further increase their mutation rate 2-fold. However, these increases in adaptation rates have a price: the mutational load will decrease the population mean fitness from 0.9996 </w:t>
      </w:r>
      <w:r w:rsidR="005316EE" w:rsidRPr="00C03529">
        <w:lastRenderedPageBreak/>
        <w:t>with NM to 0.996 with CM and 0.9972 with the mixed strategy. This price in not paid by populations with SIM because the mean fitness mainly depends on the mutation rate of fit i</w:t>
      </w:r>
      <w:r w:rsidR="004E017A">
        <w:t>ndividuals.</w:t>
      </w:r>
    </w:p>
    <w:p w:rsidR="005316EE" w:rsidRPr="00BA2B02" w:rsidRDefault="005316EE" w:rsidP="00121E76">
      <w:pPr>
        <w:pStyle w:val="Heading2"/>
        <w:spacing w:line="480" w:lineRule="auto"/>
      </w:pPr>
      <w:r w:rsidRPr="00BA2B02">
        <w:t>Environmental stress</w:t>
      </w:r>
    </w:p>
    <w:p w:rsidR="005316EE" w:rsidRPr="00BA2B02" w:rsidRDefault="005316EE" w:rsidP="00121E76">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121E76">
      <w:pPr>
        <w:spacing w:line="480" w:lineRule="auto"/>
      </w:pPr>
      <w:r w:rsidRPr="00BA2B02">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121E76">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EB2B08" w:rsidP="00121E76">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121E76">
            <w:pPr>
              <w:spacing w:line="480" w:lineRule="auto"/>
            </w:pPr>
            <w:r w:rsidRPr="00BA2B02">
              <w:t>(</w:t>
            </w:r>
            <w:r w:rsidR="00616194">
              <w:fldChar w:fldCharType="begin"/>
            </w:r>
            <w:r w:rsidR="00DA55AA">
              <w:instrText xml:space="preserve"> SEQ Equation </w:instrText>
            </w:r>
            <w:r w:rsidR="00616194">
              <w:fldChar w:fldCharType="separate"/>
            </w:r>
            <w:r w:rsidR="00EB2B08">
              <w:rPr>
                <w:noProof/>
              </w:rPr>
              <w:t>9</w:t>
            </w:r>
            <w:r w:rsidR="00616194">
              <w:rPr>
                <w:noProof/>
              </w:rPr>
              <w:fldChar w:fldCharType="end"/>
            </w:r>
            <w:r w:rsidRPr="00BA2B02">
              <w:t>)</w:t>
            </w:r>
          </w:p>
        </w:tc>
      </w:tr>
    </w:tbl>
    <w:p w:rsidR="005316EE" w:rsidRPr="00BA2B02" w:rsidRDefault="005316EE" w:rsidP="00121E76">
      <w:pPr>
        <w:spacing w:line="480" w:lineRule="auto"/>
        <w:rPr>
          <w:vertAlign w:val="subscript"/>
        </w:rPr>
      </w:pPr>
      <w:r w:rsidRPr="00BA2B02">
        <w:t xml:space="preserve">This scenario has an important biological relevance, as SIM has been implicated in the evolution of drug resistance in bacteria and yeast </w:t>
      </w:r>
      <w:r w:rsidR="00616194" w:rsidRPr="00BA2B02">
        <w:fldChar w:fldCharType="begin" w:fldLock="1"/>
      </w:r>
      <w:r w:rsidR="0024147C">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"http://www.mendeley.com/documents/?uuid=b59ce364-a268-442e-9b59-be05dfc871df"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"[34,56,57]" }, "properties" : { "noteIndex" : 0 }, "schema" : "https://github.com/citation-style-language/schema/raw/master/csl-citation.json" }</w:instrText>
      </w:r>
      <w:r w:rsidR="00616194" w:rsidRPr="00BA2B02">
        <w:fldChar w:fldCharType="separate"/>
      </w:r>
      <w:r w:rsidR="00257928" w:rsidRPr="00257928">
        <w:rPr>
          <w:noProof/>
        </w:rPr>
        <w:t>[34,56,57]</w:t>
      </w:r>
      <w:r w:rsidR="00616194" w:rsidRPr="00BA2B02">
        <w:fldChar w:fldCharType="end"/>
      </w:r>
      <w:r w:rsidRPr="00BA2B02">
        <w:t xml:space="preserve"> and could be </w:t>
      </w:r>
      <w:r w:rsidRPr="00BA2B02">
        <w:lastRenderedPageBreak/>
        <w:t>involved in the evolution of pathogen virulence</w:t>
      </w:r>
      <w:r w:rsidR="004E017A">
        <w:t xml:space="preserve"> and the evolution of </w:t>
      </w:r>
      <w:r w:rsidRPr="00BA2B02">
        <w:t>drug resistance and progression in</w:t>
      </w:r>
      <w:r w:rsidR="004E017A">
        <w:t xml:space="preserve"> cancer cells</w:t>
      </w:r>
      <w:r w:rsidR="00A328A2">
        <w:t xml:space="preserve"> </w:t>
      </w:r>
      <w:r w:rsidR="00A328A2">
        <w:fldChar w:fldCharType="begin" w:fldLock="1"/>
      </w:r>
      <w:r w:rsidR="0024147C">
        <w:instrText>ADDIN CSL_CITATION { "citationItems" : [ { "id" : "ITEM-1", "itemData" : { "ISSN" : "1389-2029", "PMID" : "18369407", "abstract" : "Mechanisms of cellular adaptation may have some commonalities across different organisms. Revealing these common mechanisms may provide insight in the organismal level of adaptation and suggest solutions to important problems related to the adaptation. An increased rate of mutations, referred as the mutator phenotype, and beneficial nature of these mutations are common features of the bacterial stationary-state mutagenesis and of the tumorigenic transformations in mammalian cells. We argue that these commonalities of mammalian and bacterial cells result from their stress-induced adaptation that may be described in terms of a common model. Specifically, in both organisms the mutator phenotype is activated in a subpopulation of proliferating stressed cells as a strategy to survival. This strategy is an alternative to other survival strategies, such as senescence and programmed cell death, which are also activated in the stressed cells by different subpopulations. Sustained stress-related proliferative signalling and epigenetic mechanisms play a decisive role in the choice of the mutator phenotype survival strategy in the cells. They reprogram cellular functions by epigenetic silencing of cell-cycle inhibitors, DNA repair, programmed cell death, and by activation of repetitive DNA elements. This reprogramming leads to the mutator phenotype that is implemented by error-prone cell divisions with the involvement of Y family polymerases. Studies supporting the proposed model of stress-induced cellular adaptation are discussed. Cellular mechanisms involved in the bacterial stress-induced adaptation are considered in more detail.", "author" : [ { "dropping-particle" : "", "family" : "Karpinets", "given" : "Tv", "non-dropping-particle" : "", "parse-names" : false, "suffix" : "" }, { "dropping-particle" : "", "family" : "Greenwood", "given" : "Dj", "non-dropping-particle" : "", "parse-names" : false, "suffix" : "" }, { "dropping-particle" : "", "family" : "Pogribny", "given" : "Ip", "non-dropping-particle" : "", "parse-names" : false, "suffix" : "" }, { "dropping-particle" : "", "family" : "Samatova", "given" : "Nf", "non-dropping-particle" : "", "parse-names" : false, "suffix" : "" } ], "container-title" : "Current genomics", "id" : "ITEM-1", "issue" : "8", "issued" : { "date-parts" : [ [ "2006", "1" ] ] }, "note" : "The main objective of the paper is to review experimental\nevidence supporting the proposed model of activation of bacterial mutator phenotype though the mechanism of stress- induced cellular adaptation1 and to compare this mechanism with the stress-induced cellular adaptation of mammalian cells summarized", "page" : "481-96", "title" : "Bacterial stationary-state mutagenesis and Mammalian tumorigenesis as stress-induced cellular adaptations and the role of epigenetics.", "type" : "article-journal", "volume" : "7" }, "uris" : [ "http://www.mendeley.com/documents/?uuid=349a616d-c202-475e-9104-5f007c59877a" ] } ], "mendeley" : { "previouslyFormattedCitation" : "[58]" }, "properties" : { "noteIndex" : 0 }, "schema" : "https://github.com/citation-style-language/schema/raw/master/csl-citation.json" }</w:instrText>
      </w:r>
      <w:r w:rsidR="00A328A2">
        <w:fldChar w:fldCharType="separate"/>
      </w:r>
      <w:r w:rsidR="00257928" w:rsidRPr="00257928">
        <w:rPr>
          <w:noProof/>
        </w:rPr>
        <w:t>[58]</w:t>
      </w:r>
      <w:r w:rsidR="00A328A2">
        <w:fldChar w:fldCharType="end"/>
      </w:r>
      <w:r w:rsidR="004E017A">
        <w:t>.</w:t>
      </w:r>
    </w:p>
    <w:p w:rsidR="005316EE" w:rsidRPr="00042973" w:rsidRDefault="00703925" w:rsidP="00121E76">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proofErr w:type="spellStart"/>
      <w:r w:rsidR="000E6AE6">
        <w:rPr>
          <w:lang w:bidi="hi-IN"/>
        </w:rPr>
        <w:t>SIM</w:t>
      </w:r>
      <w:r w:rsidR="00900394">
        <w:rPr>
          <w:vertAlign w:val="subscript"/>
          <w:lang w:bidi="hi-IN"/>
        </w:rPr>
        <w:t>e</w:t>
      </w:r>
      <w:proofErr w:type="spellEnd"/>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616194">
        <w:rPr>
          <w:lang w:bidi="hi-IN"/>
        </w:rPr>
        <w:fldChar w:fldCharType="begin" w:fldLock="1"/>
      </w:r>
      <w:r w:rsidR="0024147C">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Pr>
          <w:lang w:bidi="hi-IN"/>
        </w:rPr>
        <w:fldChar w:fldCharType="separate"/>
      </w:r>
      <w:r w:rsidR="00635E26" w:rsidRPr="00635E26">
        <w:rPr>
          <w:noProof/>
          <w:lang w:bidi="hi-IN"/>
        </w:rPr>
        <w:t>[42]</w:t>
      </w:r>
      <w:r w:rsidR="00616194">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 xml:space="preserve">he adaptation rate with </w:t>
      </w:r>
      <w:proofErr w:type="spellStart"/>
      <w:r w:rsidR="005316EE" w:rsidRPr="00BA2B02">
        <w:t>SIM</w:t>
      </w:r>
      <w:r w:rsidR="00900394">
        <w:rPr>
          <w:vertAlign w:val="subscript"/>
        </w:rPr>
        <w:t>e</w:t>
      </w:r>
      <w:proofErr w:type="spellEnd"/>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EB2B08" w:rsidP="00121E76">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121E76">
            <w:pPr>
              <w:spacing w:line="480" w:lineRule="auto"/>
            </w:pPr>
            <w:bookmarkStart w:id="16" w:name="_Ref360621538"/>
            <w:r>
              <w:t>(</w:t>
            </w:r>
            <w:r w:rsidR="00616194">
              <w:fldChar w:fldCharType="begin"/>
            </w:r>
            <w:r w:rsidRPr="0095303A">
              <w:instrText xml:space="preserve"> SEQ Equation </w:instrText>
            </w:r>
            <w:r w:rsidR="00616194">
              <w:fldChar w:fldCharType="separate"/>
            </w:r>
            <w:r w:rsidR="00EB2B08">
              <w:rPr>
                <w:noProof/>
              </w:rPr>
              <w:t>10</w:t>
            </w:r>
            <w:r w:rsidR="00616194">
              <w:rPr>
                <w:noProof/>
              </w:rPr>
              <w:fldChar w:fldCharType="end"/>
            </w:r>
            <w:r>
              <w:t>)</w:t>
            </w:r>
            <w:bookmarkEnd w:id="16"/>
          </w:p>
        </w:tc>
      </w:tr>
    </w:tbl>
    <w:p w:rsidR="005316EE" w:rsidRPr="008F3447" w:rsidRDefault="00A7180F" w:rsidP="00121E76">
      <w:pPr>
        <w:spacing w:line="480" w:lineRule="auto"/>
      </w:pPr>
      <w:r>
        <w:t>That is</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w:t>
      </w:r>
      <w:proofErr w:type="spellStart"/>
      <w:r w:rsidR="005316EE">
        <w:t>SIM</w:t>
      </w:r>
      <w:r w:rsidR="005316EE">
        <w:rPr>
          <w:vertAlign w:val="subscript"/>
        </w:rPr>
        <w:t>e</w:t>
      </w:r>
      <w:proofErr w:type="spellEnd"/>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EB2B08"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121E76">
            <w:pPr>
              <w:spacing w:line="480" w:lineRule="auto"/>
            </w:pPr>
            <w:bookmarkStart w:id="17" w:name="_Ref361310097"/>
            <w:r w:rsidRPr="000448EE">
              <w:t>(</w:t>
            </w:r>
            <w:r w:rsidR="00616194" w:rsidRPr="000448EE">
              <w:fldChar w:fldCharType="begin"/>
            </w:r>
            <w:r w:rsidR="00DA55AA" w:rsidRPr="000448EE">
              <w:instrText xml:space="preserve"> SEQ Equation </w:instrText>
            </w:r>
            <w:r w:rsidR="00616194" w:rsidRPr="000448EE">
              <w:fldChar w:fldCharType="separate"/>
            </w:r>
            <w:r w:rsidR="00EB2B08">
              <w:rPr>
                <w:noProof/>
              </w:rPr>
              <w:t>11</w:t>
            </w:r>
            <w:r w:rsidR="00616194" w:rsidRPr="000448EE">
              <w:rPr>
                <w:noProof/>
              </w:rPr>
              <w:fldChar w:fldCharType="end"/>
            </w:r>
            <w:r w:rsidRPr="000448EE">
              <w:t>)</w:t>
            </w:r>
            <w:bookmarkEnd w:id="17"/>
          </w:p>
        </w:tc>
      </w:tr>
    </w:tbl>
    <w:p w:rsidR="005316EE" w:rsidRPr="000448EE" w:rsidRDefault="005316EE" w:rsidP="00121E76">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 xml:space="preserve">=0.0004, increasing the mutation rate of stressed </w:t>
      </w:r>
      <w:proofErr w:type="gramStart"/>
      <w:r w:rsidR="0002675E" w:rsidRPr="000448EE">
        <w:rPr>
          <w:rFonts w:eastAsiaTheme="minorEastAsia"/>
          <w:lang w:bidi="hi-IN"/>
        </w:rPr>
        <w:t>individuals</w:t>
      </w:r>
      <w:proofErr w:type="gramEnd"/>
      <w:r w:rsidR="0002675E" w:rsidRPr="000448EE">
        <w:rPr>
          <w:rFonts w:eastAsiaTheme="minorEastAsia"/>
          <w:lang w:bidi="hi-IN"/>
        </w:rPr>
        <w:t xml:space="preserve">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121E76">
      <w:pPr>
        <w:pStyle w:val="Heading1"/>
        <w:spacing w:line="480" w:lineRule="auto"/>
        <w:rPr>
          <w:lang w:bidi="hi-IN"/>
        </w:rPr>
      </w:pPr>
      <w:r>
        <w:rPr>
          <w:lang w:bidi="hi-IN"/>
        </w:rPr>
        <w:lastRenderedPageBreak/>
        <w:t>Discussion</w:t>
      </w:r>
    </w:p>
    <w:p w:rsidR="00004B35" w:rsidRDefault="00004B35" w:rsidP="00121E76">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616194">
        <w:rPr>
          <w:lang w:bidi="hi-IN"/>
        </w:rPr>
        <w:fldChar w:fldCharType="begin" w:fldLock="1"/>
      </w:r>
      <w:r w:rsidR="0024147C">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616194">
        <w:rPr>
          <w:lang w:bidi="hi-IN"/>
        </w:rPr>
        <w:fldChar w:fldCharType="separate"/>
      </w:r>
      <w:r w:rsidR="00635E26" w:rsidRPr="00635E26">
        <w:rPr>
          <w:noProof/>
          <w:lang w:bidi="hi-IN"/>
        </w:rPr>
        <w:t>[14]</w:t>
      </w:r>
      <w:r w:rsidR="00616194">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p>
    <w:p w:rsidR="00A67023" w:rsidRPr="00BA2B02" w:rsidRDefault="00C023C7" w:rsidP="00121E76">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616194" w:rsidRPr="00BA2B02">
        <w:rPr>
          <w:lang w:bidi="hi-IN"/>
        </w:rPr>
        <w:fldChar w:fldCharType="begin" w:fldLock="1"/>
      </w:r>
      <w:r w:rsidR="0024147C">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"[59]" }, "properties" : { "noteIndex" : 0 }, "schema" : "https://github.com/citation-style-language/schema/raw/master/csl-citation.json" }</w:instrText>
      </w:r>
      <w:r w:rsidR="00616194" w:rsidRPr="00BA2B02">
        <w:rPr>
          <w:lang w:bidi="hi-IN"/>
        </w:rPr>
        <w:fldChar w:fldCharType="separate"/>
      </w:r>
      <w:r w:rsidR="00257928" w:rsidRPr="00257928">
        <w:rPr>
          <w:noProof/>
          <w:lang w:bidi="hi-IN"/>
        </w:rPr>
        <w:t>[59]</w:t>
      </w:r>
      <w:r w:rsidR="00616194" w:rsidRPr="00BA2B02">
        <w:rPr>
          <w:lang w:bidi="hi-IN"/>
        </w:rPr>
        <w:fldChar w:fldCharType="end"/>
      </w:r>
      <w:r w:rsidR="00CE78D0" w:rsidRPr="00BA2B02">
        <w:rPr>
          <w:lang w:bidi="hi-IN"/>
        </w:rPr>
        <w:t>.</w:t>
      </w:r>
    </w:p>
    <w:p w:rsidR="00D84632" w:rsidRPr="00BA2B02" w:rsidRDefault="00A67023" w:rsidP="00121E76">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616194" w:rsidRPr="00BA2B02">
        <w:rPr>
          <w:lang w:bidi="hi-IN"/>
        </w:rPr>
        <w:fldChar w:fldCharType="begin" w:fldLock="1"/>
      </w:r>
      <w:r w:rsidR="0024147C">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"[60]" }, "properties" : { "noteIndex" : 0 }, "schema" : "https://github.com/citation-style-language/schema/raw/master/csl-citation.json" }</w:instrText>
      </w:r>
      <w:r w:rsidR="00616194" w:rsidRPr="00BA2B02">
        <w:rPr>
          <w:lang w:bidi="hi-IN"/>
        </w:rPr>
        <w:fldChar w:fldCharType="separate"/>
      </w:r>
      <w:r w:rsidR="00257928" w:rsidRPr="00257928">
        <w:rPr>
          <w:noProof/>
          <w:lang w:bidi="hi-IN"/>
        </w:rPr>
        <w:t>[60]</w:t>
      </w:r>
      <w:r w:rsidR="00616194"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lastRenderedPageBreak/>
        <w:t xml:space="preserve">doesn't play an important role in the evolution of </w:t>
      </w:r>
      <w:r w:rsidR="00ED111F" w:rsidRPr="00BA2B02">
        <w:rPr>
          <w:lang w:bidi="hi-IN"/>
        </w:rPr>
        <w:t xml:space="preserve">the mutation rate </w:t>
      </w:r>
      <w:r w:rsidR="00616194" w:rsidRPr="00BA2B02">
        <w:rPr>
          <w:lang w:bidi="hi-IN"/>
        </w:rPr>
        <w:fldChar w:fldCharType="begin" w:fldLock="1"/>
      </w:r>
      <w:r w:rsidR="0024147C">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"[61\u201364]" }, "properties" : { "noteIndex" : 0 }, "schema" : "https://github.com/citation-style-language/schema/raw/master/csl-citation.json" }</w:instrText>
      </w:r>
      <w:r w:rsidR="00616194" w:rsidRPr="00BA2B02">
        <w:rPr>
          <w:lang w:bidi="hi-IN"/>
        </w:rPr>
        <w:fldChar w:fldCharType="separate"/>
      </w:r>
      <w:r w:rsidR="00257928" w:rsidRPr="00257928">
        <w:rPr>
          <w:noProof/>
          <w:lang w:bidi="hi-IN"/>
        </w:rPr>
        <w:t>[61–64]</w:t>
      </w:r>
      <w:r w:rsidR="00616194"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616194" w:rsidRPr="00BA2B02">
        <w:rPr>
          <w:lang w:bidi="hi-IN"/>
        </w:rPr>
        <w:fldChar w:fldCharType="begin" w:fldLock="1"/>
      </w:r>
      <w:r w:rsidR="0024147C">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[16,32]</w:t>
      </w:r>
      <w:r w:rsidR="00616194"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121E76">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616194" w:rsidRPr="00BA2B02">
        <w:rPr>
          <w:lang w:bidi="hi-IN"/>
        </w:rPr>
        <w:fldChar w:fldCharType="begin" w:fldLock="1"/>
      </w:r>
      <w:r w:rsidR="0024147C">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[35]</w:t>
      </w:r>
      <w:r w:rsidR="00616194" w:rsidRPr="00BA2B02">
        <w:rPr>
          <w:lang w:bidi="hi-IN"/>
        </w:rPr>
        <w:fldChar w:fldCharType="end"/>
      </w:r>
      <w:r w:rsidR="00134FEB" w:rsidRPr="00BA2B02">
        <w:rPr>
          <w:lang w:bidi="hi-IN"/>
        </w:rPr>
        <w:t xml:space="preserve">, direct competitions </w:t>
      </w:r>
      <w:r w:rsidR="00616194" w:rsidRPr="00BA2B02">
        <w:rPr>
          <w:lang w:bidi="hi-IN"/>
        </w:rPr>
        <w:fldChar w:fldCharType="begin" w:fldLock="1"/>
      </w:r>
      <w:r w:rsidR="0024147C">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"[65]" }, "properties" : { "noteIndex" : 0 }, "schema" : "https://github.com/citation-style-language/schema/raw/master/csl-citation.json" }</w:instrText>
      </w:r>
      <w:r w:rsidR="00616194" w:rsidRPr="00BA2B02">
        <w:rPr>
          <w:lang w:bidi="hi-IN"/>
        </w:rPr>
        <w:fldChar w:fldCharType="separate"/>
      </w:r>
      <w:r w:rsidR="00257928" w:rsidRPr="00257928">
        <w:rPr>
          <w:noProof/>
          <w:lang w:bidi="hi-IN"/>
        </w:rPr>
        <w:t>[65]</w:t>
      </w:r>
      <w:r w:rsidR="00616194" w:rsidRPr="00BA2B02">
        <w:rPr>
          <w:lang w:bidi="hi-IN"/>
        </w:rPr>
        <w:fldChar w:fldCharType="end"/>
      </w:r>
      <w:r w:rsidR="00134FEB" w:rsidRPr="00BA2B02">
        <w:rPr>
          <w:lang w:bidi="hi-IN"/>
        </w:rPr>
        <w:t>, and adaptation rate (due to the Fisher-Muller effect).</w:t>
      </w:r>
    </w:p>
    <w:p w:rsidR="0007409B" w:rsidRPr="00BA2B02" w:rsidRDefault="00514DED" w:rsidP="00121E76">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616194" w:rsidRPr="00BA2B02">
        <w:rPr>
          <w:lang w:bidi="hi-IN"/>
        </w:rPr>
        <w:fldChar w:fldCharType="begin" w:fldLock="1"/>
      </w:r>
      <w:r w:rsidR="0024147C">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616194" w:rsidRPr="00BA2B02">
        <w:rPr>
          <w:lang w:bidi="hi-IN"/>
        </w:rPr>
        <w:fldChar w:fldCharType="separate"/>
      </w:r>
      <w:r w:rsidR="00635E26" w:rsidRPr="00635E26">
        <w:rPr>
          <w:noProof/>
          <w:lang w:bidi="hi-IN"/>
        </w:rPr>
        <w:t>[37]</w:t>
      </w:r>
      <w:r w:rsidR="00616194"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w:t>
      </w:r>
      <w:r w:rsidR="008A3174" w:rsidRPr="00BA2B02">
        <w:rPr>
          <w:lang w:bidi="hi-IN"/>
        </w:rPr>
        <w:lastRenderedPageBreak/>
        <w:t xml:space="preserve">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C56AB4">
        <w:t>Appendix F</w:t>
      </w:r>
      <w:r w:rsidR="00396506">
        <w:rPr>
          <w:lang w:bidi="hi-IN"/>
        </w:rPr>
        <w:t>)</w:t>
      </w:r>
      <w:r w:rsidR="00D76319" w:rsidRPr="00BA2B02">
        <w:rPr>
          <w:lang w:bidi="hi-IN"/>
        </w:rPr>
        <w:t>.</w:t>
      </w:r>
    </w:p>
    <w:p w:rsidR="00616194" w:rsidRDefault="00B37F95" w:rsidP="00121E76">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616194">
        <w:rPr>
          <w:lang w:bidi="hi-IN"/>
        </w:rPr>
        <w:fldChar w:fldCharType="begin" w:fldLock="1"/>
      </w:r>
      <w:r w:rsidR="0024147C">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"[38,39]" }, "properties" : { "noteIndex" : 0 }, "schema" : "https://github.com/citation-style-language/schema/raw/master/csl-citation.json" }</w:instrText>
      </w:r>
      <w:r w:rsidR="00616194">
        <w:rPr>
          <w:lang w:bidi="hi-IN"/>
        </w:rPr>
        <w:fldChar w:fldCharType="separate"/>
      </w:r>
      <w:r w:rsidR="00635E26" w:rsidRPr="00635E26">
        <w:rPr>
          <w:noProof/>
          <w:lang w:bidi="hi-IN"/>
        </w:rPr>
        <w:t>[38,39]</w:t>
      </w:r>
      <w:r w:rsidR="00616194">
        <w:rPr>
          <w:lang w:bidi="hi-IN"/>
        </w:rPr>
        <w:fldChar w:fldCharType="end"/>
      </w:r>
      <w:r w:rsidRPr="00B37F95">
        <w:rPr>
          <w:lang w:bidi="hi-IN"/>
        </w:rPr>
        <w:t xml:space="preserve">. His solution is valid </w:t>
      </w:r>
      <w:r w:rsidR="00616194">
        <w:rPr>
          <w:lang w:bidi="hi-IN"/>
        </w:rPr>
        <w:fldChar w:fldCharType="begin" w:fldLock="1"/>
      </w:r>
      <w:r w:rsidR="0024147C">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"[66\u201368]" }, "properties" : { "noteIndex" : 0 }, "schema" : "https://github.com/citation-style-language/schema/raw/master/csl-citation.json" }</w:instrText>
      </w:r>
      <w:r w:rsidR="00616194">
        <w:rPr>
          <w:lang w:bidi="hi-IN"/>
        </w:rPr>
        <w:fldChar w:fldCharType="separate"/>
      </w:r>
      <w:r w:rsidR="00257928" w:rsidRPr="00257928">
        <w:rPr>
          <w:noProof/>
          <w:lang w:bidi="hi-IN"/>
        </w:rPr>
        <w:t>[66–68]</w:t>
      </w:r>
      <w:r w:rsidR="00616194">
        <w:rPr>
          <w:lang w:bidi="hi-IN"/>
        </w:rPr>
        <w:fldChar w:fldCharType="end"/>
      </w:r>
      <w:r>
        <w:rPr>
          <w:lang w:bidi="hi-IN"/>
        </w:rPr>
        <w:t xml:space="preserve"> </w:t>
      </w:r>
      <w:r w:rsidRPr="00B37F95">
        <w:rPr>
          <w:lang w:bidi="hi-IN"/>
        </w:rPr>
        <w:t>but possibly limited to specific parameter ranges</w:t>
      </w:r>
      <w:r>
        <w:rPr>
          <w:lang w:bidi="hi-IN"/>
        </w:rPr>
        <w:t xml:space="preserve"> </w:t>
      </w:r>
      <w:r w:rsidR="00616194" w:rsidRPr="00FB3C6B">
        <w:rPr>
          <w:lang w:bidi="hi-IN"/>
        </w:rPr>
        <w:fldChar w:fldCharType="begin" w:fldLock="1"/>
      </w:r>
      <w:r w:rsidR="0024147C">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"[69\u201372]"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[69–72]</w:t>
      </w:r>
      <w:r w:rsidR="00616194"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616194" w:rsidRPr="00FB3C6B">
        <w:rPr>
          <w:lang w:bidi="hi-IN"/>
        </w:rPr>
        <w:fldChar w:fldCharType="begin" w:fldLock="1"/>
      </w:r>
      <w:r w:rsidR="0024147C">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"[73]"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[73]</w:t>
      </w:r>
      <w:r w:rsidR="00616194" w:rsidRPr="00FB3C6B">
        <w:rPr>
          <w:lang w:bidi="hi-IN"/>
        </w:rPr>
        <w:fldChar w:fldCharType="end"/>
      </w:r>
      <w:r w:rsidR="008A7A0A" w:rsidRPr="00FB3C6B">
        <w:rPr>
          <w:lang w:bidi="hi-IN"/>
        </w:rPr>
        <w:t xml:space="preserve">; environmental fluctuations </w:t>
      </w:r>
      <w:r w:rsidR="00616194" w:rsidRPr="00FB3C6B">
        <w:rPr>
          <w:lang w:bidi="hi-IN"/>
        </w:rPr>
        <w:fldChar w:fldCharType="begin" w:fldLock="1"/>
      </w:r>
      <w:r w:rsidR="0024147C">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"[74]"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[74]</w:t>
      </w:r>
      <w:r w:rsidR="00616194" w:rsidRPr="00FB3C6B">
        <w:rPr>
          <w:lang w:bidi="hi-IN"/>
        </w:rPr>
        <w:fldChar w:fldCharType="end"/>
      </w:r>
      <w:r w:rsidR="008A7A0A" w:rsidRPr="00FB3C6B">
        <w:rPr>
          <w:lang w:bidi="hi-IN"/>
        </w:rPr>
        <w:t xml:space="preserve">; environmental heterogeneity </w:t>
      </w:r>
      <w:r w:rsidR="00616194" w:rsidRPr="00FB3C6B">
        <w:rPr>
          <w:lang w:bidi="hi-IN"/>
        </w:rPr>
        <w:fldChar w:fldCharType="begin" w:fldLock="1"/>
      </w:r>
      <w:r w:rsidR="0024147C">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"[75]"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[75]</w:t>
      </w:r>
      <w:r w:rsidR="00616194" w:rsidRPr="00FB3C6B">
        <w:rPr>
          <w:lang w:bidi="hi-IN"/>
        </w:rPr>
        <w:fldChar w:fldCharType="end"/>
      </w:r>
      <w:r w:rsidR="008A7A0A" w:rsidRPr="00FB3C6B">
        <w:rPr>
          <w:lang w:bidi="hi-IN"/>
        </w:rPr>
        <w:t xml:space="preserve">; fitness-associated recombination </w:t>
      </w:r>
      <w:r w:rsidR="00616194" w:rsidRPr="00FB3C6B">
        <w:rPr>
          <w:lang w:bidi="hi-IN"/>
        </w:rPr>
        <w:fldChar w:fldCharType="begin" w:fldLock="1"/>
      </w:r>
      <w:r w:rsidR="0024147C">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"[76]"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[76]</w:t>
      </w:r>
      <w:r w:rsidR="00616194" w:rsidRPr="00FB3C6B">
        <w:rPr>
          <w:lang w:bidi="hi-IN"/>
        </w:rPr>
        <w:fldChar w:fldCharType="end"/>
      </w:r>
      <w:r w:rsidR="008A7A0A" w:rsidRPr="00FB3C6B">
        <w:rPr>
          <w:lang w:bidi="hi-IN"/>
        </w:rPr>
        <w:t>;</w:t>
      </w:r>
      <w:r w:rsidR="00E4228C">
        <w:rPr>
          <w:lang w:bidi="hi-IN"/>
        </w:rPr>
        <w:t xml:space="preserve"> stochastic tunneling in large asexual populations</w:t>
      </w:r>
      <w:r w:rsidR="00D96086">
        <w:rPr>
          <w:lang w:bidi="hi-IN"/>
        </w:rPr>
        <w:t xml:space="preserve"> </w:t>
      </w:r>
      <w:r w:rsidR="00616194">
        <w:rPr>
          <w:lang w:bidi="hi-IN"/>
        </w:rPr>
        <w:fldChar w:fldCharType="begin" w:fldLock="1"/>
      </w:r>
      <w:r w:rsidR="0024147C">
        <w:rPr>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"[77]" }, "properties" : { "noteIndex" : 0 }, "schema" : "https://github.com/citation-style-language/schema/raw/master/csl-citation.json" }</w:instrText>
      </w:r>
      <w:r w:rsidR="00616194">
        <w:rPr>
          <w:lang w:bidi="hi-IN"/>
        </w:rPr>
        <w:fldChar w:fldCharType="separate"/>
      </w:r>
      <w:r w:rsidR="00257928" w:rsidRPr="00257928">
        <w:rPr>
          <w:noProof/>
          <w:lang w:bidi="hi-IN"/>
        </w:rPr>
        <w:t>[77]</w:t>
      </w:r>
      <w:r w:rsidR="00616194">
        <w:rPr>
          <w:lang w:bidi="hi-IN"/>
        </w:rPr>
        <w:fldChar w:fldCharType="end"/>
      </w:r>
      <w:r w:rsidR="00E4228C">
        <w:rPr>
          <w:lang w:bidi="hi-IN"/>
        </w:rPr>
        <w:t>;</w:t>
      </w:r>
      <w:r w:rsidR="008A7A0A" w:rsidRPr="00FB3C6B">
        <w:rPr>
          <w:lang w:bidi="hi-IN"/>
        </w:rPr>
        <w:t xml:space="preserve"> and intermediate recombination rates </w:t>
      </w:r>
      <w:r w:rsidR="00616194" w:rsidRPr="00FB3C6B">
        <w:rPr>
          <w:lang w:bidi="hi-IN"/>
        </w:rPr>
        <w:fldChar w:fldCharType="begin" w:fldLock="1"/>
      </w:r>
      <w:r w:rsidR="0024147C">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"[78]"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[78]</w:t>
      </w:r>
      <w:r w:rsidR="00616194"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 xml:space="preserve">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616194" w:rsidRPr="00FB3C6B">
        <w:rPr>
          <w:lang w:bidi="hi-IN"/>
        </w:rPr>
        <w:fldChar w:fldCharType="begin" w:fldLock="1"/>
      </w:r>
      <w:r w:rsidR="0024147C">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"[53]" }, "properties" : { "noteIndex" : 0 }, "schema" : "https://github.com/citation-style-language/schema/raw/master/csl-citation.json" }</w:instrText>
      </w:r>
      <w:r w:rsidR="00616194" w:rsidRPr="00FB3C6B">
        <w:rPr>
          <w:lang w:bidi="hi-IN"/>
        </w:rPr>
        <w:fldChar w:fldCharType="separate"/>
      </w:r>
      <w:r w:rsidR="00257928" w:rsidRPr="00257928">
        <w:rPr>
          <w:noProof/>
          <w:lang w:bidi="hi-IN"/>
        </w:rPr>
        <w:t>[53]</w:t>
      </w:r>
      <w:r w:rsidR="00616194"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121E76">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616194" w:rsidRPr="00FB3C6B">
        <w:fldChar w:fldCharType="begin" w:fldLock="1"/>
      </w:r>
      <w:r w:rsidR="0024147C">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616194" w:rsidRPr="00FB3C6B">
        <w:fldChar w:fldCharType="separate"/>
      </w:r>
      <w:r w:rsidR="00635E26" w:rsidRPr="00635E26">
        <w:rPr>
          <w:noProof/>
        </w:rPr>
        <w:t>[34]</w:t>
      </w:r>
      <w:r w:rsidR="00616194"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616194" w:rsidRPr="00FB3C6B">
        <w:fldChar w:fldCharType="begin" w:fldLock="1"/>
      </w:r>
      <w:r w:rsidR="0024147C">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"[79]" }, "properties" : { "noteIndex" : 0 }, "schema" : "https://github.com/citation-style-language/schema/raw/master/csl-citation.json" }</w:instrText>
      </w:r>
      <w:r w:rsidR="00616194" w:rsidRPr="00FB3C6B">
        <w:fldChar w:fldCharType="separate"/>
      </w:r>
      <w:r w:rsidR="00257928" w:rsidRPr="00257928">
        <w:rPr>
          <w:noProof/>
        </w:rPr>
        <w:t>[79]</w:t>
      </w:r>
      <w:r w:rsidR="00616194"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2B22BA">
      <w:pPr>
        <w:pStyle w:val="Heading2"/>
      </w:pPr>
      <w:r w:rsidRPr="002B22BA">
        <w:lastRenderedPageBreak/>
        <w:t>Conclusions</w:t>
      </w:r>
    </w:p>
    <w:p w:rsidR="00DF6C0E" w:rsidRPr="008F3447" w:rsidRDefault="00DF6C0E" w:rsidP="00121E76">
      <w:pPr>
        <w:spacing w:line="480" w:lineRule="auto"/>
        <w:rPr>
          <w:lang w:bidi="hi-IN"/>
        </w:rPr>
      </w:pPr>
      <w:r>
        <w:rPr>
          <w:lang w:bidi="hi-IN"/>
        </w:rPr>
        <w:t xml:space="preserve">Stress-induced mutagenesis has been implicated as a driver of adaptive evolution for several decades </w:t>
      </w:r>
      <w:r w:rsidR="00616194">
        <w:rPr>
          <w:lang w:bidi="hi-IN"/>
        </w:rPr>
        <w:fldChar w:fldCharType="begin" w:fldLock="1"/>
      </w:r>
      <w:r w:rsidR="0024147C">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"[17,33,80]" }, "properties" : { "noteIndex" : 0 }, "schema" : "https://github.com/citation-style-language/schema/raw/master/csl-citation.json" }</w:instrText>
      </w:r>
      <w:r w:rsidR="00616194">
        <w:rPr>
          <w:lang w:bidi="hi-IN"/>
        </w:rPr>
        <w:fldChar w:fldCharType="separate"/>
      </w:r>
      <w:r w:rsidR="00257928" w:rsidRPr="00257928">
        <w:rPr>
          <w:noProof/>
          <w:lang w:bidi="hi-IN"/>
        </w:rPr>
        <w:t>[17,33,80]</w:t>
      </w:r>
      <w:r w:rsidR="00616194">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121E76">
      <w:pPr>
        <w:pStyle w:val="Heading1"/>
        <w:spacing w:line="480" w:lineRule="auto"/>
      </w:pPr>
      <w:r w:rsidRPr="008F3447">
        <w:t>Acknowledgments</w:t>
      </w:r>
    </w:p>
    <w:p w:rsidR="00F441B1" w:rsidRDefault="00F441B1" w:rsidP="00430A5A">
      <w:pPr>
        <w:spacing w:line="480" w:lineRule="auto"/>
      </w:pPr>
      <w:r w:rsidRPr="00EF44A6">
        <w:t xml:space="preserve">We thank </w:t>
      </w:r>
      <w:r w:rsidR="00B25D55" w:rsidRPr="00EF44A6">
        <w:t>U</w:t>
      </w:r>
      <w:r w:rsidR="00331E7E">
        <w:t>.</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r w:rsidR="00430A5A">
        <w:t xml:space="preserve">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C32505" w:rsidRDefault="00C32505">
      <w:pPr>
        <w:spacing w:after="200" w:line="276" w:lineRule="auto"/>
        <w:rPr>
          <w:rFonts w:asciiTheme="majorHAnsi" w:eastAsiaTheme="majorEastAsia" w:hAnsiTheme="majorHAnsi" w:cstheme="majorBidi"/>
          <w:bCs/>
          <w:color w:val="000000" w:themeColor="text2"/>
          <w:sz w:val="32"/>
          <w:szCs w:val="28"/>
        </w:rPr>
      </w:pPr>
      <w:bookmarkStart w:id="18" w:name="_Ref360530640"/>
      <w:bookmarkStart w:id="19" w:name="_Ref363980873"/>
      <w:r>
        <w:br w:type="page"/>
      </w:r>
    </w:p>
    <w:p w:rsidR="00121E76" w:rsidRDefault="00121E76" w:rsidP="00121E76">
      <w:pPr>
        <w:pStyle w:val="Heading1"/>
        <w:spacing w:line="480" w:lineRule="auto"/>
      </w:pPr>
      <w:r>
        <w:lastRenderedPageBreak/>
        <w:t>References</w:t>
      </w:r>
    </w:p>
    <w:p w:rsidR="0024147C" w:rsidRPr="0024147C" w:rsidRDefault="00121E76">
      <w:pPr>
        <w:pStyle w:val="NormalWeb"/>
        <w:ind w:left="640" w:hanging="640"/>
        <w:divId w:val="1735933008"/>
        <w:rPr>
          <w:rFonts w:ascii="Palatino Linotype" w:hAnsi="Palatino Linotype"/>
          <w:noProof/>
          <w:sz w:val="22"/>
        </w:rPr>
      </w:pPr>
      <w:r>
        <w:fldChar w:fldCharType="begin" w:fldLock="1"/>
      </w:r>
      <w:r>
        <w:instrText xml:space="preserve">ADDIN Mendeley Bibliography CSL_BIBLIOGRAPHY </w:instrText>
      </w:r>
      <w:r>
        <w:fldChar w:fldCharType="separate"/>
      </w:r>
      <w:r w:rsidR="0024147C" w:rsidRPr="0024147C">
        <w:rPr>
          <w:rFonts w:ascii="Palatino Linotype" w:hAnsi="Palatino Linotype"/>
          <w:noProof/>
          <w:sz w:val="22"/>
        </w:rPr>
        <w:t>1.</w:t>
      </w:r>
      <w:r w:rsidR="0024147C" w:rsidRPr="0024147C">
        <w:rPr>
          <w:rFonts w:ascii="Palatino Linotype" w:hAnsi="Palatino Linotype"/>
          <w:noProof/>
          <w:sz w:val="22"/>
        </w:rPr>
        <w:tab/>
        <w:t xml:space="preserve">Sniegowski, P. D., Gerrish, P. J., Johnson, T. &amp; Shaver, A. 2000 The evolution of mutation rates: separating causes from consequences. </w:t>
      </w:r>
      <w:r w:rsidR="0024147C" w:rsidRPr="0024147C">
        <w:rPr>
          <w:rFonts w:ascii="Palatino Linotype" w:hAnsi="Palatino Linotype"/>
          <w:i/>
          <w:iCs/>
          <w:noProof/>
          <w:sz w:val="22"/>
        </w:rPr>
        <w:t>BioEssays</w:t>
      </w:r>
      <w:r w:rsidR="0024147C" w:rsidRPr="0024147C">
        <w:rPr>
          <w:rFonts w:ascii="Palatino Linotype" w:hAnsi="Palatino Linotype"/>
          <w:noProof/>
          <w:sz w:val="22"/>
        </w:rPr>
        <w:t xml:space="preserve"> </w:t>
      </w:r>
      <w:r w:rsidR="0024147C" w:rsidRPr="0024147C">
        <w:rPr>
          <w:rFonts w:ascii="Palatino Linotype" w:hAnsi="Palatino Linotype"/>
          <w:b/>
          <w:bCs/>
          <w:noProof/>
          <w:sz w:val="22"/>
        </w:rPr>
        <w:t>22</w:t>
      </w:r>
      <w:r w:rsidR="0024147C" w:rsidRPr="0024147C">
        <w:rPr>
          <w:rFonts w:ascii="Palatino Linotype" w:hAnsi="Palatino Linotype"/>
          <w:noProof/>
          <w:sz w:val="22"/>
        </w:rPr>
        <w:t>, 1057–66. (doi:10.1002/1521-1878(200012)22:12&lt;1057::AID-BIES3&gt;3.0.CO;2-W)</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2.</w:t>
      </w:r>
      <w:r w:rsidRPr="0024147C">
        <w:rPr>
          <w:rFonts w:ascii="Palatino Linotype" w:hAnsi="Palatino Linotype"/>
          <w:noProof/>
          <w:sz w:val="22"/>
        </w:rPr>
        <w:tab/>
        <w:t xml:space="preserve">Denamur, E. &amp; Matic, I. 2006 Evolution of mutation rates in bacteria. </w:t>
      </w:r>
      <w:r w:rsidRPr="0024147C">
        <w:rPr>
          <w:rFonts w:ascii="Palatino Linotype" w:hAnsi="Palatino Linotype"/>
          <w:i/>
          <w:iCs/>
          <w:noProof/>
          <w:sz w:val="22"/>
        </w:rPr>
        <w:t>Mol. Microbiol.</w:t>
      </w:r>
      <w:r w:rsidRPr="0024147C">
        <w:rPr>
          <w:rFonts w:ascii="Palatino Linotype" w:hAnsi="Palatino Linotype"/>
          <w:noProof/>
          <w:sz w:val="22"/>
        </w:rPr>
        <w:t xml:space="preserve"> </w:t>
      </w:r>
      <w:r w:rsidRPr="0024147C">
        <w:rPr>
          <w:rFonts w:ascii="Palatino Linotype" w:hAnsi="Palatino Linotype"/>
          <w:b/>
          <w:bCs/>
          <w:noProof/>
          <w:sz w:val="22"/>
        </w:rPr>
        <w:t>60</w:t>
      </w:r>
      <w:r w:rsidRPr="0024147C">
        <w:rPr>
          <w:rFonts w:ascii="Palatino Linotype" w:hAnsi="Palatino Linotype"/>
          <w:noProof/>
          <w:sz w:val="22"/>
        </w:rPr>
        <w:t>, 820–7. (doi:10.1111/j.1365-2958.2006.05150.x)</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3.</w:t>
      </w:r>
      <w:r w:rsidRPr="0024147C">
        <w:rPr>
          <w:rFonts w:ascii="Palatino Linotype" w:hAnsi="Palatino Linotype"/>
          <w:noProof/>
          <w:sz w:val="22"/>
        </w:rPr>
        <w:tab/>
        <w:t xml:space="preserve">De Visser, J. A. G. M. 2002 The fate of microbial mutators. </w:t>
      </w:r>
      <w:r w:rsidRPr="0024147C">
        <w:rPr>
          <w:rFonts w:ascii="Palatino Linotype" w:hAnsi="Palatino Linotype"/>
          <w:i/>
          <w:iCs/>
          <w:noProof/>
          <w:sz w:val="22"/>
        </w:rPr>
        <w:t>Microbiology</w:t>
      </w:r>
      <w:r w:rsidRPr="0024147C">
        <w:rPr>
          <w:rFonts w:ascii="Palatino Linotype" w:hAnsi="Palatino Linotype"/>
          <w:noProof/>
          <w:sz w:val="22"/>
        </w:rPr>
        <w:t xml:space="preserve"> </w:t>
      </w:r>
      <w:r w:rsidRPr="0024147C">
        <w:rPr>
          <w:rFonts w:ascii="Palatino Linotype" w:hAnsi="Palatino Linotype"/>
          <w:b/>
          <w:bCs/>
          <w:noProof/>
          <w:sz w:val="22"/>
        </w:rPr>
        <w:t>148</w:t>
      </w:r>
      <w:r w:rsidRPr="0024147C">
        <w:rPr>
          <w:rFonts w:ascii="Palatino Linotype" w:hAnsi="Palatino Linotype"/>
          <w:noProof/>
          <w:sz w:val="22"/>
        </w:rPr>
        <w:t xml:space="preserve">, 1247–52.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4.</w:t>
      </w:r>
      <w:r w:rsidRPr="0024147C">
        <w:rPr>
          <w:rFonts w:ascii="Palatino Linotype" w:hAnsi="Palatino Linotype"/>
          <w:noProof/>
          <w:sz w:val="22"/>
        </w:rPr>
        <w:tab/>
        <w:t xml:space="preserve">Funchain, P., Yeung, A., Stewart, J. L., Lin, R., Slupska, M. M. &amp; Miller, J. H. 2000 The consequences of growth of a mutator strain of </w:t>
      </w:r>
      <w:r w:rsidRPr="0024147C">
        <w:rPr>
          <w:rFonts w:ascii="Palatino Linotype" w:hAnsi="Palatino Linotype"/>
          <w:i/>
          <w:iCs/>
          <w:noProof/>
          <w:sz w:val="22"/>
        </w:rPr>
        <w:t>Escherichia coli</w:t>
      </w:r>
      <w:r w:rsidRPr="0024147C">
        <w:rPr>
          <w:rFonts w:ascii="Palatino Linotype" w:hAnsi="Palatino Linotype"/>
          <w:noProof/>
          <w:sz w:val="22"/>
        </w:rPr>
        <w:t xml:space="preserve"> as measured by loss of function among multiple gene targets and loss of fitness. </w:t>
      </w:r>
      <w:r w:rsidRPr="0024147C">
        <w:rPr>
          <w:rFonts w:ascii="Palatino Linotype" w:hAnsi="Palatino Linotype"/>
          <w:i/>
          <w:iCs/>
          <w:noProof/>
          <w:sz w:val="22"/>
        </w:rPr>
        <w:t>Genetics</w:t>
      </w:r>
      <w:r w:rsidRPr="0024147C">
        <w:rPr>
          <w:rFonts w:ascii="Palatino Linotype" w:hAnsi="Palatino Linotype"/>
          <w:noProof/>
          <w:sz w:val="22"/>
        </w:rPr>
        <w:t xml:space="preserve"> </w:t>
      </w:r>
      <w:r w:rsidRPr="0024147C">
        <w:rPr>
          <w:rFonts w:ascii="Palatino Linotype" w:hAnsi="Palatino Linotype"/>
          <w:b/>
          <w:bCs/>
          <w:noProof/>
          <w:sz w:val="22"/>
        </w:rPr>
        <w:t>154</w:t>
      </w:r>
      <w:r w:rsidRPr="0024147C">
        <w:rPr>
          <w:rFonts w:ascii="Palatino Linotype" w:hAnsi="Palatino Linotype"/>
          <w:noProof/>
          <w:sz w:val="22"/>
        </w:rPr>
        <w:t xml:space="preserve">, 959–70.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5.</w:t>
      </w:r>
      <w:r w:rsidRPr="0024147C">
        <w:rPr>
          <w:rFonts w:ascii="Palatino Linotype" w:hAnsi="Palatino Linotype"/>
          <w:noProof/>
          <w:sz w:val="22"/>
        </w:rPr>
        <w:tab/>
        <w:t xml:space="preserve">Montanari, S. et al. 2007 Biological cost of hypermutation in </w:t>
      </w:r>
      <w:r w:rsidRPr="0024147C">
        <w:rPr>
          <w:rFonts w:ascii="Palatino Linotype" w:hAnsi="Palatino Linotype"/>
          <w:i/>
          <w:iCs/>
          <w:noProof/>
          <w:sz w:val="22"/>
        </w:rPr>
        <w:t>Pseudomonas aeruginosa</w:t>
      </w:r>
      <w:r w:rsidRPr="0024147C">
        <w:rPr>
          <w:rFonts w:ascii="Palatino Linotype" w:hAnsi="Palatino Linotype"/>
          <w:noProof/>
          <w:sz w:val="22"/>
        </w:rPr>
        <w:t xml:space="preserve"> strains from patients with cystic fibrosis. </w:t>
      </w:r>
      <w:r w:rsidRPr="0024147C">
        <w:rPr>
          <w:rFonts w:ascii="Palatino Linotype" w:hAnsi="Palatino Linotype"/>
          <w:i/>
          <w:iCs/>
          <w:noProof/>
          <w:sz w:val="22"/>
        </w:rPr>
        <w:t>Microbiology</w:t>
      </w:r>
      <w:r w:rsidRPr="0024147C">
        <w:rPr>
          <w:rFonts w:ascii="Palatino Linotype" w:hAnsi="Palatino Linotype"/>
          <w:noProof/>
          <w:sz w:val="22"/>
        </w:rPr>
        <w:t xml:space="preserve"> </w:t>
      </w:r>
      <w:r w:rsidRPr="0024147C">
        <w:rPr>
          <w:rFonts w:ascii="Palatino Linotype" w:hAnsi="Palatino Linotype"/>
          <w:b/>
          <w:bCs/>
          <w:noProof/>
          <w:sz w:val="22"/>
        </w:rPr>
        <w:t>153</w:t>
      </w:r>
      <w:r w:rsidRPr="0024147C">
        <w:rPr>
          <w:rFonts w:ascii="Palatino Linotype" w:hAnsi="Palatino Linotype"/>
          <w:noProof/>
          <w:sz w:val="22"/>
        </w:rPr>
        <w:t>, 1445–54. (doi:10.1099/mic.0.2006/003400-0)</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6.</w:t>
      </w:r>
      <w:r w:rsidRPr="0024147C">
        <w:rPr>
          <w:rFonts w:ascii="Palatino Linotype" w:hAnsi="Palatino Linotype"/>
          <w:noProof/>
          <w:sz w:val="22"/>
        </w:rPr>
        <w:tab/>
        <w:t xml:space="preserve">Kimura, M. 1967 On the evolutionary adjustment of spontaneous mutation rates. </w:t>
      </w:r>
      <w:r w:rsidRPr="0024147C">
        <w:rPr>
          <w:rFonts w:ascii="Palatino Linotype" w:hAnsi="Palatino Linotype"/>
          <w:i/>
          <w:iCs/>
          <w:noProof/>
          <w:sz w:val="22"/>
        </w:rPr>
        <w:t>Genet. Res.</w:t>
      </w:r>
      <w:r w:rsidRPr="0024147C">
        <w:rPr>
          <w:rFonts w:ascii="Palatino Linotype" w:hAnsi="Palatino Linotype"/>
          <w:noProof/>
          <w:sz w:val="22"/>
        </w:rPr>
        <w:t xml:space="preserve"> </w:t>
      </w:r>
      <w:r w:rsidRPr="0024147C">
        <w:rPr>
          <w:rFonts w:ascii="Palatino Linotype" w:hAnsi="Palatino Linotype"/>
          <w:b/>
          <w:bCs/>
          <w:noProof/>
          <w:sz w:val="22"/>
        </w:rPr>
        <w:t>9</w:t>
      </w:r>
      <w:r w:rsidRPr="0024147C">
        <w:rPr>
          <w:rFonts w:ascii="Palatino Linotype" w:hAnsi="Palatino Linotype"/>
          <w:noProof/>
          <w:sz w:val="22"/>
        </w:rPr>
        <w:t>, 23–34. (doi:10.1017/S0016672300010284)</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7.</w:t>
      </w:r>
      <w:r w:rsidRPr="0024147C">
        <w:rPr>
          <w:rFonts w:ascii="Palatino Linotype" w:hAnsi="Palatino Linotype"/>
          <w:noProof/>
          <w:sz w:val="22"/>
        </w:rPr>
        <w:tab/>
        <w:t xml:space="preserve">Liberman, U. &amp; Feldman, M. W. 1986 Modifiers of mutation rate: a general reduction principle. </w:t>
      </w:r>
      <w:r w:rsidRPr="0024147C">
        <w:rPr>
          <w:rFonts w:ascii="Palatino Linotype" w:hAnsi="Palatino Linotype"/>
          <w:i/>
          <w:iCs/>
          <w:noProof/>
          <w:sz w:val="22"/>
        </w:rPr>
        <w:t>Theor. Popul. Biol.</w:t>
      </w:r>
      <w:r w:rsidRPr="0024147C">
        <w:rPr>
          <w:rFonts w:ascii="Palatino Linotype" w:hAnsi="Palatino Linotype"/>
          <w:noProof/>
          <w:sz w:val="22"/>
        </w:rPr>
        <w:t xml:space="preserve"> </w:t>
      </w:r>
      <w:r w:rsidRPr="0024147C">
        <w:rPr>
          <w:rFonts w:ascii="Palatino Linotype" w:hAnsi="Palatino Linotype"/>
          <w:b/>
          <w:bCs/>
          <w:noProof/>
          <w:sz w:val="22"/>
        </w:rPr>
        <w:t>30</w:t>
      </w:r>
      <w:r w:rsidRPr="0024147C">
        <w:rPr>
          <w:rFonts w:ascii="Palatino Linotype" w:hAnsi="Palatino Linotype"/>
          <w:noProof/>
          <w:sz w:val="22"/>
        </w:rPr>
        <w:t xml:space="preserve">, 125–42.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8.</w:t>
      </w:r>
      <w:r w:rsidRPr="0024147C">
        <w:rPr>
          <w:rFonts w:ascii="Palatino Linotype" w:hAnsi="Palatino Linotype"/>
          <w:noProof/>
          <w:sz w:val="22"/>
        </w:rPr>
        <w:tab/>
        <w:t xml:space="preserve">Giraud, A., Radman, M., Matic, I. &amp; Taddei, F. 2001 The rise and fall of mutator bacteria. </w:t>
      </w:r>
      <w:r w:rsidRPr="0024147C">
        <w:rPr>
          <w:rFonts w:ascii="Palatino Linotype" w:hAnsi="Palatino Linotype"/>
          <w:i/>
          <w:iCs/>
          <w:noProof/>
          <w:sz w:val="22"/>
        </w:rPr>
        <w:t>Curr. Opin. Microbiol.</w:t>
      </w:r>
      <w:r w:rsidRPr="0024147C">
        <w:rPr>
          <w:rFonts w:ascii="Palatino Linotype" w:hAnsi="Palatino Linotype"/>
          <w:noProof/>
          <w:sz w:val="22"/>
        </w:rPr>
        <w:t xml:space="preserve"> </w:t>
      </w:r>
      <w:r w:rsidRPr="0024147C">
        <w:rPr>
          <w:rFonts w:ascii="Palatino Linotype" w:hAnsi="Palatino Linotype"/>
          <w:b/>
          <w:bCs/>
          <w:noProof/>
          <w:sz w:val="22"/>
        </w:rPr>
        <w:t>4</w:t>
      </w:r>
      <w:r w:rsidRPr="0024147C">
        <w:rPr>
          <w:rFonts w:ascii="Palatino Linotype" w:hAnsi="Palatino Linotype"/>
          <w:noProof/>
          <w:sz w:val="22"/>
        </w:rPr>
        <w:t>, 582–585. (doi:10.1016/S1369-5274(00)00254-X)</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9.</w:t>
      </w:r>
      <w:r w:rsidRPr="0024147C">
        <w:rPr>
          <w:rFonts w:ascii="Palatino Linotype" w:hAnsi="Palatino Linotype"/>
          <w:noProof/>
          <w:sz w:val="22"/>
        </w:rPr>
        <w:tab/>
        <w:t xml:space="preserve">Sniegowski, P. D., Gerrish, P. J. &amp; Lenski, R. E. 1997 Evolution of high mutation rates in experimental populations of E. coli. </w:t>
      </w:r>
      <w:r w:rsidRPr="0024147C">
        <w:rPr>
          <w:rFonts w:ascii="Palatino Linotype" w:hAnsi="Palatino Linotype"/>
          <w:i/>
          <w:iCs/>
          <w:noProof/>
          <w:sz w:val="22"/>
        </w:rPr>
        <w:t>Nature</w:t>
      </w:r>
      <w:r w:rsidRPr="0024147C">
        <w:rPr>
          <w:rFonts w:ascii="Palatino Linotype" w:hAnsi="Palatino Linotype"/>
          <w:noProof/>
          <w:sz w:val="22"/>
        </w:rPr>
        <w:t xml:space="preserve"> </w:t>
      </w:r>
      <w:r w:rsidRPr="0024147C">
        <w:rPr>
          <w:rFonts w:ascii="Palatino Linotype" w:hAnsi="Palatino Linotype"/>
          <w:b/>
          <w:bCs/>
          <w:noProof/>
          <w:sz w:val="22"/>
        </w:rPr>
        <w:t>387</w:t>
      </w:r>
      <w:r w:rsidRPr="0024147C">
        <w:rPr>
          <w:rFonts w:ascii="Palatino Linotype" w:hAnsi="Palatino Linotype"/>
          <w:noProof/>
          <w:sz w:val="22"/>
        </w:rPr>
        <w:t>, 703–5. (doi:10.1038/42701)</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10.</w:t>
      </w:r>
      <w:r w:rsidRPr="0024147C">
        <w:rPr>
          <w:rFonts w:ascii="Palatino Linotype" w:hAnsi="Palatino Linotype"/>
          <w:noProof/>
          <w:sz w:val="22"/>
        </w:rPr>
        <w:tab/>
        <w:t xml:space="preserve">Wielgoss, S. et al. 2012 Mutation rate dynamics in a bacterial population reflect tension between adaptation and genetic load. </w:t>
      </w:r>
      <w:r w:rsidRPr="0024147C">
        <w:rPr>
          <w:rFonts w:ascii="Palatino Linotype" w:hAnsi="Palatino Linotype"/>
          <w:i/>
          <w:iCs/>
          <w:noProof/>
          <w:sz w:val="22"/>
        </w:rPr>
        <w:t>Proc. Natl. Acad. Sci.</w:t>
      </w:r>
      <w:r w:rsidRPr="0024147C">
        <w:rPr>
          <w:rFonts w:ascii="Palatino Linotype" w:hAnsi="Palatino Linotype"/>
          <w:noProof/>
          <w:sz w:val="22"/>
        </w:rPr>
        <w:t xml:space="preserve"> </w:t>
      </w:r>
      <w:r w:rsidRPr="0024147C">
        <w:rPr>
          <w:rFonts w:ascii="Palatino Linotype" w:hAnsi="Palatino Linotype"/>
          <w:b/>
          <w:bCs/>
          <w:noProof/>
          <w:sz w:val="22"/>
        </w:rPr>
        <w:t>110</w:t>
      </w:r>
      <w:r w:rsidRPr="0024147C">
        <w:rPr>
          <w:rFonts w:ascii="Palatino Linotype" w:hAnsi="Palatino Linotype"/>
          <w:noProof/>
          <w:sz w:val="22"/>
        </w:rPr>
        <w:t>, 222–227. (doi:10.1073/pnas.1219574110)</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11.</w:t>
      </w:r>
      <w:r w:rsidRPr="0024147C">
        <w:rPr>
          <w:rFonts w:ascii="Palatino Linotype" w:hAnsi="Palatino Linotype"/>
          <w:noProof/>
          <w:sz w:val="22"/>
        </w:rPr>
        <w:tab/>
        <w:t xml:space="preserve">Taddei, F., Radman, M., Maynard Smith, J., Toupance, B., Gouyon, P.-H. &amp; Godelle, B. 1997 Role of mutator alleles in adaptive evolution. </w:t>
      </w:r>
      <w:r w:rsidRPr="0024147C">
        <w:rPr>
          <w:rFonts w:ascii="Palatino Linotype" w:hAnsi="Palatino Linotype"/>
          <w:i/>
          <w:iCs/>
          <w:noProof/>
          <w:sz w:val="22"/>
        </w:rPr>
        <w:t>Nature</w:t>
      </w:r>
      <w:r w:rsidRPr="0024147C">
        <w:rPr>
          <w:rFonts w:ascii="Palatino Linotype" w:hAnsi="Palatino Linotype"/>
          <w:noProof/>
          <w:sz w:val="22"/>
        </w:rPr>
        <w:t xml:space="preserve"> </w:t>
      </w:r>
      <w:r w:rsidRPr="0024147C">
        <w:rPr>
          <w:rFonts w:ascii="Palatino Linotype" w:hAnsi="Palatino Linotype"/>
          <w:b/>
          <w:bCs/>
          <w:noProof/>
          <w:sz w:val="22"/>
        </w:rPr>
        <w:t>387</w:t>
      </w:r>
      <w:r w:rsidRPr="0024147C">
        <w:rPr>
          <w:rFonts w:ascii="Palatino Linotype" w:hAnsi="Palatino Linotype"/>
          <w:noProof/>
          <w:sz w:val="22"/>
        </w:rPr>
        <w:t>, 700–2. (doi:10.1038/42696)</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12.</w:t>
      </w:r>
      <w:r w:rsidRPr="0024147C">
        <w:rPr>
          <w:rFonts w:ascii="Palatino Linotype" w:hAnsi="Palatino Linotype"/>
          <w:noProof/>
          <w:sz w:val="22"/>
        </w:rPr>
        <w:tab/>
        <w:t xml:space="preserve">Kessler, D. &amp; Levine, H. 1998 Mutator Dynamics on a Smooth Evolutionary Landscape. </w:t>
      </w:r>
      <w:r w:rsidRPr="0024147C">
        <w:rPr>
          <w:rFonts w:ascii="Palatino Linotype" w:hAnsi="Palatino Linotype"/>
          <w:i/>
          <w:iCs/>
          <w:noProof/>
          <w:sz w:val="22"/>
        </w:rPr>
        <w:t>Phys. Rev. Lett.</w:t>
      </w:r>
      <w:r w:rsidRPr="0024147C">
        <w:rPr>
          <w:rFonts w:ascii="Palatino Linotype" w:hAnsi="Palatino Linotype"/>
          <w:noProof/>
          <w:sz w:val="22"/>
        </w:rPr>
        <w:t xml:space="preserve"> </w:t>
      </w:r>
      <w:r w:rsidRPr="0024147C">
        <w:rPr>
          <w:rFonts w:ascii="Palatino Linotype" w:hAnsi="Palatino Linotype"/>
          <w:b/>
          <w:bCs/>
          <w:noProof/>
          <w:sz w:val="22"/>
        </w:rPr>
        <w:t>80</w:t>
      </w:r>
      <w:r w:rsidRPr="0024147C">
        <w:rPr>
          <w:rFonts w:ascii="Palatino Linotype" w:hAnsi="Palatino Linotype"/>
          <w:noProof/>
          <w:sz w:val="22"/>
        </w:rPr>
        <w:t>, 2012–2015. (doi:10.1103/PhysRevLett.80.2012)</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lastRenderedPageBreak/>
        <w:t>13.</w:t>
      </w:r>
      <w:r w:rsidRPr="0024147C">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24147C">
        <w:rPr>
          <w:rFonts w:ascii="Palatino Linotype" w:hAnsi="Palatino Linotype"/>
          <w:i/>
          <w:iCs/>
          <w:noProof/>
          <w:sz w:val="22"/>
        </w:rPr>
        <w:t>Genetics</w:t>
      </w:r>
      <w:r w:rsidRPr="0024147C">
        <w:rPr>
          <w:rFonts w:ascii="Palatino Linotype" w:hAnsi="Palatino Linotype"/>
          <w:noProof/>
          <w:sz w:val="22"/>
        </w:rPr>
        <w:t xml:space="preserve"> </w:t>
      </w:r>
      <w:r w:rsidRPr="0024147C">
        <w:rPr>
          <w:rFonts w:ascii="Palatino Linotype" w:hAnsi="Palatino Linotype"/>
          <w:b/>
          <w:bCs/>
          <w:noProof/>
          <w:sz w:val="22"/>
        </w:rPr>
        <w:t>152</w:t>
      </w:r>
      <w:r w:rsidRPr="0024147C">
        <w:rPr>
          <w:rFonts w:ascii="Palatino Linotype" w:hAnsi="Palatino Linotype"/>
          <w:noProof/>
          <w:sz w:val="22"/>
        </w:rPr>
        <w:t xml:space="preserve">, 485–93.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14.</w:t>
      </w:r>
      <w:r w:rsidRPr="0024147C">
        <w:rPr>
          <w:rFonts w:ascii="Palatino Linotype" w:hAnsi="Palatino Linotype"/>
          <w:noProof/>
          <w:sz w:val="22"/>
        </w:rPr>
        <w:tab/>
        <w:t xml:space="preserve">Leigh, E. G. J. 1970 Natural Selection and Mutability. </w:t>
      </w:r>
      <w:r w:rsidRPr="0024147C">
        <w:rPr>
          <w:rFonts w:ascii="Palatino Linotype" w:hAnsi="Palatino Linotype"/>
          <w:i/>
          <w:iCs/>
          <w:noProof/>
          <w:sz w:val="22"/>
        </w:rPr>
        <w:t>Am. Nat.</w:t>
      </w:r>
      <w:r w:rsidRPr="0024147C">
        <w:rPr>
          <w:rFonts w:ascii="Palatino Linotype" w:hAnsi="Palatino Linotype"/>
          <w:noProof/>
          <w:sz w:val="22"/>
        </w:rPr>
        <w:t xml:space="preserve"> </w:t>
      </w:r>
      <w:r w:rsidRPr="0024147C">
        <w:rPr>
          <w:rFonts w:ascii="Palatino Linotype" w:hAnsi="Palatino Linotype"/>
          <w:b/>
          <w:bCs/>
          <w:noProof/>
          <w:sz w:val="22"/>
        </w:rPr>
        <w:t>104</w:t>
      </w:r>
      <w:r w:rsidRPr="0024147C">
        <w:rPr>
          <w:rFonts w:ascii="Palatino Linotype" w:hAnsi="Palatino Linotype"/>
          <w:noProof/>
          <w:sz w:val="22"/>
        </w:rPr>
        <w:t xml:space="preserve">, 301–305.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15.</w:t>
      </w:r>
      <w:r w:rsidRPr="0024147C">
        <w:rPr>
          <w:rFonts w:ascii="Palatino Linotype" w:hAnsi="Palatino Linotype"/>
          <w:noProof/>
          <w:sz w:val="22"/>
        </w:rPr>
        <w:tab/>
        <w:t xml:space="preserve">Galhardo, R. S., Hastings, P. J. &amp; Rosenberg, S. M. 2007 Mutation as a stress response and the regulation of evolvability. </w:t>
      </w:r>
      <w:r w:rsidRPr="0024147C">
        <w:rPr>
          <w:rFonts w:ascii="Palatino Linotype" w:hAnsi="Palatino Linotype"/>
          <w:i/>
          <w:iCs/>
          <w:noProof/>
          <w:sz w:val="22"/>
        </w:rPr>
        <w:t>Crit. Rev. Biochem. Mol. Biol.</w:t>
      </w:r>
      <w:r w:rsidRPr="0024147C">
        <w:rPr>
          <w:rFonts w:ascii="Palatino Linotype" w:hAnsi="Palatino Linotype"/>
          <w:noProof/>
          <w:sz w:val="22"/>
        </w:rPr>
        <w:t xml:space="preserve"> </w:t>
      </w:r>
      <w:r w:rsidRPr="0024147C">
        <w:rPr>
          <w:rFonts w:ascii="Palatino Linotype" w:hAnsi="Palatino Linotype"/>
          <w:b/>
          <w:bCs/>
          <w:noProof/>
          <w:sz w:val="22"/>
        </w:rPr>
        <w:t>42</w:t>
      </w:r>
      <w:r w:rsidRPr="0024147C">
        <w:rPr>
          <w:rFonts w:ascii="Palatino Linotype" w:hAnsi="Palatino Linotype"/>
          <w:noProof/>
          <w:sz w:val="22"/>
        </w:rPr>
        <w:t>, 399–435. (doi:10.1080/10409230701648502)</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16.</w:t>
      </w:r>
      <w:r w:rsidRPr="0024147C">
        <w:rPr>
          <w:rFonts w:ascii="Palatino Linotype" w:hAnsi="Palatino Linotype"/>
          <w:noProof/>
          <w:sz w:val="22"/>
        </w:rPr>
        <w:tab/>
        <w:t xml:space="preserve">Foster, P. L. 2007 Stress-induced mutagenesis in bacteria. </w:t>
      </w:r>
      <w:r w:rsidRPr="0024147C">
        <w:rPr>
          <w:rFonts w:ascii="Palatino Linotype" w:hAnsi="Palatino Linotype"/>
          <w:i/>
          <w:iCs/>
          <w:noProof/>
          <w:sz w:val="22"/>
        </w:rPr>
        <w:t>Crit. Rev. Biochem. Mol. Biol.</w:t>
      </w:r>
      <w:r w:rsidRPr="0024147C">
        <w:rPr>
          <w:rFonts w:ascii="Palatino Linotype" w:hAnsi="Palatino Linotype"/>
          <w:noProof/>
          <w:sz w:val="22"/>
        </w:rPr>
        <w:t xml:space="preserve"> </w:t>
      </w:r>
      <w:r w:rsidRPr="0024147C">
        <w:rPr>
          <w:rFonts w:ascii="Palatino Linotype" w:hAnsi="Palatino Linotype"/>
          <w:b/>
          <w:bCs/>
          <w:noProof/>
          <w:sz w:val="22"/>
        </w:rPr>
        <w:t>42</w:t>
      </w:r>
      <w:r w:rsidRPr="0024147C">
        <w:rPr>
          <w:rFonts w:ascii="Palatino Linotype" w:hAnsi="Palatino Linotype"/>
          <w:noProof/>
          <w:sz w:val="22"/>
        </w:rPr>
        <w:t>, 373–97. (doi:10.1080/10409230701648494)</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17.</w:t>
      </w:r>
      <w:r w:rsidRPr="0024147C">
        <w:rPr>
          <w:rFonts w:ascii="Palatino Linotype" w:hAnsi="Palatino Linotype"/>
          <w:noProof/>
          <w:sz w:val="22"/>
        </w:rPr>
        <w:tab/>
        <w:t xml:space="preserve">Rosenberg, S. M., Shee, C., Frisch, R. L. &amp; Hastings, P. J. 2012 Stress-induced mutation via DNA breaks in </w:t>
      </w:r>
      <w:r w:rsidRPr="0024147C">
        <w:rPr>
          <w:rFonts w:ascii="Palatino Linotype" w:hAnsi="Palatino Linotype"/>
          <w:i/>
          <w:iCs/>
          <w:noProof/>
          <w:sz w:val="22"/>
        </w:rPr>
        <w:t>Escherichia coli</w:t>
      </w:r>
      <w:r w:rsidRPr="0024147C">
        <w:rPr>
          <w:rFonts w:ascii="Palatino Linotype" w:hAnsi="Palatino Linotype"/>
          <w:noProof/>
          <w:sz w:val="22"/>
        </w:rPr>
        <w:t xml:space="preserve">: A molecular mechanism with implications for evolution and medicine. </w:t>
      </w:r>
      <w:r w:rsidRPr="0024147C">
        <w:rPr>
          <w:rFonts w:ascii="Palatino Linotype" w:hAnsi="Palatino Linotype"/>
          <w:i/>
          <w:iCs/>
          <w:noProof/>
          <w:sz w:val="22"/>
        </w:rPr>
        <w:t>BioEssays</w:t>
      </w:r>
      <w:r w:rsidRPr="0024147C">
        <w:rPr>
          <w:rFonts w:ascii="Palatino Linotype" w:hAnsi="Palatino Linotype"/>
          <w:noProof/>
          <w:sz w:val="22"/>
        </w:rPr>
        <w:t xml:space="preserve"> , 1–8. (doi:10.1002/bies.201200050)</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18.</w:t>
      </w:r>
      <w:r w:rsidRPr="0024147C">
        <w:rPr>
          <w:rFonts w:ascii="Palatino Linotype" w:hAnsi="Palatino Linotype"/>
          <w:noProof/>
          <w:sz w:val="22"/>
        </w:rPr>
        <w:tab/>
        <w:t xml:space="preserve">Bjedov, I., Tenaillon, O., Gérard, B., Souza, V., Denamur, E., Radman, M., Taddei, F. &amp; Matic, I. 2003 Stress-induced mutagenesis in bacteria. </w:t>
      </w:r>
      <w:r w:rsidRPr="0024147C">
        <w:rPr>
          <w:rFonts w:ascii="Palatino Linotype" w:hAnsi="Palatino Linotype"/>
          <w:i/>
          <w:iCs/>
          <w:noProof/>
          <w:sz w:val="22"/>
        </w:rPr>
        <w:t>Science (80-. ).</w:t>
      </w:r>
      <w:r w:rsidRPr="0024147C">
        <w:rPr>
          <w:rFonts w:ascii="Palatino Linotype" w:hAnsi="Palatino Linotype"/>
          <w:noProof/>
          <w:sz w:val="22"/>
        </w:rPr>
        <w:t xml:space="preserve"> </w:t>
      </w:r>
      <w:r w:rsidRPr="0024147C">
        <w:rPr>
          <w:rFonts w:ascii="Palatino Linotype" w:hAnsi="Palatino Linotype"/>
          <w:b/>
          <w:bCs/>
          <w:noProof/>
          <w:sz w:val="22"/>
        </w:rPr>
        <w:t>300</w:t>
      </w:r>
      <w:r w:rsidRPr="0024147C">
        <w:rPr>
          <w:rFonts w:ascii="Palatino Linotype" w:hAnsi="Palatino Linotype"/>
          <w:noProof/>
          <w:sz w:val="22"/>
        </w:rPr>
        <w:t>, 1404–9. (doi:10.1126/science.1082240)</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19.</w:t>
      </w:r>
      <w:r w:rsidRPr="0024147C">
        <w:rPr>
          <w:rFonts w:ascii="Palatino Linotype" w:hAnsi="Palatino Linotype"/>
          <w:noProof/>
          <w:sz w:val="22"/>
        </w:rPr>
        <w:tab/>
        <w:t xml:space="preserve">Katz, S. &amp; Hershberg, R. 2013 Elevated mutagenesis does not explain the increased frequency of antibiotic resistant mutants in starved aging colonies. </w:t>
      </w:r>
      <w:r w:rsidRPr="0024147C">
        <w:rPr>
          <w:rFonts w:ascii="Palatino Linotype" w:hAnsi="Palatino Linotype"/>
          <w:i/>
          <w:iCs/>
          <w:noProof/>
          <w:sz w:val="22"/>
        </w:rPr>
        <w:t>PLoS Genet.</w:t>
      </w:r>
      <w:r w:rsidRPr="0024147C">
        <w:rPr>
          <w:rFonts w:ascii="Palatino Linotype" w:hAnsi="Palatino Linotype"/>
          <w:noProof/>
          <w:sz w:val="22"/>
        </w:rPr>
        <w:t xml:space="preserve"> </w:t>
      </w:r>
      <w:r w:rsidRPr="0024147C">
        <w:rPr>
          <w:rFonts w:ascii="Palatino Linotype" w:hAnsi="Palatino Linotype"/>
          <w:b/>
          <w:bCs/>
          <w:noProof/>
          <w:sz w:val="22"/>
        </w:rPr>
        <w:t>9</w:t>
      </w:r>
      <w:r w:rsidRPr="0024147C">
        <w:rPr>
          <w:rFonts w:ascii="Palatino Linotype" w:hAnsi="Palatino Linotype"/>
          <w:noProof/>
          <w:sz w:val="22"/>
        </w:rPr>
        <w:t>, e1003968. (doi:10.1371/journal.pgen.1003968)</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20.</w:t>
      </w:r>
      <w:r w:rsidRPr="0024147C">
        <w:rPr>
          <w:rFonts w:ascii="Palatino Linotype" w:hAnsi="Palatino Linotype"/>
          <w:noProof/>
          <w:sz w:val="22"/>
        </w:rPr>
        <w:tab/>
        <w:t xml:space="preserve">Kivisaar, M. 2010 Mechanisms of stationary-phase mutagenesis in bacteria: mutational processes in pseudomonads. </w:t>
      </w:r>
      <w:r w:rsidRPr="0024147C">
        <w:rPr>
          <w:rFonts w:ascii="Palatino Linotype" w:hAnsi="Palatino Linotype"/>
          <w:i/>
          <w:iCs/>
          <w:noProof/>
          <w:sz w:val="22"/>
        </w:rPr>
        <w:t>FEMS Microbiol. Lett.</w:t>
      </w:r>
      <w:r w:rsidRPr="0024147C">
        <w:rPr>
          <w:rFonts w:ascii="Palatino Linotype" w:hAnsi="Palatino Linotype"/>
          <w:noProof/>
          <w:sz w:val="22"/>
        </w:rPr>
        <w:t xml:space="preserve"> </w:t>
      </w:r>
      <w:r w:rsidRPr="0024147C">
        <w:rPr>
          <w:rFonts w:ascii="Palatino Linotype" w:hAnsi="Palatino Linotype"/>
          <w:b/>
          <w:bCs/>
          <w:noProof/>
          <w:sz w:val="22"/>
        </w:rPr>
        <w:t>312</w:t>
      </w:r>
      <w:r w:rsidRPr="0024147C">
        <w:rPr>
          <w:rFonts w:ascii="Palatino Linotype" w:hAnsi="Palatino Linotype"/>
          <w:noProof/>
          <w:sz w:val="22"/>
        </w:rPr>
        <w:t>, 1–14. (doi:10.1111/j.1574-6968.2010.02027.x)</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21.</w:t>
      </w:r>
      <w:r w:rsidRPr="0024147C">
        <w:rPr>
          <w:rFonts w:ascii="Palatino Linotype" w:hAnsi="Palatino Linotype"/>
          <w:noProof/>
          <w:sz w:val="22"/>
        </w:rPr>
        <w:tab/>
        <w:t xml:space="preserve">Kang, J. M., Iovine, N. M. &amp; Blaser, M. J. 2006 A paradigm for direct stress-induced mutation in prokaryotes. </w:t>
      </w:r>
      <w:r w:rsidRPr="0024147C">
        <w:rPr>
          <w:rFonts w:ascii="Palatino Linotype" w:hAnsi="Palatino Linotype"/>
          <w:i/>
          <w:iCs/>
          <w:noProof/>
          <w:sz w:val="22"/>
        </w:rPr>
        <w:t>FASEB J.</w:t>
      </w:r>
      <w:r w:rsidRPr="0024147C">
        <w:rPr>
          <w:rFonts w:ascii="Palatino Linotype" w:hAnsi="Palatino Linotype"/>
          <w:noProof/>
          <w:sz w:val="22"/>
        </w:rPr>
        <w:t xml:space="preserve"> </w:t>
      </w:r>
      <w:r w:rsidRPr="0024147C">
        <w:rPr>
          <w:rFonts w:ascii="Palatino Linotype" w:hAnsi="Palatino Linotype"/>
          <w:b/>
          <w:bCs/>
          <w:noProof/>
          <w:sz w:val="22"/>
        </w:rPr>
        <w:t>20</w:t>
      </w:r>
      <w:r w:rsidRPr="0024147C">
        <w:rPr>
          <w:rFonts w:ascii="Palatino Linotype" w:hAnsi="Palatino Linotype"/>
          <w:noProof/>
          <w:sz w:val="22"/>
        </w:rPr>
        <w:t>, 2476–85. (doi:10.1096/fj.06-6209com)</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22.</w:t>
      </w:r>
      <w:r w:rsidRPr="0024147C">
        <w:rPr>
          <w:rFonts w:ascii="Palatino Linotype" w:hAnsi="Palatino Linotype"/>
          <w:noProof/>
          <w:sz w:val="22"/>
        </w:rPr>
        <w:tab/>
        <w:t xml:space="preserve">Baharoglu, Z. &amp; Mazel, D. 2011 </w:t>
      </w:r>
      <w:r w:rsidRPr="0024147C">
        <w:rPr>
          <w:rFonts w:ascii="Palatino Linotype" w:hAnsi="Palatino Linotype"/>
          <w:i/>
          <w:iCs/>
          <w:noProof/>
          <w:sz w:val="22"/>
        </w:rPr>
        <w:t>Vibrio cholerae</w:t>
      </w:r>
      <w:r w:rsidRPr="0024147C">
        <w:rPr>
          <w:rFonts w:ascii="Palatino Linotype" w:hAnsi="Palatino Linotype"/>
          <w:noProof/>
          <w:sz w:val="22"/>
        </w:rPr>
        <w:t xml:space="preserve"> triggers SOS and mutagenesis in response to a wide range of antibiotics: a route towards multiresistance. </w:t>
      </w:r>
      <w:r w:rsidRPr="0024147C">
        <w:rPr>
          <w:rFonts w:ascii="Palatino Linotype" w:hAnsi="Palatino Linotype"/>
          <w:i/>
          <w:iCs/>
          <w:noProof/>
          <w:sz w:val="22"/>
        </w:rPr>
        <w:t>Antimicrob. Agents Chemother.</w:t>
      </w:r>
      <w:r w:rsidRPr="0024147C">
        <w:rPr>
          <w:rFonts w:ascii="Palatino Linotype" w:hAnsi="Palatino Linotype"/>
          <w:noProof/>
          <w:sz w:val="22"/>
        </w:rPr>
        <w:t xml:space="preserve"> </w:t>
      </w:r>
      <w:r w:rsidRPr="0024147C">
        <w:rPr>
          <w:rFonts w:ascii="Palatino Linotype" w:hAnsi="Palatino Linotype"/>
          <w:b/>
          <w:bCs/>
          <w:noProof/>
          <w:sz w:val="22"/>
        </w:rPr>
        <w:t>55</w:t>
      </w:r>
      <w:r w:rsidRPr="0024147C">
        <w:rPr>
          <w:rFonts w:ascii="Palatino Linotype" w:hAnsi="Palatino Linotype"/>
          <w:noProof/>
          <w:sz w:val="22"/>
        </w:rPr>
        <w:t>, 2438–41. (doi:10.1128/AAC.01549-10)</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23.</w:t>
      </w:r>
      <w:r w:rsidRPr="0024147C">
        <w:rPr>
          <w:rFonts w:ascii="Palatino Linotype" w:hAnsi="Palatino Linotype"/>
          <w:noProof/>
          <w:sz w:val="22"/>
        </w:rPr>
        <w:tab/>
        <w:t xml:space="preserve">Henderson-Begg, S. K., Livermore, D. M. &amp; Hall, L. M. C. 2006 Effect of subinhibitory concentrations of antibiotics on mutation frequency in </w:t>
      </w:r>
      <w:r w:rsidRPr="0024147C">
        <w:rPr>
          <w:rFonts w:ascii="Palatino Linotype" w:hAnsi="Palatino Linotype"/>
          <w:i/>
          <w:iCs/>
          <w:noProof/>
          <w:sz w:val="22"/>
        </w:rPr>
        <w:t>Streptococcus pneumoniae</w:t>
      </w:r>
      <w:r w:rsidRPr="0024147C">
        <w:rPr>
          <w:rFonts w:ascii="Palatino Linotype" w:hAnsi="Palatino Linotype"/>
          <w:noProof/>
          <w:sz w:val="22"/>
        </w:rPr>
        <w:t xml:space="preserve">. </w:t>
      </w:r>
      <w:r w:rsidRPr="0024147C">
        <w:rPr>
          <w:rFonts w:ascii="Palatino Linotype" w:hAnsi="Palatino Linotype"/>
          <w:i/>
          <w:iCs/>
          <w:noProof/>
          <w:sz w:val="22"/>
        </w:rPr>
        <w:t>J. Antimicrob. Chemother.</w:t>
      </w:r>
      <w:r w:rsidRPr="0024147C">
        <w:rPr>
          <w:rFonts w:ascii="Palatino Linotype" w:hAnsi="Palatino Linotype"/>
          <w:noProof/>
          <w:sz w:val="22"/>
        </w:rPr>
        <w:t xml:space="preserve"> </w:t>
      </w:r>
      <w:r w:rsidRPr="0024147C">
        <w:rPr>
          <w:rFonts w:ascii="Palatino Linotype" w:hAnsi="Palatino Linotype"/>
          <w:b/>
          <w:bCs/>
          <w:noProof/>
          <w:sz w:val="22"/>
        </w:rPr>
        <w:t>57</w:t>
      </w:r>
      <w:r w:rsidRPr="0024147C">
        <w:rPr>
          <w:rFonts w:ascii="Palatino Linotype" w:hAnsi="Palatino Linotype"/>
          <w:noProof/>
          <w:sz w:val="22"/>
        </w:rPr>
        <w:t>, 849–54. (doi:10.1093/jac/dkl064)</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24.</w:t>
      </w:r>
      <w:r w:rsidRPr="0024147C">
        <w:rPr>
          <w:rFonts w:ascii="Palatino Linotype" w:hAnsi="Palatino Linotype"/>
          <w:noProof/>
          <w:sz w:val="22"/>
        </w:rPr>
        <w:tab/>
        <w:t xml:space="preserve">Heidenreich, E. 2007 Adaptive mutation in </w:t>
      </w:r>
      <w:r w:rsidRPr="0024147C">
        <w:rPr>
          <w:rFonts w:ascii="Palatino Linotype" w:hAnsi="Palatino Linotype"/>
          <w:i/>
          <w:iCs/>
          <w:noProof/>
          <w:sz w:val="22"/>
        </w:rPr>
        <w:t>Saccharomyces cerevisiae</w:t>
      </w:r>
      <w:r w:rsidRPr="0024147C">
        <w:rPr>
          <w:rFonts w:ascii="Palatino Linotype" w:hAnsi="Palatino Linotype"/>
          <w:noProof/>
          <w:sz w:val="22"/>
        </w:rPr>
        <w:t xml:space="preserve">. </w:t>
      </w:r>
      <w:r w:rsidRPr="0024147C">
        <w:rPr>
          <w:rFonts w:ascii="Palatino Linotype" w:hAnsi="Palatino Linotype"/>
          <w:i/>
          <w:iCs/>
          <w:noProof/>
          <w:sz w:val="22"/>
        </w:rPr>
        <w:t>Crit. Rev. Biochem. Mol. Biol.</w:t>
      </w:r>
      <w:r w:rsidRPr="0024147C">
        <w:rPr>
          <w:rFonts w:ascii="Palatino Linotype" w:hAnsi="Palatino Linotype"/>
          <w:noProof/>
          <w:sz w:val="22"/>
        </w:rPr>
        <w:t xml:space="preserve"> </w:t>
      </w:r>
      <w:r w:rsidRPr="0024147C">
        <w:rPr>
          <w:rFonts w:ascii="Palatino Linotype" w:hAnsi="Palatino Linotype"/>
          <w:b/>
          <w:bCs/>
          <w:noProof/>
          <w:sz w:val="22"/>
        </w:rPr>
        <w:t>42</w:t>
      </w:r>
      <w:r w:rsidRPr="0024147C">
        <w:rPr>
          <w:rFonts w:ascii="Palatino Linotype" w:hAnsi="Palatino Linotype"/>
          <w:noProof/>
          <w:sz w:val="22"/>
        </w:rPr>
        <w:t>, 285–311. (doi:10.1080/10409230701507773)</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lastRenderedPageBreak/>
        <w:t>25.</w:t>
      </w:r>
      <w:r w:rsidRPr="0024147C">
        <w:rPr>
          <w:rFonts w:ascii="Palatino Linotype" w:hAnsi="Palatino Linotype"/>
          <w:noProof/>
          <w:sz w:val="22"/>
        </w:rPr>
        <w:tab/>
        <w:t xml:space="preserve">Rodriguez, G. P., Romanova, N. V, Bao, G., Rouf, N. C., Kow, Y. W. &amp; Crouse, G. F. 2012 Mismatch repair-dependent mutagenesis in nondividing cells. </w:t>
      </w:r>
      <w:r w:rsidRPr="0024147C">
        <w:rPr>
          <w:rFonts w:ascii="Palatino Linotype" w:hAnsi="Palatino Linotype"/>
          <w:i/>
          <w:iCs/>
          <w:noProof/>
          <w:sz w:val="22"/>
        </w:rPr>
        <w:t>Proc. Natl. Acad. Sci.</w:t>
      </w:r>
      <w:r w:rsidRPr="0024147C">
        <w:rPr>
          <w:rFonts w:ascii="Palatino Linotype" w:hAnsi="Palatino Linotype"/>
          <w:noProof/>
          <w:sz w:val="22"/>
        </w:rPr>
        <w:t xml:space="preserve"> </w:t>
      </w:r>
      <w:r w:rsidRPr="0024147C">
        <w:rPr>
          <w:rFonts w:ascii="Palatino Linotype" w:hAnsi="Palatino Linotype"/>
          <w:b/>
          <w:bCs/>
          <w:noProof/>
          <w:sz w:val="22"/>
        </w:rPr>
        <w:t>109</w:t>
      </w:r>
      <w:r w:rsidRPr="0024147C">
        <w:rPr>
          <w:rFonts w:ascii="Palatino Linotype" w:hAnsi="Palatino Linotype"/>
          <w:noProof/>
          <w:sz w:val="22"/>
        </w:rPr>
        <w:t xml:space="preserve">, 6153–8.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26.</w:t>
      </w:r>
      <w:r w:rsidRPr="0024147C">
        <w:rPr>
          <w:rFonts w:ascii="Palatino Linotype" w:hAnsi="Palatino Linotype"/>
          <w:noProof/>
          <w:sz w:val="22"/>
        </w:rPr>
        <w:tab/>
        <w:t xml:space="preserve">Goho, S. &amp; Bell, G. 2000 Mild environmental stress elicits mutations affecting fitness in Chlamydomonas. </w:t>
      </w:r>
      <w:r w:rsidRPr="0024147C">
        <w:rPr>
          <w:rFonts w:ascii="Palatino Linotype" w:hAnsi="Palatino Linotype"/>
          <w:i/>
          <w:iCs/>
          <w:noProof/>
          <w:sz w:val="22"/>
        </w:rPr>
        <w:t>Proc. R. Soc. B Biol. Sci.</w:t>
      </w:r>
      <w:r w:rsidRPr="0024147C">
        <w:rPr>
          <w:rFonts w:ascii="Palatino Linotype" w:hAnsi="Palatino Linotype"/>
          <w:noProof/>
          <w:sz w:val="22"/>
        </w:rPr>
        <w:t xml:space="preserve"> </w:t>
      </w:r>
      <w:r w:rsidRPr="0024147C">
        <w:rPr>
          <w:rFonts w:ascii="Palatino Linotype" w:hAnsi="Palatino Linotype"/>
          <w:b/>
          <w:bCs/>
          <w:noProof/>
          <w:sz w:val="22"/>
        </w:rPr>
        <w:t>267</w:t>
      </w:r>
      <w:r w:rsidRPr="0024147C">
        <w:rPr>
          <w:rFonts w:ascii="Palatino Linotype" w:hAnsi="Palatino Linotype"/>
          <w:noProof/>
          <w:sz w:val="22"/>
        </w:rPr>
        <w:t>, 123–9. (doi:10.1098/rspb.2000.0976)</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27.</w:t>
      </w:r>
      <w:r w:rsidRPr="0024147C">
        <w:rPr>
          <w:rFonts w:ascii="Palatino Linotype" w:hAnsi="Palatino Linotype"/>
          <w:noProof/>
          <w:sz w:val="22"/>
        </w:rPr>
        <w:tab/>
        <w:t xml:space="preserve">Matsuba, C., Ostrow, D. G., Salomon, M. P., Tolani, A. &amp; Baer, C. F. 2012 Temperature, stress and spontaneous mutation in </w:t>
      </w:r>
      <w:r w:rsidRPr="0024147C">
        <w:rPr>
          <w:rFonts w:ascii="Palatino Linotype" w:hAnsi="Palatino Linotype"/>
          <w:i/>
          <w:iCs/>
          <w:noProof/>
          <w:sz w:val="22"/>
        </w:rPr>
        <w:t>Caenorhabditis briggsae</w:t>
      </w:r>
      <w:r w:rsidRPr="0024147C">
        <w:rPr>
          <w:rFonts w:ascii="Palatino Linotype" w:hAnsi="Palatino Linotype"/>
          <w:noProof/>
          <w:sz w:val="22"/>
        </w:rPr>
        <w:t xml:space="preserve"> and </w:t>
      </w:r>
      <w:r w:rsidRPr="0024147C">
        <w:rPr>
          <w:rFonts w:ascii="Palatino Linotype" w:hAnsi="Palatino Linotype"/>
          <w:i/>
          <w:iCs/>
          <w:noProof/>
          <w:sz w:val="22"/>
        </w:rPr>
        <w:t>Caenorhabditis elegans</w:t>
      </w:r>
      <w:r w:rsidRPr="0024147C">
        <w:rPr>
          <w:rFonts w:ascii="Palatino Linotype" w:hAnsi="Palatino Linotype"/>
          <w:noProof/>
          <w:sz w:val="22"/>
        </w:rPr>
        <w:t xml:space="preserve">. </w:t>
      </w:r>
      <w:r w:rsidRPr="0024147C">
        <w:rPr>
          <w:rFonts w:ascii="Palatino Linotype" w:hAnsi="Palatino Linotype"/>
          <w:i/>
          <w:iCs/>
          <w:noProof/>
          <w:sz w:val="22"/>
        </w:rPr>
        <w:t>Biol. Lett.</w:t>
      </w:r>
      <w:r w:rsidRPr="0024147C">
        <w:rPr>
          <w:rFonts w:ascii="Palatino Linotype" w:hAnsi="Palatino Linotype"/>
          <w:noProof/>
          <w:sz w:val="22"/>
        </w:rPr>
        <w:t xml:space="preserve"> , 8–12. (doi:10.1098/rsbl.2012.0334)</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28.</w:t>
      </w:r>
      <w:r w:rsidRPr="0024147C">
        <w:rPr>
          <w:rFonts w:ascii="Palatino Linotype" w:hAnsi="Palatino Linotype"/>
          <w:noProof/>
          <w:sz w:val="22"/>
        </w:rPr>
        <w:tab/>
        <w:t xml:space="preserve">Sharp, N. P. &amp; Agrawal, A. F. 2012 Evidence for elevated mutation rates in low-quality genotypes. </w:t>
      </w:r>
      <w:r w:rsidRPr="0024147C">
        <w:rPr>
          <w:rFonts w:ascii="Palatino Linotype" w:hAnsi="Palatino Linotype"/>
          <w:i/>
          <w:iCs/>
          <w:noProof/>
          <w:sz w:val="22"/>
        </w:rPr>
        <w:t>Proc. Natl. Acad. Sci.</w:t>
      </w:r>
      <w:r w:rsidRPr="0024147C">
        <w:rPr>
          <w:rFonts w:ascii="Palatino Linotype" w:hAnsi="Palatino Linotype"/>
          <w:noProof/>
          <w:sz w:val="22"/>
        </w:rPr>
        <w:t xml:space="preserve"> </w:t>
      </w:r>
      <w:r w:rsidRPr="0024147C">
        <w:rPr>
          <w:rFonts w:ascii="Palatino Linotype" w:hAnsi="Palatino Linotype"/>
          <w:b/>
          <w:bCs/>
          <w:noProof/>
          <w:sz w:val="22"/>
        </w:rPr>
        <w:t>109</w:t>
      </w:r>
      <w:r w:rsidRPr="0024147C">
        <w:rPr>
          <w:rFonts w:ascii="Palatino Linotype" w:hAnsi="Palatino Linotype"/>
          <w:noProof/>
          <w:sz w:val="22"/>
        </w:rPr>
        <w:t>, 6142–6. (doi:10.1073/pnas.1118918109)</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29.</w:t>
      </w:r>
      <w:r w:rsidRPr="0024147C">
        <w:rPr>
          <w:rFonts w:ascii="Palatino Linotype" w:hAnsi="Palatino Linotype"/>
          <w:noProof/>
          <w:sz w:val="22"/>
        </w:rPr>
        <w:tab/>
        <w:t xml:space="preserve">Bristow, R. G. &amp; Hill, R. P. 2008 Hypoxia and metabolism: Hypoxia, DNA repair and genetic instability. </w:t>
      </w:r>
      <w:r w:rsidRPr="0024147C">
        <w:rPr>
          <w:rFonts w:ascii="Palatino Linotype" w:hAnsi="Palatino Linotype"/>
          <w:i/>
          <w:iCs/>
          <w:noProof/>
          <w:sz w:val="22"/>
        </w:rPr>
        <w:t>Nat. Rev. Cancer</w:t>
      </w:r>
      <w:r w:rsidRPr="0024147C">
        <w:rPr>
          <w:rFonts w:ascii="Palatino Linotype" w:hAnsi="Palatino Linotype"/>
          <w:noProof/>
          <w:sz w:val="22"/>
        </w:rPr>
        <w:t xml:space="preserve"> </w:t>
      </w:r>
      <w:r w:rsidRPr="0024147C">
        <w:rPr>
          <w:rFonts w:ascii="Palatino Linotype" w:hAnsi="Palatino Linotype"/>
          <w:b/>
          <w:bCs/>
          <w:noProof/>
          <w:sz w:val="22"/>
        </w:rPr>
        <w:t>8</w:t>
      </w:r>
      <w:r w:rsidRPr="0024147C">
        <w:rPr>
          <w:rFonts w:ascii="Palatino Linotype" w:hAnsi="Palatino Linotype"/>
          <w:noProof/>
          <w:sz w:val="22"/>
        </w:rPr>
        <w:t>, 180–92. (doi:10.1038/nrc2344)</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30.</w:t>
      </w:r>
      <w:r w:rsidRPr="0024147C">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24147C">
        <w:rPr>
          <w:rFonts w:ascii="Palatino Linotype" w:hAnsi="Palatino Linotype"/>
          <w:i/>
          <w:iCs/>
          <w:noProof/>
          <w:sz w:val="22"/>
        </w:rPr>
        <w:t>Mol. Cell</w:t>
      </w:r>
      <w:r w:rsidRPr="0024147C">
        <w:rPr>
          <w:rFonts w:ascii="Palatino Linotype" w:hAnsi="Palatino Linotype"/>
          <w:noProof/>
          <w:sz w:val="22"/>
        </w:rPr>
        <w:t xml:space="preserve"> </w:t>
      </w:r>
      <w:r w:rsidRPr="0024147C">
        <w:rPr>
          <w:rFonts w:ascii="Palatino Linotype" w:hAnsi="Palatino Linotype"/>
          <w:b/>
          <w:bCs/>
          <w:noProof/>
          <w:sz w:val="22"/>
        </w:rPr>
        <w:t>19</w:t>
      </w:r>
      <w:r w:rsidRPr="0024147C">
        <w:rPr>
          <w:rFonts w:ascii="Palatino Linotype" w:hAnsi="Palatino Linotype"/>
          <w:noProof/>
          <w:sz w:val="22"/>
        </w:rPr>
        <w:t>, 791–804. (doi:10.1016/j.molcel.2005.07.025)</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31.</w:t>
      </w:r>
      <w:r w:rsidRPr="0024147C">
        <w:rPr>
          <w:rFonts w:ascii="Palatino Linotype" w:hAnsi="Palatino Linotype"/>
          <w:noProof/>
          <w:sz w:val="22"/>
        </w:rPr>
        <w:tab/>
        <w:t xml:space="preserve">Debora, B. N., Vidales, L. E., Ramírez, R., Ramírez, M., Robleto, E. A., Yasbin, R. E. &amp; Pedraza-Reyes, M. 2010 Mismatch Repair Modulation of MutY Activity Drives </w:t>
      </w:r>
      <w:r w:rsidRPr="0024147C">
        <w:rPr>
          <w:rFonts w:ascii="Palatino Linotype" w:hAnsi="Palatino Linotype"/>
          <w:i/>
          <w:iCs/>
          <w:noProof/>
          <w:sz w:val="22"/>
        </w:rPr>
        <w:t>Bacillus subtilis</w:t>
      </w:r>
      <w:r w:rsidRPr="0024147C">
        <w:rPr>
          <w:rFonts w:ascii="Palatino Linotype" w:hAnsi="Palatino Linotype"/>
          <w:noProof/>
          <w:sz w:val="22"/>
        </w:rPr>
        <w:t xml:space="preserve"> Stationary-Phase Mutagenesis. </w:t>
      </w:r>
      <w:r w:rsidRPr="0024147C">
        <w:rPr>
          <w:rFonts w:ascii="Palatino Linotype" w:hAnsi="Palatino Linotype"/>
          <w:i/>
          <w:iCs/>
          <w:noProof/>
          <w:sz w:val="22"/>
        </w:rPr>
        <w:t>J. Bacteriol.</w:t>
      </w:r>
      <w:r w:rsidRPr="0024147C">
        <w:rPr>
          <w:rFonts w:ascii="Palatino Linotype" w:hAnsi="Palatino Linotype"/>
          <w:noProof/>
          <w:sz w:val="22"/>
        </w:rPr>
        <w:t xml:space="preserve"> </w:t>
      </w:r>
      <w:r w:rsidRPr="0024147C">
        <w:rPr>
          <w:rFonts w:ascii="Palatino Linotype" w:hAnsi="Palatino Linotype"/>
          <w:b/>
          <w:bCs/>
          <w:noProof/>
          <w:sz w:val="22"/>
        </w:rPr>
        <w:t>193</w:t>
      </w:r>
      <w:r w:rsidRPr="0024147C">
        <w:rPr>
          <w:rFonts w:ascii="Palatino Linotype" w:hAnsi="Palatino Linotype"/>
          <w:noProof/>
          <w:sz w:val="22"/>
        </w:rPr>
        <w:t>, 236–45. (doi:10.1128/JB.00940-10)</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32.</w:t>
      </w:r>
      <w:r w:rsidRPr="0024147C">
        <w:rPr>
          <w:rFonts w:ascii="Palatino Linotype" w:hAnsi="Palatino Linotype"/>
          <w:noProof/>
          <w:sz w:val="22"/>
        </w:rPr>
        <w:tab/>
        <w:t xml:space="preserve">Al Mamun, A. A. M. et al. 2012 Identity and function of a large gene network underlying mutagenic repair of DNA breaks. </w:t>
      </w:r>
      <w:r w:rsidRPr="0024147C">
        <w:rPr>
          <w:rFonts w:ascii="Palatino Linotype" w:hAnsi="Palatino Linotype"/>
          <w:i/>
          <w:iCs/>
          <w:noProof/>
          <w:sz w:val="22"/>
        </w:rPr>
        <w:t>Science (80-. ).</w:t>
      </w:r>
      <w:r w:rsidRPr="0024147C">
        <w:rPr>
          <w:rFonts w:ascii="Palatino Linotype" w:hAnsi="Palatino Linotype"/>
          <w:noProof/>
          <w:sz w:val="22"/>
        </w:rPr>
        <w:t xml:space="preserve"> </w:t>
      </w:r>
      <w:r w:rsidRPr="0024147C">
        <w:rPr>
          <w:rFonts w:ascii="Palatino Linotype" w:hAnsi="Palatino Linotype"/>
          <w:b/>
          <w:bCs/>
          <w:noProof/>
          <w:sz w:val="22"/>
        </w:rPr>
        <w:t>338</w:t>
      </w:r>
      <w:r w:rsidRPr="0024147C">
        <w:rPr>
          <w:rFonts w:ascii="Palatino Linotype" w:hAnsi="Palatino Linotype"/>
          <w:noProof/>
          <w:sz w:val="22"/>
        </w:rPr>
        <w:t>, 1344–8. (doi:10.1126/science.1226683)</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33.</w:t>
      </w:r>
      <w:r w:rsidRPr="0024147C">
        <w:rPr>
          <w:rFonts w:ascii="Palatino Linotype" w:hAnsi="Palatino Linotype"/>
          <w:noProof/>
          <w:sz w:val="22"/>
        </w:rPr>
        <w:tab/>
        <w:t xml:space="preserve">Tenaillon, O., Denamur, E. &amp; Matic, I. 2004 Evolutionary significance of stress-induced mutagenesis in bacteria. </w:t>
      </w:r>
      <w:r w:rsidRPr="0024147C">
        <w:rPr>
          <w:rFonts w:ascii="Palatino Linotype" w:hAnsi="Palatino Linotype"/>
          <w:i/>
          <w:iCs/>
          <w:noProof/>
          <w:sz w:val="22"/>
        </w:rPr>
        <w:t>Trends Microbiol.</w:t>
      </w:r>
      <w:r w:rsidRPr="0024147C">
        <w:rPr>
          <w:rFonts w:ascii="Palatino Linotype" w:hAnsi="Palatino Linotype"/>
          <w:noProof/>
          <w:sz w:val="22"/>
        </w:rPr>
        <w:t xml:space="preserve"> </w:t>
      </w:r>
      <w:r w:rsidRPr="0024147C">
        <w:rPr>
          <w:rFonts w:ascii="Palatino Linotype" w:hAnsi="Palatino Linotype"/>
          <w:b/>
          <w:bCs/>
          <w:noProof/>
          <w:sz w:val="22"/>
        </w:rPr>
        <w:t>12</w:t>
      </w:r>
      <w:r w:rsidRPr="0024147C">
        <w:rPr>
          <w:rFonts w:ascii="Palatino Linotype" w:hAnsi="Palatino Linotype"/>
          <w:noProof/>
          <w:sz w:val="22"/>
        </w:rPr>
        <w:t>, 264–70. (doi:10.1016/j.tim.2004.04.002)</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34.</w:t>
      </w:r>
      <w:r w:rsidRPr="0024147C">
        <w:rPr>
          <w:rFonts w:ascii="Palatino Linotype" w:hAnsi="Palatino Linotype"/>
          <w:noProof/>
          <w:sz w:val="22"/>
        </w:rPr>
        <w:tab/>
        <w:t xml:space="preserve">Cirz, R. T. &amp; Romesberg, F. E. 2007 Controlling mutation: intervening in evolution as a therapeutic strategy. </w:t>
      </w:r>
      <w:r w:rsidRPr="0024147C">
        <w:rPr>
          <w:rFonts w:ascii="Palatino Linotype" w:hAnsi="Palatino Linotype"/>
          <w:i/>
          <w:iCs/>
          <w:noProof/>
          <w:sz w:val="22"/>
        </w:rPr>
        <w:t>Crit. Rev. Biochem. Mol. Biol.</w:t>
      </w:r>
      <w:r w:rsidRPr="0024147C">
        <w:rPr>
          <w:rFonts w:ascii="Palatino Linotype" w:hAnsi="Palatino Linotype"/>
          <w:noProof/>
          <w:sz w:val="22"/>
        </w:rPr>
        <w:t xml:space="preserve"> </w:t>
      </w:r>
      <w:r w:rsidRPr="0024147C">
        <w:rPr>
          <w:rFonts w:ascii="Palatino Linotype" w:hAnsi="Palatino Linotype"/>
          <w:b/>
          <w:bCs/>
          <w:noProof/>
          <w:sz w:val="22"/>
        </w:rPr>
        <w:t>42</w:t>
      </w:r>
      <w:r w:rsidRPr="0024147C">
        <w:rPr>
          <w:rFonts w:ascii="Palatino Linotype" w:hAnsi="Palatino Linotype"/>
          <w:noProof/>
          <w:sz w:val="22"/>
        </w:rPr>
        <w:t>, 341–54. (doi:10.1080/10409230701597741)</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35.</w:t>
      </w:r>
      <w:r w:rsidRPr="0024147C">
        <w:rPr>
          <w:rFonts w:ascii="Palatino Linotype" w:hAnsi="Palatino Linotype"/>
          <w:noProof/>
          <w:sz w:val="22"/>
        </w:rPr>
        <w:tab/>
        <w:t xml:space="preserve">Agrawal, A. F. 2002 Genetic loads under fitness-dependent mutation rates. </w:t>
      </w:r>
      <w:r w:rsidRPr="0024147C">
        <w:rPr>
          <w:rFonts w:ascii="Palatino Linotype" w:hAnsi="Palatino Linotype"/>
          <w:i/>
          <w:iCs/>
          <w:noProof/>
          <w:sz w:val="22"/>
        </w:rPr>
        <w:t>J. Evol. Biol.</w:t>
      </w:r>
      <w:r w:rsidRPr="0024147C">
        <w:rPr>
          <w:rFonts w:ascii="Palatino Linotype" w:hAnsi="Palatino Linotype"/>
          <w:noProof/>
          <w:sz w:val="22"/>
        </w:rPr>
        <w:t xml:space="preserve"> </w:t>
      </w:r>
      <w:r w:rsidRPr="0024147C">
        <w:rPr>
          <w:rFonts w:ascii="Palatino Linotype" w:hAnsi="Palatino Linotype"/>
          <w:b/>
          <w:bCs/>
          <w:noProof/>
          <w:sz w:val="22"/>
        </w:rPr>
        <w:t>15</w:t>
      </w:r>
      <w:r w:rsidRPr="0024147C">
        <w:rPr>
          <w:rFonts w:ascii="Palatino Linotype" w:hAnsi="Palatino Linotype"/>
          <w:noProof/>
          <w:sz w:val="22"/>
        </w:rPr>
        <w:t>, 1004–1010. (doi:10.1046/j.1420-9101.2002.00464.x)</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36.</w:t>
      </w:r>
      <w:r w:rsidRPr="0024147C">
        <w:rPr>
          <w:rFonts w:ascii="Palatino Linotype" w:hAnsi="Palatino Linotype"/>
          <w:noProof/>
          <w:sz w:val="22"/>
        </w:rPr>
        <w:tab/>
        <w:t xml:space="preserve">Shaw, F. H. &amp; Baer, C. F. 2011 Fitness-dependent mutation rates in finite populations. </w:t>
      </w:r>
      <w:r w:rsidRPr="0024147C">
        <w:rPr>
          <w:rFonts w:ascii="Palatino Linotype" w:hAnsi="Palatino Linotype"/>
          <w:i/>
          <w:iCs/>
          <w:noProof/>
          <w:sz w:val="22"/>
        </w:rPr>
        <w:t>J. Evol. Biol.</w:t>
      </w:r>
      <w:r w:rsidRPr="0024147C">
        <w:rPr>
          <w:rFonts w:ascii="Palatino Linotype" w:hAnsi="Palatino Linotype"/>
          <w:noProof/>
          <w:sz w:val="22"/>
        </w:rPr>
        <w:t xml:space="preserve"> </w:t>
      </w:r>
      <w:r w:rsidRPr="0024147C">
        <w:rPr>
          <w:rFonts w:ascii="Palatino Linotype" w:hAnsi="Palatino Linotype"/>
          <w:b/>
          <w:bCs/>
          <w:noProof/>
          <w:sz w:val="22"/>
        </w:rPr>
        <w:t>24</w:t>
      </w:r>
      <w:r w:rsidRPr="0024147C">
        <w:rPr>
          <w:rFonts w:ascii="Palatino Linotype" w:hAnsi="Palatino Linotype"/>
          <w:noProof/>
          <w:sz w:val="22"/>
        </w:rPr>
        <w:t>, 1677–84. (doi:10.1111/j.1420-9101.2011.02320.x)</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lastRenderedPageBreak/>
        <w:t>37.</w:t>
      </w:r>
      <w:r w:rsidRPr="0024147C">
        <w:rPr>
          <w:rFonts w:ascii="Palatino Linotype" w:hAnsi="Palatino Linotype"/>
          <w:noProof/>
          <w:sz w:val="22"/>
        </w:rPr>
        <w:tab/>
        <w:t xml:space="preserve">Ram, Y. &amp; Hadany, L. 2012 The evolution of stress-induced hypermutation in asexual populations. </w:t>
      </w:r>
      <w:r w:rsidRPr="0024147C">
        <w:rPr>
          <w:rFonts w:ascii="Palatino Linotype" w:hAnsi="Palatino Linotype"/>
          <w:i/>
          <w:iCs/>
          <w:noProof/>
          <w:sz w:val="22"/>
        </w:rPr>
        <w:t>Evolution</w:t>
      </w:r>
      <w:r w:rsidRPr="0024147C">
        <w:rPr>
          <w:rFonts w:ascii="Palatino Linotype" w:hAnsi="Palatino Linotype"/>
          <w:noProof/>
          <w:sz w:val="22"/>
        </w:rPr>
        <w:t xml:space="preserve"> </w:t>
      </w:r>
      <w:r w:rsidRPr="0024147C">
        <w:rPr>
          <w:rFonts w:ascii="Palatino Linotype" w:hAnsi="Palatino Linotype"/>
          <w:b/>
          <w:bCs/>
          <w:noProof/>
          <w:sz w:val="22"/>
        </w:rPr>
        <w:t>66</w:t>
      </w:r>
      <w:r w:rsidRPr="0024147C">
        <w:rPr>
          <w:rFonts w:ascii="Palatino Linotype" w:hAnsi="Palatino Linotype"/>
          <w:noProof/>
          <w:sz w:val="22"/>
        </w:rPr>
        <w:t>, 2315–28. (doi:10.1111/j.1558-5646.2012.01576.x)</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38.</w:t>
      </w:r>
      <w:r w:rsidRPr="0024147C">
        <w:rPr>
          <w:rFonts w:ascii="Palatino Linotype" w:hAnsi="Palatino Linotype"/>
          <w:noProof/>
          <w:sz w:val="22"/>
        </w:rPr>
        <w:tab/>
        <w:t xml:space="preserve">Wright, S. 1931 Evolution in Mendelian Populations. </w:t>
      </w:r>
      <w:r w:rsidRPr="0024147C">
        <w:rPr>
          <w:rFonts w:ascii="Palatino Linotype" w:hAnsi="Palatino Linotype"/>
          <w:i/>
          <w:iCs/>
          <w:noProof/>
          <w:sz w:val="22"/>
        </w:rPr>
        <w:t>Genetics</w:t>
      </w:r>
      <w:r w:rsidRPr="0024147C">
        <w:rPr>
          <w:rFonts w:ascii="Palatino Linotype" w:hAnsi="Palatino Linotype"/>
          <w:noProof/>
          <w:sz w:val="22"/>
        </w:rPr>
        <w:t xml:space="preserve"> </w:t>
      </w:r>
      <w:r w:rsidRPr="0024147C">
        <w:rPr>
          <w:rFonts w:ascii="Palatino Linotype" w:hAnsi="Palatino Linotype"/>
          <w:b/>
          <w:bCs/>
          <w:noProof/>
          <w:sz w:val="22"/>
        </w:rPr>
        <w:t>16</w:t>
      </w:r>
      <w:r w:rsidRPr="0024147C">
        <w:rPr>
          <w:rFonts w:ascii="Palatino Linotype" w:hAnsi="Palatino Linotype"/>
          <w:noProof/>
          <w:sz w:val="22"/>
        </w:rPr>
        <w:t xml:space="preserve">, 97–159.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39.</w:t>
      </w:r>
      <w:r w:rsidRPr="0024147C">
        <w:rPr>
          <w:rFonts w:ascii="Palatino Linotype" w:hAnsi="Palatino Linotype"/>
          <w:noProof/>
          <w:sz w:val="22"/>
        </w:rPr>
        <w:tab/>
        <w:t xml:space="preserve">Wright, S. 1988 Surfaces of selective value revisited. </w:t>
      </w:r>
      <w:r w:rsidRPr="0024147C">
        <w:rPr>
          <w:rFonts w:ascii="Palatino Linotype" w:hAnsi="Palatino Linotype"/>
          <w:i/>
          <w:iCs/>
          <w:noProof/>
          <w:sz w:val="22"/>
        </w:rPr>
        <w:t>Am. Nat.</w:t>
      </w:r>
      <w:r w:rsidRPr="0024147C">
        <w:rPr>
          <w:rFonts w:ascii="Palatino Linotype" w:hAnsi="Palatino Linotype"/>
          <w:noProof/>
          <w:sz w:val="22"/>
        </w:rPr>
        <w:t xml:space="preserve"> </w:t>
      </w:r>
      <w:r w:rsidRPr="0024147C">
        <w:rPr>
          <w:rFonts w:ascii="Palatino Linotype" w:hAnsi="Palatino Linotype"/>
          <w:b/>
          <w:bCs/>
          <w:noProof/>
          <w:sz w:val="22"/>
        </w:rPr>
        <w:t>131</w:t>
      </w:r>
      <w:r w:rsidRPr="0024147C">
        <w:rPr>
          <w:rFonts w:ascii="Palatino Linotype" w:hAnsi="Palatino Linotype"/>
          <w:noProof/>
          <w:sz w:val="22"/>
        </w:rPr>
        <w:t>, 115–123. (doi:10.1086/284777)</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40.</w:t>
      </w:r>
      <w:r w:rsidRPr="0024147C">
        <w:rPr>
          <w:rFonts w:ascii="Palatino Linotype" w:hAnsi="Palatino Linotype"/>
          <w:noProof/>
          <w:sz w:val="22"/>
        </w:rPr>
        <w:tab/>
        <w:t xml:space="preserve">Haigh, J. 1978 The accumulation of deleterious genes in a population - Muller’s Ratchet. </w:t>
      </w:r>
      <w:r w:rsidRPr="0024147C">
        <w:rPr>
          <w:rFonts w:ascii="Palatino Linotype" w:hAnsi="Palatino Linotype"/>
          <w:i/>
          <w:iCs/>
          <w:noProof/>
          <w:sz w:val="22"/>
        </w:rPr>
        <w:t>Theor. Popul. Biol.</w:t>
      </w:r>
      <w:r w:rsidRPr="0024147C">
        <w:rPr>
          <w:rFonts w:ascii="Palatino Linotype" w:hAnsi="Palatino Linotype"/>
          <w:noProof/>
          <w:sz w:val="22"/>
        </w:rPr>
        <w:t xml:space="preserve"> </w:t>
      </w:r>
      <w:r w:rsidRPr="0024147C">
        <w:rPr>
          <w:rFonts w:ascii="Palatino Linotype" w:hAnsi="Palatino Linotype"/>
          <w:b/>
          <w:bCs/>
          <w:noProof/>
          <w:sz w:val="22"/>
        </w:rPr>
        <w:t>14</w:t>
      </w:r>
      <w:r w:rsidRPr="0024147C">
        <w:rPr>
          <w:rFonts w:ascii="Palatino Linotype" w:hAnsi="Palatino Linotype"/>
          <w:noProof/>
          <w:sz w:val="22"/>
        </w:rPr>
        <w:t>, 251–267. (doi:10.1016/0040-5809(78)90027-8)</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41.</w:t>
      </w:r>
      <w:r w:rsidRPr="0024147C">
        <w:rPr>
          <w:rFonts w:ascii="Palatino Linotype" w:hAnsi="Palatino Linotype"/>
          <w:noProof/>
          <w:sz w:val="22"/>
        </w:rPr>
        <w:tab/>
        <w:t xml:space="preserve">Gessler, D. D. G. 1995 The constraints of finite size in asexual populations and the rate of the ratchet. </w:t>
      </w:r>
      <w:r w:rsidRPr="0024147C">
        <w:rPr>
          <w:rFonts w:ascii="Palatino Linotype" w:hAnsi="Palatino Linotype"/>
          <w:i/>
          <w:iCs/>
          <w:noProof/>
          <w:sz w:val="22"/>
        </w:rPr>
        <w:t>Genet. Res.</w:t>
      </w:r>
      <w:r w:rsidRPr="0024147C">
        <w:rPr>
          <w:rFonts w:ascii="Palatino Linotype" w:hAnsi="Palatino Linotype"/>
          <w:noProof/>
          <w:sz w:val="22"/>
        </w:rPr>
        <w:t xml:space="preserve"> </w:t>
      </w:r>
      <w:r w:rsidRPr="0024147C">
        <w:rPr>
          <w:rFonts w:ascii="Palatino Linotype" w:hAnsi="Palatino Linotype"/>
          <w:b/>
          <w:bCs/>
          <w:noProof/>
          <w:sz w:val="22"/>
        </w:rPr>
        <w:t>66</w:t>
      </w:r>
      <w:r w:rsidRPr="0024147C">
        <w:rPr>
          <w:rFonts w:ascii="Palatino Linotype" w:hAnsi="Palatino Linotype"/>
          <w:noProof/>
          <w:sz w:val="22"/>
        </w:rPr>
        <w:t>, 241. (doi:10.1017/S0016672300034686)</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42.</w:t>
      </w:r>
      <w:r w:rsidRPr="0024147C">
        <w:rPr>
          <w:rFonts w:ascii="Palatino Linotype" w:hAnsi="Palatino Linotype"/>
          <w:noProof/>
          <w:sz w:val="22"/>
        </w:rPr>
        <w:tab/>
        <w:t xml:space="preserve">Gordo, I. &amp; Dionisio, F. 2005 Nonequilibrium model for estimating parameters of deleterious mutations. </w:t>
      </w:r>
      <w:r w:rsidRPr="0024147C">
        <w:rPr>
          <w:rFonts w:ascii="Palatino Linotype" w:hAnsi="Palatino Linotype"/>
          <w:i/>
          <w:iCs/>
          <w:noProof/>
          <w:sz w:val="22"/>
        </w:rPr>
        <w:t>Phys. Rev. E</w:t>
      </w:r>
      <w:r w:rsidRPr="0024147C">
        <w:rPr>
          <w:rFonts w:ascii="Palatino Linotype" w:hAnsi="Palatino Linotype"/>
          <w:noProof/>
          <w:sz w:val="22"/>
        </w:rPr>
        <w:t xml:space="preserve"> </w:t>
      </w:r>
      <w:r w:rsidRPr="0024147C">
        <w:rPr>
          <w:rFonts w:ascii="Palatino Linotype" w:hAnsi="Palatino Linotype"/>
          <w:b/>
          <w:bCs/>
          <w:noProof/>
          <w:sz w:val="22"/>
        </w:rPr>
        <w:t>71</w:t>
      </w:r>
      <w:r w:rsidRPr="0024147C">
        <w:rPr>
          <w:rFonts w:ascii="Palatino Linotype" w:hAnsi="Palatino Linotype"/>
          <w:noProof/>
          <w:sz w:val="22"/>
        </w:rPr>
        <w:t>, 18–21. (doi:10.1103/PhysRevE.71.031907)</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43.</w:t>
      </w:r>
      <w:r w:rsidRPr="0024147C">
        <w:rPr>
          <w:rFonts w:ascii="Palatino Linotype" w:hAnsi="Palatino Linotype"/>
          <w:noProof/>
          <w:sz w:val="22"/>
        </w:rPr>
        <w:tab/>
        <w:t xml:space="preserve">Kibota, T. T. &amp; Lynch, M. 1996 Estimate of the genomic mutation rate deleterious to overall fitness in </w:t>
      </w:r>
      <w:r w:rsidRPr="0024147C">
        <w:rPr>
          <w:rFonts w:ascii="Palatino Linotype" w:hAnsi="Palatino Linotype"/>
          <w:i/>
          <w:iCs/>
          <w:noProof/>
          <w:sz w:val="22"/>
        </w:rPr>
        <w:t>E. coli</w:t>
      </w:r>
      <w:r w:rsidRPr="0024147C">
        <w:rPr>
          <w:rFonts w:ascii="Palatino Linotype" w:hAnsi="Palatino Linotype"/>
          <w:noProof/>
          <w:sz w:val="22"/>
        </w:rPr>
        <w:t xml:space="preserve">. </w:t>
      </w:r>
      <w:r w:rsidRPr="0024147C">
        <w:rPr>
          <w:rFonts w:ascii="Palatino Linotype" w:hAnsi="Palatino Linotype"/>
          <w:i/>
          <w:iCs/>
          <w:noProof/>
          <w:sz w:val="22"/>
        </w:rPr>
        <w:t>Nature</w:t>
      </w:r>
      <w:r w:rsidRPr="0024147C">
        <w:rPr>
          <w:rFonts w:ascii="Palatino Linotype" w:hAnsi="Palatino Linotype"/>
          <w:noProof/>
          <w:sz w:val="22"/>
        </w:rPr>
        <w:t xml:space="preserve"> </w:t>
      </w:r>
      <w:r w:rsidRPr="0024147C">
        <w:rPr>
          <w:rFonts w:ascii="Palatino Linotype" w:hAnsi="Palatino Linotype"/>
          <w:b/>
          <w:bCs/>
          <w:noProof/>
          <w:sz w:val="22"/>
        </w:rPr>
        <w:t>381</w:t>
      </w:r>
      <w:r w:rsidRPr="0024147C">
        <w:rPr>
          <w:rFonts w:ascii="Palatino Linotype" w:hAnsi="Palatino Linotype"/>
          <w:noProof/>
          <w:sz w:val="22"/>
        </w:rPr>
        <w:t>, 694–6. (doi:10.1038/381694a0)</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44.</w:t>
      </w:r>
      <w:r w:rsidRPr="0024147C">
        <w:rPr>
          <w:rFonts w:ascii="Palatino Linotype" w:hAnsi="Palatino Linotype"/>
          <w:noProof/>
          <w:sz w:val="22"/>
        </w:rPr>
        <w:tab/>
        <w:t xml:space="preserve">Gordo, I., Perfeito, L. &amp; Sousa, A. 2011 Fitness effects of mutations in bacteria. </w:t>
      </w:r>
      <w:r w:rsidRPr="0024147C">
        <w:rPr>
          <w:rFonts w:ascii="Palatino Linotype" w:hAnsi="Palatino Linotype"/>
          <w:i/>
          <w:iCs/>
          <w:noProof/>
          <w:sz w:val="22"/>
        </w:rPr>
        <w:t>J. Mol. Microbiol. Biotechnol.</w:t>
      </w:r>
      <w:r w:rsidRPr="0024147C">
        <w:rPr>
          <w:rFonts w:ascii="Palatino Linotype" w:hAnsi="Palatino Linotype"/>
          <w:noProof/>
          <w:sz w:val="22"/>
        </w:rPr>
        <w:t xml:space="preserve"> </w:t>
      </w:r>
      <w:r w:rsidRPr="0024147C">
        <w:rPr>
          <w:rFonts w:ascii="Palatino Linotype" w:hAnsi="Palatino Linotype"/>
          <w:b/>
          <w:bCs/>
          <w:noProof/>
          <w:sz w:val="22"/>
        </w:rPr>
        <w:t>21</w:t>
      </w:r>
      <w:r w:rsidRPr="0024147C">
        <w:rPr>
          <w:rFonts w:ascii="Palatino Linotype" w:hAnsi="Palatino Linotype"/>
          <w:noProof/>
          <w:sz w:val="22"/>
        </w:rPr>
        <w:t>, 20–35. (doi:10.1159/000332747)</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45.</w:t>
      </w:r>
      <w:r w:rsidRPr="0024147C">
        <w:rPr>
          <w:rFonts w:ascii="Palatino Linotype" w:hAnsi="Palatino Linotype"/>
          <w:noProof/>
          <w:sz w:val="22"/>
        </w:rPr>
        <w:tab/>
        <w:t xml:space="preserve">Drake, J. W., Charlesworth, B., Charlesworth, D. &amp; Crow, J. F. 1998 Rates of spontaneous mutation. </w:t>
      </w:r>
      <w:r w:rsidRPr="0024147C">
        <w:rPr>
          <w:rFonts w:ascii="Palatino Linotype" w:hAnsi="Palatino Linotype"/>
          <w:i/>
          <w:iCs/>
          <w:noProof/>
          <w:sz w:val="22"/>
        </w:rPr>
        <w:t>Genetics</w:t>
      </w:r>
      <w:r w:rsidRPr="0024147C">
        <w:rPr>
          <w:rFonts w:ascii="Palatino Linotype" w:hAnsi="Palatino Linotype"/>
          <w:noProof/>
          <w:sz w:val="22"/>
        </w:rPr>
        <w:t xml:space="preserve"> </w:t>
      </w:r>
      <w:r w:rsidRPr="0024147C">
        <w:rPr>
          <w:rFonts w:ascii="Palatino Linotype" w:hAnsi="Palatino Linotype"/>
          <w:b/>
          <w:bCs/>
          <w:noProof/>
          <w:sz w:val="22"/>
        </w:rPr>
        <w:t>148</w:t>
      </w:r>
      <w:r w:rsidRPr="0024147C">
        <w:rPr>
          <w:rFonts w:ascii="Palatino Linotype" w:hAnsi="Palatino Linotype"/>
          <w:noProof/>
          <w:sz w:val="22"/>
        </w:rPr>
        <w:t xml:space="preserve">, 1667–86.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46.</w:t>
      </w:r>
      <w:r w:rsidRPr="0024147C">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24147C">
        <w:rPr>
          <w:rFonts w:ascii="Palatino Linotype" w:hAnsi="Palatino Linotype"/>
          <w:i/>
          <w:iCs/>
          <w:noProof/>
          <w:sz w:val="22"/>
        </w:rPr>
        <w:t>Escherichia coli</w:t>
      </w:r>
      <w:r w:rsidRPr="0024147C">
        <w:rPr>
          <w:rFonts w:ascii="Palatino Linotype" w:hAnsi="Palatino Linotype"/>
          <w:noProof/>
          <w:sz w:val="22"/>
        </w:rPr>
        <w:t xml:space="preserve">. </w:t>
      </w:r>
      <w:r w:rsidRPr="0024147C">
        <w:rPr>
          <w:rFonts w:ascii="Palatino Linotype" w:hAnsi="Palatino Linotype"/>
          <w:i/>
          <w:iCs/>
          <w:noProof/>
          <w:sz w:val="22"/>
        </w:rPr>
        <w:t>G3</w:t>
      </w:r>
      <w:r w:rsidRPr="0024147C">
        <w:rPr>
          <w:rFonts w:ascii="Palatino Linotype" w:hAnsi="Palatino Linotype"/>
          <w:noProof/>
          <w:sz w:val="22"/>
        </w:rPr>
        <w:t xml:space="preserve"> </w:t>
      </w:r>
      <w:r w:rsidRPr="0024147C">
        <w:rPr>
          <w:rFonts w:ascii="Palatino Linotype" w:hAnsi="Palatino Linotype"/>
          <w:b/>
          <w:bCs/>
          <w:noProof/>
          <w:sz w:val="22"/>
        </w:rPr>
        <w:t>1</w:t>
      </w:r>
      <w:r w:rsidRPr="0024147C">
        <w:rPr>
          <w:rFonts w:ascii="Palatino Linotype" w:hAnsi="Palatino Linotype"/>
          <w:noProof/>
          <w:sz w:val="22"/>
        </w:rPr>
        <w:t>, 183–186. (doi:10.1534/g3.111.000406)</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47.</w:t>
      </w:r>
      <w:r w:rsidRPr="0024147C">
        <w:rPr>
          <w:rFonts w:ascii="Palatino Linotype" w:hAnsi="Palatino Linotype"/>
          <w:noProof/>
          <w:sz w:val="22"/>
        </w:rPr>
        <w:tab/>
        <w:t xml:space="preserve">Hall, L. M. C. &amp; Henderson-Begg, S. K. 2006 Hypermutable bacteria isolated from humans--a critical analysis. </w:t>
      </w:r>
      <w:r w:rsidRPr="0024147C">
        <w:rPr>
          <w:rFonts w:ascii="Palatino Linotype" w:hAnsi="Palatino Linotype"/>
          <w:i/>
          <w:iCs/>
          <w:noProof/>
          <w:sz w:val="22"/>
        </w:rPr>
        <w:t>Microbiology</w:t>
      </w:r>
      <w:r w:rsidRPr="0024147C">
        <w:rPr>
          <w:rFonts w:ascii="Palatino Linotype" w:hAnsi="Palatino Linotype"/>
          <w:noProof/>
          <w:sz w:val="22"/>
        </w:rPr>
        <w:t xml:space="preserve"> </w:t>
      </w:r>
      <w:r w:rsidRPr="0024147C">
        <w:rPr>
          <w:rFonts w:ascii="Palatino Linotype" w:hAnsi="Palatino Linotype"/>
          <w:b/>
          <w:bCs/>
          <w:noProof/>
          <w:sz w:val="22"/>
        </w:rPr>
        <w:t>152</w:t>
      </w:r>
      <w:r w:rsidRPr="0024147C">
        <w:rPr>
          <w:rFonts w:ascii="Palatino Linotype" w:hAnsi="Palatino Linotype"/>
          <w:noProof/>
          <w:sz w:val="22"/>
        </w:rPr>
        <w:t>, 2505–14. (doi:10.1099/mic.0.29079-0)</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48.</w:t>
      </w:r>
      <w:r w:rsidRPr="0024147C">
        <w:rPr>
          <w:rFonts w:ascii="Palatino Linotype" w:hAnsi="Palatino Linotype"/>
          <w:noProof/>
          <w:sz w:val="22"/>
        </w:rPr>
        <w:tab/>
        <w:t xml:space="preserve">Pupo, G. M. &amp; Richardson, B. J. 1995 Biochemical genetics of a natural population of </w:t>
      </w:r>
      <w:r w:rsidRPr="0024147C">
        <w:rPr>
          <w:rFonts w:ascii="Palatino Linotype" w:hAnsi="Palatino Linotype"/>
          <w:i/>
          <w:iCs/>
          <w:noProof/>
          <w:sz w:val="22"/>
        </w:rPr>
        <w:t>Escherichia coli</w:t>
      </w:r>
      <w:r w:rsidRPr="0024147C">
        <w:rPr>
          <w:rFonts w:ascii="Palatino Linotype" w:hAnsi="Palatino Linotype"/>
          <w:noProof/>
          <w:sz w:val="22"/>
        </w:rPr>
        <w:t xml:space="preserve">: seasonal changes in alleles and haplotypes. </w:t>
      </w:r>
      <w:r w:rsidRPr="0024147C">
        <w:rPr>
          <w:rFonts w:ascii="Palatino Linotype" w:hAnsi="Palatino Linotype"/>
          <w:i/>
          <w:iCs/>
          <w:noProof/>
          <w:sz w:val="22"/>
        </w:rPr>
        <w:t>Microbiology</w:t>
      </w:r>
      <w:r w:rsidRPr="0024147C">
        <w:rPr>
          <w:rFonts w:ascii="Palatino Linotype" w:hAnsi="Palatino Linotype"/>
          <w:noProof/>
          <w:sz w:val="22"/>
        </w:rPr>
        <w:t xml:space="preserve"> </w:t>
      </w:r>
      <w:r w:rsidRPr="0024147C">
        <w:rPr>
          <w:rFonts w:ascii="Palatino Linotype" w:hAnsi="Palatino Linotype"/>
          <w:b/>
          <w:bCs/>
          <w:noProof/>
          <w:sz w:val="22"/>
        </w:rPr>
        <w:t>141</w:t>
      </w:r>
      <w:r w:rsidRPr="0024147C">
        <w:rPr>
          <w:rFonts w:ascii="Palatino Linotype" w:hAnsi="Palatino Linotype"/>
          <w:noProof/>
          <w:sz w:val="22"/>
        </w:rPr>
        <w:t>, 1037–44. (doi:10.1099/13500872-141-4-1037)</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49.</w:t>
      </w:r>
      <w:r w:rsidRPr="0024147C">
        <w:rPr>
          <w:rFonts w:ascii="Palatino Linotype" w:hAnsi="Palatino Linotype"/>
          <w:noProof/>
          <w:sz w:val="22"/>
        </w:rPr>
        <w:tab/>
        <w:t xml:space="preserve">Berg, O. G. 1996 Selection intensity for codon bias and the effective population size of </w:t>
      </w:r>
      <w:r w:rsidRPr="0024147C">
        <w:rPr>
          <w:rFonts w:ascii="Palatino Linotype" w:hAnsi="Palatino Linotype"/>
          <w:i/>
          <w:iCs/>
          <w:noProof/>
          <w:sz w:val="22"/>
        </w:rPr>
        <w:t>Escherichia coli</w:t>
      </w:r>
      <w:r w:rsidRPr="0024147C">
        <w:rPr>
          <w:rFonts w:ascii="Palatino Linotype" w:hAnsi="Palatino Linotype"/>
          <w:noProof/>
          <w:sz w:val="22"/>
        </w:rPr>
        <w:t xml:space="preserve">. </w:t>
      </w:r>
      <w:r w:rsidRPr="0024147C">
        <w:rPr>
          <w:rFonts w:ascii="Palatino Linotype" w:hAnsi="Palatino Linotype"/>
          <w:i/>
          <w:iCs/>
          <w:noProof/>
          <w:sz w:val="22"/>
        </w:rPr>
        <w:t>Genetics</w:t>
      </w:r>
      <w:r w:rsidRPr="0024147C">
        <w:rPr>
          <w:rFonts w:ascii="Palatino Linotype" w:hAnsi="Palatino Linotype"/>
          <w:noProof/>
          <w:sz w:val="22"/>
        </w:rPr>
        <w:t xml:space="preserve"> </w:t>
      </w:r>
      <w:r w:rsidRPr="0024147C">
        <w:rPr>
          <w:rFonts w:ascii="Palatino Linotype" w:hAnsi="Palatino Linotype"/>
          <w:b/>
          <w:bCs/>
          <w:noProof/>
          <w:sz w:val="22"/>
        </w:rPr>
        <w:t>142</w:t>
      </w:r>
      <w:r w:rsidRPr="0024147C">
        <w:rPr>
          <w:rFonts w:ascii="Palatino Linotype" w:hAnsi="Palatino Linotype"/>
          <w:noProof/>
          <w:sz w:val="22"/>
        </w:rPr>
        <w:t xml:space="preserve">, 1379–82.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lastRenderedPageBreak/>
        <w:t>50.</w:t>
      </w:r>
      <w:r w:rsidRPr="0024147C">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24147C">
        <w:rPr>
          <w:rFonts w:ascii="Palatino Linotype" w:hAnsi="Palatino Linotype"/>
          <w:i/>
          <w:iCs/>
          <w:noProof/>
          <w:sz w:val="22"/>
        </w:rPr>
        <w:t>J. Math. Biol.</w:t>
      </w:r>
      <w:r w:rsidRPr="0024147C">
        <w:rPr>
          <w:rFonts w:ascii="Palatino Linotype" w:hAnsi="Palatino Linotype"/>
          <w:noProof/>
          <w:sz w:val="22"/>
        </w:rPr>
        <w:t xml:space="preserve"> </w:t>
      </w:r>
      <w:r w:rsidRPr="0024147C">
        <w:rPr>
          <w:rFonts w:ascii="Palatino Linotype" w:hAnsi="Palatino Linotype"/>
          <w:b/>
          <w:bCs/>
          <w:noProof/>
          <w:sz w:val="22"/>
        </w:rPr>
        <w:t>12</w:t>
      </w:r>
      <w:r w:rsidRPr="0024147C">
        <w:rPr>
          <w:rFonts w:ascii="Palatino Linotype" w:hAnsi="Palatino Linotype"/>
          <w:noProof/>
          <w:sz w:val="22"/>
        </w:rPr>
        <w:t>, 355–362. (doi:10.1007/BF00276922)</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51.</w:t>
      </w:r>
      <w:r w:rsidRPr="0024147C">
        <w:rPr>
          <w:rFonts w:ascii="Palatino Linotype" w:hAnsi="Palatino Linotype"/>
          <w:noProof/>
          <w:sz w:val="22"/>
        </w:rPr>
        <w:tab/>
        <w:t xml:space="preserve">Fisher, R. A. 1930 </w:t>
      </w:r>
      <w:r w:rsidRPr="0024147C">
        <w:rPr>
          <w:rFonts w:ascii="Palatino Linotype" w:hAnsi="Palatino Linotype"/>
          <w:i/>
          <w:iCs/>
          <w:noProof/>
          <w:sz w:val="22"/>
        </w:rPr>
        <w:t>The Genetical Theory of Natural Selection</w:t>
      </w:r>
      <w:r w:rsidRPr="0024147C">
        <w:rPr>
          <w:rFonts w:ascii="Palatino Linotype" w:hAnsi="Palatino Linotype"/>
          <w:noProof/>
          <w:sz w:val="22"/>
        </w:rPr>
        <w:t>. Oxford: Clarendon Press.</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52.</w:t>
      </w:r>
      <w:r w:rsidRPr="0024147C">
        <w:rPr>
          <w:rFonts w:ascii="Palatino Linotype" w:hAnsi="Palatino Linotype"/>
          <w:noProof/>
          <w:sz w:val="22"/>
        </w:rPr>
        <w:tab/>
        <w:t xml:space="preserve">Patwa, Z. &amp; Wahl, L. M. 2008 The fixation probability of beneficial mutations. </w:t>
      </w:r>
      <w:r w:rsidRPr="0024147C">
        <w:rPr>
          <w:rFonts w:ascii="Palatino Linotype" w:hAnsi="Palatino Linotype"/>
          <w:i/>
          <w:iCs/>
          <w:noProof/>
          <w:sz w:val="22"/>
        </w:rPr>
        <w:t>J. R. Soc. Interface</w:t>
      </w:r>
      <w:r w:rsidRPr="0024147C">
        <w:rPr>
          <w:rFonts w:ascii="Palatino Linotype" w:hAnsi="Palatino Linotype"/>
          <w:noProof/>
          <w:sz w:val="22"/>
        </w:rPr>
        <w:t xml:space="preserve"> </w:t>
      </w:r>
      <w:r w:rsidRPr="0024147C">
        <w:rPr>
          <w:rFonts w:ascii="Palatino Linotype" w:hAnsi="Palatino Linotype"/>
          <w:b/>
          <w:bCs/>
          <w:noProof/>
          <w:sz w:val="22"/>
        </w:rPr>
        <w:t>5</w:t>
      </w:r>
      <w:r w:rsidRPr="0024147C">
        <w:rPr>
          <w:rFonts w:ascii="Palatino Linotype" w:hAnsi="Palatino Linotype"/>
          <w:noProof/>
          <w:sz w:val="22"/>
        </w:rPr>
        <w:t>, 1279–89. (doi:10.1098/rsif.2008.0248)</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53.</w:t>
      </w:r>
      <w:r w:rsidRPr="0024147C">
        <w:rPr>
          <w:rFonts w:ascii="Palatino Linotype" w:hAnsi="Palatino Linotype"/>
          <w:noProof/>
          <w:sz w:val="22"/>
        </w:rPr>
        <w:tab/>
        <w:t xml:space="preserve">Weinreich, D. M. &amp; Chao, L. 2005 Rapid evolutionary escape by large populations from local fitness peaks is likely in nature. </w:t>
      </w:r>
      <w:r w:rsidRPr="0024147C">
        <w:rPr>
          <w:rFonts w:ascii="Palatino Linotype" w:hAnsi="Palatino Linotype"/>
          <w:i/>
          <w:iCs/>
          <w:noProof/>
          <w:sz w:val="22"/>
        </w:rPr>
        <w:t>Evolution</w:t>
      </w:r>
      <w:r w:rsidRPr="0024147C">
        <w:rPr>
          <w:rFonts w:ascii="Palatino Linotype" w:hAnsi="Palatino Linotype"/>
          <w:noProof/>
          <w:sz w:val="22"/>
        </w:rPr>
        <w:t xml:space="preserve"> </w:t>
      </w:r>
      <w:r w:rsidRPr="0024147C">
        <w:rPr>
          <w:rFonts w:ascii="Palatino Linotype" w:hAnsi="Palatino Linotype"/>
          <w:b/>
          <w:bCs/>
          <w:noProof/>
          <w:sz w:val="22"/>
        </w:rPr>
        <w:t>59</w:t>
      </w:r>
      <w:r w:rsidRPr="0024147C">
        <w:rPr>
          <w:rFonts w:ascii="Palatino Linotype" w:hAnsi="Palatino Linotype"/>
          <w:noProof/>
          <w:sz w:val="22"/>
        </w:rPr>
        <w:t xml:space="preserve">, 1175–82.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54.</w:t>
      </w:r>
      <w:r w:rsidRPr="0024147C">
        <w:rPr>
          <w:rFonts w:ascii="Palatino Linotype" w:hAnsi="Palatino Linotype"/>
          <w:noProof/>
          <w:sz w:val="22"/>
        </w:rPr>
        <w:tab/>
        <w:t xml:space="preserve">Maynard Smith, J. &amp; Haigh, J. 1974 The hitch-hiking effect of a favourable gene. </w:t>
      </w:r>
      <w:r w:rsidRPr="0024147C">
        <w:rPr>
          <w:rFonts w:ascii="Palatino Linotype" w:hAnsi="Palatino Linotype"/>
          <w:i/>
          <w:iCs/>
          <w:noProof/>
          <w:sz w:val="22"/>
        </w:rPr>
        <w:t>Genet. Res.</w:t>
      </w:r>
      <w:r w:rsidRPr="0024147C">
        <w:rPr>
          <w:rFonts w:ascii="Palatino Linotype" w:hAnsi="Palatino Linotype"/>
          <w:noProof/>
          <w:sz w:val="22"/>
        </w:rPr>
        <w:t xml:space="preserve"> </w:t>
      </w:r>
      <w:r w:rsidRPr="0024147C">
        <w:rPr>
          <w:rFonts w:ascii="Palatino Linotype" w:hAnsi="Palatino Linotype"/>
          <w:b/>
          <w:bCs/>
          <w:noProof/>
          <w:sz w:val="22"/>
        </w:rPr>
        <w:t>23</w:t>
      </w:r>
      <w:r w:rsidRPr="0024147C">
        <w:rPr>
          <w:rFonts w:ascii="Palatino Linotype" w:hAnsi="Palatino Linotype"/>
          <w:noProof/>
          <w:sz w:val="22"/>
        </w:rPr>
        <w:t>, 23–35. (doi:10.1017/S0016672300014634)</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55.</w:t>
      </w:r>
      <w:r w:rsidRPr="0024147C">
        <w:rPr>
          <w:rFonts w:ascii="Palatino Linotype" w:hAnsi="Palatino Linotype"/>
          <w:noProof/>
          <w:sz w:val="22"/>
        </w:rPr>
        <w:tab/>
        <w:t xml:space="preserve">Lynch, M., Bürger, R., Butcher, D. &amp; Gabriel, W. 1993 The mutational meltdown in asexual populations. </w:t>
      </w:r>
      <w:r w:rsidRPr="0024147C">
        <w:rPr>
          <w:rFonts w:ascii="Palatino Linotype" w:hAnsi="Palatino Linotype"/>
          <w:i/>
          <w:iCs/>
          <w:noProof/>
          <w:sz w:val="22"/>
        </w:rPr>
        <w:t>J. Hered.</w:t>
      </w:r>
      <w:r w:rsidRPr="0024147C">
        <w:rPr>
          <w:rFonts w:ascii="Palatino Linotype" w:hAnsi="Palatino Linotype"/>
          <w:noProof/>
          <w:sz w:val="22"/>
        </w:rPr>
        <w:t xml:space="preserve"> </w:t>
      </w:r>
      <w:r w:rsidRPr="0024147C">
        <w:rPr>
          <w:rFonts w:ascii="Palatino Linotype" w:hAnsi="Palatino Linotype"/>
          <w:b/>
          <w:bCs/>
          <w:noProof/>
          <w:sz w:val="22"/>
        </w:rPr>
        <w:t>84</w:t>
      </w:r>
      <w:r w:rsidRPr="0024147C">
        <w:rPr>
          <w:rFonts w:ascii="Palatino Linotype" w:hAnsi="Palatino Linotype"/>
          <w:noProof/>
          <w:sz w:val="22"/>
        </w:rPr>
        <w:t xml:space="preserve">, 339–44.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56.</w:t>
      </w:r>
      <w:r w:rsidRPr="0024147C">
        <w:rPr>
          <w:rFonts w:ascii="Palatino Linotype" w:hAnsi="Palatino Linotype"/>
          <w:noProof/>
          <w:sz w:val="22"/>
        </w:rPr>
        <w:tab/>
        <w:t xml:space="preserve">Obolski, U. &amp; Hadany, L. 2012 Implications of stress-induced genetic variation for minimizing multidrug resistance in bacteria. </w:t>
      </w:r>
      <w:r w:rsidRPr="0024147C">
        <w:rPr>
          <w:rFonts w:ascii="Palatino Linotype" w:hAnsi="Palatino Linotype"/>
          <w:i/>
          <w:iCs/>
          <w:noProof/>
          <w:sz w:val="22"/>
        </w:rPr>
        <w:t>BMC Med.</w:t>
      </w:r>
      <w:r w:rsidRPr="0024147C">
        <w:rPr>
          <w:rFonts w:ascii="Palatino Linotype" w:hAnsi="Palatino Linotype"/>
          <w:noProof/>
          <w:sz w:val="22"/>
        </w:rPr>
        <w:t xml:space="preserve"> </w:t>
      </w:r>
      <w:r w:rsidRPr="0024147C">
        <w:rPr>
          <w:rFonts w:ascii="Palatino Linotype" w:hAnsi="Palatino Linotype"/>
          <w:b/>
          <w:bCs/>
          <w:noProof/>
          <w:sz w:val="22"/>
        </w:rPr>
        <w:t>10</w:t>
      </w:r>
      <w:r w:rsidRPr="0024147C">
        <w:rPr>
          <w:rFonts w:ascii="Palatino Linotype" w:hAnsi="Palatino Linotype"/>
          <w:noProof/>
          <w:sz w:val="22"/>
        </w:rPr>
        <w:t>, 1–30. (doi:10.1186/1741-7015-10-89)</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57.</w:t>
      </w:r>
      <w:r w:rsidRPr="0024147C">
        <w:rPr>
          <w:rFonts w:ascii="Palatino Linotype" w:hAnsi="Palatino Linotype"/>
          <w:noProof/>
          <w:sz w:val="22"/>
        </w:rPr>
        <w:tab/>
        <w:t xml:space="preserve">Shor, E., Fox, C. a. &amp; Broach, J. R. 2013 The yeast environmental stress response regulates mutagenesis induced by proteotoxic stress. </w:t>
      </w:r>
      <w:r w:rsidRPr="0024147C">
        <w:rPr>
          <w:rFonts w:ascii="Palatino Linotype" w:hAnsi="Palatino Linotype"/>
          <w:i/>
          <w:iCs/>
          <w:noProof/>
          <w:sz w:val="22"/>
        </w:rPr>
        <w:t>PLoS Genet.</w:t>
      </w:r>
      <w:r w:rsidRPr="0024147C">
        <w:rPr>
          <w:rFonts w:ascii="Palatino Linotype" w:hAnsi="Palatino Linotype"/>
          <w:noProof/>
          <w:sz w:val="22"/>
        </w:rPr>
        <w:t xml:space="preserve"> </w:t>
      </w:r>
      <w:r w:rsidRPr="0024147C">
        <w:rPr>
          <w:rFonts w:ascii="Palatino Linotype" w:hAnsi="Palatino Linotype"/>
          <w:b/>
          <w:bCs/>
          <w:noProof/>
          <w:sz w:val="22"/>
        </w:rPr>
        <w:t>9</w:t>
      </w:r>
      <w:r w:rsidRPr="0024147C">
        <w:rPr>
          <w:rFonts w:ascii="Palatino Linotype" w:hAnsi="Palatino Linotype"/>
          <w:noProof/>
          <w:sz w:val="22"/>
        </w:rPr>
        <w:t>, e1003680. (doi:10.1371/journal.pgen.1003680)</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58.</w:t>
      </w:r>
      <w:r w:rsidRPr="0024147C">
        <w:rPr>
          <w:rFonts w:ascii="Palatino Linotype" w:hAnsi="Palatino Linotype"/>
          <w:noProof/>
          <w:sz w:val="22"/>
        </w:rPr>
        <w:tab/>
        <w:t xml:space="preserve">Karpinets, T., Greenwood, D., Pogribny, I. &amp; Samatova, N. 2006 Bacterial stationary-state mutagenesis and Mammalian tumorigenesis as stress-induced cellular adaptations and the role of epigenetics. </w:t>
      </w:r>
      <w:r w:rsidRPr="0024147C">
        <w:rPr>
          <w:rFonts w:ascii="Palatino Linotype" w:hAnsi="Palatino Linotype"/>
          <w:i/>
          <w:iCs/>
          <w:noProof/>
          <w:sz w:val="22"/>
        </w:rPr>
        <w:t>Curr. Genomics</w:t>
      </w:r>
      <w:r w:rsidRPr="0024147C">
        <w:rPr>
          <w:rFonts w:ascii="Palatino Linotype" w:hAnsi="Palatino Linotype"/>
          <w:noProof/>
          <w:sz w:val="22"/>
        </w:rPr>
        <w:t xml:space="preserve"> </w:t>
      </w:r>
      <w:r w:rsidRPr="0024147C">
        <w:rPr>
          <w:rFonts w:ascii="Palatino Linotype" w:hAnsi="Palatino Linotype"/>
          <w:b/>
          <w:bCs/>
          <w:noProof/>
          <w:sz w:val="22"/>
        </w:rPr>
        <w:t>7</w:t>
      </w:r>
      <w:r w:rsidRPr="0024147C">
        <w:rPr>
          <w:rFonts w:ascii="Palatino Linotype" w:hAnsi="Palatino Linotype"/>
          <w:noProof/>
          <w:sz w:val="22"/>
        </w:rPr>
        <w:t xml:space="preserve">, 481–96.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59.</w:t>
      </w:r>
      <w:r w:rsidRPr="0024147C">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24147C">
        <w:rPr>
          <w:rFonts w:ascii="Palatino Linotype" w:hAnsi="Palatino Linotype"/>
          <w:i/>
          <w:iCs/>
          <w:noProof/>
          <w:sz w:val="22"/>
        </w:rPr>
        <w:t>Proc. R. Soc. B Biol. Sci.</w:t>
      </w:r>
      <w:r w:rsidRPr="0024147C">
        <w:rPr>
          <w:rFonts w:ascii="Palatino Linotype" w:hAnsi="Palatino Linotype"/>
          <w:noProof/>
          <w:sz w:val="22"/>
        </w:rPr>
        <w:t xml:space="preserve"> </w:t>
      </w:r>
      <w:r w:rsidRPr="0024147C">
        <w:rPr>
          <w:rFonts w:ascii="Palatino Linotype" w:hAnsi="Palatino Linotype"/>
          <w:b/>
          <w:bCs/>
          <w:noProof/>
          <w:sz w:val="22"/>
        </w:rPr>
        <w:t>280</w:t>
      </w:r>
      <w:r w:rsidRPr="0024147C">
        <w:rPr>
          <w:rFonts w:ascii="Palatino Linotype" w:hAnsi="Palatino Linotype"/>
          <w:noProof/>
          <w:sz w:val="22"/>
        </w:rPr>
        <w:t>, 20130007. (doi:10.1098/rspb.2013.0007)</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60.</w:t>
      </w:r>
      <w:r w:rsidRPr="0024147C">
        <w:rPr>
          <w:rFonts w:ascii="Palatino Linotype" w:hAnsi="Palatino Linotype"/>
          <w:noProof/>
          <w:sz w:val="22"/>
        </w:rPr>
        <w:tab/>
        <w:t xml:space="preserve">Dawson, K. J. 1998 Evolutionarily stable mutation rates. </w:t>
      </w:r>
      <w:r w:rsidRPr="0024147C">
        <w:rPr>
          <w:rFonts w:ascii="Palatino Linotype" w:hAnsi="Palatino Linotype"/>
          <w:i/>
          <w:iCs/>
          <w:noProof/>
          <w:sz w:val="22"/>
        </w:rPr>
        <w:t>J. Theor. Biol.</w:t>
      </w:r>
      <w:r w:rsidRPr="0024147C">
        <w:rPr>
          <w:rFonts w:ascii="Palatino Linotype" w:hAnsi="Palatino Linotype"/>
          <w:noProof/>
          <w:sz w:val="22"/>
        </w:rPr>
        <w:t xml:space="preserve"> </w:t>
      </w:r>
      <w:r w:rsidRPr="0024147C">
        <w:rPr>
          <w:rFonts w:ascii="Palatino Linotype" w:hAnsi="Palatino Linotype"/>
          <w:b/>
          <w:bCs/>
          <w:noProof/>
          <w:sz w:val="22"/>
        </w:rPr>
        <w:t>194</w:t>
      </w:r>
      <w:r w:rsidRPr="0024147C">
        <w:rPr>
          <w:rFonts w:ascii="Palatino Linotype" w:hAnsi="Palatino Linotype"/>
          <w:noProof/>
          <w:sz w:val="22"/>
        </w:rPr>
        <w:t>, 143–57. (doi:10.1006/jtbi.1998.0752)</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61.</w:t>
      </w:r>
      <w:r w:rsidRPr="0024147C">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24147C">
        <w:rPr>
          <w:rFonts w:ascii="Palatino Linotype" w:hAnsi="Palatino Linotype"/>
          <w:i/>
          <w:iCs/>
          <w:noProof/>
          <w:sz w:val="22"/>
        </w:rPr>
        <w:t>Science (80-. ).</w:t>
      </w:r>
      <w:r w:rsidRPr="0024147C">
        <w:rPr>
          <w:rFonts w:ascii="Palatino Linotype" w:hAnsi="Palatino Linotype"/>
          <w:noProof/>
          <w:sz w:val="22"/>
        </w:rPr>
        <w:t xml:space="preserve"> </w:t>
      </w:r>
      <w:r w:rsidRPr="0024147C">
        <w:rPr>
          <w:rFonts w:ascii="Palatino Linotype" w:hAnsi="Palatino Linotype"/>
          <w:b/>
          <w:bCs/>
          <w:noProof/>
          <w:sz w:val="22"/>
        </w:rPr>
        <w:t>291</w:t>
      </w:r>
      <w:r w:rsidRPr="0024147C">
        <w:rPr>
          <w:rFonts w:ascii="Palatino Linotype" w:hAnsi="Palatino Linotype"/>
          <w:noProof/>
          <w:sz w:val="22"/>
        </w:rPr>
        <w:t>, 2606–8. (doi:10.1126/science.1056421)</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62.</w:t>
      </w:r>
      <w:r w:rsidRPr="0024147C">
        <w:rPr>
          <w:rFonts w:ascii="Palatino Linotype" w:hAnsi="Palatino Linotype"/>
          <w:noProof/>
          <w:sz w:val="22"/>
        </w:rPr>
        <w:tab/>
        <w:t xml:space="preserve">Loh, E., Salk, J. J. &amp; Loeb, L. A. 2010 Optimization of DNA polymerase mutation rates during bacterial evolution. </w:t>
      </w:r>
      <w:r w:rsidRPr="0024147C">
        <w:rPr>
          <w:rFonts w:ascii="Palatino Linotype" w:hAnsi="Palatino Linotype"/>
          <w:i/>
          <w:iCs/>
          <w:noProof/>
          <w:sz w:val="22"/>
        </w:rPr>
        <w:t>Proc. Natl. Acad. Sci.</w:t>
      </w:r>
      <w:r w:rsidRPr="0024147C">
        <w:rPr>
          <w:rFonts w:ascii="Palatino Linotype" w:hAnsi="Palatino Linotype"/>
          <w:noProof/>
          <w:sz w:val="22"/>
        </w:rPr>
        <w:t xml:space="preserve"> </w:t>
      </w:r>
      <w:r w:rsidRPr="0024147C">
        <w:rPr>
          <w:rFonts w:ascii="Palatino Linotype" w:hAnsi="Palatino Linotype"/>
          <w:b/>
          <w:bCs/>
          <w:noProof/>
          <w:sz w:val="22"/>
        </w:rPr>
        <w:t>107</w:t>
      </w:r>
      <w:r w:rsidRPr="0024147C">
        <w:rPr>
          <w:rFonts w:ascii="Palatino Linotype" w:hAnsi="Palatino Linotype"/>
          <w:noProof/>
          <w:sz w:val="22"/>
        </w:rPr>
        <w:t>, 1154–9. (doi:10.1073/pnas.0912451107)</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lastRenderedPageBreak/>
        <w:t>63.</w:t>
      </w:r>
      <w:r w:rsidRPr="0024147C">
        <w:rPr>
          <w:rFonts w:ascii="Palatino Linotype" w:hAnsi="Palatino Linotype"/>
          <w:noProof/>
          <w:sz w:val="22"/>
        </w:rPr>
        <w:tab/>
        <w:t xml:space="preserve">Gentile, C. F., Yu, S.-C., Serrano, S. A., Gerrish, P. J. &amp; Sniegowski, P. D. 2011 Competition between high- and higher-mutating strains of </w:t>
      </w:r>
      <w:r w:rsidRPr="0024147C">
        <w:rPr>
          <w:rFonts w:ascii="Palatino Linotype" w:hAnsi="Palatino Linotype"/>
          <w:i/>
          <w:iCs/>
          <w:noProof/>
          <w:sz w:val="22"/>
        </w:rPr>
        <w:t>Escherichia coli</w:t>
      </w:r>
      <w:r w:rsidRPr="0024147C">
        <w:rPr>
          <w:rFonts w:ascii="Palatino Linotype" w:hAnsi="Palatino Linotype"/>
          <w:noProof/>
          <w:sz w:val="22"/>
        </w:rPr>
        <w:t xml:space="preserve">. </w:t>
      </w:r>
      <w:r w:rsidRPr="0024147C">
        <w:rPr>
          <w:rFonts w:ascii="Palatino Linotype" w:hAnsi="Palatino Linotype"/>
          <w:i/>
          <w:iCs/>
          <w:noProof/>
          <w:sz w:val="22"/>
        </w:rPr>
        <w:t>Biol. Lett.</w:t>
      </w:r>
      <w:r w:rsidRPr="0024147C">
        <w:rPr>
          <w:rFonts w:ascii="Palatino Linotype" w:hAnsi="Palatino Linotype"/>
          <w:noProof/>
          <w:sz w:val="22"/>
        </w:rPr>
        <w:t xml:space="preserve"> </w:t>
      </w:r>
      <w:r w:rsidRPr="0024147C">
        <w:rPr>
          <w:rFonts w:ascii="Palatino Linotype" w:hAnsi="Palatino Linotype"/>
          <w:b/>
          <w:bCs/>
          <w:noProof/>
          <w:sz w:val="22"/>
        </w:rPr>
        <w:t>7</w:t>
      </w:r>
      <w:r w:rsidRPr="0024147C">
        <w:rPr>
          <w:rFonts w:ascii="Palatino Linotype" w:hAnsi="Palatino Linotype"/>
          <w:noProof/>
          <w:sz w:val="22"/>
        </w:rPr>
        <w:t>, 422–4. (doi:10.1098/rsbl.2010.1036)</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64.</w:t>
      </w:r>
      <w:r w:rsidRPr="0024147C">
        <w:rPr>
          <w:rFonts w:ascii="Palatino Linotype" w:hAnsi="Palatino Linotype"/>
          <w:noProof/>
          <w:sz w:val="22"/>
        </w:rPr>
        <w:tab/>
        <w:t xml:space="preserve">Shee, C., Gibson, J. L., Darrow, M. C., Gonzalez, C. &amp; Rosenberg, S. M. 2011 Impact of a stress-inducible switch to mutagenic repair of DNA breaks on mutation in </w:t>
      </w:r>
      <w:r w:rsidRPr="0024147C">
        <w:rPr>
          <w:rFonts w:ascii="Palatino Linotype" w:hAnsi="Palatino Linotype"/>
          <w:i/>
          <w:iCs/>
          <w:noProof/>
          <w:sz w:val="22"/>
        </w:rPr>
        <w:t>Escherichia coli</w:t>
      </w:r>
      <w:r w:rsidRPr="0024147C">
        <w:rPr>
          <w:rFonts w:ascii="Palatino Linotype" w:hAnsi="Palatino Linotype"/>
          <w:noProof/>
          <w:sz w:val="22"/>
        </w:rPr>
        <w:t xml:space="preserve">. </w:t>
      </w:r>
      <w:r w:rsidRPr="0024147C">
        <w:rPr>
          <w:rFonts w:ascii="Palatino Linotype" w:hAnsi="Palatino Linotype"/>
          <w:i/>
          <w:iCs/>
          <w:noProof/>
          <w:sz w:val="22"/>
        </w:rPr>
        <w:t>Proc. Natl. Acad. Sci.</w:t>
      </w:r>
      <w:r w:rsidRPr="0024147C">
        <w:rPr>
          <w:rFonts w:ascii="Palatino Linotype" w:hAnsi="Palatino Linotype"/>
          <w:noProof/>
          <w:sz w:val="22"/>
        </w:rPr>
        <w:t xml:space="preserve"> </w:t>
      </w:r>
      <w:r w:rsidRPr="0024147C">
        <w:rPr>
          <w:rFonts w:ascii="Palatino Linotype" w:hAnsi="Palatino Linotype"/>
          <w:b/>
          <w:bCs/>
          <w:noProof/>
          <w:sz w:val="22"/>
        </w:rPr>
        <w:t>108</w:t>
      </w:r>
      <w:r w:rsidRPr="0024147C">
        <w:rPr>
          <w:rFonts w:ascii="Palatino Linotype" w:hAnsi="Palatino Linotype"/>
          <w:noProof/>
          <w:sz w:val="22"/>
        </w:rPr>
        <w:t>, 13659–13664. (doi:10.1073/pnas.1104681108)</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65.</w:t>
      </w:r>
      <w:r w:rsidRPr="0024147C">
        <w:rPr>
          <w:rFonts w:ascii="Palatino Linotype" w:hAnsi="Palatino Linotype"/>
          <w:noProof/>
          <w:sz w:val="22"/>
        </w:rPr>
        <w:tab/>
        <w:t xml:space="preserve">Tenaillon, O., Le Nagard, H., Godelle, B. &amp; Taddei, F. 2000 Mutators and sex in bacteria: conflict between adaptive strategies. </w:t>
      </w:r>
      <w:r w:rsidRPr="0024147C">
        <w:rPr>
          <w:rFonts w:ascii="Palatino Linotype" w:hAnsi="Palatino Linotype"/>
          <w:i/>
          <w:iCs/>
          <w:noProof/>
          <w:sz w:val="22"/>
        </w:rPr>
        <w:t>Proc. Natl. Acad. Sci.</w:t>
      </w:r>
      <w:r w:rsidRPr="0024147C">
        <w:rPr>
          <w:rFonts w:ascii="Palatino Linotype" w:hAnsi="Palatino Linotype"/>
          <w:noProof/>
          <w:sz w:val="22"/>
        </w:rPr>
        <w:t xml:space="preserve"> </w:t>
      </w:r>
      <w:r w:rsidRPr="0024147C">
        <w:rPr>
          <w:rFonts w:ascii="Palatino Linotype" w:hAnsi="Palatino Linotype"/>
          <w:b/>
          <w:bCs/>
          <w:noProof/>
          <w:sz w:val="22"/>
        </w:rPr>
        <w:t>97</w:t>
      </w:r>
      <w:r w:rsidRPr="0024147C">
        <w:rPr>
          <w:rFonts w:ascii="Palatino Linotype" w:hAnsi="Palatino Linotype"/>
          <w:noProof/>
          <w:sz w:val="22"/>
        </w:rPr>
        <w:t>, 10465–70. (doi:10.1073/pnas.180063397)</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66.</w:t>
      </w:r>
      <w:r w:rsidRPr="0024147C">
        <w:rPr>
          <w:rFonts w:ascii="Palatino Linotype" w:hAnsi="Palatino Linotype"/>
          <w:noProof/>
          <w:sz w:val="22"/>
        </w:rPr>
        <w:tab/>
        <w:t xml:space="preserve">Crow, J. F., Engels, W. R. &amp; Denniston, C. 1990 Phase Three of Wright’s Shifting-Balance Theory. </w:t>
      </w:r>
      <w:r w:rsidRPr="0024147C">
        <w:rPr>
          <w:rFonts w:ascii="Palatino Linotype" w:hAnsi="Palatino Linotype"/>
          <w:i/>
          <w:iCs/>
          <w:noProof/>
          <w:sz w:val="22"/>
        </w:rPr>
        <w:t>Evolution</w:t>
      </w:r>
      <w:r w:rsidRPr="0024147C">
        <w:rPr>
          <w:rFonts w:ascii="Palatino Linotype" w:hAnsi="Palatino Linotype"/>
          <w:noProof/>
          <w:sz w:val="22"/>
        </w:rPr>
        <w:t xml:space="preserve"> </w:t>
      </w:r>
      <w:r w:rsidRPr="0024147C">
        <w:rPr>
          <w:rFonts w:ascii="Palatino Linotype" w:hAnsi="Palatino Linotype"/>
          <w:b/>
          <w:bCs/>
          <w:noProof/>
          <w:sz w:val="22"/>
        </w:rPr>
        <w:t>44</w:t>
      </w:r>
      <w:r w:rsidRPr="0024147C">
        <w:rPr>
          <w:rFonts w:ascii="Palatino Linotype" w:hAnsi="Palatino Linotype"/>
          <w:noProof/>
          <w:sz w:val="22"/>
        </w:rPr>
        <w:t>, 233. (doi:10.2307/2409403)</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67.</w:t>
      </w:r>
      <w:r w:rsidRPr="0024147C">
        <w:rPr>
          <w:rFonts w:ascii="Palatino Linotype" w:hAnsi="Palatino Linotype"/>
          <w:noProof/>
          <w:sz w:val="22"/>
        </w:rPr>
        <w:tab/>
        <w:t xml:space="preserve">Wade, M. J. &amp; Goodnight, C. J. 1991 Wright’s shifting balance theory: an experimental study. </w:t>
      </w:r>
      <w:r w:rsidRPr="0024147C">
        <w:rPr>
          <w:rFonts w:ascii="Palatino Linotype" w:hAnsi="Palatino Linotype"/>
          <w:i/>
          <w:iCs/>
          <w:noProof/>
          <w:sz w:val="22"/>
        </w:rPr>
        <w:t>Science (80-. ).</w:t>
      </w:r>
      <w:r w:rsidRPr="0024147C">
        <w:rPr>
          <w:rFonts w:ascii="Palatino Linotype" w:hAnsi="Palatino Linotype"/>
          <w:noProof/>
          <w:sz w:val="22"/>
        </w:rPr>
        <w:t xml:space="preserve"> </w:t>
      </w:r>
      <w:r w:rsidRPr="0024147C">
        <w:rPr>
          <w:rFonts w:ascii="Palatino Linotype" w:hAnsi="Palatino Linotype"/>
          <w:b/>
          <w:bCs/>
          <w:noProof/>
          <w:sz w:val="22"/>
        </w:rPr>
        <w:t>253</w:t>
      </w:r>
      <w:r w:rsidRPr="0024147C">
        <w:rPr>
          <w:rFonts w:ascii="Palatino Linotype" w:hAnsi="Palatino Linotype"/>
          <w:noProof/>
          <w:sz w:val="22"/>
        </w:rPr>
        <w:t>, 1015–8. (doi:10.1126/science.1887214)</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68.</w:t>
      </w:r>
      <w:r w:rsidRPr="0024147C">
        <w:rPr>
          <w:rFonts w:ascii="Palatino Linotype" w:hAnsi="Palatino Linotype"/>
          <w:noProof/>
          <w:sz w:val="22"/>
        </w:rPr>
        <w:tab/>
        <w:t xml:space="preserve">Peck, S. L., Ellner, S. P. &amp; Gould, F. 2000 Varying migration and deme size and the feasibility of the shifting balance. </w:t>
      </w:r>
      <w:r w:rsidRPr="0024147C">
        <w:rPr>
          <w:rFonts w:ascii="Palatino Linotype" w:hAnsi="Palatino Linotype"/>
          <w:i/>
          <w:iCs/>
          <w:noProof/>
          <w:sz w:val="22"/>
        </w:rPr>
        <w:t>Evolution</w:t>
      </w:r>
      <w:r w:rsidRPr="0024147C">
        <w:rPr>
          <w:rFonts w:ascii="Palatino Linotype" w:hAnsi="Palatino Linotype"/>
          <w:noProof/>
          <w:sz w:val="22"/>
        </w:rPr>
        <w:t xml:space="preserve"> </w:t>
      </w:r>
      <w:r w:rsidRPr="0024147C">
        <w:rPr>
          <w:rFonts w:ascii="Palatino Linotype" w:hAnsi="Palatino Linotype"/>
          <w:b/>
          <w:bCs/>
          <w:noProof/>
          <w:sz w:val="22"/>
        </w:rPr>
        <w:t>54</w:t>
      </w:r>
      <w:r w:rsidRPr="0024147C">
        <w:rPr>
          <w:rFonts w:ascii="Palatino Linotype" w:hAnsi="Palatino Linotype"/>
          <w:noProof/>
          <w:sz w:val="22"/>
        </w:rPr>
        <w:t>, 324–7. (doi:10.1111/j.0014-3820.2000.tb00035.x)</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69.</w:t>
      </w:r>
      <w:r w:rsidRPr="0024147C">
        <w:rPr>
          <w:rFonts w:ascii="Palatino Linotype" w:hAnsi="Palatino Linotype"/>
          <w:noProof/>
          <w:sz w:val="22"/>
        </w:rPr>
        <w:tab/>
        <w:t xml:space="preserve">Moore, F. B.-G. &amp; Tonsor, S. J. 1994 A Simulation of Wright’s Shifting-Balance Process: Migration and the Three Phases. </w:t>
      </w:r>
      <w:r w:rsidRPr="0024147C">
        <w:rPr>
          <w:rFonts w:ascii="Palatino Linotype" w:hAnsi="Palatino Linotype"/>
          <w:i/>
          <w:iCs/>
          <w:noProof/>
          <w:sz w:val="22"/>
        </w:rPr>
        <w:t>Evolution</w:t>
      </w:r>
      <w:r w:rsidRPr="0024147C">
        <w:rPr>
          <w:rFonts w:ascii="Palatino Linotype" w:hAnsi="Palatino Linotype"/>
          <w:noProof/>
          <w:sz w:val="22"/>
        </w:rPr>
        <w:t xml:space="preserve"> </w:t>
      </w:r>
      <w:r w:rsidRPr="0024147C">
        <w:rPr>
          <w:rFonts w:ascii="Palatino Linotype" w:hAnsi="Palatino Linotype"/>
          <w:b/>
          <w:bCs/>
          <w:noProof/>
          <w:sz w:val="22"/>
        </w:rPr>
        <w:t>48</w:t>
      </w:r>
      <w:r w:rsidRPr="0024147C">
        <w:rPr>
          <w:rFonts w:ascii="Palatino Linotype" w:hAnsi="Palatino Linotype"/>
          <w:noProof/>
          <w:sz w:val="22"/>
        </w:rPr>
        <w:t>, 69. (doi:10.2307/2410004)</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70.</w:t>
      </w:r>
      <w:r w:rsidRPr="0024147C">
        <w:rPr>
          <w:rFonts w:ascii="Palatino Linotype" w:hAnsi="Palatino Linotype"/>
          <w:noProof/>
          <w:sz w:val="22"/>
        </w:rPr>
        <w:tab/>
        <w:t xml:space="preserve">Gavrilets, S. 1996 On phase three of the shifting-balance theory. </w:t>
      </w:r>
      <w:r w:rsidRPr="0024147C">
        <w:rPr>
          <w:rFonts w:ascii="Palatino Linotype" w:hAnsi="Palatino Linotype"/>
          <w:i/>
          <w:iCs/>
          <w:noProof/>
          <w:sz w:val="22"/>
        </w:rPr>
        <w:t>Evolution</w:t>
      </w:r>
      <w:r w:rsidRPr="0024147C">
        <w:rPr>
          <w:rFonts w:ascii="Palatino Linotype" w:hAnsi="Palatino Linotype"/>
          <w:noProof/>
          <w:sz w:val="22"/>
        </w:rPr>
        <w:t xml:space="preserve"> </w:t>
      </w:r>
      <w:r w:rsidRPr="0024147C">
        <w:rPr>
          <w:rFonts w:ascii="Palatino Linotype" w:hAnsi="Palatino Linotype"/>
          <w:b/>
          <w:bCs/>
          <w:noProof/>
          <w:sz w:val="22"/>
        </w:rPr>
        <w:t>50</w:t>
      </w:r>
      <w:r w:rsidRPr="0024147C">
        <w:rPr>
          <w:rFonts w:ascii="Palatino Linotype" w:hAnsi="Palatino Linotype"/>
          <w:noProof/>
          <w:sz w:val="22"/>
        </w:rPr>
        <w:t>, 1034–1041. (doi:10.2307/2410644)</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71.</w:t>
      </w:r>
      <w:r w:rsidRPr="0024147C">
        <w:rPr>
          <w:rFonts w:ascii="Palatino Linotype" w:hAnsi="Palatino Linotype"/>
          <w:noProof/>
          <w:sz w:val="22"/>
        </w:rPr>
        <w:tab/>
        <w:t xml:space="preserve">Coyne, J. A., Barton, N. H. &amp; Turelli, M. 2000 Is Wright’s shifting balance process important in evolution? </w:t>
      </w:r>
      <w:r w:rsidRPr="0024147C">
        <w:rPr>
          <w:rFonts w:ascii="Palatino Linotype" w:hAnsi="Palatino Linotype"/>
          <w:i/>
          <w:iCs/>
          <w:noProof/>
          <w:sz w:val="22"/>
        </w:rPr>
        <w:t>Evolution</w:t>
      </w:r>
      <w:r w:rsidRPr="0024147C">
        <w:rPr>
          <w:rFonts w:ascii="Palatino Linotype" w:hAnsi="Palatino Linotype"/>
          <w:noProof/>
          <w:sz w:val="22"/>
        </w:rPr>
        <w:t xml:space="preserve"> </w:t>
      </w:r>
      <w:r w:rsidRPr="0024147C">
        <w:rPr>
          <w:rFonts w:ascii="Palatino Linotype" w:hAnsi="Palatino Linotype"/>
          <w:b/>
          <w:bCs/>
          <w:noProof/>
          <w:sz w:val="22"/>
        </w:rPr>
        <w:t>54</w:t>
      </w:r>
      <w:r w:rsidRPr="0024147C">
        <w:rPr>
          <w:rFonts w:ascii="Palatino Linotype" w:hAnsi="Palatino Linotype"/>
          <w:noProof/>
          <w:sz w:val="22"/>
        </w:rPr>
        <w:t>, 306–317. (doi:10.1111/j.0014-3820.2000.tb00033.x)</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72.</w:t>
      </w:r>
      <w:r w:rsidRPr="0024147C">
        <w:rPr>
          <w:rFonts w:ascii="Palatino Linotype" w:hAnsi="Palatino Linotype"/>
          <w:noProof/>
          <w:sz w:val="22"/>
        </w:rPr>
        <w:tab/>
        <w:t xml:space="preserve">Whitlock, M. C. &amp; Phillips, P. C. 2000 The exquisite corpse: a shifting view of the shifting balance. </w:t>
      </w:r>
      <w:r w:rsidRPr="0024147C">
        <w:rPr>
          <w:rFonts w:ascii="Palatino Linotype" w:hAnsi="Palatino Linotype"/>
          <w:i/>
          <w:iCs/>
          <w:noProof/>
          <w:sz w:val="22"/>
        </w:rPr>
        <w:t>Trends Ecol. Evol.</w:t>
      </w:r>
      <w:r w:rsidRPr="0024147C">
        <w:rPr>
          <w:rFonts w:ascii="Palatino Linotype" w:hAnsi="Palatino Linotype"/>
          <w:noProof/>
          <w:sz w:val="22"/>
        </w:rPr>
        <w:t xml:space="preserve"> </w:t>
      </w:r>
      <w:r w:rsidRPr="0024147C">
        <w:rPr>
          <w:rFonts w:ascii="Palatino Linotype" w:hAnsi="Palatino Linotype"/>
          <w:b/>
          <w:bCs/>
          <w:noProof/>
          <w:sz w:val="22"/>
        </w:rPr>
        <w:t>15</w:t>
      </w:r>
      <w:r w:rsidRPr="0024147C">
        <w:rPr>
          <w:rFonts w:ascii="Palatino Linotype" w:hAnsi="Palatino Linotype"/>
          <w:noProof/>
          <w:sz w:val="22"/>
        </w:rPr>
        <w:t>, 347–348. (doi:10.1016/S0169-5347(00)01930-3)</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73.</w:t>
      </w:r>
      <w:r w:rsidRPr="0024147C">
        <w:rPr>
          <w:rFonts w:ascii="Palatino Linotype" w:hAnsi="Palatino Linotype"/>
          <w:noProof/>
          <w:sz w:val="22"/>
        </w:rPr>
        <w:tab/>
        <w:t xml:space="preserve">Whitlock, M. C. 1995 Variance-induced peak shifts. </w:t>
      </w:r>
      <w:r w:rsidRPr="0024147C">
        <w:rPr>
          <w:rFonts w:ascii="Palatino Linotype" w:hAnsi="Palatino Linotype"/>
          <w:i/>
          <w:iCs/>
          <w:noProof/>
          <w:sz w:val="22"/>
        </w:rPr>
        <w:t>Evolution</w:t>
      </w:r>
      <w:r w:rsidRPr="0024147C">
        <w:rPr>
          <w:rFonts w:ascii="Palatino Linotype" w:hAnsi="Palatino Linotype"/>
          <w:noProof/>
          <w:sz w:val="22"/>
        </w:rPr>
        <w:t xml:space="preserve"> </w:t>
      </w:r>
      <w:r w:rsidRPr="0024147C">
        <w:rPr>
          <w:rFonts w:ascii="Palatino Linotype" w:hAnsi="Palatino Linotype"/>
          <w:b/>
          <w:bCs/>
          <w:noProof/>
          <w:sz w:val="22"/>
        </w:rPr>
        <w:t>49</w:t>
      </w:r>
      <w:r w:rsidRPr="0024147C">
        <w:rPr>
          <w:rFonts w:ascii="Palatino Linotype" w:hAnsi="Palatino Linotype"/>
          <w:noProof/>
          <w:sz w:val="22"/>
        </w:rPr>
        <w:t>, 252. (doi:10.2307/2410335)</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74.</w:t>
      </w:r>
      <w:r w:rsidRPr="0024147C">
        <w:rPr>
          <w:rFonts w:ascii="Palatino Linotype" w:hAnsi="Palatino Linotype"/>
          <w:noProof/>
          <w:sz w:val="22"/>
        </w:rPr>
        <w:tab/>
        <w:t xml:space="preserve">Whitlock, M. C. 1997 Founder effects and peak shifts without genetic drift: adaptive peak shifts occur easily when environments fluctuate slightly. </w:t>
      </w:r>
      <w:r w:rsidRPr="0024147C">
        <w:rPr>
          <w:rFonts w:ascii="Palatino Linotype" w:hAnsi="Palatino Linotype"/>
          <w:i/>
          <w:iCs/>
          <w:noProof/>
          <w:sz w:val="22"/>
        </w:rPr>
        <w:t>Evolution</w:t>
      </w:r>
      <w:r w:rsidRPr="0024147C">
        <w:rPr>
          <w:rFonts w:ascii="Palatino Linotype" w:hAnsi="Palatino Linotype"/>
          <w:noProof/>
          <w:sz w:val="22"/>
        </w:rPr>
        <w:t xml:space="preserve"> </w:t>
      </w:r>
      <w:r w:rsidRPr="0024147C">
        <w:rPr>
          <w:rFonts w:ascii="Palatino Linotype" w:hAnsi="Palatino Linotype"/>
          <w:b/>
          <w:bCs/>
          <w:noProof/>
          <w:sz w:val="22"/>
        </w:rPr>
        <w:t>51</w:t>
      </w:r>
      <w:r w:rsidRPr="0024147C">
        <w:rPr>
          <w:rFonts w:ascii="Palatino Linotype" w:hAnsi="Palatino Linotype"/>
          <w:noProof/>
          <w:sz w:val="22"/>
        </w:rPr>
        <w:t>, 1044. (doi:10.2307/2411033)</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75.</w:t>
      </w:r>
      <w:r w:rsidRPr="0024147C">
        <w:rPr>
          <w:rFonts w:ascii="Palatino Linotype" w:hAnsi="Palatino Linotype"/>
          <w:noProof/>
          <w:sz w:val="22"/>
        </w:rPr>
        <w:tab/>
        <w:t xml:space="preserve">Hadany, L. 2003 Adaptive peak shifts in a heterogenous environment. </w:t>
      </w:r>
      <w:r w:rsidRPr="0024147C">
        <w:rPr>
          <w:rFonts w:ascii="Palatino Linotype" w:hAnsi="Palatino Linotype"/>
          <w:i/>
          <w:iCs/>
          <w:noProof/>
          <w:sz w:val="22"/>
        </w:rPr>
        <w:t>Theor. Popul. Biol.</w:t>
      </w:r>
      <w:r w:rsidRPr="0024147C">
        <w:rPr>
          <w:rFonts w:ascii="Palatino Linotype" w:hAnsi="Palatino Linotype"/>
          <w:noProof/>
          <w:sz w:val="22"/>
        </w:rPr>
        <w:t xml:space="preserve"> </w:t>
      </w:r>
      <w:r w:rsidRPr="0024147C">
        <w:rPr>
          <w:rFonts w:ascii="Palatino Linotype" w:hAnsi="Palatino Linotype"/>
          <w:b/>
          <w:bCs/>
          <w:noProof/>
          <w:sz w:val="22"/>
        </w:rPr>
        <w:t>63</w:t>
      </w:r>
      <w:r w:rsidRPr="0024147C">
        <w:rPr>
          <w:rFonts w:ascii="Palatino Linotype" w:hAnsi="Palatino Linotype"/>
          <w:noProof/>
          <w:sz w:val="22"/>
        </w:rPr>
        <w:t>, 41–51. (doi:10.1016/S0040-5809(02)00011-4)</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lastRenderedPageBreak/>
        <w:t>76.</w:t>
      </w:r>
      <w:r w:rsidRPr="0024147C">
        <w:rPr>
          <w:rFonts w:ascii="Palatino Linotype" w:hAnsi="Palatino Linotype"/>
          <w:noProof/>
          <w:sz w:val="22"/>
        </w:rPr>
        <w:tab/>
        <w:t xml:space="preserve">Hadany, L. &amp; Beker, T. 2003 Fitness-associated recombination on rugged adaptive landscapes. </w:t>
      </w:r>
      <w:r w:rsidRPr="0024147C">
        <w:rPr>
          <w:rFonts w:ascii="Palatino Linotype" w:hAnsi="Palatino Linotype"/>
          <w:i/>
          <w:iCs/>
          <w:noProof/>
          <w:sz w:val="22"/>
        </w:rPr>
        <w:t>J. Evol. Biol.</w:t>
      </w:r>
      <w:r w:rsidRPr="0024147C">
        <w:rPr>
          <w:rFonts w:ascii="Palatino Linotype" w:hAnsi="Palatino Linotype"/>
          <w:noProof/>
          <w:sz w:val="22"/>
        </w:rPr>
        <w:t xml:space="preserve"> </w:t>
      </w:r>
      <w:r w:rsidRPr="0024147C">
        <w:rPr>
          <w:rFonts w:ascii="Palatino Linotype" w:hAnsi="Palatino Linotype"/>
          <w:b/>
          <w:bCs/>
          <w:noProof/>
          <w:sz w:val="22"/>
        </w:rPr>
        <w:t>16</w:t>
      </w:r>
      <w:r w:rsidRPr="0024147C">
        <w:rPr>
          <w:rFonts w:ascii="Palatino Linotype" w:hAnsi="Palatino Linotype"/>
          <w:noProof/>
          <w:sz w:val="22"/>
        </w:rPr>
        <w:t>, 862–870. (doi:10.1046/j.1420-9101.2003.00586.x)</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77.</w:t>
      </w:r>
      <w:r w:rsidRPr="0024147C">
        <w:rPr>
          <w:rFonts w:ascii="Palatino Linotype" w:hAnsi="Palatino Linotype"/>
          <w:noProof/>
          <w:sz w:val="22"/>
        </w:rPr>
        <w:tab/>
        <w:t xml:space="preserve">Weissman, D. B., Desai, M. M., Fisher, D. S. &amp; Feldman, M. W. 2009 The rate at which asexual populations cross fitness valleys. </w:t>
      </w:r>
      <w:r w:rsidRPr="0024147C">
        <w:rPr>
          <w:rFonts w:ascii="Palatino Linotype" w:hAnsi="Palatino Linotype"/>
          <w:i/>
          <w:iCs/>
          <w:noProof/>
          <w:sz w:val="22"/>
        </w:rPr>
        <w:t>Theor. Popul. Biol.</w:t>
      </w:r>
      <w:r w:rsidRPr="0024147C">
        <w:rPr>
          <w:rFonts w:ascii="Palatino Linotype" w:hAnsi="Palatino Linotype"/>
          <w:noProof/>
          <w:sz w:val="22"/>
        </w:rPr>
        <w:t xml:space="preserve"> </w:t>
      </w:r>
      <w:r w:rsidRPr="0024147C">
        <w:rPr>
          <w:rFonts w:ascii="Palatino Linotype" w:hAnsi="Palatino Linotype"/>
          <w:b/>
          <w:bCs/>
          <w:noProof/>
          <w:sz w:val="22"/>
        </w:rPr>
        <w:t>75</w:t>
      </w:r>
      <w:r w:rsidRPr="0024147C">
        <w:rPr>
          <w:rFonts w:ascii="Palatino Linotype" w:hAnsi="Palatino Linotype"/>
          <w:noProof/>
          <w:sz w:val="22"/>
        </w:rPr>
        <w:t>, 286–300. (doi:10.1016/j.tpb.2009.02.006)</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78.</w:t>
      </w:r>
      <w:r w:rsidRPr="0024147C">
        <w:rPr>
          <w:rFonts w:ascii="Palatino Linotype" w:hAnsi="Palatino Linotype"/>
          <w:noProof/>
          <w:sz w:val="22"/>
        </w:rPr>
        <w:tab/>
        <w:t xml:space="preserve">Weissman, D. B., Feldman, M. W. &amp; Fisher, D. S. 2010 The rate of fitness-valley crossing in sexual populations. </w:t>
      </w:r>
      <w:r w:rsidRPr="0024147C">
        <w:rPr>
          <w:rFonts w:ascii="Palatino Linotype" w:hAnsi="Palatino Linotype"/>
          <w:i/>
          <w:iCs/>
          <w:noProof/>
          <w:sz w:val="22"/>
        </w:rPr>
        <w:t>Genetics</w:t>
      </w:r>
      <w:r w:rsidRPr="0024147C">
        <w:rPr>
          <w:rFonts w:ascii="Palatino Linotype" w:hAnsi="Palatino Linotype"/>
          <w:noProof/>
          <w:sz w:val="22"/>
        </w:rPr>
        <w:t xml:space="preserve"> </w:t>
      </w:r>
      <w:r w:rsidRPr="0024147C">
        <w:rPr>
          <w:rFonts w:ascii="Palatino Linotype" w:hAnsi="Palatino Linotype"/>
          <w:b/>
          <w:bCs/>
          <w:noProof/>
          <w:sz w:val="22"/>
        </w:rPr>
        <w:t>186</w:t>
      </w:r>
      <w:r w:rsidRPr="0024147C">
        <w:rPr>
          <w:rFonts w:ascii="Palatino Linotype" w:hAnsi="Palatino Linotype"/>
          <w:noProof/>
          <w:sz w:val="22"/>
        </w:rPr>
        <w:t>, 1389–410. (doi:10.1534/genetics.110.123240)</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79.</w:t>
      </w:r>
      <w:r w:rsidRPr="0024147C">
        <w:rPr>
          <w:rFonts w:ascii="Palatino Linotype" w:hAnsi="Palatino Linotype"/>
          <w:noProof/>
          <w:sz w:val="22"/>
        </w:rPr>
        <w:tab/>
        <w:t xml:space="preserve">Schrag, S. J., Perrot, V. &amp; Levin, B. R. 1997 Adaptation to the fitness costs of antibiotic resistance in </w:t>
      </w:r>
      <w:r w:rsidRPr="0024147C">
        <w:rPr>
          <w:rFonts w:ascii="Palatino Linotype" w:hAnsi="Palatino Linotype"/>
          <w:i/>
          <w:iCs/>
          <w:noProof/>
          <w:sz w:val="22"/>
        </w:rPr>
        <w:t>Escherichia coli</w:t>
      </w:r>
      <w:r w:rsidRPr="0024147C">
        <w:rPr>
          <w:rFonts w:ascii="Palatino Linotype" w:hAnsi="Palatino Linotype"/>
          <w:noProof/>
          <w:sz w:val="22"/>
        </w:rPr>
        <w:t xml:space="preserve">. </w:t>
      </w:r>
      <w:r w:rsidRPr="0024147C">
        <w:rPr>
          <w:rFonts w:ascii="Palatino Linotype" w:hAnsi="Palatino Linotype"/>
          <w:i/>
          <w:iCs/>
          <w:noProof/>
          <w:sz w:val="22"/>
        </w:rPr>
        <w:t>Proc. R. Soc. B Biol. Sci.</w:t>
      </w:r>
      <w:r w:rsidRPr="0024147C">
        <w:rPr>
          <w:rFonts w:ascii="Palatino Linotype" w:hAnsi="Palatino Linotype"/>
          <w:noProof/>
          <w:sz w:val="22"/>
        </w:rPr>
        <w:t xml:space="preserve"> </w:t>
      </w:r>
      <w:r w:rsidRPr="0024147C">
        <w:rPr>
          <w:rFonts w:ascii="Palatino Linotype" w:hAnsi="Palatino Linotype"/>
          <w:b/>
          <w:bCs/>
          <w:noProof/>
          <w:sz w:val="22"/>
        </w:rPr>
        <w:t>264</w:t>
      </w:r>
      <w:r w:rsidRPr="0024147C">
        <w:rPr>
          <w:rFonts w:ascii="Palatino Linotype" w:hAnsi="Palatino Linotype"/>
          <w:noProof/>
          <w:sz w:val="22"/>
        </w:rPr>
        <w:t>, 1287–91. (doi:10.1098/rspb.1997.0178)</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80.</w:t>
      </w:r>
      <w:r w:rsidRPr="0024147C">
        <w:rPr>
          <w:rFonts w:ascii="Palatino Linotype" w:hAnsi="Palatino Linotype"/>
          <w:noProof/>
          <w:sz w:val="22"/>
        </w:rPr>
        <w:tab/>
        <w:t xml:space="preserve">Cairns, J., Overbaugh, J. &amp; Miller, S. 1988 The origin of mutants. </w:t>
      </w:r>
      <w:r w:rsidRPr="0024147C">
        <w:rPr>
          <w:rFonts w:ascii="Palatino Linotype" w:hAnsi="Palatino Linotype"/>
          <w:i/>
          <w:iCs/>
          <w:noProof/>
          <w:sz w:val="22"/>
        </w:rPr>
        <w:t>Nature</w:t>
      </w:r>
      <w:r w:rsidRPr="0024147C">
        <w:rPr>
          <w:rFonts w:ascii="Palatino Linotype" w:hAnsi="Palatino Linotype"/>
          <w:noProof/>
          <w:sz w:val="22"/>
        </w:rPr>
        <w:t xml:space="preserve"> </w:t>
      </w:r>
      <w:r w:rsidRPr="0024147C">
        <w:rPr>
          <w:rFonts w:ascii="Palatino Linotype" w:hAnsi="Palatino Linotype"/>
          <w:b/>
          <w:bCs/>
          <w:noProof/>
          <w:sz w:val="22"/>
        </w:rPr>
        <w:t>335</w:t>
      </w:r>
      <w:r w:rsidRPr="0024147C">
        <w:rPr>
          <w:rFonts w:ascii="Palatino Linotype" w:hAnsi="Palatino Linotype"/>
          <w:noProof/>
          <w:sz w:val="22"/>
        </w:rPr>
        <w:t>, 142–5. (doi:10.1038/335142a0)</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81.</w:t>
      </w:r>
      <w:r w:rsidRPr="0024147C">
        <w:rPr>
          <w:rFonts w:ascii="Palatino Linotype" w:hAnsi="Palatino Linotype"/>
          <w:noProof/>
          <w:sz w:val="22"/>
        </w:rPr>
        <w:tab/>
        <w:t xml:space="preserve">Johnson, T. &amp; Barton, N. H. 2002 The effect of deleterious alleles on adaptation in asexual populations. </w:t>
      </w:r>
      <w:r w:rsidRPr="0024147C">
        <w:rPr>
          <w:rFonts w:ascii="Palatino Linotype" w:hAnsi="Palatino Linotype"/>
          <w:i/>
          <w:iCs/>
          <w:noProof/>
          <w:sz w:val="22"/>
        </w:rPr>
        <w:t>Genetics</w:t>
      </w:r>
      <w:r w:rsidRPr="0024147C">
        <w:rPr>
          <w:rFonts w:ascii="Palatino Linotype" w:hAnsi="Palatino Linotype"/>
          <w:noProof/>
          <w:sz w:val="22"/>
        </w:rPr>
        <w:t xml:space="preserve"> </w:t>
      </w:r>
      <w:r w:rsidRPr="0024147C">
        <w:rPr>
          <w:rFonts w:ascii="Palatino Linotype" w:hAnsi="Palatino Linotype"/>
          <w:b/>
          <w:bCs/>
          <w:noProof/>
          <w:sz w:val="22"/>
        </w:rPr>
        <w:t>162</w:t>
      </w:r>
      <w:r w:rsidRPr="0024147C">
        <w:rPr>
          <w:rFonts w:ascii="Palatino Linotype" w:hAnsi="Palatino Linotype"/>
          <w:noProof/>
          <w:sz w:val="22"/>
        </w:rPr>
        <w:t xml:space="preserve">, 395–411.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82.</w:t>
      </w:r>
      <w:r w:rsidRPr="0024147C">
        <w:rPr>
          <w:rFonts w:ascii="Palatino Linotype" w:hAnsi="Palatino Linotype"/>
          <w:noProof/>
          <w:sz w:val="22"/>
        </w:rPr>
        <w:tab/>
        <w:t xml:space="preserve">Kimura, M. &amp; Maruyama, T. 1966 The mutational load with epistatic gene interactions in fitness. </w:t>
      </w:r>
      <w:r w:rsidRPr="0024147C">
        <w:rPr>
          <w:rFonts w:ascii="Palatino Linotype" w:hAnsi="Palatino Linotype"/>
          <w:i/>
          <w:iCs/>
          <w:noProof/>
          <w:sz w:val="22"/>
        </w:rPr>
        <w:t>Genetics</w:t>
      </w:r>
      <w:r w:rsidRPr="0024147C">
        <w:rPr>
          <w:rFonts w:ascii="Palatino Linotype" w:hAnsi="Palatino Linotype"/>
          <w:noProof/>
          <w:sz w:val="22"/>
        </w:rPr>
        <w:t xml:space="preserve"> </w:t>
      </w:r>
      <w:r w:rsidRPr="0024147C">
        <w:rPr>
          <w:rFonts w:ascii="Palatino Linotype" w:hAnsi="Palatino Linotype"/>
          <w:b/>
          <w:bCs/>
          <w:noProof/>
          <w:sz w:val="22"/>
        </w:rPr>
        <w:t>54</w:t>
      </w:r>
      <w:r w:rsidRPr="0024147C">
        <w:rPr>
          <w:rFonts w:ascii="Palatino Linotype" w:hAnsi="Palatino Linotype"/>
          <w:noProof/>
          <w:sz w:val="22"/>
        </w:rPr>
        <w:t xml:space="preserve">, 1337–51. </w:t>
      </w:r>
    </w:p>
    <w:p w:rsidR="0024147C" w:rsidRPr="0024147C" w:rsidRDefault="0024147C">
      <w:pPr>
        <w:pStyle w:val="NormalWeb"/>
        <w:ind w:left="640" w:hanging="640"/>
        <w:divId w:val="1735933008"/>
        <w:rPr>
          <w:rFonts w:ascii="Palatino Linotype" w:hAnsi="Palatino Linotype"/>
          <w:noProof/>
          <w:sz w:val="22"/>
        </w:rPr>
      </w:pPr>
      <w:r w:rsidRPr="0024147C">
        <w:rPr>
          <w:rFonts w:ascii="Palatino Linotype" w:hAnsi="Palatino Linotype"/>
          <w:noProof/>
          <w:sz w:val="22"/>
        </w:rPr>
        <w:t>83.</w:t>
      </w:r>
      <w:r w:rsidRPr="0024147C">
        <w:rPr>
          <w:rFonts w:ascii="Palatino Linotype" w:hAnsi="Palatino Linotype"/>
          <w:noProof/>
          <w:sz w:val="22"/>
        </w:rPr>
        <w:tab/>
        <w:t xml:space="preserve">Otto, S. P. &amp; Day, T. 2007 </w:t>
      </w:r>
      <w:r w:rsidRPr="0024147C">
        <w:rPr>
          <w:rFonts w:ascii="Palatino Linotype" w:hAnsi="Palatino Linotype"/>
          <w:i/>
          <w:iCs/>
          <w:noProof/>
          <w:sz w:val="22"/>
        </w:rPr>
        <w:t>A biologist’s guide to mathematical modeling in ecology and evolution</w:t>
      </w:r>
      <w:r w:rsidRPr="0024147C">
        <w:rPr>
          <w:rFonts w:ascii="Palatino Linotype" w:hAnsi="Palatino Linotype"/>
          <w:noProof/>
          <w:sz w:val="22"/>
        </w:rPr>
        <w:t xml:space="preserve">. Princeton University Press. </w:t>
      </w:r>
    </w:p>
    <w:p w:rsidR="00121E76" w:rsidRDefault="00121E76" w:rsidP="0024147C">
      <w:pPr>
        <w:pStyle w:val="NormalWeb"/>
        <w:ind w:left="640" w:hanging="640"/>
        <w:divId w:val="1556428567"/>
        <w:rPr>
          <w:rFonts w:asciiTheme="majorHAnsi" w:eastAsiaTheme="majorEastAsia" w:hAnsiTheme="majorHAnsi" w:cstheme="majorBidi"/>
          <w:bCs/>
          <w:color w:val="000000" w:themeColor="text2"/>
          <w:sz w:val="32"/>
          <w:szCs w:val="28"/>
        </w:rPr>
      </w:pPr>
      <w:r>
        <w:fldChar w:fldCharType="end"/>
      </w:r>
      <w:r>
        <w:rPr>
          <w:lang w:bidi="hi-IN"/>
        </w:rPr>
        <w:t xml:space="preserve"> </w:t>
      </w:r>
      <w:r>
        <w:br w:type="page"/>
      </w:r>
    </w:p>
    <w:p w:rsidR="00961941" w:rsidRDefault="00961941" w:rsidP="00670804">
      <w:pPr>
        <w:pStyle w:val="Heading1"/>
        <w:spacing w:line="480" w:lineRule="auto"/>
      </w:pPr>
      <w:r w:rsidRPr="00961941">
        <w:lastRenderedPageBreak/>
        <w:t>Appendi</w:t>
      </w:r>
      <w:r w:rsidR="00670804">
        <w:t>c</w:t>
      </w:r>
      <w:r w:rsidRPr="00961941">
        <w:t>es</w:t>
      </w:r>
    </w:p>
    <w:p w:rsidR="00961941" w:rsidRDefault="00961941" w:rsidP="00121E76">
      <w:pPr>
        <w:pStyle w:val="Heading2"/>
        <w:numPr>
          <w:ilvl w:val="0"/>
          <w:numId w:val="0"/>
        </w:numPr>
        <w:spacing w:line="480" w:lineRule="auto"/>
        <w:ind w:left="357" w:hanging="357"/>
      </w:pPr>
      <w:r>
        <w:t xml:space="preserve">Appendix </w:t>
      </w:r>
      <w:bookmarkEnd w:id="18"/>
      <w:bookmarkEnd w:id="19"/>
      <w:r w:rsidR="00C46C20">
        <w:t>A</w:t>
      </w:r>
      <w:r>
        <w:t>: Appearance of a double mutant</w:t>
      </w:r>
    </w:p>
    <w:p w:rsidR="00961941" w:rsidRDefault="00961941" w:rsidP="00121E76">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w:t>
      </w:r>
      <w:proofErr w:type="gramStart"/>
      <w:r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121E76">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121E76">
      <w:pPr>
        <w:spacing w:line="480" w:lineRule="auto"/>
      </w:pPr>
      <w:r w:rsidRPr="006930EE">
        <w:t xml:space="preserve">Using the above assumptions, this </w:t>
      </w:r>
      <w:r>
        <w:t>resolves to</w:t>
      </w:r>
      <w:r w:rsidRPr="006930EE">
        <w:t xml:space="preserve">: </w:t>
      </w:r>
    </w:p>
    <w:p w:rsidR="00961941" w:rsidRPr="006930EE" w:rsidRDefault="00961941" w:rsidP="00121E76">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121E76">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EB2B08" w:rsidP="00121E76">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121E76">
      <w:pPr>
        <w:spacing w:line="480" w:lineRule="auto"/>
      </w:pPr>
      <w:r w:rsidRPr="00173C79">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 xml:space="preserve">under the </w:t>
      </w:r>
      <w:proofErr w:type="gramStart"/>
      <w:r w:rsidRPr="00173C79">
        <w:t>assumption</w:t>
      </w:r>
      <w:r>
        <w:t xml:space="preserve"> </w:t>
      </w:r>
      <w:proofErr w:type="gramEnd"/>
      <m:oMath>
        <m:r>
          <w:rPr>
            <w:rFonts w:ascii="Cambria Math" w:hAnsi="Cambria Math"/>
          </w:rPr>
          <m:t>U≪s</m:t>
        </m:r>
      </m:oMath>
      <w:r w:rsidRPr="00173C79">
        <w:t>.</w:t>
      </w:r>
    </w:p>
    <w:p w:rsidR="00961941" w:rsidRDefault="00961941" w:rsidP="00121E76">
      <w:pPr>
        <w:spacing w:line="480" w:lineRule="auto"/>
      </w:pPr>
      <w:r>
        <w:t>For a population with SIM</w:t>
      </w:r>
    </w:p>
    <w:p w:rsidR="00961941" w:rsidRPr="005579CA" w:rsidRDefault="00EB2B08" w:rsidP="00121E76">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121E76">
      <w:pPr>
        <w:spacing w:line="480" w:lineRule="auto"/>
      </w:pPr>
      <w:r>
        <w:lastRenderedPageBreak/>
        <w:t xml:space="preserve">The last approximation assumes </w:t>
      </w:r>
      <w:proofErr w:type="gramStart"/>
      <w:r>
        <w:t xml:space="preserve">that </w:t>
      </w:r>
      <w:proofErr w:type="gramEnd"/>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EB2B08" w:rsidP="00121E76">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121E76">
            <w:pPr>
              <w:spacing w:line="480" w:lineRule="auto"/>
            </w:pPr>
          </w:p>
        </w:tc>
      </w:tr>
    </w:tbl>
    <w:p w:rsidR="00961941" w:rsidRPr="00466C39" w:rsidRDefault="00961941" w:rsidP="00121E76">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EB2B08" w:rsidP="00121E76">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121E76">
      <w:pPr>
        <w:spacing w:line="480" w:lineRule="auto"/>
        <w:rPr>
          <w:rFonts w:eastAsiaTheme="minorEastAsia"/>
          <w:vertAlign w:val="subscript"/>
        </w:rPr>
      </w:pPr>
      <w:proofErr w:type="gramStart"/>
      <w:r w:rsidRPr="00466C39">
        <w:rPr>
          <w:rFonts w:eastAsiaTheme="minorEastAsia"/>
        </w:rPr>
        <w:t>because</w:t>
      </w:r>
      <w:proofErr w:type="gramEnd"/>
      <w:r w:rsidRPr="00466C39">
        <w:rPr>
          <w:rFonts w:eastAsiaTheme="minorEastAsia"/>
        </w:rPr>
        <w:t xml:space="preserv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121E76">
      <w:pPr>
        <w:pStyle w:val="Heading2"/>
        <w:numPr>
          <w:ilvl w:val="0"/>
          <w:numId w:val="0"/>
        </w:numPr>
        <w:spacing w:line="480" w:lineRule="auto"/>
        <w:ind w:left="357" w:hanging="357"/>
      </w:pPr>
      <w:bookmarkStart w:id="20" w:name="_Ref360530760"/>
      <w:bookmarkStart w:id="21" w:name="_Ref363980888"/>
      <w:r>
        <w:t>Appendix</w:t>
      </w:r>
      <w:bookmarkEnd w:id="20"/>
      <w:r>
        <w:t xml:space="preserve"> </w:t>
      </w:r>
      <w:bookmarkEnd w:id="21"/>
      <w:r w:rsidR="00C46C20">
        <w:t>B</w:t>
      </w:r>
      <w:r>
        <w:t>: Fixation of a double mutant</w:t>
      </w:r>
    </w:p>
    <w:p w:rsidR="00961941" w:rsidRDefault="00961941" w:rsidP="00121E76">
      <w:pPr>
        <w:spacing w:line="480" w:lineRule="auto"/>
        <w:rPr>
          <w:lang w:bidi="hi-IN"/>
        </w:rPr>
      </w:pPr>
      <w:r>
        <w:t xml:space="preserve">Following </w:t>
      </w:r>
      <w:proofErr w:type="spellStart"/>
      <w:r>
        <w:t>Eshel</w:t>
      </w:r>
      <w:proofErr w:type="spellEnd"/>
      <w:r>
        <w:t xml:space="preserve"> </w:t>
      </w:r>
      <w:r w:rsidR="00616194">
        <w:fldChar w:fldCharType="begin" w:fldLock="1"/>
      </w:r>
      <w:r w:rsidR="0024147C">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"[50]" }, "properties" : { "noteIndex" : 0 }, "schema" : "https://github.com/citation-style-language/schema/raw/master/csl-citation.json" }</w:instrText>
      </w:r>
      <w:r w:rsidR="00616194">
        <w:fldChar w:fldCharType="separate"/>
      </w:r>
      <w:r w:rsidR="00257928" w:rsidRPr="00257928">
        <w:rPr>
          <w:noProof/>
        </w:rPr>
        <w:t>[50]</w:t>
      </w:r>
      <w:r w:rsidR="00616194">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121E76">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121E76">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121E76">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121E76">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the population (see "minor technical point" by Johnson and Barton </w:t>
      </w:r>
      <w:r w:rsidR="00616194" w:rsidRPr="000448EE">
        <w:fldChar w:fldCharType="begin" w:fldLock="1"/>
      </w:r>
      <w:r w:rsidR="0024147C">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        From Duplicate 1 (                           The effect of deleterious alleles on adaptation in asexual populations.                         - Johnson, Toby; Barton, Nicholas H. )\n                \n        From Duplicate 2 (                           The Effect of Deleterious Alleles on Adaptation in Asexual Populations                         - Johnson, Toby; Barton, Nick H. )\n                \n        \n        \n        \n        \n      ", "page" : "395-411", "title" : "The effect of deleterious alleles on adaptation in asexual populations.", "type" : "article-journal", "volume" : "162" }, "uris" : [ "http://www.mendeley.com/documents/?uuid=f3941c3a-3bc1-4b60-92ac-7986875fd4c6" ] } ], "mendeley" : { "previouslyFormattedCitation" : "[81]" }, "properties" : { "noteIndex" : 0 }, "schema" : "https://github.com/citation-style-language/schema/raw/master/csl-citation.json" }</w:instrText>
      </w:r>
      <w:r w:rsidR="00616194" w:rsidRPr="000448EE">
        <w:fldChar w:fldCharType="separate"/>
      </w:r>
      <w:r w:rsidR="00257928" w:rsidRPr="00257928">
        <w:rPr>
          <w:noProof/>
        </w:rPr>
        <w:t>[81]</w:t>
      </w:r>
      <w:r w:rsidR="00616194" w:rsidRPr="000448EE">
        <w:fldChar w:fldCharType="end"/>
      </w:r>
      <w:r w:rsidRPr="000448EE">
        <w:t>). At this stage, double mutants are still very rare, so we can use the population</w:t>
      </w:r>
      <w:r>
        <w:t xml:space="preserve"> mean fitness at the MSB. The </w:t>
      </w:r>
      <w:proofErr w:type="gramStart"/>
      <w:r>
        <w:t>population mean</w:t>
      </w:r>
      <w:proofErr w:type="gramEnd"/>
      <w:r>
        <w:t xml:space="preserve">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121E76">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121E76">
      <w:pPr>
        <w:spacing w:line="480" w:lineRule="auto"/>
      </w:pPr>
      <w:r>
        <w:t xml:space="preserve">Assuming </w:t>
      </w:r>
      <w:proofErr w:type="spellStart"/>
      <w:r w:rsidRPr="00544FA2">
        <w:rPr>
          <w:i/>
          <w:iCs/>
        </w:rPr>
        <w:t>sH</w:t>
      </w:r>
      <w:proofErr w:type="spellEnd"/>
      <w:r>
        <w:t xml:space="preserve"> </w:t>
      </w:r>
      <w:r w:rsidRPr="00544FA2">
        <w:t>is</w:t>
      </w:r>
      <w:bookmarkStart w:id="22"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121E76">
      <w:pPr>
        <w:spacing w:line="480" w:lineRule="auto"/>
        <w:jc w:val="center"/>
      </w:pPr>
      <m:oMath>
        <m:r>
          <w:rPr>
            <w:rFonts w:ascii="Cambria Math" w:hAnsi="Cambria Math"/>
          </w:rPr>
          <m:t>ρ≈2sH</m:t>
        </m:r>
      </m:oMath>
      <w:r>
        <w:t>.</w:t>
      </w:r>
    </w:p>
    <w:p w:rsidR="00961941" w:rsidRPr="00961941" w:rsidRDefault="00961941" w:rsidP="00121E76">
      <w:pPr>
        <w:pStyle w:val="Heading2"/>
        <w:numPr>
          <w:ilvl w:val="0"/>
          <w:numId w:val="0"/>
        </w:numPr>
        <w:spacing w:line="480" w:lineRule="auto"/>
        <w:ind w:left="357" w:hanging="357"/>
        <w:rPr>
          <w:vertAlign w:val="subscript"/>
        </w:rPr>
      </w:pPr>
      <w:bookmarkStart w:id="23" w:name="_Ref363980903"/>
      <w:r>
        <w:t xml:space="preserve">Appendix </w:t>
      </w:r>
      <w:bookmarkEnd w:id="22"/>
      <w:bookmarkEnd w:id="23"/>
      <w:r w:rsidR="00C46C20">
        <w:t>C</w:t>
      </w:r>
      <w:r>
        <w:t xml:space="preserve">: Fixation of a double mutant with </w:t>
      </w:r>
      <w:proofErr w:type="spellStart"/>
      <w:r>
        <w:t>SIM</w:t>
      </w:r>
      <w:r>
        <w:rPr>
          <w:vertAlign w:val="subscript"/>
        </w:rPr>
        <w:t>e</w:t>
      </w:r>
      <w:proofErr w:type="spellEnd"/>
    </w:p>
    <w:p w:rsidR="00961941" w:rsidRPr="00335E62" w:rsidRDefault="00961941" w:rsidP="00121E76">
      <w:pPr>
        <w:spacing w:line="480" w:lineRule="auto"/>
        <w:rPr>
          <w:lang w:bidi="hi-IN"/>
        </w:rPr>
      </w:pPr>
      <w:r>
        <w:rPr>
          <w:lang w:bidi="hi-IN"/>
        </w:rPr>
        <w:t xml:space="preserve">With </w:t>
      </w:r>
      <w:proofErr w:type="spellStart"/>
      <w:r>
        <w:rPr>
          <w:lang w:bidi="hi-IN"/>
        </w:rPr>
        <w:t>SIM</w:t>
      </w:r>
      <w:r>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Pr="00335E62">
        <w:rPr>
          <w:i/>
          <w:iCs/>
        </w:rPr>
        <w:t>τU</w:t>
      </w:r>
      <w:proofErr w:type="spellEnd"/>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616194">
        <w:rPr>
          <w:lang w:bidi="hi-IN"/>
        </w:rPr>
        <w:fldChar w:fldCharType="begin" w:fldLock="1"/>
      </w:r>
      <w:r w:rsidR="0024147C">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"[42]" }, "properties" : { "noteIndex" : 0 }, "schema" : "https://github.com/citation-style-language/schema/raw/master/csl-citation.json" }</w:instrText>
      </w:r>
      <w:r w:rsidR="00616194">
        <w:rPr>
          <w:lang w:bidi="hi-IN"/>
        </w:rPr>
        <w:fldChar w:fldCharType="separate"/>
      </w:r>
      <w:r w:rsidR="00635E26" w:rsidRPr="00635E26">
        <w:rPr>
          <w:noProof/>
          <w:lang w:bidi="hi-IN"/>
        </w:rPr>
        <w:t>[42]</w:t>
      </w:r>
      <w:r w:rsidR="00616194">
        <w:rPr>
          <w:lang w:bidi="hi-IN"/>
        </w:rPr>
        <w:fldChar w:fldCharType="end"/>
      </w:r>
      <w:r>
        <w:rPr>
          <w:lang w:bidi="hi-IN"/>
        </w:rPr>
        <w:t xml:space="preserve"> is much faster than adaptation. Following the derivation in Appendix </w:t>
      </w:r>
      <w:r w:rsidR="006E3084">
        <w:rPr>
          <w:lang w:bidi="hi-IN"/>
        </w:rPr>
        <w:t>B</w:t>
      </w:r>
      <w:r>
        <w:rPr>
          <w:lang w:bidi="hi-IN"/>
        </w:rPr>
        <w:t xml:space="preserve">, the relative fitness of </w:t>
      </w:r>
      <w:proofErr w:type="spellStart"/>
      <w:r>
        <w:rPr>
          <w:lang w:bidi="hi-IN"/>
        </w:rPr>
        <w:t>SIM</w:t>
      </w:r>
      <w:r>
        <w:rPr>
          <w:vertAlign w:val="subscript"/>
          <w:lang w:bidi="hi-IN"/>
        </w:rPr>
        <w:t>e</w:t>
      </w:r>
      <w:proofErr w:type="spellEnd"/>
      <w:r>
        <w:rPr>
          <w:lang w:bidi="hi-IN"/>
        </w:rPr>
        <w:t xml:space="preserve"> is</w:t>
      </w:r>
    </w:p>
    <w:p w:rsidR="00961941" w:rsidRDefault="00EB2B08"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121E76">
      <w:pPr>
        <w:spacing w:line="480" w:lineRule="auto"/>
        <w:rPr>
          <w:rFonts w:eastAsiaTheme="minorEastAsia"/>
          <w:lang w:bidi="hi-IN"/>
        </w:rPr>
      </w:pPr>
      <w:r>
        <w:rPr>
          <w:rFonts w:eastAsiaTheme="minorEastAsia"/>
          <w:lang w:bidi="hi-IN"/>
        </w:rPr>
        <w:t>Plugging that in the fixation probability,</w:t>
      </w:r>
    </w:p>
    <w:p w:rsidR="00961941" w:rsidRDefault="00EB2B08"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121E76">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w:t>
      </w:r>
      <w:proofErr w:type="gramStart"/>
      <w:r>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EB2B08"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121E76">
      <w:pPr>
        <w:spacing w:line="480" w:lineRule="auto"/>
        <w:rPr>
          <w:rFonts w:eastAsiaTheme="minorEastAsia"/>
          <w:lang w:bidi="hi-IN"/>
        </w:rPr>
      </w:pPr>
      <w:proofErr w:type="gramStart"/>
      <w:r>
        <w:rPr>
          <w:rFonts w:eastAsiaTheme="minorEastAsia"/>
          <w:lang w:bidi="hi-IN"/>
        </w:rPr>
        <w:t xml:space="preserve">Because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EB2B08"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121E76">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is the same as with CM, the adaptation rate with </w:t>
      </w:r>
      <w:proofErr w:type="spellStart"/>
      <w:r>
        <w:rPr>
          <w:rFonts w:eastAsiaTheme="minorEastAsia"/>
          <w:lang w:bidi="hi-IN"/>
        </w:rPr>
        <w:t>SIM</w:t>
      </w:r>
      <w:r>
        <w:rPr>
          <w:rFonts w:eastAsiaTheme="minorEastAsia"/>
          <w:vertAlign w:val="subscript"/>
          <w:lang w:bidi="hi-IN"/>
        </w:rPr>
        <w:t>e</w:t>
      </w:r>
      <w:proofErr w:type="spellEnd"/>
      <w:r>
        <w:rPr>
          <w:rFonts w:eastAsiaTheme="minorEastAsia"/>
          <w:lang w:bidi="hi-IN"/>
        </w:rPr>
        <w:t xml:space="preserve"> can be written as</w:t>
      </w:r>
    </w:p>
    <w:p w:rsidR="00961941" w:rsidRDefault="00EB2B08" w:rsidP="00121E76">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121E76" w:rsidRPr="00457ACF" w:rsidRDefault="00121E76" w:rsidP="00121E76">
      <w:pPr>
        <w:pStyle w:val="Heading2"/>
        <w:numPr>
          <w:ilvl w:val="0"/>
          <w:numId w:val="0"/>
        </w:numPr>
        <w:spacing w:line="480" w:lineRule="auto"/>
        <w:ind w:left="357" w:hanging="357"/>
        <w:rPr>
          <w:rFonts w:eastAsiaTheme="minorEastAsia"/>
        </w:rPr>
      </w:pPr>
      <w:r w:rsidRPr="00457ACF">
        <w:lastRenderedPageBreak/>
        <w:t>Appendix</w:t>
      </w:r>
      <w:r w:rsidRPr="00457ACF">
        <w:rPr>
          <w:rFonts w:eastAsiaTheme="minorEastAsia"/>
        </w:rPr>
        <w:t xml:space="preserve"> D: Mean fitness at the mutation-selection balance</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Denote the frequency of individuals with </w:t>
      </w:r>
      <w:r w:rsidRPr="00457ACF">
        <w:rPr>
          <w:rFonts w:ascii="Palatino Linotype" w:hAnsi="Palatino Linotype"/>
          <w:i/>
          <w:iCs/>
          <w:lang w:bidi="hi-IN"/>
        </w:rPr>
        <w:t>x</w:t>
      </w:r>
      <w:r w:rsidRPr="00457ACF">
        <w:rPr>
          <w:rFonts w:ascii="Palatino Linotype" w:hAnsi="Palatino Linotype"/>
          <w:lang w:bidi="hi-IN"/>
        </w:rPr>
        <w:t xml:space="preserve"> deleterious alleles by </w:t>
      </w:r>
      <w:proofErr w:type="spellStart"/>
      <w:proofErr w:type="gramStart"/>
      <w:r w:rsidRPr="00457ACF">
        <w:rPr>
          <w:rFonts w:ascii="Palatino Linotype" w:hAnsi="Palatino Linotype"/>
          <w:i/>
          <w:iCs/>
          <w:lang w:bidi="hi-IN"/>
        </w:rPr>
        <w:t>f</w:t>
      </w:r>
      <w:r w:rsidRPr="00457ACF">
        <w:rPr>
          <w:rFonts w:ascii="Palatino Linotype" w:hAnsi="Palatino Linotype"/>
          <w:i/>
          <w:iCs/>
          <w:vertAlign w:val="subscript"/>
          <w:lang w:bidi="hi-IN"/>
        </w:rPr>
        <w:t>x</w:t>
      </w:r>
      <w:proofErr w:type="spellEnd"/>
      <w:proofErr w:type="gramEnd"/>
      <w:r w:rsidRPr="00457ACF">
        <w:rPr>
          <w:rFonts w:ascii="Palatino Linotype" w:hAnsi="Palatino Linotype"/>
          <w:lang w:bidi="hi-IN"/>
        </w:rPr>
        <w:t xml:space="preserve">. The frequency of such individuals in the next generation </w:t>
      </w:r>
      <w:proofErr w:type="spellStart"/>
      <w:r w:rsidRPr="00457ACF">
        <w:rPr>
          <w:rFonts w:ascii="Palatino Linotype" w:hAnsi="Palatino Linotype"/>
          <w:i/>
          <w:iCs/>
          <w:lang w:bidi="hi-IN"/>
        </w:rPr>
        <w:t>f'</w:t>
      </w:r>
      <w:r w:rsidRPr="00457ACF">
        <w:rPr>
          <w:rFonts w:ascii="Palatino Linotype" w:hAnsi="Palatino Linotype"/>
          <w:i/>
          <w:iCs/>
          <w:vertAlign w:val="subscript"/>
          <w:lang w:bidi="hi-IN"/>
        </w:rPr>
        <w:t>x</w:t>
      </w:r>
      <w:proofErr w:type="spellEnd"/>
      <w:r w:rsidRPr="00457ACF">
        <w:rPr>
          <w:rFonts w:ascii="Palatino Linotype" w:hAnsi="Palatino Linotype"/>
          <w:lang w:bidi="hi-IN"/>
        </w:rPr>
        <w:t xml:space="preserve">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9"/>
        <w:gridCol w:w="2842"/>
        <w:gridCol w:w="2841"/>
      </w:tblGrid>
      <w:tr w:rsidR="00121E76" w:rsidRPr="00457ACF" w:rsidTr="0092329E">
        <w:tc>
          <w:tcPr>
            <w:tcW w:w="2842" w:type="dxa"/>
          </w:tcPr>
          <w:p w:rsidR="00121E76" w:rsidRPr="00457ACF" w:rsidRDefault="00121E76" w:rsidP="0092329E">
            <w:pPr>
              <w:spacing w:line="480" w:lineRule="auto"/>
              <w:rPr>
                <w:rFonts w:ascii="Palatino Linotype" w:eastAsiaTheme="minorEastAsia" w:hAnsi="Palatino Linotype"/>
                <w:sz w:val="22"/>
                <w:szCs w:val="22"/>
                <w:lang w:bidi="hi-IN"/>
              </w:rPr>
            </w:pPr>
          </w:p>
        </w:tc>
        <w:tc>
          <w:tcPr>
            <w:tcW w:w="2843" w:type="dxa"/>
          </w:tcPr>
          <w:p w:rsidR="00121E76" w:rsidRPr="00457ACF" w:rsidRDefault="00EB2B08" w:rsidP="0092329E">
            <w:pPr>
              <w:spacing w:line="480" w:lineRule="auto"/>
              <w:rPr>
                <w:rFonts w:ascii="Palatino Linotype" w:eastAsiaTheme="minorEastAsia" w:hAnsi="Palatino Linotype"/>
                <w:sz w:val="22"/>
                <w:szCs w:val="22"/>
                <w:lang w:bidi="hi-IN"/>
              </w:rPr>
            </w:pPr>
            <m:oMath>
              <m:acc>
                <m:accPr>
                  <m:chr m:val="̅"/>
                  <m:ctrlPr>
                    <w:rPr>
                      <w:rFonts w:ascii="Cambria Math" w:eastAsiaTheme="minorEastAsia" w:hAnsi="Cambria Math"/>
                      <w:i/>
                      <w:sz w:val="22"/>
                      <w:szCs w:val="22"/>
                      <w:lang w:bidi="hi-IN"/>
                    </w:rPr>
                  </m:ctrlPr>
                </m:accPr>
                <m:e>
                  <m:r>
                    <w:rPr>
                      <w:rFonts w:ascii="Cambria Math" w:hAnsi="Cambria Math"/>
                      <w:sz w:val="22"/>
                      <w:szCs w:val="22"/>
                      <w:lang w:bidi="hi-IN"/>
                    </w:rPr>
                    <m:t>ω</m:t>
                  </m:r>
                  <m:ctrlPr>
                    <w:rPr>
                      <w:rFonts w:ascii="Cambria Math" w:hAnsi="Cambria Math"/>
                      <w:i/>
                      <w:sz w:val="22"/>
                      <w:szCs w:val="22"/>
                      <w:lang w:bidi="hi-IN"/>
                    </w:rPr>
                  </m:ctrlPr>
                </m:e>
              </m:acc>
              <m:sSubSup>
                <m:sSubSupPr>
                  <m:ctrlPr>
                    <w:rPr>
                      <w:rFonts w:ascii="Cambria Math" w:hAnsi="Cambria Math"/>
                      <w:i/>
                      <w:sz w:val="22"/>
                      <w:szCs w:val="22"/>
                      <w:lang w:bidi="hi-IN"/>
                    </w:rPr>
                  </m:ctrlPr>
                </m:sSubSupPr>
                <m:e>
                  <m:r>
                    <w:rPr>
                      <w:rFonts w:ascii="Cambria Math" w:hAnsi="Cambria Math"/>
                      <w:sz w:val="22"/>
                      <w:szCs w:val="22"/>
                      <w:lang w:bidi="hi-IN"/>
                    </w:rPr>
                    <m:t>f</m:t>
                  </m:r>
                </m:e>
                <m:sub>
                  <m:r>
                    <w:rPr>
                      <w:rFonts w:ascii="Cambria Math" w:hAnsi="Cambria Math"/>
                      <w:sz w:val="22"/>
                      <w:szCs w:val="22"/>
                      <w:lang w:bidi="hi-IN"/>
                    </w:rPr>
                    <m:t>x</m:t>
                  </m:r>
                </m:sub>
                <m:sup>
                  <m:r>
                    <w:rPr>
                      <w:rFonts w:ascii="Cambria Math" w:hAnsi="Cambria Math"/>
                      <w:sz w:val="22"/>
                      <w:szCs w:val="22"/>
                      <w:lang w:bidi="hi-IN"/>
                    </w:rPr>
                    <m:t>'</m:t>
                  </m:r>
                </m:sup>
              </m:sSubSup>
              <m:r>
                <w:rPr>
                  <w:rFonts w:ascii="Cambria Math" w:hAnsi="Cambria Math"/>
                  <w:sz w:val="22"/>
                  <w:szCs w:val="22"/>
                  <w:lang w:bidi="hi-IN"/>
                </w:rPr>
                <m:t>=</m:t>
              </m:r>
              <m:nary>
                <m:naryPr>
                  <m:chr m:val="∑"/>
                  <m:supHide m:val="1"/>
                  <m:ctrlPr>
                    <w:rPr>
                      <w:rFonts w:ascii="Cambria Math" w:hAnsi="Cambria Math"/>
                      <w:i/>
                      <w:sz w:val="22"/>
                      <w:szCs w:val="22"/>
                      <w:lang w:bidi="hi-IN"/>
                    </w:rPr>
                  </m:ctrlPr>
                </m:naryPr>
                <m:sub>
                  <m:r>
                    <w:rPr>
                      <w:rFonts w:ascii="Cambria Math" w:hAnsi="Cambria Math"/>
                      <w:sz w:val="22"/>
                      <w:szCs w:val="22"/>
                      <w:lang w:bidi="hi-IN"/>
                    </w:rPr>
                    <m:t>y≥0</m:t>
                  </m:r>
                </m:sub>
                <m:sup/>
                <m:e>
                  <m:sSub>
                    <m:sSubPr>
                      <m:ctrlPr>
                        <w:rPr>
                          <w:rFonts w:ascii="Cambria Math" w:hAnsi="Cambria Math"/>
                          <w:i/>
                          <w:sz w:val="22"/>
                          <w:szCs w:val="22"/>
                          <w:lang w:bidi="hi-IN"/>
                        </w:rPr>
                      </m:ctrlPr>
                    </m:sSubPr>
                    <m:e>
                      <m:r>
                        <w:rPr>
                          <w:rFonts w:ascii="Cambria Math" w:hAnsi="Cambria Math"/>
                          <w:sz w:val="22"/>
                          <w:szCs w:val="22"/>
                          <w:lang w:bidi="hi-IN"/>
                        </w:rPr>
                        <m:t>f</m:t>
                      </m:r>
                    </m:e>
                    <m:sub>
                      <m:r>
                        <w:rPr>
                          <w:rFonts w:ascii="Cambria Math" w:hAnsi="Cambria Math"/>
                          <w:sz w:val="22"/>
                          <w:szCs w:val="22"/>
                          <w:lang w:bidi="hi-IN"/>
                        </w:rPr>
                        <m:t>y</m:t>
                      </m:r>
                    </m:sub>
                  </m:sSub>
                  <m:sSub>
                    <m:sSubPr>
                      <m:ctrlPr>
                        <w:rPr>
                          <w:rFonts w:ascii="Cambria Math" w:hAnsi="Cambria Math"/>
                          <w:i/>
                          <w:sz w:val="22"/>
                          <w:szCs w:val="22"/>
                          <w:lang w:bidi="hi-IN"/>
                        </w:rPr>
                      </m:ctrlPr>
                    </m:sSubPr>
                    <m:e>
                      <m:r>
                        <w:rPr>
                          <w:rFonts w:ascii="Cambria Math" w:hAnsi="Cambria Math"/>
                          <w:sz w:val="22"/>
                          <w:szCs w:val="22"/>
                          <w:lang w:bidi="hi-IN"/>
                        </w:rPr>
                        <m:t>m</m:t>
                      </m:r>
                    </m:e>
                    <m:sub>
                      <m:r>
                        <w:rPr>
                          <w:rFonts w:ascii="Cambria Math" w:hAnsi="Cambria Math"/>
                          <w:sz w:val="22"/>
                          <w:szCs w:val="22"/>
                          <w:lang w:bidi="hi-IN"/>
                        </w:rPr>
                        <m:t>x,y</m:t>
                      </m:r>
                    </m:sub>
                  </m:sSub>
                </m:e>
              </m:nary>
            </m:oMath>
            <w:r w:rsidR="00121E76" w:rsidRPr="00457ACF">
              <w:rPr>
                <w:rFonts w:ascii="Palatino Linotype" w:eastAsiaTheme="minorEastAsia" w:hAnsi="Palatino Linotype"/>
                <w:sz w:val="22"/>
                <w:szCs w:val="22"/>
                <w:lang w:bidi="hi-IN"/>
              </w:rPr>
              <w:t>,</w:t>
            </w:r>
          </w:p>
        </w:tc>
        <w:tc>
          <w:tcPr>
            <w:tcW w:w="2843" w:type="dxa"/>
          </w:tcPr>
          <w:p w:rsidR="00121E76" w:rsidRPr="00457ACF" w:rsidRDefault="00121E76" w:rsidP="0092329E">
            <w:pPr>
              <w:spacing w:line="480" w:lineRule="auto"/>
              <w:jc w:val="right"/>
              <w:rPr>
                <w:rFonts w:ascii="Palatino Linotype" w:eastAsiaTheme="minorEastAsia" w:hAnsi="Palatino Linotype"/>
                <w:sz w:val="22"/>
                <w:szCs w:val="22"/>
                <w:lang w:bidi="hi-IN"/>
              </w:rPr>
            </w:pPr>
          </w:p>
        </w:tc>
      </w:tr>
    </w:tbl>
    <w:p w:rsidR="00121E76" w:rsidRPr="00457ACF" w:rsidRDefault="00121E76" w:rsidP="00121E76">
      <w:pPr>
        <w:spacing w:line="480" w:lineRule="auto"/>
        <w:rPr>
          <w:rFonts w:ascii="Palatino Linotype" w:hAnsi="Palatino Linotype"/>
          <w:lang w:bidi="hi-IN"/>
        </w:rPr>
      </w:pPr>
      <w:proofErr w:type="gramStart"/>
      <w:r w:rsidRPr="00457ACF">
        <w:rPr>
          <w:rFonts w:ascii="Palatino Linotype" w:hAnsi="Palatino Linotype"/>
          <w:lang w:bidi="hi-IN"/>
        </w:rPr>
        <w:t>where</w:t>
      </w:r>
      <w:proofErr w:type="gramEnd"/>
      <w:r w:rsidRPr="00457ACF">
        <w:rPr>
          <w:rFonts w:ascii="Palatino Linotype" w:hAnsi="Palatino Linotype"/>
          <w:lang w:bidi="hi-IN"/>
        </w:rPr>
        <w:t xml:space="preserve"> </w:t>
      </w:r>
      <w:proofErr w:type="spellStart"/>
      <w:r w:rsidRPr="00457ACF">
        <w:rPr>
          <w:rFonts w:ascii="Palatino Linotype" w:hAnsi="Palatino Linotype"/>
          <w:i/>
          <w:iCs/>
          <w:lang w:bidi="hi-IN"/>
        </w:rPr>
        <w:t>m</w:t>
      </w:r>
      <w:r w:rsidRPr="00457ACF">
        <w:rPr>
          <w:rFonts w:ascii="Palatino Linotype" w:hAnsi="Palatino Linotype"/>
          <w:i/>
          <w:iCs/>
          <w:vertAlign w:val="subscript"/>
          <w:lang w:bidi="hi-IN"/>
        </w:rPr>
        <w:t>x,y</w:t>
      </w:r>
      <w:proofErr w:type="spellEnd"/>
      <w:r w:rsidRPr="00457ACF">
        <w:rPr>
          <w:rFonts w:ascii="Palatino Linotype" w:hAnsi="Palatino Linotype"/>
          <w:i/>
          <w:iCs/>
          <w:lang w:bidi="hi-IN"/>
        </w:rPr>
        <w:t xml:space="preserve"> </w:t>
      </w:r>
      <w:r w:rsidRPr="00457ACF">
        <w:rPr>
          <w:rFonts w:ascii="Palatino Linotype" w:hAnsi="Palatino Linotype"/>
          <w:lang w:bidi="hi-IN"/>
        </w:rPr>
        <w:t xml:space="preserve">is the transition probability from </w:t>
      </w:r>
      <w:r w:rsidRPr="00457ACF">
        <w:rPr>
          <w:rFonts w:ascii="Palatino Linotype" w:hAnsi="Palatino Linotype"/>
          <w:i/>
          <w:iCs/>
          <w:lang w:bidi="hi-IN"/>
        </w:rPr>
        <w:t>y</w:t>
      </w:r>
      <w:r w:rsidRPr="00457ACF">
        <w:rPr>
          <w:rFonts w:ascii="Palatino Linotype" w:hAnsi="Palatino Linotype"/>
          <w:lang w:bidi="hi-IN"/>
        </w:rPr>
        <w:t xml:space="preserve"> deleterious alleles to </w:t>
      </w:r>
      <w:r w:rsidRPr="00457ACF">
        <w:rPr>
          <w:rFonts w:ascii="Palatino Linotype" w:hAnsi="Palatino Linotype"/>
          <w:i/>
          <w:iCs/>
          <w:lang w:bidi="hi-IN"/>
        </w:rPr>
        <w:t>x</w:t>
      </w:r>
      <w:r w:rsidRPr="00457ACF">
        <w:rPr>
          <w:rFonts w:ascii="Palatino Linotype" w:hAnsi="Palatino Linotype"/>
          <w:lang w:bidi="hi-IN"/>
        </w:rPr>
        <w:t xml:space="preserve"> deleterious alleles and </w:t>
      </w:r>
      <m:oMath>
        <m:acc>
          <m:accPr>
            <m:chr m:val="̅"/>
            <m:ctrlPr>
              <w:rPr>
                <w:rFonts w:ascii="Cambria Math" w:hAnsi="Cambria Math"/>
                <w:i/>
                <w:lang w:bidi="hi-IN"/>
              </w:rPr>
            </m:ctrlPr>
          </m:accPr>
          <m:e>
            <m:r>
              <w:rPr>
                <w:rFonts w:ascii="Cambria Math" w:hAnsi="Cambria Math"/>
                <w:lang w:bidi="hi-IN"/>
              </w:rPr>
              <m:t>ω</m:t>
            </m:r>
          </m:e>
        </m:acc>
      </m:oMath>
      <w:r w:rsidRPr="00457ACF">
        <w:rPr>
          <w:rFonts w:ascii="Palatino Linotype" w:hAnsi="Palatino Linotype"/>
          <w:lang w:bidi="hi-IN"/>
        </w:rPr>
        <w:t xml:space="preserve"> is the population mean fitness. </w:t>
      </w:r>
    </w:p>
    <w:p w:rsidR="00121E76" w:rsidRPr="00457ACF" w:rsidRDefault="00121E76" w:rsidP="00121E76">
      <w:pPr>
        <w:spacing w:line="480" w:lineRule="auto"/>
        <w:rPr>
          <w:rFonts w:ascii="Palatino Linotype" w:hAnsi="Palatino Linotype"/>
        </w:rPr>
      </w:pPr>
      <w:r w:rsidRPr="00457ACF">
        <w:rPr>
          <w:rFonts w:ascii="Palatino Linotype" w:hAnsi="Palatino Linotype"/>
          <w:lang w:bidi="hi-IN"/>
        </w:rPr>
        <w:t xml:space="preserve">The term </w:t>
      </w:r>
      <w:proofErr w:type="spellStart"/>
      <w:r w:rsidRPr="00457ACF">
        <w:rPr>
          <w:rFonts w:ascii="Palatino Linotype" w:hAnsi="Palatino Linotype"/>
          <w:i/>
          <w:iCs/>
          <w:lang w:bidi="hi-IN"/>
        </w:rPr>
        <w:t>m</w:t>
      </w:r>
      <w:r w:rsidRPr="00457ACF">
        <w:rPr>
          <w:rFonts w:ascii="Palatino Linotype" w:hAnsi="Palatino Linotype"/>
          <w:i/>
          <w:iCs/>
          <w:vertAlign w:val="subscript"/>
          <w:lang w:bidi="hi-IN"/>
        </w:rPr>
        <w:t>x</w:t>
      </w:r>
      <w:proofErr w:type="gramStart"/>
      <w:r w:rsidRPr="00457ACF">
        <w:rPr>
          <w:rFonts w:ascii="Palatino Linotype" w:hAnsi="Palatino Linotype"/>
          <w:i/>
          <w:iCs/>
          <w:vertAlign w:val="subscript"/>
          <w:lang w:bidi="hi-IN"/>
        </w:rPr>
        <w:t>,y</w:t>
      </w:r>
      <w:proofErr w:type="spellEnd"/>
      <w:proofErr w:type="gramEnd"/>
      <w:r w:rsidRPr="00457ACF">
        <w:rPr>
          <w:rFonts w:ascii="Palatino Linotype" w:hAnsi="Palatino Linotype"/>
          <w:i/>
          <w:iCs/>
          <w:lang w:bidi="hi-IN"/>
        </w:rPr>
        <w:t xml:space="preserve"> </w:t>
      </w:r>
      <w:r w:rsidRPr="00457ACF">
        <w:rPr>
          <w:rFonts w:ascii="Palatino Linotype" w:hAnsi="Palatino Linotype"/>
          <w:lang w:bidi="hi-IN"/>
        </w:rPr>
        <w:t xml:space="preserve">consist of the fitness of individuals with </w:t>
      </w:r>
      <w:r w:rsidRPr="00457ACF">
        <w:rPr>
          <w:rFonts w:ascii="Palatino Linotype" w:hAnsi="Palatino Linotype"/>
          <w:i/>
          <w:iCs/>
          <w:lang w:bidi="hi-IN"/>
        </w:rPr>
        <w:t>y</w:t>
      </w:r>
      <w:r w:rsidRPr="00457ACF">
        <w:rPr>
          <w:rFonts w:ascii="Palatino Linotype" w:hAnsi="Palatino Linotype"/>
        </w:rPr>
        <w:t xml:space="preserve"> deleterious alleles, </w:t>
      </w:r>
      <w:proofErr w:type="spellStart"/>
      <w:r w:rsidRPr="00457ACF">
        <w:rPr>
          <w:rFonts w:ascii="Palatino Linotype" w:hAnsi="Palatino Linotype"/>
          <w:i/>
          <w:iCs/>
        </w:rPr>
        <w:t>ω</w:t>
      </w:r>
      <w:r w:rsidRPr="00457ACF">
        <w:rPr>
          <w:rFonts w:ascii="Palatino Linotype" w:hAnsi="Palatino Linotype"/>
          <w:i/>
          <w:iCs/>
          <w:vertAlign w:val="subscript"/>
        </w:rPr>
        <w:t>y</w:t>
      </w:r>
      <w:proofErr w:type="spellEnd"/>
      <w:r w:rsidRPr="00457ACF">
        <w:rPr>
          <w:rFonts w:ascii="Palatino Linotype" w:hAnsi="Palatino Linotype"/>
          <w:lang w:bidi="hi-IN"/>
        </w:rPr>
        <w:t xml:space="preserve">, </w:t>
      </w:r>
      <w:r w:rsidRPr="00457ACF">
        <w:rPr>
          <w:rFonts w:ascii="Palatino Linotype" w:hAnsi="Palatino Linotype"/>
        </w:rPr>
        <w:t>and the probability that the precise number of mutations occurred</w:t>
      </w:r>
      <w:r w:rsidRPr="00457ACF">
        <w:rPr>
          <w:rFonts w:ascii="Palatino Linotype" w:hAnsi="Palatino Linotype"/>
          <w:lang w:bidi="hi-IN"/>
        </w:rPr>
        <w:t xml:space="preserve">. Specifically, if </w:t>
      </w:r>
      <w:proofErr w:type="spellStart"/>
      <w:r w:rsidRPr="00457ACF">
        <w:rPr>
          <w:rFonts w:ascii="Palatino Linotype" w:hAnsi="Palatino Linotype"/>
          <w:i/>
          <w:iCs/>
          <w:lang w:bidi="hi-IN"/>
        </w:rPr>
        <w:t>y≥x</w:t>
      </w:r>
      <w:proofErr w:type="spellEnd"/>
      <w:r w:rsidRPr="00457ACF">
        <w:rPr>
          <w:rFonts w:ascii="Palatino Linotype" w:hAnsi="Palatino Linotype"/>
          <w:lang w:bidi="hi-IN"/>
        </w:rPr>
        <w:t xml:space="preserve"> then exactly </w:t>
      </w:r>
      <w:r w:rsidRPr="00457ACF">
        <w:rPr>
          <w:rFonts w:ascii="Palatino Linotype" w:hAnsi="Palatino Linotype"/>
          <w:i/>
          <w:iCs/>
          <w:lang w:bidi="hi-IN"/>
        </w:rPr>
        <w:t>y-x</w:t>
      </w:r>
      <w:r w:rsidRPr="00457ACF">
        <w:rPr>
          <w:rFonts w:ascii="Palatino Linotype" w:hAnsi="Palatino Linotype"/>
          <w:lang w:bidi="hi-IN"/>
        </w:rPr>
        <w:t xml:space="preserve"> beneficial mutation must occur; if </w:t>
      </w:r>
      <w:proofErr w:type="spellStart"/>
      <w:r w:rsidRPr="00457ACF">
        <w:rPr>
          <w:rFonts w:ascii="Palatino Linotype" w:hAnsi="Palatino Linotype"/>
          <w:i/>
          <w:iCs/>
          <w:lang w:bidi="hi-IN"/>
        </w:rPr>
        <w:t>y≤x</w:t>
      </w:r>
      <w:proofErr w:type="spellEnd"/>
      <w:r w:rsidRPr="00457ACF">
        <w:rPr>
          <w:rFonts w:ascii="Palatino Linotype" w:hAnsi="Palatino Linotype"/>
          <w:lang w:bidi="hi-IN"/>
        </w:rPr>
        <w:t xml:space="preserve"> then exactly </w:t>
      </w:r>
      <w:r w:rsidRPr="00457ACF">
        <w:rPr>
          <w:rFonts w:ascii="Palatino Linotype" w:hAnsi="Palatino Linotype"/>
          <w:i/>
          <w:iCs/>
          <w:lang w:bidi="hi-IN"/>
        </w:rPr>
        <w:t>x-y</w:t>
      </w:r>
      <w:r w:rsidRPr="00457ACF">
        <w:rPr>
          <w:rFonts w:ascii="Palatino Linotype" w:hAnsi="Palatino Linotype"/>
          <w:lang w:bidi="hi-IN"/>
        </w:rPr>
        <w:t xml:space="preserve"> deleterious mutations must occur:</w:t>
      </w:r>
    </w:p>
    <w:p w:rsidR="00121E76" w:rsidRPr="00457ACF" w:rsidRDefault="00EB2B08" w:rsidP="00121E76">
      <w:pPr>
        <w:spacing w:line="480" w:lineRule="auto"/>
        <w:jc w:val="center"/>
        <w:rPr>
          <w:rFonts w:ascii="Palatino Linotype" w:hAnsi="Palatino Linotype"/>
          <w:lang w:bidi="hi-IN"/>
        </w:rPr>
      </w:pPr>
      <m:oMath>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y&gt;x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∙P(no mutations),                                 y=x</m:t>
                </m:r>
              </m:e>
            </m:eqArr>
          </m:e>
        </m:d>
      </m:oMath>
      <w:r w:rsidR="00121E76"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Using the probability mass function of a Poisson distribution, we can expand the above equation to</w:t>
      </w:r>
    </w:p>
    <w:p w:rsidR="00121E76" w:rsidRPr="00457ACF" w:rsidRDefault="00EB2B08" w:rsidP="00121E76">
      <w:pPr>
        <w:spacing w:line="480" w:lineRule="auto"/>
        <w:jc w:val="center"/>
        <w:rPr>
          <w:rFonts w:ascii="Palatino Linotype" w:hAnsi="Palatino Linotype"/>
          <w:lang w:bidi="hi-IN"/>
        </w:rPr>
      </w:pPr>
      <m:oMath>
        <m:acc>
          <m:accPr>
            <m:chr m:val="̅"/>
            <m:ctrlPr>
              <w:rPr>
                <w:rFonts w:ascii="Cambria Math" w:hAnsi="Cambria Math"/>
                <w:i/>
                <w:lang w:bidi="hi-IN"/>
              </w:rPr>
            </m:ctrlPr>
          </m:accPr>
          <m:e>
            <m:r>
              <w:rPr>
                <w:rFonts w:ascii="Cambria Math" w:hAnsi="Cambria Math"/>
                <w:lang w:bidi="hi-IN"/>
              </w:rPr>
              <m:t>ω</m:t>
            </m: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e>
                    </m:d>
                  </m:e>
                  <m:sup>
                    <m:r>
                      <w:rPr>
                        <w:rFonts w:ascii="Cambria Math" w:hAnsi="Cambria Math"/>
                        <w:lang w:bidi="hi-IN"/>
                      </w:rPr>
                      <m:t>x-y</m:t>
                    </m:r>
                  </m:sup>
                </m:sSup>
              </m:num>
              <m:den>
                <m:d>
                  <m:dPr>
                    <m:ctrlPr>
                      <w:rPr>
                        <w:rFonts w:ascii="Cambria Math" w:hAnsi="Cambria Math"/>
                        <w:i/>
                        <w:lang w:bidi="hi-IN"/>
                      </w:rPr>
                    </m:ctrlPr>
                  </m:dPr>
                  <m:e>
                    <m:r>
                      <w:rPr>
                        <w:rFonts w:ascii="Cambria Math" w:hAnsi="Cambria Math"/>
                        <w:lang w:bidi="hi-IN"/>
                      </w:rPr>
                      <m:t>x-y</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e>
                    </m:d>
                  </m:e>
                  <m:sup>
                    <m:r>
                      <w:rPr>
                        <w:rFonts w:ascii="Cambria Math" w:hAnsi="Cambria Math"/>
                        <w:lang w:bidi="hi-IN"/>
                      </w:rPr>
                      <m:t>y-x</m:t>
                    </m:r>
                  </m:sup>
                </m:sSup>
              </m:num>
              <m:den>
                <m:d>
                  <m:dPr>
                    <m:ctrlPr>
                      <w:rPr>
                        <w:rFonts w:ascii="Cambria Math" w:hAnsi="Cambria Math"/>
                        <w:i/>
                        <w:lang w:bidi="hi-IN"/>
                      </w:rPr>
                    </m:ctrlPr>
                  </m:dPr>
                  <m:e>
                    <m:r>
                      <w:rPr>
                        <w:rFonts w:ascii="Cambria Math" w:hAnsi="Cambria Math"/>
                        <w:lang w:bidi="hi-IN"/>
                      </w:rPr>
                      <m:t>y-x</m:t>
                    </m:r>
                  </m:e>
                </m:d>
                <m:r>
                  <w:rPr>
                    <w:rFonts w:ascii="Cambria Math" w:hAnsi="Cambria Math"/>
                    <w:lang w:bidi="hi-IN"/>
                  </w:rPr>
                  <m:t>!</m:t>
                </m:r>
              </m:den>
            </m:f>
          </m:e>
        </m:nary>
        <m:r>
          <w:rPr>
            <w:rFonts w:ascii="Cambria Math" w:hAnsi="Cambria Math"/>
            <w:lang w:bidi="hi-IN"/>
          </w:rPr>
          <m:t>,   ∀x≥0</m:t>
        </m:r>
      </m:oMath>
      <w:r w:rsidR="00121E76"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rPr>
      </w:pPr>
      <w:proofErr w:type="gramStart"/>
      <w:r w:rsidRPr="00457ACF">
        <w:rPr>
          <w:rFonts w:ascii="Palatino Linotype" w:hAnsi="Palatino Linotype"/>
          <w:lang w:bidi="hi-IN"/>
        </w:rPr>
        <w:t>where</w:t>
      </w:r>
      <w:proofErr w:type="gramEnd"/>
      <w:r w:rsidRPr="00457ACF">
        <w:rPr>
          <w:rFonts w:ascii="Palatino Linotype" w:hAnsi="Palatino Linotype"/>
          <w:lang w:bidi="hi-IN"/>
        </w:rPr>
        <w:t xml:space="preserve"> </w:t>
      </w:r>
      <w:proofErr w:type="spellStart"/>
      <w:r w:rsidRPr="00457ACF">
        <w:rPr>
          <w:rFonts w:ascii="Palatino Linotype" w:hAnsi="Palatino Linotype"/>
          <w:i/>
          <w:iCs/>
        </w:rPr>
        <w:t>ω</w:t>
      </w:r>
      <w:r w:rsidRPr="00457ACF">
        <w:rPr>
          <w:rFonts w:ascii="Palatino Linotype" w:hAnsi="Palatino Linotype"/>
          <w:i/>
          <w:iCs/>
          <w:vertAlign w:val="subscript"/>
          <w:lang w:bidi="hi-IN"/>
        </w:rPr>
        <w:t>y</w:t>
      </w:r>
      <w:proofErr w:type="spellEnd"/>
      <w:r w:rsidRPr="00457ACF">
        <w:rPr>
          <w:rFonts w:ascii="Palatino Linotype" w:hAnsi="Palatino Linotype"/>
          <w:lang w:bidi="hi-IN"/>
        </w:rPr>
        <w:t xml:space="preserve"> is the fitness of individuals with </w:t>
      </w:r>
      <w:r w:rsidRPr="00457ACF">
        <w:rPr>
          <w:rFonts w:ascii="Palatino Linotype" w:hAnsi="Palatino Linotype"/>
          <w:i/>
          <w:iCs/>
          <w:lang w:bidi="hi-IN"/>
        </w:rPr>
        <w:t xml:space="preserve">y </w:t>
      </w:r>
      <w:r w:rsidRPr="00457ACF">
        <w:rPr>
          <w:rFonts w:ascii="Palatino Linotype" w:hAnsi="Palatino Linotype"/>
        </w:rPr>
        <w:t xml:space="preserve">deleterious alleles, </w:t>
      </w:r>
      <m:oMath>
        <m:r>
          <w:rPr>
            <w:rFonts w:ascii="Cambria Math" w:hAnsi="Cambria Math"/>
            <w:lang w:bidi="hi-IN"/>
          </w:rPr>
          <m:t xml:space="preserve"> </m:t>
        </m:r>
        <m:acc>
          <m:accPr>
            <m:chr m:val="̅"/>
            <m:ctrlPr>
              <w:rPr>
                <w:rFonts w:ascii="Cambria Math" w:hAnsi="Cambria Math"/>
                <w:i/>
                <w:lang w:bidi="hi-IN"/>
              </w:rPr>
            </m:ctrlPr>
          </m:accPr>
          <m:e>
            <m:r>
              <w:rPr>
                <w:rFonts w:ascii="Cambria Math" w:hAnsi="Cambria Math"/>
                <w:lang w:bidi="hi-IN"/>
              </w:rPr>
              <m:t>ω</m:t>
            </m:r>
          </m:e>
        </m:acc>
      </m:oMath>
      <w:r w:rsidRPr="00457ACF">
        <w:rPr>
          <w:rFonts w:ascii="Palatino Linotype" w:hAnsi="Palatino Linotype"/>
          <w:lang w:bidi="hi-IN"/>
        </w:rPr>
        <w:t xml:space="preserve"> is the population mean fitness (</w:t>
      </w:r>
      <m:oMath>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sidRPr="00457ACF">
        <w:rPr>
          <w:rFonts w:ascii="Palatino Linotype" w:hAnsi="Palatino Linotype"/>
          <w:lang w:bidi="hi-IN"/>
        </w:rPr>
        <w:t>),</w:t>
      </w:r>
      <w:r w:rsidRPr="00457ACF">
        <w:rPr>
          <w:rFonts w:ascii="Palatino Linotype" w:hAnsi="Palatino Linotype"/>
        </w:rPr>
        <w:t xml:space="preserve"> </w:t>
      </w:r>
      <w:r w:rsidRPr="00457ACF">
        <w:rPr>
          <w:rFonts w:ascii="Palatino Linotype" w:hAnsi="Palatino Linotype"/>
          <w:i/>
          <w:iCs/>
        </w:rPr>
        <w:t>δ</w:t>
      </w:r>
      <w:r w:rsidRPr="00457ACF">
        <w:rPr>
          <w:rFonts w:ascii="Palatino Linotype" w:hAnsi="Palatino Linotype"/>
        </w:rPr>
        <w:t xml:space="preserve"> and </w:t>
      </w:r>
      <w:r w:rsidRPr="00457ACF">
        <w:rPr>
          <w:rFonts w:ascii="Palatino Linotype" w:hAnsi="Palatino Linotype"/>
          <w:i/>
          <w:iCs/>
        </w:rPr>
        <w:t>β</w:t>
      </w:r>
      <w:r w:rsidRPr="00457ACF">
        <w:rPr>
          <w:rFonts w:ascii="Palatino Linotype" w:hAnsi="Palatino Linotype"/>
        </w:rPr>
        <w:t xml:space="preserve"> are the fraction of mutations that are deleterious and beneficial, respectively (</w:t>
      </w:r>
      <w:r w:rsidRPr="00457ACF">
        <w:rPr>
          <w:rFonts w:ascii="Palatino Linotype" w:hAnsi="Palatino Linotype"/>
          <w:i/>
          <w:iCs/>
        </w:rPr>
        <w:t>δ+β</w:t>
      </w:r>
      <w:r w:rsidRPr="00457ACF">
        <w:rPr>
          <w:rFonts w:ascii="Palatino Linotype" w:hAnsi="Palatino Linotype"/>
        </w:rPr>
        <w:t>=1 and 0</w:t>
      </w:r>
      <w:r w:rsidRPr="00457ACF">
        <w:rPr>
          <w:rFonts w:ascii="Palatino Linotype" w:hAnsi="Palatino Linotype" w:cs="Arial"/>
        </w:rPr>
        <w:t>≤</w:t>
      </w:r>
      <w:r w:rsidRPr="00457ACF">
        <w:rPr>
          <w:rFonts w:ascii="Palatino Linotype" w:hAnsi="Palatino Linotype"/>
          <w:i/>
          <w:iCs/>
        </w:rPr>
        <w:t>β</w:t>
      </w:r>
      <w:r w:rsidRPr="00457ACF">
        <w:rPr>
          <w:rFonts w:ascii="Palatino Linotype" w:hAnsi="Palatino Linotype"/>
        </w:rPr>
        <w:t>&lt;</w:t>
      </w:r>
      <w:r w:rsidRPr="00457ACF">
        <w:rPr>
          <w:rFonts w:ascii="Palatino Linotype" w:hAnsi="Palatino Linotype"/>
          <w:i/>
          <w:iCs/>
        </w:rPr>
        <w:t>δ</w:t>
      </w:r>
      <w:r w:rsidRPr="00457ACF">
        <w:rPr>
          <w:rFonts w:ascii="Palatino Linotype" w:hAnsi="Palatino Linotype" w:cs="Arial"/>
        </w:rPr>
        <w:t>≤</w:t>
      </w:r>
      <w:r w:rsidRPr="00457ACF">
        <w:rPr>
          <w:rFonts w:ascii="Palatino Linotype" w:hAnsi="Palatino Linotype"/>
        </w:rPr>
        <w:t>1</w:t>
      </w:r>
      <w:r w:rsidRPr="00457ACF">
        <w:rPr>
          <w:rFonts w:ascii="Palatino Linotype" w:hAnsi="Palatino Linotype"/>
          <w:i/>
          <w:iCs/>
        </w:rPr>
        <w:t>)</w:t>
      </w:r>
      <w:r w:rsidRPr="00457ACF">
        <w:rPr>
          <w:rFonts w:ascii="Palatino Linotype" w:hAnsi="Palatino Linotype"/>
        </w:rPr>
        <w:t xml:space="preserve">, and </w:t>
      </w:r>
      <w:proofErr w:type="spellStart"/>
      <w:r w:rsidRPr="00457ACF">
        <w:rPr>
          <w:rFonts w:ascii="Palatino Linotype" w:hAnsi="Palatino Linotype"/>
          <w:i/>
          <w:iCs/>
        </w:rPr>
        <w:t>U</w:t>
      </w:r>
      <w:r w:rsidRPr="00457ACF">
        <w:rPr>
          <w:rFonts w:ascii="Palatino Linotype" w:hAnsi="Palatino Linotype"/>
          <w:i/>
          <w:iCs/>
          <w:vertAlign w:val="subscript"/>
        </w:rPr>
        <w:t>y</w:t>
      </w:r>
      <w:proofErr w:type="spellEnd"/>
      <w:r w:rsidRPr="00457ACF">
        <w:rPr>
          <w:rFonts w:ascii="Palatino Linotype" w:hAnsi="Palatino Linotype"/>
          <w:vertAlign w:val="superscript"/>
        </w:rPr>
        <w:t xml:space="preserve"> </w:t>
      </w:r>
      <w:r w:rsidRPr="00457ACF">
        <w:rPr>
          <w:rFonts w:ascii="Palatino Linotype" w:hAnsi="Palatino Linotype"/>
        </w:rPr>
        <w:t xml:space="preserve">is the average number of new mutations per generation in an individual with </w:t>
      </w:r>
      <w:r w:rsidRPr="00457ACF">
        <w:rPr>
          <w:rFonts w:ascii="Palatino Linotype" w:hAnsi="Palatino Linotype"/>
          <w:i/>
          <w:iCs/>
        </w:rPr>
        <w:t>y</w:t>
      </w:r>
      <w:r w:rsidRPr="00457ACF">
        <w:rPr>
          <w:rFonts w:ascii="Palatino Linotype" w:hAnsi="Palatino Linotype"/>
        </w:rPr>
        <w:t xml:space="preserve"> deleterious alleles.</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This can be written as a matrix equation by multiplying the frequencies vector </w:t>
      </w:r>
      <w:r w:rsidRPr="00457ACF">
        <w:rPr>
          <w:rFonts w:ascii="Palatino Linotype" w:hAnsi="Palatino Linotype"/>
          <w:i/>
          <w:iCs/>
          <w:lang w:bidi="hi-IN"/>
        </w:rPr>
        <w:t>f</w:t>
      </w:r>
      <w:r w:rsidRPr="00457ACF">
        <w:rPr>
          <w:rFonts w:ascii="Palatino Linotype" w:hAnsi="Palatino Linotype"/>
          <w:lang w:bidi="hi-IN"/>
        </w:rPr>
        <w:t xml:space="preserve"> and the mutation-selection matrix </w:t>
      </w:r>
      <w:r w:rsidRPr="00457ACF">
        <w:rPr>
          <w:rFonts w:ascii="Palatino Linotype" w:hAnsi="Palatino Linotype"/>
          <w:i/>
          <w:iCs/>
          <w:lang w:bidi="hi-IN"/>
        </w:rPr>
        <w:t>M</w:t>
      </w:r>
      <w:r w:rsidRPr="00457ACF">
        <w:rPr>
          <w:rFonts w:ascii="Palatino Linotype" w:hAnsi="Palatino Linotype"/>
          <w:lang w:bidi="hi-IN"/>
        </w:rPr>
        <w:t>:</w:t>
      </w:r>
    </w:p>
    <w:p w:rsidR="00121E76" w:rsidRPr="00457ACF" w:rsidRDefault="00EB2B08" w:rsidP="00121E76">
      <w:pPr>
        <w:spacing w:line="480" w:lineRule="auto"/>
        <w:rPr>
          <w:rFonts w:ascii="Palatino Linotype" w:hAnsi="Palatino Linotype"/>
          <w:lang w:bidi="hi-IN"/>
        </w:rPr>
      </w:pPr>
      <m:oMathPara>
        <m:oMath>
          <m:acc>
            <m:accPr>
              <m:chr m:val="̅"/>
              <m:ctrlPr>
                <w:rPr>
                  <w:rFonts w:ascii="Cambria Math" w:hAnsi="Cambria Math"/>
                  <w:i/>
                  <w:lang w:bidi="hi-IN"/>
                </w:rPr>
              </m:ctrlPr>
            </m:accPr>
            <m:e>
              <m:r>
                <w:rPr>
                  <w:rFonts w:ascii="Cambria Math" w:hAnsi="Cambria Math"/>
                  <w:lang w:bidi="hi-IN"/>
                </w:rPr>
                <m:t>ω</m:t>
              </m:r>
            </m:e>
          </m:acc>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r>
            <w:rPr>
              <w:rFonts w:ascii="Cambria Math" w:hAnsi="Cambria Math"/>
              <w:lang w:bidi="hi-IN"/>
            </w:rPr>
            <m:t>=Mf</m:t>
          </m:r>
        </m:oMath>
      </m:oMathPara>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At the mutation-selection balance (MSB), </w:t>
      </w:r>
      <w:r w:rsidRPr="00457ACF">
        <w:rPr>
          <w:rFonts w:ascii="Palatino Linotype" w:hAnsi="Palatino Linotype"/>
          <w:i/>
          <w:iCs/>
          <w:lang w:bidi="hi-IN"/>
        </w:rPr>
        <w:t>f*</w:t>
      </w:r>
      <w:r w:rsidRPr="00457ACF">
        <w:rPr>
          <w:rFonts w:ascii="Palatino Linotype" w:hAnsi="Palatino Linotype"/>
          <w:lang w:bidi="hi-IN"/>
        </w:rPr>
        <w:t xml:space="preserve"> solves the equation (a star * denotes equilibrium quantities)</w:t>
      </w:r>
    </w:p>
    <w:p w:rsidR="00121E76" w:rsidRPr="00457ACF" w:rsidRDefault="00EB2B08" w:rsidP="00121E76">
      <w:pPr>
        <w:spacing w:line="480" w:lineRule="auto"/>
        <w:jc w:val="center"/>
        <w:rPr>
          <w:rFonts w:ascii="Palatino Linotype" w:hAnsi="Palatino Linotype"/>
          <w:lang w:bidi="hi-IN"/>
        </w:rPr>
      </w:pPr>
      <m:oMath>
        <m:sSup>
          <m:sSupPr>
            <m:ctrlPr>
              <w:rPr>
                <w:rFonts w:ascii="Cambria Math" w:hAnsi="Cambria Math"/>
                <w:i/>
                <w:lang w:bidi="hi-IN"/>
              </w:rPr>
            </m:ctrlPr>
          </m:sSupPr>
          <m:e>
            <m:acc>
              <m:accPr>
                <m:chr m:val="̅"/>
                <m:ctrlPr>
                  <w:rPr>
                    <w:rFonts w:ascii="Cambria Math" w:hAnsi="Cambria Math"/>
                    <w:i/>
                    <w:lang w:bidi="hi-IN"/>
                  </w:rPr>
                </m:ctrlPr>
              </m:accPr>
              <m:e>
                <m:r>
                  <w:rPr>
                    <w:rFonts w:ascii="Cambria Math" w:hAnsi="Cambria Math"/>
                    <w:lang w:bidi="hi-IN"/>
                  </w:rPr>
                  <m:t>ω</m:t>
                </m:r>
              </m:e>
            </m:acc>
          </m:e>
          <m:sup>
            <m:r>
              <w:rPr>
                <w:rFonts w:ascii="Cambria Math" w:hAnsi="Cambria Math"/>
                <w:lang w:bidi="hi-IN"/>
              </w:rPr>
              <m:t>*</m:t>
            </m:r>
          </m:sup>
        </m:sSup>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r>
          <w:rPr>
            <w:rFonts w:ascii="Cambria Math" w:hAnsi="Cambria Math"/>
            <w:lang w:bidi="hi-IN"/>
          </w:rPr>
          <m:t>=M</m:t>
        </m:r>
        <m:sSup>
          <m:sSupPr>
            <m:ctrlPr>
              <w:rPr>
                <w:rFonts w:ascii="Cambria Math" w:hAnsi="Cambria Math"/>
                <w:i/>
                <w:lang w:bidi="hi-IN"/>
              </w:rPr>
            </m:ctrlPr>
          </m:sSupPr>
          <m:e>
            <m:r>
              <w:rPr>
                <w:rFonts w:ascii="Cambria Math" w:hAnsi="Cambria Math"/>
                <w:lang w:bidi="hi-IN"/>
              </w:rPr>
              <m:t>f</m:t>
            </m:r>
          </m:e>
          <m:sup>
            <m:r>
              <w:rPr>
                <w:rFonts w:ascii="Cambria Math" w:hAnsi="Cambria Math"/>
                <w:lang w:bidi="hi-IN"/>
              </w:rPr>
              <m:t>*</m:t>
            </m:r>
          </m:sup>
        </m:sSup>
      </m:oMath>
      <w:r w:rsidR="00121E76"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Without beneficial mutations (</w:t>
      </w:r>
      <w:r w:rsidRPr="00457ACF">
        <w:rPr>
          <w:rFonts w:ascii="Palatino Linotype" w:hAnsi="Palatino Linotype"/>
          <w:i/>
          <w:iCs/>
          <w:lang w:bidi="hi-IN"/>
        </w:rPr>
        <w:t>δ</w:t>
      </w:r>
      <w:r w:rsidRPr="00457ACF">
        <w:rPr>
          <w:rFonts w:ascii="Palatino Linotype" w:hAnsi="Palatino Linotype"/>
          <w:lang w:bidi="hi-IN"/>
        </w:rPr>
        <w:t xml:space="preserve">=1 and </w:t>
      </w:r>
      <w:r w:rsidRPr="00457ACF">
        <w:rPr>
          <w:rFonts w:ascii="Palatino Linotype" w:hAnsi="Palatino Linotype"/>
        </w:rPr>
        <w:t>β=0)</w:t>
      </w:r>
      <w:r w:rsidRPr="00457ACF">
        <w:rPr>
          <w:rFonts w:ascii="Palatino Linotype" w:hAnsi="Palatino Linotype"/>
          <w:lang w:bidi="hi-IN"/>
        </w:rPr>
        <w:t>, the above equation simplifies to</w:t>
      </w:r>
    </w:p>
    <w:p w:rsidR="00121E76" w:rsidRPr="00457ACF" w:rsidRDefault="00EB2B08" w:rsidP="00121E76">
      <w:pPr>
        <w:spacing w:line="480" w:lineRule="auto"/>
        <w:jc w:val="center"/>
        <w:rPr>
          <w:rFonts w:ascii="Palatino Linotype" w:hAnsi="Palatino Linotype"/>
          <w:lang w:bidi="hi-IN"/>
        </w:rPr>
      </w:pPr>
      <m:oMathPara>
        <m:oMath>
          <m:acc>
            <m:accPr>
              <m:chr m:val="̅"/>
              <m:ctrlPr>
                <w:rPr>
                  <w:rFonts w:ascii="Cambria Math" w:hAnsi="Cambria Math"/>
                  <w:i/>
                  <w:lang w:bidi="hi-IN"/>
                </w:rPr>
              </m:ctrlPr>
            </m:accPr>
            <m:e>
              <m:r>
                <w:rPr>
                  <w:rFonts w:ascii="Cambria Math" w:hAnsi="Cambria Math"/>
                  <w:lang w:bidi="hi-IN"/>
                </w:rPr>
                <m:t>ω</m:t>
              </m: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y≤x</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f>
                <m:fPr>
                  <m:ctrlPr>
                    <w:rPr>
                      <w:rFonts w:ascii="Cambria Math" w:hAnsi="Cambria Math"/>
                      <w:i/>
                      <w:lang w:bidi="hi-IN"/>
                    </w:rPr>
                  </m:ctrlPr>
                </m:fPr>
                <m:num>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y</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x-y</m:t>
                      </m:r>
                    </m:sup>
                  </m:sSup>
                </m:num>
                <m:den>
                  <m:d>
                    <m:dPr>
                      <m:ctrlPr>
                        <w:rPr>
                          <w:rFonts w:ascii="Cambria Math" w:hAnsi="Cambria Math"/>
                          <w:i/>
                          <w:lang w:bidi="hi-IN"/>
                        </w:rPr>
                      </m:ctrlPr>
                    </m:dPr>
                    <m:e>
                      <m:r>
                        <w:rPr>
                          <w:rFonts w:ascii="Cambria Math" w:hAnsi="Cambria Math"/>
                          <w:lang w:bidi="hi-IN"/>
                        </w:rPr>
                        <m:t>x-y</m:t>
                      </m:r>
                    </m:e>
                  </m:d>
                  <m:r>
                    <w:rPr>
                      <w:rFonts w:ascii="Cambria Math" w:hAnsi="Cambria Math"/>
                      <w:lang w:bidi="hi-IN"/>
                    </w:rPr>
                    <m:t>!</m:t>
                  </m:r>
                </m:den>
              </m:f>
            </m:e>
          </m:nary>
          <m:r>
            <w:rPr>
              <w:rFonts w:ascii="Cambria Math" w:hAnsi="Cambria Math"/>
              <w:lang w:bidi="hi-IN"/>
            </w:rPr>
            <m:t>,   ∀x≥0</m:t>
          </m:r>
        </m:oMath>
      </m:oMathPara>
    </w:p>
    <w:p w:rsidR="00121E76" w:rsidRPr="00457ACF" w:rsidRDefault="00121E76" w:rsidP="00121E76">
      <w:pPr>
        <w:spacing w:line="480" w:lineRule="auto"/>
        <w:rPr>
          <w:rFonts w:ascii="Palatino Linotype" w:hAnsi="Palatino Linotype"/>
          <w:lang w:bidi="hi-IN"/>
        </w:rPr>
      </w:pPr>
      <w:proofErr w:type="gramStart"/>
      <w:r w:rsidRPr="00457ACF">
        <w:rPr>
          <w:rFonts w:ascii="Palatino Linotype" w:hAnsi="Palatino Linotype"/>
          <w:lang w:bidi="hi-IN"/>
        </w:rPr>
        <w:t>and</w:t>
      </w:r>
      <w:proofErr w:type="gramEnd"/>
      <w:r w:rsidRPr="00457ACF">
        <w:rPr>
          <w:rFonts w:ascii="Palatino Linotype" w:hAnsi="Palatino Linotype"/>
          <w:lang w:bidi="hi-IN"/>
        </w:rPr>
        <w:t xml:space="preserve"> </w:t>
      </w:r>
      <w:r w:rsidRPr="00457ACF">
        <w:rPr>
          <w:rFonts w:ascii="Palatino Linotype" w:hAnsi="Palatino Linotype"/>
          <w:i/>
          <w:iCs/>
          <w:lang w:bidi="hi-IN"/>
        </w:rPr>
        <w:t>M</w:t>
      </w:r>
      <w:r w:rsidRPr="00457ACF">
        <w:rPr>
          <w:rFonts w:ascii="Palatino Linotype" w:hAnsi="Palatino Linotype"/>
          <w:lang w:bidi="hi-IN"/>
        </w:rPr>
        <w:t xml:space="preserve"> is a triangular matrix. In this case the </w:t>
      </w:r>
      <w:proofErr w:type="gramStart"/>
      <w:r w:rsidRPr="00457ACF">
        <w:rPr>
          <w:rFonts w:ascii="Palatino Linotype" w:hAnsi="Palatino Linotype"/>
          <w:lang w:bidi="hi-IN"/>
        </w:rPr>
        <w:t>population mean</w:t>
      </w:r>
      <w:proofErr w:type="gramEnd"/>
      <w:r w:rsidRPr="00457ACF">
        <w:rPr>
          <w:rFonts w:ascii="Palatino Linotype" w:hAnsi="Palatino Linotype"/>
          <w:lang w:bidi="hi-IN"/>
        </w:rPr>
        <w:t xml:space="preserve"> fitness can be found by solving the equation for </w:t>
      </w:r>
      <w:r w:rsidRPr="00457ACF">
        <w:rPr>
          <w:rFonts w:ascii="Palatino Linotype" w:hAnsi="Palatino Linotype"/>
          <w:i/>
          <w:iCs/>
          <w:lang w:bidi="hi-IN"/>
        </w:rPr>
        <w:t>f</w:t>
      </w:r>
      <w:r w:rsidRPr="00457ACF">
        <w:rPr>
          <w:rFonts w:ascii="Palatino Linotype" w:hAnsi="Palatino Linotype"/>
          <w:i/>
          <w:iCs/>
          <w:vertAlign w:val="subscript"/>
          <w:lang w:bidi="hi-IN"/>
        </w:rPr>
        <w:t>0</w:t>
      </w:r>
      <w:r w:rsidRPr="00457ACF">
        <w:rPr>
          <w:rFonts w:ascii="Palatino Linotype" w:hAnsi="Palatino Linotype"/>
          <w:lang w:bidi="hi-IN"/>
        </w:rPr>
        <w:t xml:space="preserve">: </w:t>
      </w:r>
    </w:p>
    <w:p w:rsidR="00121E76" w:rsidRPr="00457ACF" w:rsidRDefault="00EB2B08" w:rsidP="00121E76">
      <w:pPr>
        <w:spacing w:line="480" w:lineRule="auto"/>
        <w:jc w:val="center"/>
        <w:rPr>
          <w:rFonts w:ascii="Palatino Linotype" w:hAnsi="Palatino Linotype"/>
          <w:lang w:bidi="hi-IN"/>
        </w:rPr>
      </w:pPr>
      <m:oMath>
        <m:acc>
          <m:accPr>
            <m:chr m:val="̅"/>
            <m:ctrlPr>
              <w:rPr>
                <w:rFonts w:ascii="Cambria Math" w:hAnsi="Cambria Math"/>
                <w:i/>
                <w:lang w:bidi="hi-IN"/>
              </w:rPr>
            </m:ctrlPr>
          </m:accPr>
          <m:e>
            <m:r>
              <w:rPr>
                <w:rFonts w:ascii="Cambria Math" w:hAnsi="Cambria Math"/>
                <w:lang w:bidi="hi-IN"/>
              </w:rPr>
              <m:t>ω</m:t>
            </m:r>
          </m:e>
        </m:acc>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0,0</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0</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0</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0</m:t>
                </m:r>
              </m:sub>
            </m:sSub>
          </m:sup>
        </m:sSup>
        <m:r>
          <w:rPr>
            <w:rFonts w:ascii="Cambria Math" w:hAnsi="Cambria Math"/>
            <w:lang w:bidi="hi-IN"/>
          </w:rPr>
          <m:t>⇒</m:t>
        </m:r>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0</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0</m:t>
                </m:r>
              </m:sub>
            </m:sSub>
          </m:sup>
        </m:sSup>
      </m:oMath>
      <w:r w:rsidR="00121E76"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proofErr w:type="gramStart"/>
      <w:r w:rsidRPr="00457ACF">
        <w:rPr>
          <w:rFonts w:ascii="Palatino Linotype" w:hAnsi="Palatino Linotype"/>
          <w:lang w:bidi="hi-IN"/>
        </w:rPr>
        <w:t>which</w:t>
      </w:r>
      <w:proofErr w:type="gramEnd"/>
      <w:r w:rsidRPr="00457ACF">
        <w:rPr>
          <w:rFonts w:ascii="Palatino Linotype" w:hAnsi="Palatino Linotype"/>
          <w:lang w:bidi="hi-IN"/>
        </w:rPr>
        <w:t xml:space="preserve"> means that the population mean fitness is equal to the product of the fitness of mutation-free individuals and the probability that a mutation-free individual does not mutate.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Pr="00457ACF">
        <w:rPr>
          <w:rFonts w:ascii="Palatino Linotype" w:hAnsi="Palatino Linotype"/>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r>
          <w:rPr>
            <w:rFonts w:ascii="Cambria Math" w:hAnsi="Cambria Math"/>
            <w:lang w:bidi="hi-IN"/>
          </w:rPr>
          <m:t>=U</m:t>
        </m:r>
      </m:oMath>
      <w:r w:rsidRPr="00457ACF">
        <w:rPr>
          <w:rFonts w:ascii="Palatino Linotype" w:hAnsi="Palatino Linotype"/>
          <w:lang w:bidi="hi-IN"/>
        </w:rPr>
        <w:t xml:space="preserve"> (constant uniform mutation rate) then </w:t>
      </w:r>
      <m:oMath>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-U</m:t>
            </m:r>
          </m:sup>
        </m:sSup>
      </m:oMath>
      <w:r w:rsidRPr="00457ACF">
        <w:rPr>
          <w:rFonts w:ascii="Palatino Linotype" w:hAnsi="Palatino Linotype"/>
          <w:lang w:bidi="hi-IN"/>
        </w:rPr>
        <w:t xml:space="preserve"> </w:t>
      </w:r>
      <w:r w:rsidRPr="00457ACF">
        <w:rPr>
          <w:rFonts w:ascii="Palatino Linotype" w:hAnsi="Palatino Linotype"/>
          <w:lang w:bidi="hi-IN"/>
        </w:rPr>
        <w:fldChar w:fldCharType="begin" w:fldLock="1"/>
      </w:r>
      <w:r w:rsidR="0024147C">
        <w:rPr>
          <w:rFonts w:ascii="Palatino Linotype" w:hAnsi="Palatino Linotype"/>
          <w:lang w:bidi="hi-IN"/>
        </w:rPr>
        <w:instrText>ADDIN CSL_CITATION { "citationItems" : [ { "id" : "ITEM-1", "itemData" : { "ISSN" : "0016-6731", "PMID" : "17248359",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"[82]" }, "properties" : { "noteIndex" : 0 }, "schema" : "https://github.com/citation-style-language/schema/raw/master/csl-citation.json" }</w:instrText>
      </w:r>
      <w:r w:rsidRPr="00457ACF">
        <w:rPr>
          <w:rFonts w:ascii="Palatino Linotype" w:hAnsi="Palatino Linotype"/>
          <w:lang w:bidi="hi-IN"/>
        </w:rPr>
        <w:fldChar w:fldCharType="separate"/>
      </w:r>
      <w:r w:rsidR="00257928" w:rsidRPr="00257928">
        <w:rPr>
          <w:rFonts w:ascii="Palatino Linotype" w:hAnsi="Palatino Linotype"/>
          <w:noProof/>
          <w:lang w:bidi="hi-IN"/>
        </w:rPr>
        <w:t>[82]</w:t>
      </w:r>
      <w:r w:rsidRPr="00457ACF">
        <w:rPr>
          <w:rFonts w:ascii="Palatino Linotype" w:hAnsi="Palatino Linotype"/>
          <w:lang w:bidi="hi-IN"/>
        </w:rPr>
        <w:fldChar w:fldCharType="end"/>
      </w:r>
      <w:r w:rsidRPr="00457ACF">
        <w:rPr>
          <w:rFonts w:ascii="Palatino Linotype" w:hAnsi="Palatino Linotype"/>
          <w:lang w:bidi="hi-IN"/>
        </w:rPr>
        <w:t xml:space="preserve"> and by the forward substitution method the frequencies vector is </w:t>
      </w:r>
    </w:p>
    <w:p w:rsidR="00121E76" w:rsidRPr="00457ACF" w:rsidRDefault="00EB2B08" w:rsidP="00121E76">
      <w:pPr>
        <w:spacing w:line="480" w:lineRule="auto"/>
        <w:jc w:val="center"/>
        <w:rPr>
          <w:rFonts w:ascii="Palatino Linotype" w:hAnsi="Palatino Linotype"/>
          <w:lang w:bidi="hi-IN"/>
        </w:rPr>
      </w:pPr>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f>
              <m:fPr>
                <m:type m:val="lin"/>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sup>
        </m:sSup>
        <m:f>
          <m:fPr>
            <m:type m:val="lin"/>
            <m:ctrlPr>
              <w:rPr>
                <w:rFonts w:ascii="Cambria Math" w:hAnsi="Cambria Math"/>
                <w:i/>
                <w:lang w:bidi="hi-IN"/>
              </w:rPr>
            </m:ctrlPr>
          </m:fPr>
          <m:num>
            <m:sSup>
              <m:sSupPr>
                <m:ctrlPr>
                  <w:rPr>
                    <w:rFonts w:ascii="Cambria Math" w:hAnsi="Cambria Math"/>
                    <w:i/>
                    <w:lang w:bidi="hi-IN"/>
                  </w:rPr>
                </m:ctrlPr>
              </m:sSupPr>
              <m:e>
                <m:d>
                  <m:dPr>
                    <m:ctrlPr>
                      <w:rPr>
                        <w:rFonts w:ascii="Cambria Math" w:hAnsi="Cambria Math"/>
                        <w:i/>
                        <w:lang w:bidi="hi-IN"/>
                      </w:rPr>
                    </m:ctrlPr>
                  </m:dPr>
                  <m:e>
                    <m:f>
                      <m:fPr>
                        <m:type m:val="lin"/>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e>
              <m:sup>
                <m:r>
                  <w:rPr>
                    <w:rFonts w:ascii="Cambria Math" w:hAnsi="Cambria Math"/>
                    <w:lang w:bidi="hi-IN"/>
                  </w:rPr>
                  <m:t>x</m:t>
                </m:r>
              </m:sup>
            </m:sSup>
          </m:num>
          <m:den>
            <m:r>
              <w:rPr>
                <w:rFonts w:ascii="Cambria Math" w:hAnsi="Cambria Math"/>
                <w:lang w:bidi="hi-IN"/>
              </w:rPr>
              <m:t>x!</m:t>
            </m:r>
          </m:den>
        </m:f>
      </m:oMath>
      <w:r w:rsidR="00121E76"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that is, the number of deleterious mutations per individual is Poisson distributed with average </w:t>
      </w:r>
      <w:r w:rsidRPr="00457ACF">
        <w:rPr>
          <w:rFonts w:ascii="Palatino Linotype" w:hAnsi="Palatino Linotype"/>
          <w:i/>
          <w:iCs/>
          <w:lang w:bidi="hi-IN"/>
        </w:rPr>
        <w:t>U/s</w:t>
      </w:r>
      <w:r w:rsidRPr="00457ACF">
        <w:rPr>
          <w:rFonts w:ascii="Palatino Linotype" w:hAnsi="Palatino Linotype"/>
          <w:lang w:bidi="hi-IN"/>
        </w:rPr>
        <w:t xml:space="preserve"> </w:t>
      </w:r>
      <w:r w:rsidRPr="00457ACF">
        <w:rPr>
          <w:rFonts w:ascii="Palatino Linotype" w:hAnsi="Palatino Linotype"/>
          <w:lang w:bidi="hi-IN"/>
        </w:rPr>
        <w:fldChar w:fldCharType="begin" w:fldLock="1"/>
      </w:r>
      <w:r w:rsidR="0024147C">
        <w:rPr>
          <w:rFonts w:ascii="Palatino Linotype" w:hAnsi="Palatino Linotype"/>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"[40]" }, "properties" : { "noteIndex" : 0 }, "schema" : "https://github.com/citation-style-language/schema/raw/master/csl-citation.json" }</w:instrText>
      </w:r>
      <w:r w:rsidRPr="00457ACF">
        <w:rPr>
          <w:rFonts w:ascii="Palatino Linotype" w:hAnsi="Palatino Linotype"/>
          <w:lang w:bidi="hi-IN"/>
        </w:rPr>
        <w:fldChar w:fldCharType="separate"/>
      </w:r>
      <w:r w:rsidRPr="00121E76">
        <w:rPr>
          <w:rFonts w:ascii="Palatino Linotype" w:hAnsi="Palatino Linotype"/>
          <w:noProof/>
          <w:lang w:bidi="hi-IN"/>
        </w:rPr>
        <w:t>[40]</w:t>
      </w:r>
      <w:r w:rsidRPr="00457ACF">
        <w:rPr>
          <w:rFonts w:ascii="Palatino Linotype" w:hAnsi="Palatino Linotype"/>
          <w:lang w:bidi="hi-IN"/>
        </w:rPr>
        <w:fldChar w:fldCharType="end"/>
      </w:r>
      <w:r w:rsidRPr="00457ACF">
        <w:rPr>
          <w:rFonts w:ascii="Palatino Linotype" w:hAnsi="Palatino Linotype"/>
          <w:lang w:bidi="hi-IN"/>
        </w:rPr>
        <w:t xml:space="preserve">. </w:t>
      </w:r>
      <w:r w:rsidRPr="00457ACF">
        <w:rPr>
          <w:rFonts w:ascii="Palatino Linotype" w:hAnsi="Palatino Linotype"/>
        </w:rPr>
        <w:t xml:space="preserve">With constitutive mutagenesis (CM), the population mean fitness at the MSB </w:t>
      </w:r>
      <w:proofErr w:type="gramStart"/>
      <w:r w:rsidRPr="00457ACF">
        <w:rPr>
          <w:rFonts w:ascii="Palatino Linotype" w:hAnsi="Palatino Linotype"/>
        </w:rPr>
        <w:t xml:space="preserve">is </w:t>
      </w:r>
      <w:proofErr w:type="gramEnd"/>
      <m:oMath>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-τU</m:t>
            </m:r>
          </m:sup>
        </m:sSup>
      </m:oMath>
      <w:r w:rsidRPr="00457ACF">
        <w:rPr>
          <w:rFonts w:ascii="Palatino Linotype" w:hAnsi="Palatino Linotype"/>
        </w:rPr>
        <w:t xml:space="preserve">: it decays exponentially as a function of </w:t>
      </w:r>
      <w:r w:rsidRPr="00457ACF">
        <w:rPr>
          <w:rFonts w:ascii="Palatino Linotype" w:hAnsi="Palatino Linotype"/>
          <w:i/>
          <w:iCs/>
        </w:rPr>
        <w:t>τ</w:t>
      </w:r>
      <w:r w:rsidRPr="00457ACF">
        <w:rPr>
          <w:rFonts w:ascii="Palatino Linotype" w:hAnsi="Palatino Linotype"/>
        </w:rPr>
        <w:t xml:space="preserve"> the mutation rate fold increase. In contrast, stress-induced mutagenesis (SIM), as shown by Agrawal </w:t>
      </w:r>
      <w:r w:rsidRPr="00457ACF">
        <w:rPr>
          <w:rFonts w:ascii="Palatino Linotype" w:hAnsi="Palatino Linotype"/>
        </w:rPr>
        <w:fldChar w:fldCharType="begin" w:fldLock="1"/>
      </w:r>
      <w:r w:rsidR="0024147C">
        <w:rPr>
          <w:rFonts w:ascii="Palatino Linotype" w:hAnsi="Palatino Linotype"/>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"[35]" }, "properties" : { "noteIndex" : 0 }, "schema" : "https://github.com/citation-style-language/schema/raw/master/csl-citation.json" }</w:instrText>
      </w:r>
      <w:r w:rsidRPr="00457ACF">
        <w:rPr>
          <w:rFonts w:ascii="Palatino Linotype" w:hAnsi="Palatino Linotype"/>
        </w:rPr>
        <w:fldChar w:fldCharType="separate"/>
      </w:r>
      <w:r w:rsidRPr="00121E76">
        <w:rPr>
          <w:rFonts w:ascii="Palatino Linotype" w:hAnsi="Palatino Linotype"/>
          <w:noProof/>
        </w:rPr>
        <w:t>[35]</w:t>
      </w:r>
      <w:r w:rsidRPr="00457ACF">
        <w:rPr>
          <w:rFonts w:ascii="Palatino Linotype" w:hAnsi="Palatino Linotype"/>
        </w:rPr>
        <w:fldChar w:fldCharType="end"/>
      </w:r>
      <w:r w:rsidRPr="00457ACF">
        <w:rPr>
          <w:rFonts w:ascii="Palatino Linotype" w:hAnsi="Palatino Linotype"/>
        </w:rPr>
        <w:t>, does not change the population mean fitness with respect to normal mutagenesis (NM). This is because the least loaded individuals (</w:t>
      </w:r>
      <w:r w:rsidRPr="00457ACF">
        <w:rPr>
          <w:rFonts w:ascii="Palatino Linotype" w:hAnsi="Palatino Linotype"/>
          <w:i/>
          <w:iCs/>
        </w:rPr>
        <w:t>x</w:t>
      </w:r>
      <w:r w:rsidRPr="00457ACF">
        <w:rPr>
          <w:rFonts w:ascii="Palatino Linotype" w:hAnsi="Palatino Linotype"/>
        </w:rPr>
        <w:t xml:space="preserve">=0), with fitness </w:t>
      </w:r>
      <w:r w:rsidRPr="00457ACF">
        <w:rPr>
          <w:rFonts w:ascii="Palatino Linotype" w:hAnsi="Palatino Linotype"/>
          <w:i/>
          <w:iCs/>
        </w:rPr>
        <w:lastRenderedPageBreak/>
        <w:t>ω</w:t>
      </w:r>
      <w:r w:rsidRPr="00457ACF">
        <w:rPr>
          <w:rFonts w:ascii="Palatino Linotype" w:hAnsi="Palatino Linotype"/>
          <w:vertAlign w:val="subscript"/>
        </w:rPr>
        <w:t>0</w:t>
      </w:r>
      <w:r w:rsidRPr="00457ACF">
        <w:rPr>
          <w:rFonts w:ascii="Palatino Linotype" w:hAnsi="Palatino Linotype"/>
        </w:rPr>
        <w:t xml:space="preserve">=1, also have the lowest mutation rate, </w:t>
      </w:r>
      <w:r w:rsidRPr="00457ACF">
        <w:rPr>
          <w:rFonts w:ascii="Palatino Linotype" w:hAnsi="Palatino Linotype"/>
          <w:i/>
          <w:iCs/>
        </w:rPr>
        <w:t>U</w:t>
      </w:r>
      <w:r w:rsidRPr="00457ACF">
        <w:rPr>
          <w:rFonts w:ascii="Palatino Linotype" w:hAnsi="Palatino Linotype"/>
        </w:rPr>
        <w:t xml:space="preserve">, and therefore the population mean fitness </w:t>
      </w:r>
      <w:proofErr w:type="gramStart"/>
      <w:r w:rsidRPr="00457ACF">
        <w:rPr>
          <w:rFonts w:ascii="Palatino Linotype" w:hAnsi="Palatino Linotype"/>
        </w:rP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457ACF">
        <w:rPr>
          <w:rFonts w:ascii="Palatino Linotype" w:hAnsi="Palatino Linotype"/>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With beneficial mutations (</w:t>
      </w:r>
      <w:r w:rsidRPr="00457ACF">
        <w:rPr>
          <w:rFonts w:ascii="Palatino Linotype" w:hAnsi="Palatino Linotype"/>
        </w:rPr>
        <w:t xml:space="preserve">β&gt;0), </w:t>
      </w:r>
      <w:r w:rsidRPr="00457ACF">
        <w:rPr>
          <w:rFonts w:ascii="Palatino Linotype" w:hAnsi="Palatino Linotype"/>
          <w:lang w:bidi="hi-IN"/>
        </w:rPr>
        <w:t xml:space="preserve">the matrix </w:t>
      </w:r>
      <w:r w:rsidRPr="00457ACF">
        <w:rPr>
          <w:rFonts w:ascii="Palatino Linotype" w:hAnsi="Palatino Linotype"/>
          <w:i/>
          <w:iCs/>
          <w:lang w:bidi="hi-IN"/>
        </w:rPr>
        <w:t>M</w:t>
      </w:r>
      <w:r w:rsidRPr="00457ACF">
        <w:rPr>
          <w:rFonts w:ascii="Palatino Linotype" w:hAnsi="Palatino Linotype"/>
          <w:lang w:bidi="hi-IN"/>
        </w:rPr>
        <w:t xml:space="preserve"> is a positive matrix, and by the </w:t>
      </w:r>
      <w:proofErr w:type="spellStart"/>
      <w:r w:rsidRPr="00457ACF">
        <w:rPr>
          <w:rFonts w:ascii="Palatino Linotype" w:hAnsi="Palatino Linotype"/>
          <w:i/>
          <w:iCs/>
          <w:lang w:bidi="hi-IN"/>
        </w:rPr>
        <w:t>Perron-Frobenius</w:t>
      </w:r>
      <w:proofErr w:type="spellEnd"/>
      <w:r w:rsidRPr="00457ACF">
        <w:rPr>
          <w:rFonts w:ascii="Palatino Linotype" w:hAnsi="Palatino Linotype"/>
          <w:i/>
          <w:iCs/>
          <w:lang w:bidi="hi-IN"/>
        </w:rPr>
        <w:t xml:space="preserve"> Theorem</w:t>
      </w:r>
      <w:r w:rsidRPr="00457ACF">
        <w:rPr>
          <w:rFonts w:ascii="Palatino Linotype" w:hAnsi="Palatino Linotype"/>
          <w:lang w:bidi="hi-IN"/>
        </w:rPr>
        <w:t xml:space="preserve"> </w:t>
      </w:r>
      <w:r w:rsidRPr="00457ACF">
        <w:rPr>
          <w:rFonts w:ascii="Palatino Linotype" w:hAnsi="Palatino Linotype"/>
          <w:lang w:bidi="hi-IN"/>
        </w:rPr>
        <w:fldChar w:fldCharType="begin" w:fldLock="1"/>
      </w:r>
      <w:r w:rsidR="0024147C">
        <w:rPr>
          <w:rFonts w:ascii="Palatino Linotype" w:hAnsi="Palatino Linotype"/>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"[83 pg.]" }, "properties" : { "noteIndex" : 0 }, "schema" : "https://github.com/citation-style-language/schema/raw/master/csl-citation.json" }</w:instrText>
      </w:r>
      <w:r w:rsidRPr="00457ACF">
        <w:rPr>
          <w:rFonts w:ascii="Palatino Linotype" w:hAnsi="Palatino Linotype"/>
          <w:lang w:bidi="hi-IN"/>
        </w:rPr>
        <w:fldChar w:fldCharType="separate"/>
      </w:r>
      <w:r w:rsidRPr="00457ACF">
        <w:rPr>
          <w:rFonts w:ascii="Palatino Linotype" w:hAnsi="Palatino Linotype"/>
          <w:noProof/>
          <w:lang w:bidi="hi-IN"/>
        </w:rPr>
        <w:t>(Otto and Day 2007, p. 709)</w:t>
      </w:r>
      <w:r w:rsidRPr="00457ACF">
        <w:rPr>
          <w:rFonts w:ascii="Palatino Linotype" w:hAnsi="Palatino Linotype"/>
          <w:lang w:bidi="hi-IN"/>
        </w:rPr>
        <w:fldChar w:fldCharType="end"/>
      </w:r>
      <w:r w:rsidRPr="00457ACF">
        <w:rPr>
          <w:rFonts w:ascii="Palatino Linotype" w:hAnsi="Palatino Linotype"/>
          <w:lang w:bidi="hi-IN"/>
        </w:rPr>
        <w:t xml:space="preserve"> </w:t>
      </w:r>
      <m:oMath>
        <m:sSup>
          <m:sSupPr>
            <m:ctrlPr>
              <w:rPr>
                <w:rFonts w:ascii="Cambria Math" w:hAnsi="Cambria Math"/>
                <w:i/>
                <w:lang w:bidi="hi-IN"/>
              </w:rPr>
            </m:ctrlPr>
          </m:sSupPr>
          <m:e>
            <m:acc>
              <m:accPr>
                <m:chr m:val="̅"/>
                <m:ctrlPr>
                  <w:rPr>
                    <w:rFonts w:ascii="Cambria Math" w:hAnsi="Cambria Math"/>
                    <w:i/>
                    <w:lang w:bidi="hi-IN"/>
                  </w:rPr>
                </m:ctrlPr>
              </m:accPr>
              <m:e>
                <m:r>
                  <w:rPr>
                    <w:rFonts w:ascii="Cambria Math" w:hAnsi="Cambria Math"/>
                    <w:lang w:bidi="hi-IN"/>
                  </w:rPr>
                  <m:t>ω</m:t>
                </m:r>
              </m:e>
            </m:acc>
          </m:e>
          <m:sup>
            <m:r>
              <w:rPr>
                <w:rFonts w:ascii="Cambria Math" w:hAnsi="Cambria Math"/>
                <w:lang w:bidi="hi-IN"/>
              </w:rPr>
              <m:t>*</m:t>
            </m:r>
          </m:sup>
        </m:sSup>
      </m:oMath>
      <w:r w:rsidRPr="00457ACF">
        <w:rPr>
          <w:rFonts w:ascii="Palatino Linotype" w:hAnsi="Palatino Linotype"/>
          <w:lang w:bidi="hi-IN"/>
        </w:rPr>
        <w:t xml:space="preserve"> is the largest eigenvalue of </w:t>
      </w:r>
      <w:r w:rsidRPr="00457ACF">
        <w:rPr>
          <w:rFonts w:ascii="Palatino Linotype" w:hAnsi="Palatino Linotype"/>
          <w:i/>
          <w:iCs/>
          <w:lang w:bidi="hi-IN"/>
        </w:rPr>
        <w:t>M</w:t>
      </w:r>
      <w:r w:rsidRPr="00457ACF">
        <w:rPr>
          <w:rFonts w:ascii="Palatino Linotype" w:hAnsi="Palatino Linotype"/>
          <w:lang w:bidi="hi-IN"/>
        </w:rPr>
        <w:t xml:space="preserve"> and </w:t>
      </w:r>
      <w:r w:rsidRPr="00457ACF">
        <w:rPr>
          <w:rFonts w:ascii="Palatino Linotype" w:hAnsi="Palatino Linotype"/>
          <w:i/>
          <w:iCs/>
          <w:lang w:bidi="hi-IN"/>
        </w:rPr>
        <w:t>f*</w:t>
      </w:r>
      <w:r w:rsidRPr="00457ACF">
        <w:rPr>
          <w:rFonts w:ascii="Palatino Linotype" w:hAnsi="Palatino Linotype"/>
          <w:lang w:bidi="hi-IN"/>
        </w:rPr>
        <w:t xml:space="preserve"> is its unique positive eigenvector with </w:t>
      </w:r>
      <m:oMath>
        <m:r>
          <w:rPr>
            <w:rFonts w:ascii="Cambria Math" w:hAnsi="Cambria Math"/>
            <w:lang w:bidi="hi-IN"/>
          </w:rPr>
          <m:t>∑f=1</m:t>
        </m:r>
      </m:oMath>
      <w:r w:rsidRPr="00457ACF">
        <w:rPr>
          <w:rFonts w:ascii="Palatino Linotype" w:hAnsi="Palatino Linotype"/>
          <w:lang w:bidi="hi-IN"/>
        </w:rPr>
        <w:t xml:space="preserve">. </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This eigenvalue problem is hard to solve analytically, however, by neglecting elements outside the main three diagonals of </w:t>
      </w:r>
      <w:r w:rsidRPr="00457ACF">
        <w:rPr>
          <w:rFonts w:ascii="Palatino Linotype" w:hAnsi="Palatino Linotype"/>
          <w:i/>
          <w:iCs/>
          <w:lang w:bidi="hi-IN"/>
        </w:rPr>
        <w:t>M</w:t>
      </w:r>
      <w:r w:rsidRPr="00457ACF">
        <w:rPr>
          <w:rFonts w:ascii="Palatino Linotype" w:hAnsi="Palatino Linotype"/>
          <w:lang w:bidi="hi-IN"/>
        </w:rPr>
        <w:t xml:space="preserve"> we have shown before </w:t>
      </w:r>
      <w:r w:rsidRPr="00457ACF">
        <w:rPr>
          <w:rFonts w:ascii="Palatino Linotype" w:hAnsi="Palatino Linotype"/>
          <w:lang w:bidi="hi-IN"/>
        </w:rPr>
        <w:fldChar w:fldCharType="begin" w:fldLock="1"/>
      </w:r>
      <w:r w:rsidR="0024147C">
        <w:rPr>
          <w:rFonts w:ascii="Palatino Linotype" w:hAnsi="Palatino Linotype"/>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Pr="00457ACF">
        <w:rPr>
          <w:rFonts w:ascii="Palatino Linotype" w:hAnsi="Palatino Linotype"/>
          <w:lang w:bidi="hi-IN"/>
        </w:rPr>
        <w:fldChar w:fldCharType="separate"/>
      </w:r>
      <w:r w:rsidRPr="00121E76">
        <w:rPr>
          <w:rFonts w:ascii="Palatino Linotype" w:hAnsi="Palatino Linotype"/>
          <w:noProof/>
          <w:lang w:bidi="hi-IN"/>
        </w:rPr>
        <w:t>[37]</w:t>
      </w:r>
      <w:r w:rsidRPr="00457ACF">
        <w:rPr>
          <w:rFonts w:ascii="Palatino Linotype" w:hAnsi="Palatino Linotype"/>
          <w:lang w:bidi="hi-IN"/>
        </w:rPr>
        <w:fldChar w:fldCharType="end"/>
      </w:r>
      <w:r w:rsidRPr="00457ACF">
        <w:rPr>
          <w:rFonts w:ascii="Palatino Linotype" w:hAnsi="Palatino Linotype"/>
          <w:lang w:bidi="hi-IN"/>
        </w:rPr>
        <w:t xml:space="preserve"> that the population mean fitness increases with the mutation rate of individuals with a below–average fitness:</w:t>
      </w:r>
    </w:p>
    <w:p w:rsidR="00121E76" w:rsidRPr="00457ACF" w:rsidRDefault="00121E76" w:rsidP="00121E76">
      <w:pPr>
        <w:spacing w:line="480" w:lineRule="auto"/>
        <w:jc w:val="center"/>
        <w:rPr>
          <w:rFonts w:ascii="Palatino Linotype" w:hAnsi="Palatino Linotype"/>
          <w:lang w:bidi="hi-IN"/>
        </w:rPr>
      </w:pPr>
      <m:oMath>
        <m:r>
          <w:rPr>
            <w:rFonts w:ascii="Cambria Math" w:hAnsi="Cambria Math"/>
            <w:lang w:bidi="hi-IN"/>
          </w:rPr>
          <m:t>sign</m:t>
        </m:r>
        <m:f>
          <m:fPr>
            <m:ctrlPr>
              <w:rPr>
                <w:rFonts w:ascii="Cambria Math" w:hAnsi="Cambria Math"/>
                <w:i/>
                <w:lang w:bidi="hi-IN"/>
              </w:rPr>
            </m:ctrlPr>
          </m:fPr>
          <m:num>
            <m:r>
              <w:rPr>
                <w:rFonts w:ascii="Cambria Math" w:hAnsi="Cambria Math"/>
                <w:lang w:bidi="hi-IN"/>
              </w:rPr>
              <m:t>∂</m:t>
            </m:r>
            <m:acc>
              <m:accPr>
                <m:chr m:val="̅"/>
                <m:ctrlPr>
                  <w:rPr>
                    <w:rFonts w:ascii="Cambria Math" w:hAnsi="Cambria Math"/>
                    <w:i/>
                    <w:lang w:bidi="hi-IN"/>
                  </w:rPr>
                </m:ctrlPr>
              </m:accPr>
              <m:e>
                <m:r>
                  <w:rPr>
                    <w:rFonts w:ascii="Cambria Math" w:hAnsi="Cambria Math"/>
                    <w:lang w:bidi="hi-IN"/>
                  </w:rPr>
                  <m:t>ω</m:t>
                </m:r>
              </m:e>
            </m:acc>
          </m:num>
          <m:den>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den>
        </m:f>
        <m:r>
          <w:rPr>
            <w:rFonts w:ascii="Cambria Math" w:hAnsi="Cambria Math"/>
            <w:lang w:bidi="hi-IN"/>
          </w:rPr>
          <m:t>=sign(</m:t>
        </m:r>
        <m:acc>
          <m:accPr>
            <m:chr m:val="̅"/>
            <m:ctrlPr>
              <w:rPr>
                <w:rFonts w:ascii="Cambria Math" w:hAnsi="Cambria Math"/>
                <w:i/>
                <w:lang w:bidi="hi-IN"/>
              </w:rPr>
            </m:ctrlPr>
          </m:accPr>
          <m:e>
            <m:r>
              <w:rPr>
                <w:rFonts w:ascii="Cambria Math" w:hAnsi="Cambria Math"/>
                <w:lang w:bidi="hi-IN"/>
              </w:rPr>
              <m:t>ω</m:t>
            </m:r>
          </m:e>
        </m:acc>
        <m:r>
          <w:rPr>
            <w:rFonts w:ascii="Cambria Math" w:hAnsi="Cambria Math"/>
            <w:lang w:bidi="hi-IN"/>
          </w:rPr>
          <m:t>-</m:t>
        </m:r>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oMath>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rPr>
      </w:pPr>
      <w:r w:rsidRPr="00457ACF">
        <w:rPr>
          <w:rFonts w:ascii="Palatino Linotype" w:hAnsi="Palatino Linotype"/>
          <w:lang w:bidi="hi-IN"/>
        </w:rPr>
        <w:t xml:space="preserve">Nevertheless, this framework allows the numerical calculation of the population mean fitness for finite </w:t>
      </w:r>
      <w:r w:rsidRPr="00457ACF">
        <w:rPr>
          <w:rFonts w:ascii="Palatino Linotype" w:hAnsi="Palatino Linotype"/>
          <w:i/>
          <w:iCs/>
          <w:lang w:bidi="hi-IN"/>
        </w:rPr>
        <w:t>n</w:t>
      </w:r>
      <w:r w:rsidRPr="00457ACF">
        <w:rPr>
          <w:rFonts w:ascii="Palatino Linotype" w:hAnsi="Palatino Linotype"/>
          <w:lang w:bidi="hi-IN"/>
        </w:rPr>
        <w:t>-by-</w:t>
      </w:r>
      <w:r w:rsidRPr="00457ACF">
        <w:rPr>
          <w:rFonts w:ascii="Palatino Linotype" w:hAnsi="Palatino Linotype"/>
          <w:i/>
          <w:iCs/>
          <w:lang w:bidi="hi-IN"/>
        </w:rPr>
        <w:t xml:space="preserve">n </w:t>
      </w:r>
      <w:r w:rsidRPr="00457ACF">
        <w:rPr>
          <w:rFonts w:ascii="Palatino Linotype" w:hAnsi="Palatino Linotype"/>
          <w:lang w:bidi="hi-IN"/>
        </w:rPr>
        <w:t xml:space="preserve">mutation-selection matrices by defining </w:t>
      </w:r>
      <w:r w:rsidRPr="00457ACF">
        <w:rPr>
          <w:rFonts w:ascii="Palatino Linotype" w:hAnsi="Palatino Linotype"/>
          <w:i/>
          <w:iCs/>
          <w:lang w:bidi="hi-IN"/>
        </w:rPr>
        <w:t xml:space="preserve">n </w:t>
      </w:r>
      <w:r w:rsidRPr="00457ACF">
        <w:rPr>
          <w:rFonts w:ascii="Palatino Linotype" w:hAnsi="Palatino Linotype"/>
          <w:lang w:bidi="hi-IN"/>
        </w:rPr>
        <w:t xml:space="preserve">such </w:t>
      </w:r>
      <w:proofErr w:type="gramStart"/>
      <w:r w:rsidRPr="00457ACF">
        <w:rPr>
          <w:rFonts w:ascii="Palatino Linotype" w:hAnsi="Palatino Linotype"/>
          <w:lang w:bidi="hi-IN"/>
        </w:rPr>
        <w:t xml:space="preserve">that </w:t>
      </w:r>
      <w:proofErr w:type="gramEnd"/>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=0 ∀x≥n</m:t>
        </m:r>
      </m:oMath>
      <w:r w:rsidRPr="00457ACF">
        <w:rPr>
          <w:rFonts w:ascii="Palatino Linotype" w:hAnsi="Palatino Linotype"/>
          <w:lang w:bidi="hi-IN"/>
        </w:rPr>
        <w:t xml:space="preserve">. The mean fitness of populations with different mutational strategies is then calculated by manipulating </w:t>
      </w:r>
      <w:r w:rsidRPr="00457ACF">
        <w:rPr>
          <w:rFonts w:ascii="Palatino Linotype" w:hAnsi="Palatino Linotype"/>
          <w:i/>
          <w:iCs/>
          <w:lang w:bidi="hi-IN"/>
        </w:rPr>
        <w:t>U</w:t>
      </w:r>
      <w:r w:rsidRPr="00457ACF">
        <w:rPr>
          <w:rFonts w:ascii="Palatino Linotype" w:hAnsi="Palatino Linotype"/>
          <w:i/>
          <w:iCs/>
          <w:vertAlign w:val="subscript"/>
          <w:lang w:bidi="hi-IN"/>
        </w:rPr>
        <w:t>x</w:t>
      </w:r>
      <w:r w:rsidRPr="00457ACF">
        <w:rPr>
          <w:rFonts w:ascii="Palatino Linotype" w:hAnsi="Palatino Linotype"/>
          <w:lang w:bidi="hi-IN"/>
        </w:rPr>
        <w:t>.</w:t>
      </w:r>
      <w:r w:rsidRPr="00457ACF">
        <w:rPr>
          <w:rFonts w:ascii="Palatino Linotype" w:hAnsi="Palatino Linotype"/>
        </w:rPr>
        <w:t xml:space="preserve"> </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rPr>
        <w:t xml:space="preserve">Figure </w:t>
      </w:r>
      <w:r>
        <w:rPr>
          <w:rFonts w:ascii="Palatino Linotype" w:hAnsi="Palatino Linotype"/>
        </w:rPr>
        <w:t>D</w:t>
      </w:r>
      <w:r w:rsidRPr="00457ACF">
        <w:rPr>
          <w:rFonts w:ascii="Palatino Linotype" w:hAnsi="Palatino Linotype"/>
        </w:rPr>
        <w:t xml:space="preserve">1 shows that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457ACF">
        <w:rPr>
          <w:rFonts w:ascii="Palatino Linotype" w:hAnsi="Palatino Linotype"/>
        </w:rPr>
        <w:t xml:space="preserve"> is a good approximation to the population mean fitness (because </w:t>
      </w:r>
      <m:oMath>
        <m:r>
          <w:rPr>
            <w:rFonts w:ascii="Cambria Math" w:hAnsi="Cambria Math"/>
          </w:rPr>
          <m:t>β≪δ&lt;1</m:t>
        </m:r>
      </m:oMath>
      <w:r w:rsidRPr="00457ACF">
        <w:rPr>
          <w:rFonts w:ascii="Palatino Linotype" w:hAnsi="Palatino Linotype"/>
        </w:rPr>
        <w:t xml:space="preserve">), and that SIM slightly increases the population mean fitness with respect to NM; a sufficient condition is that the mutation rate of individuals with below average fitness is increased </w:t>
      </w:r>
      <w:r w:rsidRPr="00457ACF">
        <w:rPr>
          <w:rFonts w:ascii="Palatino Linotype" w:hAnsi="Palatino Linotype"/>
        </w:rPr>
        <w:fldChar w:fldCharType="begin" w:fldLock="1"/>
      </w:r>
      <w:r w:rsidR="0024147C">
        <w:rPr>
          <w:rFonts w:ascii="Palatino Linotype" w:hAnsi="Palatino Linotype"/>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Pr="00457ACF">
        <w:rPr>
          <w:rFonts w:ascii="Palatino Linotype" w:hAnsi="Palatino Linotype"/>
        </w:rPr>
        <w:fldChar w:fldCharType="separate"/>
      </w:r>
      <w:r w:rsidRPr="00121E76">
        <w:rPr>
          <w:rFonts w:ascii="Palatino Linotype" w:hAnsi="Palatino Linotype"/>
          <w:noProof/>
        </w:rPr>
        <w:t>[37]</w:t>
      </w:r>
      <w:r w:rsidRPr="00457ACF">
        <w:rPr>
          <w:rFonts w:ascii="Palatino Linotype" w:hAnsi="Palatino Linotype"/>
        </w:rPr>
        <w:fldChar w:fldCharType="end"/>
      </w:r>
      <w:r w:rsidRPr="00457ACF">
        <w:rPr>
          <w:rFonts w:ascii="Palatino Linotype" w:hAnsi="Palatino Linotype"/>
        </w:rPr>
        <w:t xml:space="preserve">. Since we assume </w:t>
      </w:r>
      <w:proofErr w:type="gramStart"/>
      <w:r w:rsidRPr="00457ACF">
        <w:rPr>
          <w:rFonts w:ascii="Palatino Linotype" w:hAnsi="Palatino Linotype"/>
        </w:rPr>
        <w:t xml:space="preserve">that </w:t>
      </w:r>
      <w:proofErr w:type="gramEnd"/>
      <m:oMath>
        <m:r>
          <w:rPr>
            <w:rFonts w:ascii="Cambria Math" w:hAnsi="Cambria Math"/>
          </w:rPr>
          <m:t>U&lt;s</m:t>
        </m:r>
      </m:oMath>
      <w:r w:rsidRPr="00457ACF">
        <w:rPr>
          <w:rFonts w:ascii="Palatino Linotype" w:hAnsi="Palatino Linotype"/>
        </w:rPr>
        <w:t>,</w:t>
      </w:r>
      <w:r w:rsidRPr="00457ACF">
        <w:rPr>
          <w:rFonts w:ascii="Palatino Linotype" w:hAnsi="Palatino Linotype"/>
          <w:i/>
          <w:iCs/>
        </w:rPr>
        <w:t xml:space="preserve"> </w:t>
      </w:r>
      <w:r w:rsidRPr="00457ACF">
        <w:rPr>
          <w:rFonts w:ascii="Palatino Linotype" w:hAnsi="Palatino Linotype"/>
        </w:rPr>
        <w:t xml:space="preserve">then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≈1-U&gt;1-s</m:t>
        </m:r>
      </m:oMath>
      <w:r w:rsidRPr="00457ACF">
        <w:rPr>
          <w:rFonts w:ascii="Palatino Linotype" w:hAnsi="Palatino Linotype"/>
        </w:rPr>
        <w:t>. Therefore, for SIM to increase the population mean fitness it must increase the mutation rate in individuals with at least one deleterious mutation</w:t>
      </w:r>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p>
    <w:p w:rsidR="00121E76" w:rsidRPr="00457ACF" w:rsidRDefault="00121E76" w:rsidP="00121E76">
      <w:pPr>
        <w:spacing w:line="480" w:lineRule="auto"/>
        <w:jc w:val="center"/>
        <w:rPr>
          <w:rFonts w:ascii="Palatino Linotype" w:hAnsi="Palatino Linotype"/>
          <w:b/>
          <w:bCs/>
        </w:rPr>
      </w:pPr>
      <w:bookmarkStart w:id="24" w:name="_Ref363979903"/>
      <w:r w:rsidRPr="00457ACF">
        <w:rPr>
          <w:rFonts w:ascii="Palatino Linotype" w:hAnsi="Palatino Linotype"/>
          <w:b/>
          <w:bCs/>
          <w:noProof/>
        </w:rPr>
        <w:lastRenderedPageBreak/>
        <w:drawing>
          <wp:inline distT="0" distB="0" distL="0" distR="0" wp14:anchorId="63AD65F2" wp14:editId="0E2CDA25">
            <wp:extent cx="5279390" cy="4222115"/>
            <wp:effectExtent l="0" t="0" r="0" b="6985"/>
            <wp:docPr id="11" name="Picture 11" descr="D:\workspace\ruggedsim\manuscript\ram_f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S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9390" cy="4222115"/>
                    </a:xfrm>
                    <a:prstGeom prst="rect">
                      <a:avLst/>
                    </a:prstGeom>
                    <a:noFill/>
                    <a:ln>
                      <a:noFill/>
                    </a:ln>
                  </pic:spPr>
                </pic:pic>
              </a:graphicData>
            </a:graphic>
          </wp:inline>
        </w:drawing>
      </w:r>
    </w:p>
    <w:p w:rsidR="00121E76" w:rsidRPr="001E1864" w:rsidRDefault="00121E76" w:rsidP="00121E76">
      <w:pPr>
        <w:spacing w:line="480" w:lineRule="auto"/>
        <w:rPr>
          <w:rFonts w:ascii="Palatino Linotype" w:hAnsi="Palatino Linotype"/>
          <w:sz w:val="16"/>
          <w:szCs w:val="16"/>
        </w:rPr>
      </w:pPr>
      <w:r w:rsidRPr="001E1864">
        <w:rPr>
          <w:rFonts w:ascii="Palatino Linotype" w:hAnsi="Palatino Linotype"/>
          <w:b/>
          <w:bCs/>
          <w:sz w:val="16"/>
          <w:szCs w:val="16"/>
        </w:rPr>
        <w:t>Figure</w:t>
      </w:r>
      <w:bookmarkEnd w:id="24"/>
      <w:r w:rsidRPr="001E1864">
        <w:rPr>
          <w:rFonts w:ascii="Palatino Linotype" w:hAnsi="Palatino Linotype"/>
          <w:b/>
          <w:bCs/>
          <w:sz w:val="16"/>
          <w:szCs w:val="16"/>
        </w:rPr>
        <w:t xml:space="preserve"> D1 – Mean fitness at the mutation-selection balance with stress-induced mutagenesis. </w:t>
      </w:r>
      <w:r w:rsidRPr="001E1864">
        <w:rPr>
          <w:rFonts w:ascii="Palatino Linotype" w:hAnsi="Palatino Linotype"/>
          <w:sz w:val="16"/>
          <w:szCs w:val="16"/>
        </w:rPr>
        <w:t xml:space="preserve">The brightness represents the fitness advantage of stress-induced mutagenesis over normal mutagenesis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e>
        </m:d>
      </m:oMath>
      <w:r w:rsidRPr="001E1864">
        <w:rPr>
          <w:rFonts w:ascii="Palatino Linotype" w:hAnsi="Palatino Linotype"/>
          <w:sz w:val="16"/>
          <w:szCs w:val="16"/>
        </w:rPr>
        <w:t xml:space="preserve"> at the mutation-selection balance. The x-axis is the fraction of mutations that are beneficial </w:t>
      </w:r>
      <w:r w:rsidRPr="001E1864">
        <w:rPr>
          <w:rFonts w:ascii="Palatino Linotype" w:hAnsi="Palatino Linotype"/>
          <w:i/>
          <w:iCs/>
          <w:sz w:val="16"/>
          <w:szCs w:val="16"/>
        </w:rPr>
        <w:t>β</w:t>
      </w:r>
      <w:r w:rsidRPr="001E1864">
        <w:rPr>
          <w:rFonts w:ascii="Palatino Linotype" w:hAnsi="Palatino Linotype"/>
          <w:sz w:val="16"/>
          <w:szCs w:val="16"/>
        </w:rPr>
        <w:t>. The y-axis is the mutation rate fold increase under stress</w:t>
      </w:r>
      <w:r w:rsidRPr="001E1864">
        <w:rPr>
          <w:rFonts w:ascii="Palatino Linotype" w:hAnsi="Palatino Linotype"/>
          <w:i/>
          <w:iCs/>
          <w:sz w:val="16"/>
          <w:szCs w:val="16"/>
        </w:rPr>
        <w:t xml:space="preserve"> τ</w:t>
      </w:r>
      <w:r w:rsidRPr="001E1864">
        <w:rPr>
          <w:rFonts w:ascii="Palatino Linotype" w:hAnsi="Palatino Linotype"/>
          <w:sz w:val="16"/>
          <w:szCs w:val="16"/>
        </w:rPr>
        <w:t xml:space="preserve">. "X" marks the parameter set </w:t>
      </w:r>
      <w:r w:rsidRPr="001E1864">
        <w:rPr>
          <w:rFonts w:ascii="Palatino Linotype" w:hAnsi="Palatino Linotype"/>
          <w:i/>
          <w:iCs/>
          <w:sz w:val="16"/>
          <w:szCs w:val="16"/>
        </w:rPr>
        <w:t>β</w:t>
      </w:r>
      <w:r w:rsidRPr="001E1864">
        <w:rPr>
          <w:rFonts w:ascii="Palatino Linotype" w:hAnsi="Palatino Linotype"/>
          <w:sz w:val="16"/>
          <w:szCs w:val="16"/>
        </w:rPr>
        <w:t xml:space="preserve">=1/5000 and </w:t>
      </w:r>
      <w:r w:rsidRPr="001E1864">
        <w:rPr>
          <w:rFonts w:ascii="Palatino Linotype" w:hAnsi="Palatino Linotype"/>
          <w:i/>
          <w:iCs/>
          <w:sz w:val="16"/>
          <w:szCs w:val="16"/>
        </w:rPr>
        <w:t>τ</w:t>
      </w:r>
      <w:r w:rsidRPr="001E1864">
        <w:rPr>
          <w:rFonts w:ascii="Palatino Linotype" w:hAnsi="Palatino Linotype"/>
          <w:sz w:val="16"/>
          <w:szCs w:val="16"/>
        </w:rPr>
        <w:t>=10, in which the fitness advantage of SIM is ~5</w:t>
      </w:r>
      <w:r w:rsidRPr="001E1864">
        <w:rPr>
          <w:rFonts w:ascii="Palatino Linotype" w:hAnsi="Palatino Linotype"/>
          <w:sz w:val="16"/>
          <w:szCs w:val="16"/>
        </w:rPr>
        <w:sym w:font="Symbol" w:char="F0D7"/>
      </w:r>
      <w:r w:rsidRPr="001E1864">
        <w:rPr>
          <w:rFonts w:ascii="Palatino Linotype" w:hAnsi="Palatino Linotype"/>
          <w:sz w:val="16"/>
          <w:szCs w:val="16"/>
        </w:rPr>
        <w:t>10</w:t>
      </w:r>
      <w:r w:rsidRPr="001E1864">
        <w:rPr>
          <w:rFonts w:ascii="Palatino Linotype" w:hAnsi="Palatino Linotype"/>
          <w:sz w:val="16"/>
          <w:szCs w:val="16"/>
          <w:vertAlign w:val="superscript"/>
        </w:rPr>
        <w:t>-9</w:t>
      </w:r>
      <w:r w:rsidRPr="001E1864">
        <w:rPr>
          <w:rFonts w:ascii="Palatino Linotype" w:hAnsi="Palatino Linotype"/>
          <w:sz w:val="16"/>
          <w:szCs w:val="16"/>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br w:type="page"/>
      </w:r>
    </w:p>
    <w:p w:rsidR="00121E76" w:rsidRPr="00457ACF" w:rsidRDefault="00121E76" w:rsidP="00121E76">
      <w:pPr>
        <w:pStyle w:val="Heading2"/>
        <w:numPr>
          <w:ilvl w:val="0"/>
          <w:numId w:val="0"/>
        </w:numPr>
        <w:spacing w:line="480" w:lineRule="auto"/>
        <w:ind w:left="357" w:hanging="357"/>
        <w:rPr>
          <w:rFonts w:eastAsiaTheme="minorEastAsia"/>
        </w:rPr>
      </w:pPr>
      <w:bookmarkStart w:id="25" w:name="_Ref374377810"/>
      <w:r w:rsidRPr="00457ACF">
        <w:rPr>
          <w:rFonts w:eastAsiaTheme="minorEastAsia"/>
        </w:rPr>
        <w:lastRenderedPageBreak/>
        <w:t>Appendix E: Possible relationships between stress and mutation</w:t>
      </w:r>
      <w:bookmarkEnd w:id="25"/>
      <w:r w:rsidRPr="00457ACF">
        <w:rPr>
          <w:rFonts w:eastAsiaTheme="minorEastAsia"/>
        </w:rPr>
        <w:t xml:space="preserve"> </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In the main text we used a threshold relationship between stress and mutation: if fitness drops below a threshold (&lt;1 for SIM, ≤1 for </w:t>
      </w:r>
      <w:proofErr w:type="spellStart"/>
      <w:r w:rsidRPr="00457ACF">
        <w:rPr>
          <w:rFonts w:ascii="Palatino Linotype" w:hAnsi="Palatino Linotype"/>
          <w:lang w:bidi="hi-IN"/>
        </w:rPr>
        <w:t>SIM</w:t>
      </w:r>
      <w:r w:rsidRPr="00457ACF">
        <w:rPr>
          <w:rFonts w:ascii="Palatino Linotype" w:hAnsi="Palatino Linotype"/>
          <w:vertAlign w:val="subscript"/>
          <w:lang w:bidi="hi-IN"/>
        </w:rPr>
        <w:t>e</w:t>
      </w:r>
      <w:proofErr w:type="spellEnd"/>
      <w:r w:rsidRPr="00457ACF">
        <w:rPr>
          <w:rFonts w:ascii="Palatino Linotype" w:hAnsi="Palatino Linotype"/>
          <w:lang w:bidi="hi-IN"/>
        </w:rPr>
        <w:t xml:space="preserve">), the mutation rate increases </w:t>
      </w:r>
      <w:r w:rsidRPr="00457ACF">
        <w:rPr>
          <w:rFonts w:ascii="Palatino Linotype" w:hAnsi="Palatino Linotype"/>
          <w:i/>
          <w:iCs/>
          <w:lang w:bidi="hi-IN"/>
        </w:rPr>
        <w:t>τ</w:t>
      </w:r>
      <w:r w:rsidRPr="00457ACF">
        <w:rPr>
          <w:rFonts w:ascii="Palatino Linotype" w:hAnsi="Palatino Linotype"/>
          <w:lang w:bidi="hi-IN"/>
        </w:rPr>
        <w:t xml:space="preserve">-fold. But the relationship between stress and mutation can be more complex. For example, Agrawal </w:t>
      </w:r>
      <w:r w:rsidRPr="00457ACF">
        <w:rPr>
          <w:rFonts w:ascii="Palatino Linotype" w:hAnsi="Palatino Linotype"/>
          <w:lang w:bidi="hi-IN"/>
        </w:rPr>
        <w:fldChar w:fldCharType="begin" w:fldLock="1"/>
      </w:r>
      <w:r w:rsidR="0024147C">
        <w:rPr>
          <w:rFonts w:ascii="Palatino Linotype" w:hAnsi="Palatino Linotype"/>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"[35]" }, "properties" : { "noteIndex" : 0 }, "schema" : "https://github.com/citation-style-language/schema/raw/master/csl-citation.json" }</w:instrText>
      </w:r>
      <w:r w:rsidRPr="00457ACF">
        <w:rPr>
          <w:rFonts w:ascii="Palatino Linotype" w:hAnsi="Palatino Linotype"/>
          <w:lang w:bidi="hi-IN"/>
        </w:rPr>
        <w:fldChar w:fldCharType="separate"/>
      </w:r>
      <w:r w:rsidRPr="00121E76">
        <w:rPr>
          <w:rFonts w:ascii="Palatino Linotype" w:hAnsi="Palatino Linotype"/>
          <w:noProof/>
          <w:lang w:bidi="hi-IN"/>
        </w:rPr>
        <w:t>[35]</w:t>
      </w:r>
      <w:r w:rsidRPr="00457ACF">
        <w:rPr>
          <w:rFonts w:ascii="Palatino Linotype" w:hAnsi="Palatino Linotype"/>
          <w:lang w:bidi="hi-IN"/>
        </w:rPr>
        <w:fldChar w:fldCharType="end"/>
      </w:r>
      <w:r w:rsidRPr="00457ACF">
        <w:rPr>
          <w:rFonts w:ascii="Palatino Linotype" w:hAnsi="Palatino Linotype"/>
          <w:lang w:bidi="hi-IN"/>
        </w:rPr>
        <w:t xml:space="preserve"> has used a continuous relationship defined by a curvature parameter </w:t>
      </w:r>
      <w:r w:rsidRPr="00457ACF">
        <w:rPr>
          <w:rFonts w:ascii="Palatino Linotype" w:hAnsi="Palatino Linotype"/>
          <w:i/>
          <w:iCs/>
          <w:lang w:bidi="hi-IN"/>
        </w:rPr>
        <w:t>k</w:t>
      </w:r>
      <w:r w:rsidRPr="00457ACF">
        <w:rPr>
          <w:rFonts w:ascii="Palatino Linotype" w:hAnsi="Palatino Linotype"/>
          <w:lang w:bidi="hi-IN"/>
        </w:rPr>
        <w:t xml:space="preserve">. This relationship defines the mutation rate for an individual with fitness </w:t>
      </w:r>
      <w:r w:rsidRPr="00457ACF">
        <w:rPr>
          <w:rFonts w:ascii="Palatino Linotype" w:hAnsi="Palatino Linotype"/>
          <w:i/>
          <w:iCs/>
          <w:lang w:bidi="hi-IN"/>
        </w:rPr>
        <w:t>ω</w:t>
      </w:r>
      <w:r w:rsidRPr="00457ACF">
        <w:rPr>
          <w:rFonts w:ascii="Palatino Linotype" w:hAnsi="Palatino Linotype"/>
          <w:lang w:bidi="hi-IN"/>
        </w:rPr>
        <w:t xml:space="preserve">, baseline mutation rate </w:t>
      </w:r>
      <w:r w:rsidRPr="00457ACF">
        <w:rPr>
          <w:rFonts w:ascii="Palatino Linotype" w:hAnsi="Palatino Linotype"/>
          <w:i/>
          <w:iCs/>
          <w:lang w:bidi="hi-IN"/>
        </w:rPr>
        <w:t>U</w:t>
      </w:r>
      <w:r w:rsidRPr="00457ACF">
        <w:rPr>
          <w:rFonts w:ascii="Palatino Linotype" w:hAnsi="Palatino Linotype"/>
          <w:lang w:bidi="hi-IN"/>
        </w:rPr>
        <w:t xml:space="preserve">, and a maximal mutation rate fold increase </w:t>
      </w:r>
      <w:r w:rsidRPr="00457ACF">
        <w:rPr>
          <w:rFonts w:ascii="Palatino Linotype" w:hAnsi="Palatino Linotype"/>
          <w:i/>
          <w:iCs/>
          <w:lang w:bidi="hi-IN"/>
        </w:rPr>
        <w:t>τ</w:t>
      </w:r>
      <w:r w:rsidRPr="00457ACF">
        <w:rPr>
          <w:rFonts w:ascii="Palatino Linotype" w:hAnsi="Palatino Linotype"/>
          <w:lang w:bidi="hi-IN"/>
        </w:rPr>
        <w:t xml:space="preserve"> as</w:t>
      </w:r>
    </w:p>
    <w:p w:rsidR="00121E76" w:rsidRPr="00457ACF" w:rsidRDefault="00121E76" w:rsidP="00121E76">
      <w:pPr>
        <w:spacing w:line="480" w:lineRule="auto"/>
        <w:jc w:val="center"/>
        <w:rPr>
          <w:rFonts w:ascii="Palatino Linotype" w:hAnsi="Palatino Linotype"/>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Pr="00457ACF">
        <w:rPr>
          <w:rFonts w:ascii="Palatino Linotype" w:hAnsi="Palatino Linotype"/>
          <w:lang w:bidi="hi-IN"/>
        </w:rPr>
        <w:t>.</w:t>
      </w:r>
    </w:p>
    <w:p w:rsidR="00121E76" w:rsidRDefault="00121E76" w:rsidP="00121E76">
      <w:pPr>
        <w:spacing w:line="480" w:lineRule="auto"/>
        <w:rPr>
          <w:rFonts w:ascii="Palatino Linotype" w:hAnsi="Palatino Linotype"/>
        </w:rPr>
      </w:pPr>
      <w:r w:rsidRPr="00457ACF">
        <w:rPr>
          <w:rFonts w:ascii="Palatino Linotype" w:hAnsi="Palatino Linotype"/>
          <w:lang w:bidi="hi-IN"/>
        </w:rPr>
        <w:t xml:space="preserve">When </w:t>
      </w:r>
      <w:r w:rsidRPr="00457ACF">
        <w:rPr>
          <w:rFonts w:ascii="Palatino Linotype" w:hAnsi="Palatino Linotype"/>
          <w:i/>
          <w:iCs/>
          <w:lang w:bidi="hi-IN"/>
        </w:rPr>
        <w:t>k</w:t>
      </w:r>
      <w:r w:rsidRPr="00457ACF">
        <w:rPr>
          <w:rFonts w:ascii="Palatino Linotype" w:hAnsi="Palatino Linotype"/>
          <w:lang w:bidi="hi-IN"/>
        </w:rPr>
        <w:t xml:space="preserve"> approaches 0 this expression approaches </w:t>
      </w:r>
      <w:r w:rsidRPr="00457ACF">
        <w:rPr>
          <w:rFonts w:ascii="Palatino Linotype" w:hAnsi="Palatino Linotype"/>
          <w:i/>
          <w:iCs/>
          <w:lang w:bidi="hi-IN"/>
        </w:rPr>
        <w:t>U</w:t>
      </w:r>
      <w:r w:rsidRPr="00457ACF">
        <w:rPr>
          <w:rFonts w:ascii="Palatino Linotype" w:hAnsi="Palatino Linotype"/>
          <w:lang w:bidi="hi-IN"/>
        </w:rPr>
        <w:t xml:space="preserve">, corresponding to the NM strategy. When </w:t>
      </w:r>
      <w:r w:rsidRPr="00457ACF">
        <w:rPr>
          <w:rFonts w:ascii="Palatino Linotype" w:hAnsi="Palatino Linotype"/>
          <w:i/>
          <w:iCs/>
          <w:lang w:bidi="hi-IN"/>
        </w:rPr>
        <w:t xml:space="preserve">k </w:t>
      </w:r>
      <w:r w:rsidRPr="00457ACF">
        <w:rPr>
          <w:rFonts w:ascii="Palatino Linotype" w:hAnsi="Palatino Linotype"/>
        </w:rPr>
        <w:t>approaches infinity this expression approaches eq. 1</w:t>
      </w:r>
      <w:r w:rsidRPr="00457ACF">
        <w:rPr>
          <w:rFonts w:ascii="Palatino Linotype" w:hAnsi="Palatino Linotype"/>
        </w:rPr>
        <w:fldChar w:fldCharType="begin"/>
      </w:r>
      <w:r w:rsidRPr="00457ACF">
        <w:rPr>
          <w:rFonts w:ascii="Palatino Linotype" w:hAnsi="Palatino Linotype"/>
        </w:rPr>
        <w:instrText xml:space="preserve"> REF _Ref374460264 \h  \* MERGEFORMAT </w:instrText>
      </w:r>
      <w:r w:rsidRPr="00457ACF">
        <w:rPr>
          <w:rFonts w:ascii="Palatino Linotype" w:hAnsi="Palatino Linotype"/>
        </w:rPr>
      </w:r>
      <w:r w:rsidRPr="00457ACF">
        <w:rPr>
          <w:rFonts w:ascii="Palatino Linotype" w:hAnsi="Palatino Linotype"/>
        </w:rPr>
        <w:fldChar w:fldCharType="separate"/>
      </w:r>
      <w:r w:rsidR="00EB2B08" w:rsidRPr="00EB2B08">
        <w:rPr>
          <w:rFonts w:ascii="Palatino Linotype" w:hAnsi="Palatino Linotype"/>
        </w:rPr>
        <w:t>(</w:t>
      </w:r>
      <w:r w:rsidR="00EB2B08" w:rsidRPr="00EB2B08">
        <w:rPr>
          <w:rFonts w:ascii="Palatino Linotype" w:hAnsi="Palatino Linotype"/>
          <w:noProof/>
        </w:rPr>
        <w:t>1</w:t>
      </w:r>
      <w:r w:rsidR="00EB2B08" w:rsidRPr="00EB2B08">
        <w:rPr>
          <w:rFonts w:ascii="Palatino Linotype" w:hAnsi="Palatino Linotype"/>
        </w:rPr>
        <w:t>)</w:t>
      </w:r>
      <w:r w:rsidRPr="00457ACF">
        <w:rPr>
          <w:rFonts w:ascii="Palatino Linotype" w:hAnsi="Palatino Linotype"/>
        </w:rPr>
        <w:fldChar w:fldCharType="end"/>
      </w:r>
      <w:r w:rsidRPr="00457ACF">
        <w:rPr>
          <w:rFonts w:ascii="Palatino Linotype" w:hAnsi="Palatino Linotype"/>
        </w:rPr>
        <w:t xml:space="preserve">, corresponding to the SIM threshold strategy. See Figure E1 for a plot of these continuous relationships for various values of </w:t>
      </w:r>
      <w:r w:rsidRPr="00457ACF">
        <w:rPr>
          <w:rFonts w:ascii="Palatino Linotype" w:hAnsi="Palatino Linotype"/>
          <w:i/>
          <w:iCs/>
        </w:rPr>
        <w:t>k</w:t>
      </w:r>
      <w:r w:rsidRPr="00457ACF">
        <w:rPr>
          <w:rFonts w:ascii="Palatino Linotype" w:hAnsi="Palatino Linotype"/>
        </w:rPr>
        <w:t>.</w:t>
      </w:r>
    </w:p>
    <w:p w:rsidR="009E09D5" w:rsidRPr="00457ACF" w:rsidRDefault="009E09D5" w:rsidP="009E09D5">
      <w:pPr>
        <w:spacing w:line="480" w:lineRule="auto"/>
        <w:rPr>
          <w:rFonts w:ascii="Palatino Linotype" w:hAnsi="Palatino Linotype"/>
          <w:lang w:bidi="hi-IN"/>
        </w:rPr>
      </w:pPr>
      <w:r w:rsidRPr="00457ACF">
        <w:rPr>
          <w:rFonts w:ascii="Palatino Linotype" w:hAnsi="Palatino Linotype"/>
        </w:rPr>
        <w:t>Figure E2</w:t>
      </w:r>
      <w:r w:rsidRPr="00457ACF">
        <w:rPr>
          <w:rFonts w:ascii="Palatino Linotype" w:hAnsi="Palatino Linotype"/>
          <w:lang w:bidi="hi-IN"/>
        </w:rPr>
        <w:t xml:space="preserve"> shows the adaptation time for three continuous strategies (</w:t>
      </w:r>
      <w:r w:rsidRPr="00457ACF">
        <w:rPr>
          <w:rFonts w:ascii="Palatino Linotype" w:hAnsi="Palatino Linotype"/>
          <w:i/>
          <w:iCs/>
          <w:lang w:bidi="hi-IN"/>
        </w:rPr>
        <w:t>k</w:t>
      </w:r>
      <w:r w:rsidRPr="00457ACF">
        <w:rPr>
          <w:rFonts w:ascii="Palatino Linotype" w:hAnsi="Palatino Linotype"/>
          <w:lang w:bidi="hi-IN"/>
        </w:rPr>
        <w:t>=1/10, 1, and 10).  Remarkably, the dynamics of a continuous strategy can be approximated by a threshold strategy by matching the mutation rates of single mutants:</w:t>
      </w:r>
    </w:p>
    <w:p w:rsidR="009E09D5" w:rsidRPr="00457ACF" w:rsidRDefault="009E09D5" w:rsidP="009E09D5">
      <w:pPr>
        <w:spacing w:line="480" w:lineRule="auto"/>
        <w:jc w:val="center"/>
        <w:rPr>
          <w:rFonts w:ascii="Palatino Linotype" w:hAnsi="Palatino Linotype"/>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sidRPr="00457ACF">
        <w:rPr>
          <w:rFonts w:ascii="Palatino Linotype" w:hAnsi="Palatino Linotype"/>
          <w:lang w:bidi="hi-IN"/>
        </w:rPr>
        <w:t>.</w:t>
      </w:r>
    </w:p>
    <w:p w:rsidR="009E09D5" w:rsidRPr="00457ACF" w:rsidRDefault="009E09D5" w:rsidP="009E09D5">
      <w:pPr>
        <w:spacing w:line="480" w:lineRule="auto"/>
        <w:rPr>
          <w:rFonts w:ascii="Palatino Linotype" w:hAnsi="Palatino Linotype"/>
          <w:lang w:bidi="hi-IN"/>
        </w:rPr>
      </w:pPr>
      <w:r w:rsidRPr="00457ACF">
        <w:rPr>
          <w:rFonts w:ascii="Palatino Linotype" w:hAnsi="Palatino Linotype"/>
          <w:lang w:bidi="hi-IN"/>
        </w:rPr>
        <w:t xml:space="preserve"> This is equivalent to using a </w:t>
      </w:r>
      <w:r w:rsidRPr="00457ACF">
        <w:rPr>
          <w:rFonts w:ascii="Palatino Linotype" w:hAnsi="Palatino Linotype"/>
        </w:rPr>
        <w:t xml:space="preserve">threshold strategy with mutation rate increase </w:t>
      </w:r>
      <w:r w:rsidRPr="00457ACF">
        <w:rPr>
          <w:rFonts w:ascii="Palatino Linotype" w:hAnsi="Palatino Linotype"/>
          <w:i/>
          <w:iCs/>
          <w:lang w:bidi="hi-IN"/>
        </w:rPr>
        <w:t>τ</w:t>
      </w:r>
      <w:r w:rsidRPr="00457ACF">
        <w:rPr>
          <w:rFonts w:ascii="Palatino Linotype" w:hAnsi="Palatino Linotype"/>
          <w:lang w:bidi="hi-IN"/>
        </w:rPr>
        <w:t>-(</w:t>
      </w:r>
      <w:r w:rsidRPr="00457ACF">
        <w:rPr>
          <w:rFonts w:ascii="Palatino Linotype" w:hAnsi="Palatino Linotype"/>
          <w:i/>
          <w:iCs/>
          <w:lang w:bidi="hi-IN"/>
        </w:rPr>
        <w:t>τ</w:t>
      </w:r>
      <w:r w:rsidRPr="00457ACF">
        <w:rPr>
          <w:rFonts w:ascii="Palatino Linotype" w:hAnsi="Palatino Linotype"/>
          <w:lang w:bidi="hi-IN"/>
        </w:rPr>
        <w:t>-1</w:t>
      </w:r>
      <w:proofErr w:type="gramStart"/>
      <w:r w:rsidRPr="00457ACF">
        <w:rPr>
          <w:rFonts w:ascii="Palatino Linotype" w:hAnsi="Palatino Linotype"/>
          <w:lang w:bidi="hi-IN"/>
        </w:rPr>
        <w:t>)(</w:t>
      </w:r>
      <w:proofErr w:type="gramEnd"/>
      <w:r w:rsidRPr="00457ACF">
        <w:rPr>
          <w:rFonts w:ascii="Palatino Linotype" w:hAnsi="Palatino Linotype"/>
          <w:lang w:bidi="hi-IN"/>
        </w:rPr>
        <w:t>1-</w:t>
      </w:r>
      <w:r w:rsidRPr="00457ACF">
        <w:rPr>
          <w:rFonts w:ascii="Palatino Linotype" w:hAnsi="Palatino Linotype"/>
          <w:i/>
          <w:iCs/>
          <w:lang w:bidi="hi-IN"/>
        </w:rPr>
        <w:t>s</w:t>
      </w:r>
      <w:r w:rsidRPr="00457ACF">
        <w:rPr>
          <w:rFonts w:ascii="Palatino Linotype" w:hAnsi="Palatino Linotype"/>
          <w:lang w:bidi="hi-IN"/>
        </w:rPr>
        <w:t>)</w:t>
      </w:r>
      <w:r w:rsidRPr="00457ACF">
        <w:rPr>
          <w:rFonts w:ascii="Palatino Linotype" w:hAnsi="Palatino Linotype"/>
          <w:i/>
          <w:iCs/>
          <w:vertAlign w:val="superscript"/>
          <w:lang w:bidi="hi-IN"/>
        </w:rPr>
        <w:t>k</w:t>
      </w:r>
      <w:r w:rsidRPr="00457ACF">
        <w:rPr>
          <w:rFonts w:ascii="Palatino Linotype" w:hAnsi="Palatino Linotype"/>
          <w:lang w:bidi="hi-IN"/>
        </w:rPr>
        <w:t xml:space="preserve">. The dashed lines in </w:t>
      </w:r>
      <w:r w:rsidRPr="00457ACF">
        <w:rPr>
          <w:rFonts w:ascii="Palatino Linotype" w:hAnsi="Palatino Linotype"/>
        </w:rPr>
        <w:t xml:space="preserve">Figure E2 </w:t>
      </w:r>
      <w:r w:rsidRPr="00457ACF">
        <w:rPr>
          <w:rFonts w:ascii="Palatino Linotype" w:hAnsi="Palatino Linotype"/>
          <w:lang w:bidi="hi-IN"/>
        </w:rPr>
        <w:t xml:space="preserve">demonstrate this approximation. The continuous strategies can be approximated by threshold strategies because the main factor determining the adaptation rate is the mutation rate increase of the wildtype and the </w:t>
      </w:r>
      <w:r w:rsidRPr="00457ACF">
        <w:rPr>
          <w:rFonts w:ascii="Palatino Linotype" w:hAnsi="Palatino Linotype"/>
          <w:lang w:bidi="hi-IN"/>
        </w:rPr>
        <w:lastRenderedPageBreak/>
        <w:t>single mutants (</w:t>
      </w:r>
      <w:r w:rsidRPr="00457ACF">
        <w:rPr>
          <w:rFonts w:ascii="Palatino Linotype" w:hAnsi="Palatino Linotype"/>
          <w:i/>
          <w:iCs/>
          <w:lang w:bidi="hi-IN"/>
        </w:rPr>
        <w:t>ab</w:t>
      </w:r>
      <w:r w:rsidRPr="00457ACF">
        <w:rPr>
          <w:rFonts w:ascii="Palatino Linotype" w:hAnsi="Palatino Linotype"/>
          <w:lang w:bidi="hi-IN"/>
        </w:rPr>
        <w:t xml:space="preserve">, </w:t>
      </w:r>
      <w:proofErr w:type="spellStart"/>
      <w:r w:rsidRPr="00457ACF">
        <w:rPr>
          <w:rFonts w:ascii="Palatino Linotype" w:hAnsi="Palatino Linotype"/>
          <w:i/>
          <w:iCs/>
          <w:lang w:bidi="hi-IN"/>
        </w:rPr>
        <w:t>aB</w:t>
      </w:r>
      <w:proofErr w:type="spellEnd"/>
      <w:r w:rsidRPr="00457ACF">
        <w:rPr>
          <w:rFonts w:ascii="Palatino Linotype" w:hAnsi="Palatino Linotype"/>
          <w:lang w:bidi="hi-IN"/>
        </w:rPr>
        <w:t xml:space="preserve">, and </w:t>
      </w:r>
      <w:r w:rsidRPr="00457ACF">
        <w:rPr>
          <w:rFonts w:ascii="Palatino Linotype" w:hAnsi="Palatino Linotype"/>
          <w:i/>
          <w:iCs/>
          <w:lang w:bidi="hi-IN"/>
        </w:rPr>
        <w:t>Ab</w:t>
      </w:r>
      <w:r w:rsidRPr="00457ACF">
        <w:rPr>
          <w:rFonts w:ascii="Palatino Linotype" w:hAnsi="Palatino Linotype"/>
          <w:lang w:bidi="hi-IN"/>
        </w:rPr>
        <w:t>). This is because individuals with more than a single mutation do not have a significant contribution to adaptation.</w:t>
      </w:r>
    </w:p>
    <w:p w:rsidR="00121E76" w:rsidRPr="00457ACF" w:rsidRDefault="00121E76" w:rsidP="00121E76">
      <w:pPr>
        <w:spacing w:line="480" w:lineRule="auto"/>
        <w:jc w:val="center"/>
        <w:rPr>
          <w:rFonts w:ascii="Palatino Linotype" w:hAnsi="Palatino Linotype"/>
        </w:rPr>
      </w:pPr>
      <w:r w:rsidRPr="00457ACF">
        <w:rPr>
          <w:rFonts w:ascii="Palatino Linotype" w:hAnsi="Palatino Linotype"/>
          <w:noProof/>
        </w:rPr>
        <w:drawing>
          <wp:inline distT="0" distB="0" distL="0" distR="0" wp14:anchorId="2FEDED94" wp14:editId="55C01657">
            <wp:extent cx="5271770" cy="4277995"/>
            <wp:effectExtent l="0" t="0" r="5080" b="8255"/>
            <wp:docPr id="8" name="Picture 8" descr="D:\workspace\ruggedsim\manuscript\ram_f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S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4277995"/>
                    </a:xfrm>
                    <a:prstGeom prst="rect">
                      <a:avLst/>
                    </a:prstGeom>
                    <a:noFill/>
                    <a:ln>
                      <a:noFill/>
                    </a:ln>
                  </pic:spPr>
                </pic:pic>
              </a:graphicData>
            </a:graphic>
          </wp:inline>
        </w:drawing>
      </w:r>
    </w:p>
    <w:p w:rsidR="00121E76" w:rsidRPr="001E1864" w:rsidRDefault="00121E76" w:rsidP="00121E76">
      <w:pPr>
        <w:spacing w:line="480" w:lineRule="auto"/>
        <w:rPr>
          <w:rFonts w:ascii="Palatino Linotype" w:hAnsi="Palatino Linotype"/>
          <w:sz w:val="16"/>
          <w:szCs w:val="16"/>
        </w:rPr>
      </w:pPr>
      <w:r w:rsidRPr="001E1864">
        <w:rPr>
          <w:rFonts w:ascii="Palatino Linotype" w:hAnsi="Palatino Linotype"/>
          <w:b/>
          <w:bCs/>
          <w:sz w:val="16"/>
          <w:szCs w:val="16"/>
        </w:rPr>
        <w:t xml:space="preserve">Figure E1– Different relationships between stress and mutation. </w:t>
      </w:r>
      <w:r w:rsidRPr="001E1864">
        <w:rPr>
          <w:rFonts w:ascii="Palatino Linotype" w:hAnsi="Palatino Linotype"/>
          <w:sz w:val="16"/>
          <w:szCs w:val="16"/>
        </w:rPr>
        <w:t xml:space="preserve">The figure shows continuous relationships between fitness (x-axis) and mutation rate (y-axis) in solid lines and threshold relationships in dashed lines. The threshold relationship is defined in section 2 of the main text. The continuous relationships are defined in Supporting Text S4. Each panel shows a pair of relationships, with </w:t>
      </w:r>
      <w:r w:rsidRPr="001E1864">
        <w:rPr>
          <w:rFonts w:ascii="Palatino Linotype" w:hAnsi="Palatino Linotype"/>
          <w:i/>
          <w:iCs/>
          <w:sz w:val="16"/>
          <w:szCs w:val="16"/>
        </w:rPr>
        <w:t>k</w:t>
      </w:r>
      <w:r w:rsidRPr="001E1864">
        <w:rPr>
          <w:rFonts w:ascii="Palatino Linotype" w:hAnsi="Palatino Linotype"/>
          <w:sz w:val="16"/>
          <w:szCs w:val="16"/>
        </w:rPr>
        <w:t xml:space="preserve"> increasing from 1/10 (convex relationship), to 1 (linear relationship) to 10 and 100 (concave relationships). Each continuous relationship is compared with a threshold relationship that has the same mutation rate for </w:t>
      </w:r>
      <w:proofErr w:type="spellStart"/>
      <w:r w:rsidRPr="001E1864">
        <w:rPr>
          <w:rFonts w:ascii="Palatino Linotype" w:hAnsi="Palatino Linotype"/>
          <w:sz w:val="16"/>
          <w:szCs w:val="16"/>
        </w:rPr>
        <w:t>wildtypes</w:t>
      </w:r>
      <w:proofErr w:type="spellEnd"/>
      <w:r w:rsidRPr="001E1864">
        <w:rPr>
          <w:rFonts w:ascii="Palatino Linotype" w:hAnsi="Palatino Linotype"/>
          <w:sz w:val="16"/>
          <w:szCs w:val="16"/>
        </w:rPr>
        <w:t xml:space="preserve"> (</w:t>
      </w:r>
      <w:r w:rsidRPr="001E1864">
        <w:rPr>
          <w:rFonts w:ascii="Palatino Linotype" w:hAnsi="Palatino Linotype"/>
          <w:i/>
          <w:iCs/>
          <w:sz w:val="16"/>
          <w:szCs w:val="16"/>
        </w:rPr>
        <w:t>ab/0</w:t>
      </w:r>
      <w:r w:rsidRPr="001E1864">
        <w:rPr>
          <w:rFonts w:ascii="Palatino Linotype" w:hAnsi="Palatino Linotype"/>
          <w:sz w:val="16"/>
          <w:szCs w:val="16"/>
        </w:rPr>
        <w:t>) and single mutants (</w:t>
      </w:r>
      <w:r w:rsidRPr="001E1864">
        <w:rPr>
          <w:rFonts w:ascii="Palatino Linotype" w:hAnsi="Palatino Linotype"/>
          <w:i/>
          <w:iCs/>
          <w:sz w:val="16"/>
          <w:szCs w:val="16"/>
        </w:rPr>
        <w:t>Ab/0</w:t>
      </w:r>
      <w:r w:rsidRPr="001E1864">
        <w:rPr>
          <w:rFonts w:ascii="Palatino Linotype" w:hAnsi="Palatino Linotype"/>
          <w:sz w:val="16"/>
          <w:szCs w:val="16"/>
        </w:rPr>
        <w:t xml:space="preserve">, </w:t>
      </w:r>
      <w:proofErr w:type="spellStart"/>
      <w:r w:rsidRPr="001E1864">
        <w:rPr>
          <w:rFonts w:ascii="Palatino Linotype" w:hAnsi="Palatino Linotype"/>
          <w:i/>
          <w:iCs/>
          <w:sz w:val="16"/>
          <w:szCs w:val="16"/>
        </w:rPr>
        <w:t>aB</w:t>
      </w:r>
      <w:proofErr w:type="spellEnd"/>
      <w:r w:rsidRPr="001E1864">
        <w:rPr>
          <w:rFonts w:ascii="Palatino Linotype" w:hAnsi="Palatino Linotype"/>
          <w:i/>
          <w:iCs/>
          <w:sz w:val="16"/>
          <w:szCs w:val="16"/>
        </w:rPr>
        <w:t>/0</w:t>
      </w:r>
      <w:r w:rsidRPr="001E1864">
        <w:rPr>
          <w:rFonts w:ascii="Palatino Linotype" w:hAnsi="Palatino Linotype"/>
          <w:sz w:val="16"/>
          <w:szCs w:val="16"/>
        </w:rPr>
        <w:t xml:space="preserve">, </w:t>
      </w:r>
      <w:proofErr w:type="gramStart"/>
      <w:r w:rsidRPr="001E1864">
        <w:rPr>
          <w:rFonts w:ascii="Palatino Linotype" w:hAnsi="Palatino Linotype"/>
          <w:i/>
          <w:iCs/>
          <w:sz w:val="16"/>
          <w:szCs w:val="16"/>
        </w:rPr>
        <w:t>ab</w:t>
      </w:r>
      <w:proofErr w:type="gramEnd"/>
      <w:r w:rsidRPr="001E1864">
        <w:rPr>
          <w:rFonts w:ascii="Palatino Linotype" w:hAnsi="Palatino Linotype"/>
          <w:i/>
          <w:iCs/>
          <w:sz w:val="16"/>
          <w:szCs w:val="16"/>
        </w:rPr>
        <w:t>/1</w:t>
      </w:r>
      <w:r w:rsidRPr="001E1864">
        <w:rPr>
          <w:rFonts w:ascii="Palatino Linotype" w:hAnsi="Palatino Linotype"/>
          <w:sz w:val="16"/>
          <w:szCs w:val="16"/>
        </w:rPr>
        <w:t>). Figure S5 shows that the adaptation rate with such threshold relationship approximates the adaptation rate with a continuous relationship.</w:t>
      </w:r>
    </w:p>
    <w:p w:rsidR="00DF046F" w:rsidRDefault="00DF046F">
      <w:pPr>
        <w:spacing w:after="200" w:line="276" w:lineRule="auto"/>
        <w:rPr>
          <w:rFonts w:ascii="Palatino Linotype" w:hAnsi="Palatino Linotype"/>
        </w:rPr>
      </w:pPr>
      <w:r>
        <w:rPr>
          <w:rFonts w:ascii="Palatino Linotype" w:hAnsi="Palatino Linotype"/>
        </w:rPr>
        <w:br w:type="page"/>
      </w:r>
    </w:p>
    <w:p w:rsidR="00121E76" w:rsidRPr="00457ACF" w:rsidRDefault="00121E76" w:rsidP="00121E76">
      <w:pPr>
        <w:pStyle w:val="FigureLegend"/>
        <w:spacing w:line="480" w:lineRule="auto"/>
        <w:jc w:val="left"/>
        <w:rPr>
          <w:rFonts w:ascii="Palatino Linotype" w:hAnsi="Palatino Linotype"/>
          <w:b/>
          <w:bCs/>
          <w:sz w:val="22"/>
          <w:szCs w:val="22"/>
        </w:rPr>
      </w:pPr>
      <w:r w:rsidRPr="00457ACF">
        <w:rPr>
          <w:rFonts w:ascii="Palatino Linotype" w:hAnsi="Palatino Linotype"/>
          <w:b/>
          <w:bCs/>
          <w:noProof/>
          <w:sz w:val="22"/>
          <w:szCs w:val="22"/>
        </w:rPr>
        <w:lastRenderedPageBreak/>
        <w:drawing>
          <wp:inline distT="0" distB="0" distL="0" distR="0" wp14:anchorId="4525DDB3" wp14:editId="58B6EA8D">
            <wp:extent cx="5271770" cy="3578225"/>
            <wp:effectExtent l="0" t="0" r="5080" b="3175"/>
            <wp:docPr id="12" name="Picture 12" descr="D:\workspace\ruggedsim\manuscript\ram_f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S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3578225"/>
                    </a:xfrm>
                    <a:prstGeom prst="rect">
                      <a:avLst/>
                    </a:prstGeom>
                    <a:noFill/>
                    <a:ln>
                      <a:noFill/>
                    </a:ln>
                  </pic:spPr>
                </pic:pic>
              </a:graphicData>
            </a:graphic>
          </wp:inline>
        </w:drawing>
      </w:r>
    </w:p>
    <w:p w:rsidR="00121E76" w:rsidRPr="001E1864" w:rsidRDefault="00121E76" w:rsidP="00121E76">
      <w:pPr>
        <w:pStyle w:val="FigureLegend"/>
        <w:spacing w:line="480" w:lineRule="auto"/>
        <w:jc w:val="left"/>
        <w:rPr>
          <w:rFonts w:ascii="Palatino Linotype" w:hAnsi="Palatino Linotype"/>
          <w:lang w:bidi="hi-IN"/>
        </w:rPr>
      </w:pPr>
      <w:r w:rsidRPr="001E1864">
        <w:rPr>
          <w:rFonts w:ascii="Palatino Linotype" w:hAnsi="Palatino Linotype"/>
          <w:b/>
          <w:bCs/>
        </w:rPr>
        <w:t>Figure E2 – Complex adaptation with continuous relationship stress-induced mutagenesis.</w:t>
      </w:r>
      <w:r w:rsidRPr="001E1864">
        <w:rPr>
          <w:rFonts w:ascii="Palatino Linotype" w:hAnsi="Palatino Linotype"/>
        </w:rPr>
        <w:t xml:space="preserve"> The figure shows the adaptation rate </w:t>
      </w:r>
      <w:r w:rsidRPr="001E1864">
        <w:rPr>
          <w:rFonts w:ascii="Palatino Linotype" w:hAnsi="Palatino Linotype"/>
          <w:i/>
          <w:iCs/>
        </w:rPr>
        <w:t>ν</w:t>
      </w:r>
      <w:r w:rsidRPr="001E1864">
        <w:rPr>
          <w:rFonts w:ascii="Palatino Linotype" w:hAnsi="Palatino Linotype"/>
        </w:rPr>
        <w:t xml:space="preserve"> as a function of the mutation rate increase </w:t>
      </w:r>
      <w:r w:rsidRPr="001E1864">
        <w:rPr>
          <w:rFonts w:ascii="Palatino Linotype" w:hAnsi="Palatino Linotype"/>
          <w:i/>
          <w:iCs/>
        </w:rPr>
        <w:t>τ</w:t>
      </w:r>
      <w:r w:rsidRPr="001E1864">
        <w:rPr>
          <w:rFonts w:ascii="Palatino Linotype" w:hAnsi="Palatino Linotype"/>
        </w:rPr>
        <w:t xml:space="preserve"> (both in log scale). The solid line is an analytical approximation of SIM (same as in Figure 2). Markers are the results of simulations of adaptation with SIM with different continuous relationships between fitness and mutation rate. These continuous relationships are defined by a mutation rate fold increase </w:t>
      </w:r>
      <w:r w:rsidRPr="001E1864">
        <w:rPr>
          <w:rFonts w:ascii="Palatino Linotype" w:hAnsi="Palatino Linotype"/>
          <w:i/>
          <w:iCs/>
        </w:rPr>
        <w:t>τ</w:t>
      </w:r>
      <w:r w:rsidRPr="001E1864">
        <w:rPr>
          <w:rFonts w:ascii="Palatino Linotype" w:hAnsi="Palatino Linotype"/>
        </w:rPr>
        <w:t xml:space="preserve">=10 and a curvature parameter </w:t>
      </w:r>
      <w:r w:rsidRPr="001E1864">
        <w:rPr>
          <w:rFonts w:ascii="Palatino Linotype" w:hAnsi="Palatino Linotype"/>
          <w:i/>
          <w:iCs/>
        </w:rPr>
        <w:t>k</w:t>
      </w:r>
      <w:r w:rsidRPr="001E1864">
        <w:rPr>
          <w:rFonts w:ascii="Palatino Linotype" w:hAnsi="Palatino Linotype"/>
        </w:rPr>
        <w:t>=10, 1, and 1/10, top to bottom (see Supporting Text S4 and Figure S3 for more details on continuous SIM)</w:t>
      </w:r>
      <w:r w:rsidRPr="001E1864">
        <w:rPr>
          <w:rFonts w:ascii="Palatino Linotype" w:hAnsi="Palatino Linotype"/>
          <w:b/>
          <w:bCs/>
        </w:rPr>
        <w:t xml:space="preserve">. </w:t>
      </w:r>
      <w:r w:rsidRPr="001E1864">
        <w:rPr>
          <w:rFonts w:ascii="Palatino Linotype" w:hAnsi="Palatino Linotype"/>
        </w:rPr>
        <w:t>Each dashed line is an approximation of a continuous SIM using a SIM threshold strategy (eq. 13</w:t>
      </w:r>
      <w:r w:rsidRPr="001E1864">
        <w:rPr>
          <w:rFonts w:ascii="Palatino Linotype" w:hAnsi="Palatino Linotype"/>
        </w:rPr>
        <w:fldChar w:fldCharType="begin"/>
      </w:r>
      <w:r w:rsidRPr="001E1864">
        <w:rPr>
          <w:rFonts w:ascii="Palatino Linotype" w:hAnsi="Palatino Linotype"/>
        </w:rPr>
        <w:instrText xml:space="preserve"> REF _Ref375754011 \h  \* MERGEFORMAT </w:instrText>
      </w:r>
      <w:r w:rsidRPr="001E1864">
        <w:rPr>
          <w:rFonts w:ascii="Palatino Linotype" w:hAnsi="Palatino Linotype"/>
        </w:rPr>
        <w:fldChar w:fldCharType="separate"/>
      </w:r>
      <w:r w:rsidR="00EB2B08">
        <w:rPr>
          <w:rFonts w:ascii="Palatino Linotype" w:hAnsi="Palatino Linotype"/>
          <w:b/>
          <w:bCs/>
        </w:rPr>
        <w:t>Error! Reference source not found.</w:t>
      </w:r>
      <w:r w:rsidRPr="001E1864">
        <w:rPr>
          <w:rFonts w:ascii="Palatino Linotype" w:hAnsi="Palatino Linotype"/>
        </w:rPr>
        <w:fldChar w:fldCharType="end"/>
      </w:r>
      <w:r w:rsidRPr="001E1864">
        <w:rPr>
          <w:rFonts w:ascii="Palatino Linotype" w:hAnsi="Palatino Linotype"/>
        </w:rPr>
        <w:t xml:space="preserve">) </w:t>
      </w:r>
      <w:proofErr w:type="gramStart"/>
      <w:r w:rsidRPr="001E1864">
        <w:rPr>
          <w:rFonts w:ascii="Palatino Linotype" w:hAnsi="Palatino Linotype"/>
        </w:rPr>
        <w:t>with</w:t>
      </w:r>
      <w:proofErr w:type="gramEnd"/>
      <w:r w:rsidRPr="001E1864">
        <w:rPr>
          <w:rFonts w:ascii="Palatino Linotype" w:hAnsi="Palatino Linotype"/>
        </w:rPr>
        <w:t xml:space="preserve"> </w:t>
      </w:r>
      <w:r w:rsidRPr="001E1864">
        <w:rPr>
          <w:rFonts w:ascii="Palatino Linotype" w:hAnsi="Palatino Linotype"/>
          <w:i/>
          <w:iCs/>
        </w:rPr>
        <w:t>τ</w:t>
      </w:r>
      <w:r w:rsidRPr="001E1864">
        <w:rPr>
          <w:rFonts w:ascii="Palatino Linotype" w:hAnsi="Palatino Linotype"/>
        </w:rPr>
        <w:t>=</w:t>
      </w:r>
      <w:r w:rsidRPr="001E1864">
        <w:rPr>
          <w:rFonts w:ascii="Palatino Linotype" w:hAnsi="Palatino Linotype"/>
          <w:lang w:bidi="hi-IN"/>
        </w:rPr>
        <w:t xml:space="preserve">4.61, 1.45, and 1.05, top to bottom. The fit between the dashed lines and the corresponding markers suggests that a threshold strategy captures the adaptive dynamics. </w:t>
      </w:r>
      <w:r w:rsidRPr="001E1864">
        <w:rPr>
          <w:rFonts w:ascii="Palatino Linotype" w:hAnsi="Palatino Linotype"/>
        </w:rPr>
        <w:t xml:space="preserve">Error bars represent 95% confidence interval of the mean (at least 1,000 simulations per point; computed with bootstrap with 1,000 samples per point). Parameters (see </w:t>
      </w:r>
      <w:r w:rsidRPr="001E1864">
        <w:rPr>
          <w:rFonts w:ascii="Palatino Linotype" w:hAnsi="Palatino Linotype"/>
        </w:rPr>
        <w:fldChar w:fldCharType="begin"/>
      </w:r>
      <w:r w:rsidRPr="001E1864">
        <w:rPr>
          <w:rFonts w:ascii="Palatino Linotype" w:hAnsi="Palatino Linotype"/>
        </w:rPr>
        <w:instrText xml:space="preserve"> REF _Ref358791100 \h  \* MERGEFORMAT </w:instrText>
      </w:r>
      <w:r w:rsidRPr="001E1864">
        <w:rPr>
          <w:rFonts w:ascii="Palatino Linotype" w:hAnsi="Palatino Linotype"/>
        </w:rPr>
      </w:r>
      <w:r w:rsidRPr="001E1864">
        <w:rPr>
          <w:rFonts w:ascii="Palatino Linotype" w:hAnsi="Palatino Linotype"/>
        </w:rPr>
        <w:fldChar w:fldCharType="separate"/>
      </w:r>
      <w:r w:rsidR="00EB2B08" w:rsidRPr="00EB2B08">
        <w:rPr>
          <w:rFonts w:ascii="Palatino Linotype" w:hAnsi="Palatino Linotype"/>
        </w:rPr>
        <w:t>Table 1</w:t>
      </w:r>
      <w:r w:rsidRPr="001E1864">
        <w:rPr>
          <w:rFonts w:ascii="Palatino Linotype" w:hAnsi="Palatino Linotype"/>
        </w:rPr>
        <w:fldChar w:fldCharType="end"/>
      </w:r>
      <w:r w:rsidRPr="001E1864">
        <w:rPr>
          <w:rFonts w:ascii="Palatino Linotype" w:hAnsi="Palatino Linotype"/>
        </w:rPr>
        <w:t xml:space="preserve">): </w:t>
      </w:r>
      <w:r w:rsidRPr="001E1864">
        <w:rPr>
          <w:rFonts w:ascii="Palatino Linotype" w:hAnsi="Palatino Linotype"/>
          <w:i/>
          <w:iCs/>
        </w:rPr>
        <w:t>U</w:t>
      </w:r>
      <w:r w:rsidRPr="001E1864">
        <w:rPr>
          <w:rFonts w:ascii="Palatino Linotype" w:hAnsi="Palatino Linotype"/>
        </w:rPr>
        <w:t xml:space="preserve">=0.0004, </w:t>
      </w:r>
      <w:r w:rsidRPr="001E1864">
        <w:rPr>
          <w:rFonts w:ascii="Palatino Linotype" w:hAnsi="Palatino Linotype"/>
          <w:i/>
          <w:iCs/>
        </w:rPr>
        <w:t>s</w:t>
      </w:r>
      <w:r w:rsidRPr="001E1864">
        <w:rPr>
          <w:rFonts w:ascii="Palatino Linotype" w:hAnsi="Palatino Linotype"/>
        </w:rPr>
        <w:t xml:space="preserve">=0.05, </w:t>
      </w:r>
      <w:r w:rsidRPr="001E1864">
        <w:rPr>
          <w:rFonts w:ascii="Palatino Linotype" w:hAnsi="Palatino Linotype"/>
          <w:i/>
          <w:iCs/>
        </w:rPr>
        <w:t>β</w:t>
      </w:r>
      <w:r w:rsidRPr="001E1864">
        <w:rPr>
          <w:rFonts w:ascii="Palatino Linotype" w:hAnsi="Palatino Linotype"/>
        </w:rPr>
        <w:t xml:space="preserve">=0.0002, </w:t>
      </w:r>
      <w:r w:rsidRPr="001E1864">
        <w:rPr>
          <w:rFonts w:ascii="Palatino Linotype" w:hAnsi="Palatino Linotype"/>
          <w:i/>
          <w:iCs/>
        </w:rPr>
        <w:t>H</w:t>
      </w:r>
      <w:r w:rsidRPr="001E1864">
        <w:rPr>
          <w:rFonts w:ascii="Palatino Linotype" w:hAnsi="Palatino Linotype"/>
        </w:rPr>
        <w:t xml:space="preserve">=2, </w:t>
      </w:r>
      <w:r w:rsidRPr="001E1864">
        <w:rPr>
          <w:rFonts w:ascii="Palatino Linotype" w:hAnsi="Palatino Linotype"/>
          <w:i/>
          <w:iCs/>
        </w:rPr>
        <w:t>N</w:t>
      </w:r>
      <w:r w:rsidRPr="001E1864">
        <w:rPr>
          <w:rFonts w:ascii="Palatino Linotype" w:hAnsi="Palatino Linotype"/>
        </w:rPr>
        <w:t>=10</w:t>
      </w:r>
      <w:r w:rsidRPr="001E1864">
        <w:rPr>
          <w:rFonts w:ascii="Palatino Linotype" w:hAnsi="Palatino Linotype"/>
          <w:vertAlign w:val="superscript"/>
        </w:rPr>
        <w:t>6</w:t>
      </w:r>
      <w:r w:rsidRPr="001E1864">
        <w:rPr>
          <w:rFonts w:ascii="Palatino Linotype" w:hAnsi="Palatino Linotype"/>
        </w:rPr>
        <w:t>.</w:t>
      </w:r>
    </w:p>
    <w:p w:rsidR="00C32505" w:rsidRDefault="00C32505">
      <w:pPr>
        <w:spacing w:after="200" w:line="276" w:lineRule="auto"/>
        <w:rPr>
          <w:rFonts w:asciiTheme="majorHAnsi" w:eastAsiaTheme="minorEastAsia" w:hAnsiTheme="majorHAnsi" w:cstheme="majorBidi"/>
          <w:sz w:val="28"/>
          <w:szCs w:val="26"/>
          <w:lang w:bidi="hi-IN"/>
        </w:rPr>
      </w:pPr>
      <w:r>
        <w:rPr>
          <w:rFonts w:eastAsiaTheme="minorEastAsia"/>
        </w:rPr>
        <w:br w:type="page"/>
      </w:r>
    </w:p>
    <w:p w:rsidR="00121E76" w:rsidRPr="00457ACF" w:rsidRDefault="00121E76" w:rsidP="00121E76">
      <w:pPr>
        <w:pStyle w:val="Heading2"/>
        <w:numPr>
          <w:ilvl w:val="0"/>
          <w:numId w:val="0"/>
        </w:numPr>
        <w:spacing w:line="480" w:lineRule="auto"/>
        <w:ind w:left="357" w:hanging="357"/>
        <w:rPr>
          <w:rFonts w:eastAsiaTheme="minorEastAsia"/>
        </w:rPr>
      </w:pPr>
      <w:r w:rsidRPr="00457ACF">
        <w:rPr>
          <w:rFonts w:eastAsiaTheme="minorEastAsia"/>
        </w:rPr>
        <w:lastRenderedPageBreak/>
        <w:t>Appendix F: Competitions between mutational strategies</w:t>
      </w:r>
    </w:p>
    <w:p w:rsidR="00121E76" w:rsidRPr="00457ACF" w:rsidRDefault="00121E76" w:rsidP="00121E76">
      <w:pPr>
        <w:spacing w:line="480" w:lineRule="auto"/>
        <w:rPr>
          <w:rFonts w:ascii="Palatino Linotype" w:hAnsi="Palatino Linotype"/>
        </w:rPr>
      </w:pPr>
      <w:r w:rsidRPr="00457ACF">
        <w:rPr>
          <w:rFonts w:ascii="Palatino Linotype" w:hAnsi="Palatino Linotype"/>
          <w:lang w:bidi="hi-IN"/>
        </w:rPr>
        <w:t xml:space="preserve">We also simulated direct competitions between the different mutational strategies (NM, CM, and SIM). In these competitions, half of the population alters its mutational strategy to an invading strategy at the time of the environmental change. Each simulation provides a sample of the frequency of the invading strategy after the appearance and subsequent fixation or extinction of the double mutant </w:t>
      </w:r>
      <w:r w:rsidRPr="00457ACF">
        <w:rPr>
          <w:rFonts w:ascii="Palatino Linotype" w:hAnsi="Palatino Linotype"/>
          <w:i/>
          <w:iCs/>
          <w:lang w:bidi="hi-IN"/>
        </w:rPr>
        <w:t>AB</w:t>
      </w:r>
      <w:r w:rsidRPr="00457ACF">
        <w:rPr>
          <w:rFonts w:ascii="Palatino Linotype" w:hAnsi="Palatino Linotype"/>
          <w:lang w:bidi="hi-IN"/>
        </w:rPr>
        <w:t>. If the average final frequency is significantly lower or higher than 50% we consider the invading strategy disfavored or favored by natural selection over the initial strategy. Statistical significance was calculated using a 1-sample 2-tailed t-test.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rPr>
        <w:t xml:space="preserve">Figure F1 </w:t>
      </w:r>
      <w:r w:rsidRPr="00457ACF">
        <w:rPr>
          <w:rFonts w:ascii="Palatino Linotype" w:hAnsi="Palatino Linotype"/>
          <w:lang w:bidi="hi-IN"/>
        </w:rPr>
        <w:t>summarizes the competitions. CM clearly loses to both SIM and NM (first and second panels from the right). SIM is significantly advantageous over NM when the mutation rate increase is large enough (</w:t>
      </w:r>
      <w:r w:rsidRPr="00457ACF">
        <w:rPr>
          <w:rFonts w:ascii="Palatino Linotype" w:hAnsi="Palatino Linotype"/>
          <w:i/>
          <w:iCs/>
          <w:lang w:bidi="hi-IN"/>
        </w:rPr>
        <w:t>τ</w:t>
      </w:r>
      <w:r w:rsidRPr="00457ACF">
        <w:rPr>
          <w:rFonts w:ascii="Palatino Linotype" w:hAnsi="Palatino Linotype"/>
          <w:lang w:bidi="hi-IN"/>
        </w:rPr>
        <w:t xml:space="preserve">&gt;2; 2-tail t-test, P&lt;0.0015). </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t xml:space="preserve">These results show that the evolutionary advantage of SIM at the population-level corresponds to an individual-level advantage and can lead to the evolution of stress-induced mutagenesis by natural selection, even when constitutive mutagenesis is strongly disfavored. This is consistent with previous results in smooth fitness landscapes </w:t>
      </w:r>
      <w:r w:rsidRPr="00457ACF">
        <w:rPr>
          <w:rFonts w:ascii="Palatino Linotype" w:hAnsi="Palatino Linotype"/>
          <w:lang w:bidi="hi-IN"/>
        </w:rPr>
        <w:fldChar w:fldCharType="begin" w:fldLock="1"/>
      </w:r>
      <w:r w:rsidR="0024147C">
        <w:rPr>
          <w:rFonts w:ascii="Palatino Linotype" w:hAnsi="Palatino Linotype"/>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Pr="00457ACF">
        <w:rPr>
          <w:rFonts w:ascii="Palatino Linotype" w:hAnsi="Palatino Linotype"/>
          <w:lang w:bidi="hi-IN"/>
        </w:rPr>
        <w:fldChar w:fldCharType="separate"/>
      </w:r>
      <w:r w:rsidRPr="00121E76">
        <w:rPr>
          <w:rFonts w:ascii="Palatino Linotype" w:hAnsi="Palatino Linotype"/>
          <w:noProof/>
          <w:lang w:bidi="hi-IN"/>
        </w:rPr>
        <w:t>[37]</w:t>
      </w:r>
      <w:r w:rsidRPr="00457ACF">
        <w:rPr>
          <w:rFonts w:ascii="Palatino Linotype" w:hAnsi="Palatino Linotype"/>
          <w:lang w:bidi="hi-IN"/>
        </w:rPr>
        <w:fldChar w:fldCharType="end"/>
      </w:r>
      <w:r w:rsidRPr="00457ACF">
        <w:rPr>
          <w:rFonts w:ascii="Palatino Linotype" w:hAnsi="Palatino Linotype"/>
          <w:lang w:bidi="hi-IN"/>
        </w:rPr>
        <w:t>.</w:t>
      </w:r>
    </w:p>
    <w:p w:rsidR="00121E76" w:rsidRPr="00457ACF" w:rsidRDefault="00121E76" w:rsidP="00121E76">
      <w:pPr>
        <w:spacing w:line="480" w:lineRule="auto"/>
        <w:rPr>
          <w:rFonts w:ascii="Palatino Linotype" w:hAnsi="Palatino Linotype"/>
          <w:lang w:bidi="hi-IN"/>
        </w:rPr>
      </w:pPr>
      <w:r w:rsidRPr="00457ACF">
        <w:rPr>
          <w:rFonts w:ascii="Palatino Linotype" w:hAnsi="Palatino Linotype"/>
          <w:lang w:bidi="hi-IN"/>
        </w:rPr>
        <w:br w:type="page"/>
      </w:r>
      <w:bookmarkStart w:id="26" w:name="_Ref374366687"/>
    </w:p>
    <w:p w:rsidR="00121E76" w:rsidRPr="00457ACF" w:rsidRDefault="00121E76" w:rsidP="00121E76">
      <w:pPr>
        <w:pStyle w:val="Caption"/>
        <w:spacing w:line="480" w:lineRule="auto"/>
        <w:rPr>
          <w:rFonts w:ascii="Palatino Linotype" w:eastAsiaTheme="minorHAnsi" w:hAnsi="Palatino Linotype"/>
          <w:smallCaps w:val="0"/>
          <w:color w:val="auto"/>
          <w:spacing w:val="0"/>
          <w:szCs w:val="22"/>
          <w:lang w:bidi="he-IL"/>
        </w:rPr>
      </w:pPr>
      <w:r w:rsidRPr="00457ACF">
        <w:rPr>
          <w:rFonts w:ascii="Palatino Linotype" w:eastAsiaTheme="minorHAnsi" w:hAnsi="Palatino Linotype"/>
          <w:smallCaps w:val="0"/>
          <w:noProof/>
          <w:color w:val="auto"/>
          <w:spacing w:val="0"/>
          <w:szCs w:val="22"/>
          <w:lang w:bidi="he-IL"/>
        </w:rPr>
        <w:lastRenderedPageBreak/>
        <w:drawing>
          <wp:inline distT="0" distB="0" distL="0" distR="0" wp14:anchorId="18793F88" wp14:editId="7E87091D">
            <wp:extent cx="5270500" cy="2199640"/>
            <wp:effectExtent l="0" t="0" r="6350" b="0"/>
            <wp:docPr id="5" name="Picture 5"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121E76" w:rsidRPr="001E1864" w:rsidRDefault="00121E76" w:rsidP="00121E76">
      <w:pPr>
        <w:spacing w:line="480" w:lineRule="auto"/>
        <w:rPr>
          <w:rFonts w:ascii="Palatino Linotype" w:hAnsi="Palatino Linotype"/>
          <w:sz w:val="16"/>
          <w:szCs w:val="16"/>
          <w:lang w:bidi="hi-IN"/>
        </w:rPr>
      </w:pPr>
      <w:r w:rsidRPr="001E1864">
        <w:rPr>
          <w:rFonts w:ascii="Palatino Linotype" w:hAnsi="Palatino Linotype"/>
          <w:b/>
          <w:bCs/>
          <w:sz w:val="16"/>
          <w:szCs w:val="16"/>
          <w:lang w:bidi="hi-IN"/>
        </w:rPr>
        <w:t xml:space="preserve">Figure </w:t>
      </w:r>
      <w:bookmarkEnd w:id="26"/>
      <w:r w:rsidRPr="001E1864">
        <w:rPr>
          <w:rFonts w:ascii="Palatino Linotype" w:hAnsi="Palatino Linotype"/>
          <w:b/>
          <w:bCs/>
          <w:sz w:val="16"/>
          <w:szCs w:val="16"/>
          <w:lang w:bidi="hi-IN"/>
        </w:rPr>
        <w:t>F1 – Direct competitions between three mutational strategies.</w:t>
      </w:r>
      <w:r w:rsidRPr="001E1864">
        <w:rPr>
          <w:rFonts w:ascii="Palatino Linotype" w:hAnsi="Palatino Linotype"/>
          <w:sz w:val="16"/>
          <w:szCs w:val="16"/>
          <w:lang w:bidi="hi-IN"/>
        </w:rPr>
        <w:t xml:space="preserve"> The figure shows the average final frequency of (from right to left): stress-induced mutagenesis (SIM) vs. constitutive mutagenesis (CM); CM vs. normal mutagenesis (NM); SIM vs. NM; and NM vs. NM (control). Initial frequencies are always 0.5. Several mutation rate fold increases are shown on the x-axis. SIM defeats CM and is significantly advantageous over NM when τ&gt;2 (2-tail t-test, P&lt;0.0015). </w:t>
      </w:r>
      <w:proofErr w:type="gramStart"/>
      <w:r w:rsidRPr="001E1864">
        <w:rPr>
          <w:rFonts w:ascii="Palatino Linotype" w:hAnsi="Palatino Linotype"/>
          <w:sz w:val="16"/>
          <w:szCs w:val="16"/>
          <w:lang w:bidi="hi-IN"/>
        </w:rPr>
        <w:t>CM losses to NM and SIM (P≈0).</w:t>
      </w:r>
      <w:proofErr w:type="gramEnd"/>
      <w:r w:rsidRPr="001E1864">
        <w:rPr>
          <w:rFonts w:ascii="Palatino Linotype" w:hAnsi="Palatino Linotype"/>
          <w:sz w:val="16"/>
          <w:szCs w:val="16"/>
          <w:lang w:bidi="hi-IN"/>
        </w:rPr>
        <w:t xml:space="preserve"> Therefore, SIM is favored by selection over both NM and CM. Changing roles between resident and invader didn't affect the results (not shown). Error bars represent the standard error of the mean (500 simulations per point). Parameters (see Table 1): U=0.0004, s=0.05, β=0.0002, H=2, N=106.</w:t>
      </w:r>
    </w:p>
    <w:p w:rsidR="00121E76" w:rsidRPr="00457ACF" w:rsidRDefault="00121E76" w:rsidP="00121E76">
      <w:pPr>
        <w:spacing w:line="480" w:lineRule="auto"/>
        <w:rPr>
          <w:rFonts w:ascii="Palatino Linotype" w:hAnsi="Palatino Linotype"/>
          <w:lang w:bidi="hi-IN"/>
        </w:rPr>
      </w:pPr>
    </w:p>
    <w:p w:rsidR="00121E76" w:rsidRPr="00457ACF" w:rsidRDefault="00121E76" w:rsidP="009863DC">
      <w:pPr>
        <w:pStyle w:val="Heading1"/>
        <w:rPr>
          <w:rFonts w:eastAsiaTheme="minorEastAsia"/>
        </w:rPr>
      </w:pPr>
      <w:r w:rsidRPr="00457ACF">
        <w:rPr>
          <w:rFonts w:eastAsiaTheme="minorEastAsia"/>
        </w:rPr>
        <w:lastRenderedPageBreak/>
        <w:t>Supporting Figures</w:t>
      </w:r>
    </w:p>
    <w:p w:rsidR="00121E76" w:rsidRPr="00457ACF" w:rsidRDefault="00121E76" w:rsidP="00121E76">
      <w:pPr>
        <w:keepNext/>
        <w:spacing w:line="480" w:lineRule="auto"/>
        <w:jc w:val="center"/>
        <w:rPr>
          <w:rFonts w:ascii="Palatino Linotype" w:hAnsi="Palatino Linotype"/>
          <w:noProof/>
        </w:rPr>
      </w:pPr>
      <w:r w:rsidRPr="00457ACF">
        <w:rPr>
          <w:rFonts w:ascii="Palatino Linotype" w:hAnsi="Palatino Linotype"/>
          <w:noProof/>
        </w:rPr>
        <w:drawing>
          <wp:inline distT="0" distB="0" distL="0" distR="0" wp14:anchorId="1D758D08" wp14:editId="41B02A2C">
            <wp:extent cx="5279390" cy="4222115"/>
            <wp:effectExtent l="0" t="0" r="0" b="6985"/>
            <wp:docPr id="10" name="Picture 10" descr="D:\workspace\ruggedsim\manuscript\ram_f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S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4222115"/>
                    </a:xfrm>
                    <a:prstGeom prst="rect">
                      <a:avLst/>
                    </a:prstGeom>
                    <a:noFill/>
                    <a:ln>
                      <a:noFill/>
                    </a:ln>
                  </pic:spPr>
                </pic:pic>
              </a:graphicData>
            </a:graphic>
          </wp:inline>
        </w:drawing>
      </w:r>
    </w:p>
    <w:p w:rsidR="006D18BE" w:rsidRPr="006D18BE" w:rsidRDefault="00121E76" w:rsidP="00121E76">
      <w:pPr>
        <w:keepNext/>
        <w:spacing w:line="480" w:lineRule="auto"/>
        <w:rPr>
          <w:rFonts w:ascii="Palatino Linotype" w:hAnsi="Palatino Linotype"/>
          <w:b/>
          <w:bCs/>
          <w:sz w:val="16"/>
          <w:szCs w:val="16"/>
        </w:rPr>
      </w:pPr>
      <w:bookmarkStart w:id="27" w:name="_Ref360183807"/>
      <w:r w:rsidRPr="006D18BE">
        <w:rPr>
          <w:rFonts w:ascii="Palatino Linotype" w:hAnsi="Palatino Linotype"/>
          <w:b/>
          <w:bCs/>
          <w:sz w:val="16"/>
          <w:szCs w:val="16"/>
        </w:rPr>
        <w:t>Figure S</w:t>
      </w:r>
      <w:bookmarkEnd w:id="27"/>
      <w:r w:rsidRPr="006D18BE">
        <w:rPr>
          <w:rFonts w:ascii="Palatino Linotype" w:hAnsi="Palatino Linotype"/>
          <w:b/>
          <w:bCs/>
          <w:sz w:val="16"/>
          <w:szCs w:val="16"/>
        </w:rPr>
        <w:t>1</w:t>
      </w:r>
      <w:r w:rsidRPr="006D18BE">
        <w:rPr>
          <w:rFonts w:ascii="Palatino Linotype" w:hAnsi="Palatino Linotype"/>
          <w:b/>
          <w:bCs/>
          <w:noProof/>
          <w:sz w:val="16"/>
          <w:szCs w:val="16"/>
        </w:rPr>
        <w:t xml:space="preserve"> – Waiting time for the appearance of a double mutant </w:t>
      </w:r>
      <w:r w:rsidRPr="006D18BE">
        <w:rPr>
          <w:rFonts w:ascii="Palatino Linotype" w:hAnsi="Palatino Linotype"/>
          <w:sz w:val="16"/>
          <w:szCs w:val="16"/>
        </w:rPr>
        <w:t xml:space="preserve">as a function of the mutation rate fold increase </w:t>
      </w:r>
      <w:r w:rsidRPr="006D18BE">
        <w:rPr>
          <w:rFonts w:ascii="Palatino Linotype" w:hAnsi="Palatino Linotype"/>
          <w:i/>
          <w:iCs/>
          <w:sz w:val="16"/>
          <w:szCs w:val="16"/>
        </w:rPr>
        <w:t>τ</w:t>
      </w:r>
      <w:r w:rsidRPr="006D18BE">
        <w:rPr>
          <w:rFonts w:ascii="Palatino Linotype" w:hAnsi="Palatino Linotype"/>
          <w:sz w:val="16"/>
          <w:szCs w:val="16"/>
        </w:rPr>
        <w:t xml:space="preserve">. Normal mutagenesis (NM) is </w:t>
      </w:r>
      <w:r w:rsidRPr="006D18BE">
        <w:rPr>
          <w:rFonts w:ascii="Palatino Linotype" w:hAnsi="Palatino Linotype"/>
          <w:i/>
          <w:iCs/>
          <w:sz w:val="16"/>
          <w:szCs w:val="16"/>
        </w:rPr>
        <w:t>τ</w:t>
      </w:r>
      <w:r w:rsidRPr="006D18BE">
        <w:rPr>
          <w:rFonts w:ascii="Palatino Linotype" w:hAnsi="Palatino Linotype"/>
          <w:sz w:val="16"/>
          <w:szCs w:val="16"/>
        </w:rPr>
        <w:t>=1; constitutive mutagenesis (CM) in red; stress-induced mutagenesis (SIM) in blue. Lines are analytic approximations (</w:t>
      </w:r>
      <w:proofErr w:type="spellStart"/>
      <w:r w:rsidRPr="006D18BE">
        <w:rPr>
          <w:rFonts w:ascii="Palatino Linotype" w:hAnsi="Palatino Linotype"/>
          <w:sz w:val="16"/>
          <w:szCs w:val="16"/>
        </w:rPr>
        <w:t>eqs</w:t>
      </w:r>
      <w:proofErr w:type="spellEnd"/>
      <w:r w:rsidRPr="006D18BE">
        <w:rPr>
          <w:rFonts w:ascii="Palatino Linotype" w:hAnsi="Palatino Linotype"/>
          <w:sz w:val="16"/>
          <w:szCs w:val="16"/>
        </w:rPr>
        <w:t xml:space="preserve">. 2, 3 in main text). Markers are means of simulation results - black circles for the standard simulations, white triangles for alternative simulations in which </w:t>
      </w:r>
      <w:r w:rsidRPr="006D18BE">
        <w:rPr>
          <w:rFonts w:ascii="Palatino Linotype" w:hAnsi="Palatino Linotype"/>
          <w:i/>
          <w:iCs/>
          <w:sz w:val="16"/>
          <w:szCs w:val="16"/>
        </w:rPr>
        <w:t>AB</w:t>
      </w:r>
      <w:r w:rsidRPr="006D18BE">
        <w:rPr>
          <w:rFonts w:ascii="Palatino Linotype" w:hAnsi="Palatino Linotype"/>
          <w:sz w:val="16"/>
          <w:szCs w:val="16"/>
        </w:rPr>
        <w:t xml:space="preserve"> cannot appear on deleterious backgrounds. The standard error of the mean was too small to show. </w:t>
      </w:r>
      <w:proofErr w:type="gramStart"/>
      <w:r w:rsidRPr="006D18BE">
        <w:rPr>
          <w:rFonts w:ascii="Palatino Linotype" w:hAnsi="Palatino Linotype"/>
          <w:sz w:val="16"/>
          <w:szCs w:val="16"/>
        </w:rPr>
        <w:t>At least 1,000 simulations per point.</w:t>
      </w:r>
      <w:proofErr w:type="gramEnd"/>
      <w:r w:rsidRPr="006D18BE">
        <w:rPr>
          <w:rFonts w:ascii="Palatino Linotype" w:hAnsi="Palatino Linotype"/>
          <w:sz w:val="16"/>
          <w:szCs w:val="16"/>
        </w:rPr>
        <w:t xml:space="preserve"> Both axes are in log scale. The appearance time decreases as a function of </w:t>
      </w:r>
      <w:r w:rsidRPr="006D18BE">
        <w:rPr>
          <w:rFonts w:ascii="Palatino Linotype" w:hAnsi="Palatino Linotype"/>
          <w:i/>
          <w:iCs/>
          <w:sz w:val="16"/>
          <w:szCs w:val="16"/>
        </w:rPr>
        <w:t>τ</w:t>
      </w:r>
      <w:r w:rsidRPr="006D18BE">
        <w:rPr>
          <w:rFonts w:ascii="Palatino Linotype" w:hAnsi="Palatino Linotype"/>
          <w:sz w:val="16"/>
          <w:szCs w:val="16"/>
          <w:vertAlign w:val="superscript"/>
        </w:rPr>
        <w:t>2</w:t>
      </w:r>
      <w:r w:rsidRPr="006D18BE">
        <w:rPr>
          <w:rFonts w:ascii="Palatino Linotype" w:hAnsi="Palatino Linotype"/>
          <w:sz w:val="16"/>
          <w:szCs w:val="16"/>
        </w:rPr>
        <w:t xml:space="preserve"> and </w:t>
      </w:r>
      <w:r w:rsidRPr="006D18BE">
        <w:rPr>
          <w:rFonts w:ascii="Palatino Linotype" w:hAnsi="Palatino Linotype"/>
          <w:i/>
          <w:iCs/>
          <w:sz w:val="16"/>
          <w:szCs w:val="16"/>
        </w:rPr>
        <w:t>τ</w:t>
      </w:r>
      <w:r w:rsidRPr="006D18BE">
        <w:rPr>
          <w:rFonts w:ascii="Palatino Linotype" w:hAnsi="Palatino Linotype"/>
          <w:sz w:val="16"/>
          <w:szCs w:val="16"/>
        </w:rPr>
        <w:t xml:space="preserve"> with CM and SIM, respectively. Appearance time is slightly longer if </w:t>
      </w:r>
      <w:r w:rsidRPr="006D18BE">
        <w:rPr>
          <w:rFonts w:ascii="Palatino Linotype" w:hAnsi="Palatino Linotype"/>
          <w:i/>
          <w:iCs/>
          <w:sz w:val="16"/>
          <w:szCs w:val="16"/>
        </w:rPr>
        <w:t>AB</w:t>
      </w:r>
      <w:r w:rsidRPr="006D18BE">
        <w:rPr>
          <w:rFonts w:ascii="Palatino Linotype" w:hAnsi="Palatino Linotype"/>
          <w:sz w:val="16"/>
          <w:szCs w:val="16"/>
        </w:rPr>
        <w:t xml:space="preserve"> only appears on unloaded background (white triangles) which explains the difference between the analytic approximations and the simulation results for SIM in Figure 2. Parameters are the same as in Figure 2.</w:t>
      </w:r>
    </w:p>
    <w:p w:rsidR="00121E76" w:rsidRPr="00457ACF" w:rsidRDefault="00121E76" w:rsidP="00121E76">
      <w:pPr>
        <w:spacing w:line="480" w:lineRule="auto"/>
        <w:jc w:val="center"/>
        <w:rPr>
          <w:rFonts w:ascii="Palatino Linotype" w:hAnsi="Palatino Linotype"/>
          <w:noProof/>
        </w:rPr>
      </w:pPr>
      <w:r w:rsidRPr="00457ACF">
        <w:rPr>
          <w:rFonts w:ascii="Palatino Linotype" w:hAnsi="Palatino Linotype"/>
          <w:noProof/>
        </w:rPr>
        <w:lastRenderedPageBreak/>
        <w:drawing>
          <wp:inline distT="0" distB="0" distL="0" distR="0" wp14:anchorId="1E4EB1A7" wp14:editId="4C021B13">
            <wp:extent cx="5271770" cy="4516120"/>
            <wp:effectExtent l="0" t="0" r="5080" b="0"/>
            <wp:docPr id="9" name="Picture 9" descr="D:\workspace\ruggedsim\manuscript\ram_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1770" cy="4516120"/>
                    </a:xfrm>
                    <a:prstGeom prst="rect">
                      <a:avLst/>
                    </a:prstGeom>
                    <a:noFill/>
                    <a:ln>
                      <a:noFill/>
                    </a:ln>
                  </pic:spPr>
                </pic:pic>
              </a:graphicData>
            </a:graphic>
          </wp:inline>
        </w:drawing>
      </w:r>
    </w:p>
    <w:p w:rsidR="00121E76" w:rsidRPr="006D18BE" w:rsidRDefault="00121E76" w:rsidP="00121E76">
      <w:pPr>
        <w:spacing w:line="480" w:lineRule="auto"/>
        <w:rPr>
          <w:rFonts w:ascii="Palatino Linotype" w:hAnsi="Palatino Linotype"/>
          <w:sz w:val="16"/>
          <w:szCs w:val="16"/>
          <w:lang w:bidi="hi-IN"/>
        </w:rPr>
      </w:pPr>
      <w:r w:rsidRPr="006D18BE">
        <w:rPr>
          <w:rFonts w:ascii="Palatino Linotype" w:hAnsi="Palatino Linotype"/>
          <w:noProof/>
          <w:sz w:val="16"/>
          <w:szCs w:val="16"/>
        </w:rPr>
        <w:t xml:space="preserve"> </w:t>
      </w:r>
      <w:bookmarkStart w:id="28" w:name="_Ref360562760"/>
      <w:r w:rsidRPr="006D18BE">
        <w:rPr>
          <w:rFonts w:ascii="Palatino Linotype" w:hAnsi="Palatino Linotype"/>
          <w:b/>
          <w:bCs/>
          <w:sz w:val="16"/>
          <w:szCs w:val="16"/>
        </w:rPr>
        <w:t>Figure S</w:t>
      </w:r>
      <w:bookmarkEnd w:id="28"/>
      <w:r w:rsidRPr="006D18BE">
        <w:rPr>
          <w:rFonts w:ascii="Palatino Linotype" w:hAnsi="Palatino Linotype"/>
          <w:b/>
          <w:bCs/>
          <w:sz w:val="16"/>
          <w:szCs w:val="16"/>
        </w:rPr>
        <w:t>2 – Fixation probability</w:t>
      </w:r>
      <w:r w:rsidRPr="006D18BE">
        <w:rPr>
          <w:rFonts w:ascii="Palatino Linotype" w:hAnsi="Palatino Linotype"/>
          <w:sz w:val="16"/>
          <w:szCs w:val="16"/>
        </w:rPr>
        <w:t xml:space="preserve"> </w:t>
      </w:r>
      <w:r w:rsidRPr="006D18BE">
        <w:rPr>
          <w:rFonts w:ascii="Palatino Linotype" w:hAnsi="Palatino Linotype"/>
          <w:b/>
          <w:bCs/>
          <w:sz w:val="16"/>
          <w:szCs w:val="16"/>
        </w:rPr>
        <w:t xml:space="preserve">of the double mutant </w:t>
      </w:r>
      <w:r w:rsidRPr="006D18BE">
        <w:rPr>
          <w:rFonts w:ascii="Palatino Linotype" w:hAnsi="Palatino Linotype"/>
          <w:b/>
          <w:bCs/>
          <w:i/>
          <w:iCs/>
          <w:sz w:val="16"/>
          <w:szCs w:val="16"/>
        </w:rPr>
        <w:t>AB</w:t>
      </w:r>
      <w:r w:rsidRPr="006D18BE">
        <w:rPr>
          <w:rFonts w:ascii="Palatino Linotype" w:hAnsi="Palatino Linotype"/>
          <w:sz w:val="16"/>
          <w:szCs w:val="16"/>
        </w:rPr>
        <w:t xml:space="preserve"> as a function of the mutation rate fold increase </w:t>
      </w:r>
      <w:r w:rsidRPr="006D18BE">
        <w:rPr>
          <w:rFonts w:ascii="Palatino Linotype" w:hAnsi="Palatino Linotype"/>
          <w:i/>
          <w:iCs/>
          <w:sz w:val="16"/>
          <w:szCs w:val="16"/>
        </w:rPr>
        <w:t>τ</w:t>
      </w:r>
      <w:r w:rsidRPr="006D18BE">
        <w:rPr>
          <w:rFonts w:ascii="Palatino Linotype" w:hAnsi="Palatino Linotype"/>
          <w:sz w:val="16"/>
          <w:szCs w:val="16"/>
        </w:rPr>
        <w:t xml:space="preserve"> with three mutational strategies: constitutive mutagenesis (CM; top panels in red), stress-induced mutagenesis (SIM; middle panels in blue) and stress-induced mutagenesis with environmental stress (</w:t>
      </w:r>
      <w:proofErr w:type="spellStart"/>
      <w:r w:rsidRPr="006D18BE">
        <w:rPr>
          <w:rFonts w:ascii="Palatino Linotype" w:hAnsi="Palatino Linotype"/>
          <w:sz w:val="16"/>
          <w:szCs w:val="16"/>
        </w:rPr>
        <w:t>SIM</w:t>
      </w:r>
      <w:r w:rsidRPr="006D18BE">
        <w:rPr>
          <w:rFonts w:ascii="Palatino Linotype" w:hAnsi="Palatino Linotype"/>
          <w:sz w:val="16"/>
          <w:szCs w:val="16"/>
          <w:vertAlign w:val="subscript"/>
        </w:rPr>
        <w:t>e</w:t>
      </w:r>
      <w:proofErr w:type="spellEnd"/>
      <w:r w:rsidRPr="006D18BE">
        <w:rPr>
          <w:rFonts w:ascii="Palatino Linotype" w:hAnsi="Palatino Linotype"/>
          <w:sz w:val="16"/>
          <w:szCs w:val="16"/>
        </w:rPr>
        <w:t xml:space="preserve">; bottom panels in green; see section 3.5 in main text). Dashed lines are analytic approximations; black error bars represent simulation results with 95% confidence interval of the mean (at least 1,000 simulations per point; computed with bootstrap with 10,000 samples per point); solid lines are the logistic regression lines computed from the simulation results. The three left panels are results of the standard simulations. The three right panels are results of simulations in which </w:t>
      </w:r>
      <w:r w:rsidRPr="006D18BE">
        <w:rPr>
          <w:rFonts w:ascii="Palatino Linotype" w:hAnsi="Palatino Linotype"/>
          <w:i/>
          <w:iCs/>
          <w:sz w:val="16"/>
          <w:szCs w:val="16"/>
        </w:rPr>
        <w:t>AB</w:t>
      </w:r>
      <w:r w:rsidRPr="006D18BE">
        <w:rPr>
          <w:rFonts w:ascii="Palatino Linotype" w:hAnsi="Palatino Linotype"/>
          <w:sz w:val="16"/>
          <w:szCs w:val="16"/>
        </w:rPr>
        <w:t xml:space="preserve"> cannot appear on deleterious backgrounds - in these cases there is no significant difference between the simulation results and our analytic approximations (compare solid and dashed lines; regression slope tests with α=0.05). However, if </w:t>
      </w:r>
      <w:r w:rsidRPr="006D18BE">
        <w:rPr>
          <w:rFonts w:ascii="Palatino Linotype" w:hAnsi="Palatino Linotype"/>
          <w:i/>
          <w:iCs/>
          <w:sz w:val="16"/>
          <w:szCs w:val="16"/>
        </w:rPr>
        <w:t xml:space="preserve">AB </w:t>
      </w:r>
      <w:r w:rsidRPr="006D18BE">
        <w:rPr>
          <w:rFonts w:ascii="Palatino Linotype" w:hAnsi="Palatino Linotype"/>
          <w:sz w:val="16"/>
          <w:szCs w:val="16"/>
        </w:rPr>
        <w:t xml:space="preserve">can appear on a deleterious background (left panels) then its fixation probability is lower </w:t>
      </w:r>
      <w:r w:rsidRPr="006D18BE">
        <w:rPr>
          <w:rFonts w:ascii="Palatino Linotype" w:hAnsi="Palatino Linotype"/>
          <w:sz w:val="16"/>
          <w:szCs w:val="16"/>
        </w:rPr>
        <w:fldChar w:fldCharType="begin" w:fldLock="1"/>
      </w:r>
      <w:r w:rsidR="0024147C">
        <w:rPr>
          <w:rFonts w:ascii="Palatino Linotype" w:hAnsi="Palatino Linotype"/>
          <w:sz w:val="16"/>
          <w:szCs w:val="16"/>
        </w:rPr>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        From Duplicate 1 (                           The effect of deleterious alleles on adaptation in asexual populations.                         - Johnson, Toby; Barton, Nicholas H. )\n                \n        From Duplicate 2 (                           The Effect of Deleterious Alleles on Adaptation in Asexual Populations                         - Johnson, Toby; Barton, Nick H. )\n                \n        \n        \n        \n        \n      ", "page" : "395-411", "title" : "The effect of deleterious alleles on adaptation in asexual populations.", "type" : "article-journal", "volume" : "162" }, "uris" : [ "http://www.mendeley.com/documents/?uuid=f3941c3a-3bc1-4b60-92ac-7986875fd4c6" ] } ], "mendeley" : { "previouslyFormattedCitation" : "[81]" }, "properties" : { "noteIndex" : 0 }, "schema" : "https://github.com/citation-style-language/schema/raw/master/csl-citation.json" }</w:instrText>
      </w:r>
      <w:r w:rsidRPr="006D18BE">
        <w:rPr>
          <w:rFonts w:ascii="Palatino Linotype" w:hAnsi="Palatino Linotype"/>
          <w:sz w:val="16"/>
          <w:szCs w:val="16"/>
        </w:rPr>
        <w:fldChar w:fldCharType="separate"/>
      </w:r>
      <w:r w:rsidR="00257928" w:rsidRPr="00257928">
        <w:rPr>
          <w:rFonts w:ascii="Palatino Linotype" w:hAnsi="Palatino Linotype"/>
          <w:noProof/>
          <w:sz w:val="16"/>
          <w:szCs w:val="16"/>
        </w:rPr>
        <w:t>[81]</w:t>
      </w:r>
      <w:r w:rsidRPr="006D18BE">
        <w:rPr>
          <w:rFonts w:ascii="Palatino Linotype" w:hAnsi="Palatino Linotype"/>
          <w:sz w:val="16"/>
          <w:szCs w:val="16"/>
        </w:rPr>
        <w:fldChar w:fldCharType="end"/>
      </w:r>
      <w:r w:rsidRPr="006D18BE">
        <w:rPr>
          <w:rFonts w:ascii="Palatino Linotype" w:hAnsi="Palatino Linotype"/>
          <w:sz w:val="16"/>
          <w:szCs w:val="16"/>
        </w:rPr>
        <w:t xml:space="preserve">. For example, the fixation probability of </w:t>
      </w:r>
      <w:r w:rsidRPr="006D18BE">
        <w:rPr>
          <w:rFonts w:ascii="Palatino Linotype" w:hAnsi="Palatino Linotype"/>
          <w:i/>
          <w:iCs/>
          <w:sz w:val="16"/>
          <w:szCs w:val="16"/>
        </w:rPr>
        <w:t xml:space="preserve">AB </w:t>
      </w:r>
      <w:r w:rsidRPr="006D18BE">
        <w:rPr>
          <w:rFonts w:ascii="Palatino Linotype" w:hAnsi="Palatino Linotype"/>
          <w:sz w:val="16"/>
          <w:szCs w:val="16"/>
        </w:rPr>
        <w:t xml:space="preserve">with a single deleterious mutation </w:t>
      </w:r>
      <w:proofErr w:type="gramStart"/>
      <w:r w:rsidRPr="006D18BE">
        <w:rPr>
          <w:rFonts w:ascii="Palatino Linotype" w:hAnsi="Palatino Linotype"/>
          <w:sz w:val="16"/>
          <w:szCs w:val="16"/>
        </w:rPr>
        <w:t xml:space="preserve">is </w:t>
      </w:r>
      <w:proofErr w:type="gramEnd"/>
      <m:oMath>
        <m:sSub>
          <m:sSubPr>
            <m:ctrlPr>
              <w:rPr>
                <w:rFonts w:ascii="Cambria Math" w:hAnsi="Cambria Math"/>
                <w:i/>
                <w:sz w:val="16"/>
                <w:szCs w:val="16"/>
              </w:rPr>
            </m:ctrlPr>
          </m:sSubPr>
          <m:e>
            <m:r>
              <w:rPr>
                <w:rFonts w:ascii="Cambria Math" w:hAnsi="Cambria Math"/>
                <w:sz w:val="16"/>
                <w:szCs w:val="16"/>
              </w:rPr>
              <m:t>ρ</m:t>
            </m:r>
          </m:e>
          <m:sub>
            <m:f>
              <m:fPr>
                <m:type m:val="lin"/>
                <m:ctrlPr>
                  <w:rPr>
                    <w:rFonts w:ascii="Cambria Math" w:hAnsi="Cambria Math"/>
                    <w:i/>
                    <w:sz w:val="16"/>
                    <w:szCs w:val="16"/>
                  </w:rPr>
                </m:ctrlPr>
              </m:fPr>
              <m:num>
                <m:r>
                  <w:rPr>
                    <w:rFonts w:ascii="Cambria Math" w:hAnsi="Cambria Math"/>
                    <w:sz w:val="16"/>
                    <w:szCs w:val="16"/>
                  </w:rPr>
                  <m:t>AB</m:t>
                </m:r>
              </m:num>
              <m:den>
                <m:r>
                  <w:rPr>
                    <w:rFonts w:ascii="Cambria Math" w:hAnsi="Cambria Math"/>
                    <w:sz w:val="16"/>
                    <w:szCs w:val="16"/>
                  </w:rPr>
                  <m:t>1</m:t>
                </m:r>
              </m:den>
            </m:f>
          </m:sub>
        </m:sSub>
        <m:r>
          <w:rPr>
            <w:rFonts w:ascii="Cambria Math" w:hAnsi="Cambria Math"/>
            <w:sz w:val="16"/>
            <w:szCs w:val="16"/>
          </w:rPr>
          <m:t>=ρ</m:t>
        </m:r>
        <m:d>
          <m:dPr>
            <m:ctrlPr>
              <w:rPr>
                <w:rFonts w:ascii="Cambria Math" w:hAnsi="Cambria Math"/>
                <w:i/>
                <w:sz w:val="16"/>
                <w:szCs w:val="16"/>
              </w:rPr>
            </m:ctrlPr>
          </m:dPr>
          <m:e>
            <m:r>
              <w:rPr>
                <w:rFonts w:ascii="Cambria Math" w:hAnsi="Cambria Math"/>
                <w:sz w:val="16"/>
                <w:szCs w:val="16"/>
              </w:rPr>
              <m:t>1-</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H</m:t>
                </m:r>
                <m:d>
                  <m:dPr>
                    <m:ctrlPr>
                      <w:rPr>
                        <w:rFonts w:ascii="Cambria Math" w:hAnsi="Cambria Math"/>
                        <w:i/>
                        <w:sz w:val="16"/>
                        <w:szCs w:val="16"/>
                      </w:rPr>
                    </m:ctrlPr>
                  </m:dPr>
                  <m:e>
                    <m:r>
                      <w:rPr>
                        <w:rFonts w:ascii="Cambria Math" w:hAnsi="Cambria Math"/>
                        <w:sz w:val="16"/>
                        <w:szCs w:val="16"/>
                      </w:rPr>
                      <m:t>1-s</m:t>
                    </m:r>
                  </m:e>
                </m:d>
              </m:den>
            </m:f>
          </m:e>
        </m:d>
        <m:r>
          <w:rPr>
            <w:rFonts w:ascii="Cambria Math" w:hAnsi="Cambria Math"/>
            <w:sz w:val="16"/>
            <w:szCs w:val="16"/>
          </w:rPr>
          <m:t>&lt;ρ</m:t>
        </m:r>
      </m:oMath>
      <w:r w:rsidRPr="006D18BE">
        <w:rPr>
          <w:rFonts w:ascii="Palatino Linotype" w:hAnsi="Palatino Linotype"/>
          <w:sz w:val="16"/>
          <w:szCs w:val="16"/>
        </w:rPr>
        <w:t>. In addition, the figure shows that SIM</w:t>
      </w:r>
      <w:r w:rsidRPr="006D18BE">
        <w:rPr>
          <w:rFonts w:ascii="Palatino Linotype" w:hAnsi="Palatino Linotype"/>
          <w:sz w:val="16"/>
          <w:szCs w:val="16"/>
          <w:vertAlign w:val="subscript"/>
        </w:rPr>
        <w:t>e</w:t>
      </w:r>
      <w:r w:rsidRPr="006D18BE">
        <w:rPr>
          <w:rFonts w:ascii="Palatino Linotype" w:hAnsi="Palatino Linotype"/>
          <w:sz w:val="16"/>
          <w:szCs w:val="16"/>
          <w:vertAlign w:val="subscript"/>
        </w:rPr>
        <w:softHyphen/>
        <w:t xml:space="preserve"> </w:t>
      </w:r>
      <w:r w:rsidRPr="006D18BE">
        <w:rPr>
          <w:rFonts w:ascii="Palatino Linotype" w:hAnsi="Palatino Linotype"/>
          <w:sz w:val="16"/>
          <w:szCs w:val="16"/>
        </w:rPr>
        <w:t xml:space="preserve">has a higher fixation probability than CM and SIM: the green lines, representing </w:t>
      </w:r>
      <w:proofErr w:type="spellStart"/>
      <w:r w:rsidRPr="006D18BE">
        <w:rPr>
          <w:rFonts w:ascii="Palatino Linotype" w:hAnsi="Palatino Linotype"/>
          <w:sz w:val="16"/>
          <w:szCs w:val="16"/>
        </w:rPr>
        <w:t>SIM</w:t>
      </w:r>
      <w:r w:rsidRPr="006D18BE">
        <w:rPr>
          <w:rFonts w:ascii="Palatino Linotype" w:hAnsi="Palatino Linotype"/>
          <w:sz w:val="16"/>
          <w:szCs w:val="16"/>
          <w:vertAlign w:val="subscript"/>
        </w:rPr>
        <w:t>e</w:t>
      </w:r>
      <w:proofErr w:type="spellEnd"/>
      <w:r w:rsidRPr="006D18BE">
        <w:rPr>
          <w:rFonts w:ascii="Palatino Linotype" w:hAnsi="Palatino Linotype"/>
          <w:sz w:val="16"/>
          <w:szCs w:val="16"/>
        </w:rPr>
        <w:t xml:space="preserve">, are always higher than the red and blue lines representing CM and SIM. Parameters are the same as in Figure 2. </w:t>
      </w:r>
    </w:p>
    <w:p w:rsidR="00121E76" w:rsidRPr="00364542" w:rsidRDefault="00121E76" w:rsidP="00364542">
      <w:pPr>
        <w:spacing w:line="480" w:lineRule="auto"/>
        <w:rPr>
          <w:rFonts w:ascii="Palatino Linotype" w:hAnsi="Palatino Linotype"/>
          <w:lang w:bidi="hi-IN"/>
        </w:rPr>
      </w:pPr>
    </w:p>
    <w:sectPr w:rsidR="00121E76" w:rsidRPr="00364542" w:rsidSect="00463A59">
      <w:headerReference w:type="default" r:id="rId22"/>
      <w:footerReference w:type="default" r:id="rId23"/>
      <w:pgSz w:w="11906" w:h="16838"/>
      <w:pgMar w:top="1440" w:right="1800" w:bottom="1440" w:left="1800" w:header="709" w:footer="709" w:gutter="0"/>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6894" w:rsidRDefault="00FC6894" w:rsidP="009A122D">
      <w:pPr>
        <w:spacing w:after="0" w:line="240" w:lineRule="auto"/>
      </w:pPr>
      <w:r>
        <w:separator/>
      </w:r>
    </w:p>
  </w:endnote>
  <w:endnote w:type="continuationSeparator" w:id="0">
    <w:p w:rsidR="00FC6894" w:rsidRDefault="00FC6894"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9AC5DB81-5B7E-413D-BB22-99D9B673F756}"/>
    <w:embedBold r:id="rId2" w:fontKey="{8053E06C-3DFF-4B77-A53D-A182BC7FE0F3}"/>
    <w:embedItalic r:id="rId3" w:fontKey="{EDBF750F-BFCD-4601-BAF5-A966199533D7}"/>
    <w:embedBoldItalic r:id="rId4" w:fontKey="{F3853072-2ED5-4C7A-810A-4F944F46BDC5}"/>
  </w:font>
  <w:font w:name="Tahoma">
    <w:panose1 w:val="020B0604030504040204"/>
    <w:charset w:val="00"/>
    <w:family w:val="swiss"/>
    <w:pitch w:val="variable"/>
    <w:sig w:usb0="E1002EFF" w:usb1="C000605B" w:usb2="00000029" w:usb3="00000000" w:csb0="000101FF" w:csb1="00000000"/>
    <w:embedRegular r:id="rId5" w:fontKey="{9DC9C3B4-6C0E-43E4-8AB4-972A70143785}"/>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Regular r:id="rId6" w:fontKey="{2325175E-B64F-419F-93AA-445CAAF49E4A}"/>
    <w:embedItalic r:id="rId7" w:fontKey="{E9A23DA8-76F0-4306-BA56-387FB37B83D7}"/>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EB2B08" w:rsidRDefault="00EB2B08">
        <w:pPr>
          <w:pStyle w:val="Footer"/>
          <w:jc w:val="center"/>
        </w:pPr>
        <w:r>
          <w:fldChar w:fldCharType="begin"/>
        </w:r>
        <w:r>
          <w:instrText xml:space="preserve"> PAGE   \* MERGEFORMAT </w:instrText>
        </w:r>
        <w:r>
          <w:fldChar w:fldCharType="separate"/>
        </w:r>
        <w:r w:rsidR="00C952BB">
          <w:rPr>
            <w:noProof/>
          </w:rPr>
          <w:t>45</w:t>
        </w:r>
        <w:r>
          <w:rPr>
            <w:noProof/>
          </w:rPr>
          <w:fldChar w:fldCharType="end"/>
        </w:r>
      </w:p>
    </w:sdtContent>
  </w:sdt>
  <w:p w:rsidR="00EB2B08" w:rsidRDefault="00EB2B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6894" w:rsidRDefault="00FC6894" w:rsidP="009A122D">
      <w:pPr>
        <w:spacing w:after="0" w:line="240" w:lineRule="auto"/>
      </w:pPr>
      <w:r>
        <w:separator/>
      </w:r>
    </w:p>
  </w:footnote>
  <w:footnote w:type="continuationSeparator" w:id="0">
    <w:p w:rsidR="00FC6894" w:rsidRDefault="00FC6894"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B08" w:rsidRPr="00463A59" w:rsidRDefault="00EB2B08" w:rsidP="00430A5A">
    <w:pPr>
      <w:pStyle w:val="Header"/>
    </w:pPr>
    <w:r>
      <w:t xml:space="preserve">Ram &amp; </w:t>
    </w:r>
    <w:proofErr w:type="spellStart"/>
    <w:r>
      <w:t>Hadany</w:t>
    </w:r>
    <w:proofErr w:type="spellEnd"/>
    <w:r>
      <w:ptab w:relativeTo="margin" w:alignment="center" w:leader="none"/>
    </w:r>
    <w:r>
      <w:ptab w:relativeTo="margin" w:alignment="right" w:leader="none"/>
    </w:r>
    <w:r w:rsidRPr="004E278A">
      <w:rPr>
        <w:lang w:bidi="hi-IN"/>
      </w:rPr>
      <w:t>SIM</w:t>
    </w:r>
    <w:r>
      <w:rPr>
        <w:lang w:bidi="hi-IN"/>
      </w:rPr>
      <w:t xml:space="preserve"> and Complex Adaptation</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8624778"/>
    <w:multiLevelType w:val="hybridMultilevel"/>
    <w:tmpl w:val="A1F26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4">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5">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6">
    <w:nsid w:val="6C7A48C7"/>
    <w:multiLevelType w:val="multilevel"/>
    <w:tmpl w:val="D68EC694"/>
    <w:numStyleLink w:val="Headings"/>
  </w:abstractNum>
  <w:num w:numId="1">
    <w:abstractNumId w:val="5"/>
  </w:num>
  <w:num w:numId="2">
    <w:abstractNumId w:val="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0"/>
  </w:num>
  <w:num w:numId="6">
    <w:abstractNumId w:val="3"/>
  </w:num>
  <w:num w:numId="7">
    <w:abstractNumId w:val="2"/>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4B8"/>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2973"/>
    <w:rsid w:val="00042B4C"/>
    <w:rsid w:val="00042C46"/>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60A3"/>
    <w:rsid w:val="000E6AE6"/>
    <w:rsid w:val="000F12AB"/>
    <w:rsid w:val="000F3C41"/>
    <w:rsid w:val="000F6261"/>
    <w:rsid w:val="000F7391"/>
    <w:rsid w:val="000F7D03"/>
    <w:rsid w:val="00101FCD"/>
    <w:rsid w:val="001033CA"/>
    <w:rsid w:val="00113DD0"/>
    <w:rsid w:val="00121E76"/>
    <w:rsid w:val="00125157"/>
    <w:rsid w:val="001307C7"/>
    <w:rsid w:val="001329F2"/>
    <w:rsid w:val="00132ABF"/>
    <w:rsid w:val="001343A9"/>
    <w:rsid w:val="00134FEB"/>
    <w:rsid w:val="00135B27"/>
    <w:rsid w:val="00135E41"/>
    <w:rsid w:val="00142549"/>
    <w:rsid w:val="0014530A"/>
    <w:rsid w:val="00153987"/>
    <w:rsid w:val="001654D6"/>
    <w:rsid w:val="0017087D"/>
    <w:rsid w:val="001710DA"/>
    <w:rsid w:val="00171376"/>
    <w:rsid w:val="00171518"/>
    <w:rsid w:val="001725A7"/>
    <w:rsid w:val="001732C8"/>
    <w:rsid w:val="00173C79"/>
    <w:rsid w:val="00175D8E"/>
    <w:rsid w:val="001776D4"/>
    <w:rsid w:val="00184C3E"/>
    <w:rsid w:val="00185C6A"/>
    <w:rsid w:val="001910E3"/>
    <w:rsid w:val="00191D82"/>
    <w:rsid w:val="001968C9"/>
    <w:rsid w:val="00197574"/>
    <w:rsid w:val="001975FE"/>
    <w:rsid w:val="00197CF4"/>
    <w:rsid w:val="001A151A"/>
    <w:rsid w:val="001A2C51"/>
    <w:rsid w:val="001A6C18"/>
    <w:rsid w:val="001B0499"/>
    <w:rsid w:val="001B2273"/>
    <w:rsid w:val="001B3AC8"/>
    <w:rsid w:val="001B580C"/>
    <w:rsid w:val="001B74CA"/>
    <w:rsid w:val="001C19FF"/>
    <w:rsid w:val="001C35D5"/>
    <w:rsid w:val="001C3DA4"/>
    <w:rsid w:val="001C455A"/>
    <w:rsid w:val="001C5D6C"/>
    <w:rsid w:val="001D4AFA"/>
    <w:rsid w:val="001E1864"/>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47C"/>
    <w:rsid w:val="00241A70"/>
    <w:rsid w:val="00241D26"/>
    <w:rsid w:val="00245A8B"/>
    <w:rsid w:val="00246FB5"/>
    <w:rsid w:val="00254610"/>
    <w:rsid w:val="002549FC"/>
    <w:rsid w:val="0025521D"/>
    <w:rsid w:val="00257928"/>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22BA"/>
    <w:rsid w:val="002B5E98"/>
    <w:rsid w:val="002C2997"/>
    <w:rsid w:val="002C468F"/>
    <w:rsid w:val="002C490D"/>
    <w:rsid w:val="002C54C0"/>
    <w:rsid w:val="002C7209"/>
    <w:rsid w:val="002D2649"/>
    <w:rsid w:val="002D29C8"/>
    <w:rsid w:val="002D3652"/>
    <w:rsid w:val="002D501F"/>
    <w:rsid w:val="002D7506"/>
    <w:rsid w:val="002D7AB0"/>
    <w:rsid w:val="002E0EBF"/>
    <w:rsid w:val="002E3785"/>
    <w:rsid w:val="002F4E2F"/>
    <w:rsid w:val="00302666"/>
    <w:rsid w:val="00302CF7"/>
    <w:rsid w:val="0030349D"/>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1E7E"/>
    <w:rsid w:val="00332C18"/>
    <w:rsid w:val="0033327A"/>
    <w:rsid w:val="00335216"/>
    <w:rsid w:val="00335E62"/>
    <w:rsid w:val="00343645"/>
    <w:rsid w:val="0034713C"/>
    <w:rsid w:val="00347C94"/>
    <w:rsid w:val="00354774"/>
    <w:rsid w:val="0035628B"/>
    <w:rsid w:val="0035669E"/>
    <w:rsid w:val="00360699"/>
    <w:rsid w:val="00364542"/>
    <w:rsid w:val="003657AC"/>
    <w:rsid w:val="00365A2D"/>
    <w:rsid w:val="00373875"/>
    <w:rsid w:val="00373E6D"/>
    <w:rsid w:val="003757EA"/>
    <w:rsid w:val="0037763B"/>
    <w:rsid w:val="00381C70"/>
    <w:rsid w:val="0038310A"/>
    <w:rsid w:val="00385091"/>
    <w:rsid w:val="0038509B"/>
    <w:rsid w:val="0038712A"/>
    <w:rsid w:val="003877F5"/>
    <w:rsid w:val="00390D59"/>
    <w:rsid w:val="00391853"/>
    <w:rsid w:val="00394532"/>
    <w:rsid w:val="00394551"/>
    <w:rsid w:val="00396506"/>
    <w:rsid w:val="00396D80"/>
    <w:rsid w:val="003A1D28"/>
    <w:rsid w:val="003A2920"/>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6F7F"/>
    <w:rsid w:val="004178FE"/>
    <w:rsid w:val="004254C4"/>
    <w:rsid w:val="00430A5A"/>
    <w:rsid w:val="00434AEF"/>
    <w:rsid w:val="00435563"/>
    <w:rsid w:val="0043685D"/>
    <w:rsid w:val="00440833"/>
    <w:rsid w:val="0044354D"/>
    <w:rsid w:val="00446800"/>
    <w:rsid w:val="00446BDA"/>
    <w:rsid w:val="00447F77"/>
    <w:rsid w:val="00450026"/>
    <w:rsid w:val="00453133"/>
    <w:rsid w:val="0045618B"/>
    <w:rsid w:val="00461972"/>
    <w:rsid w:val="00463A01"/>
    <w:rsid w:val="00463A59"/>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4BD8"/>
    <w:rsid w:val="00527A49"/>
    <w:rsid w:val="005316EE"/>
    <w:rsid w:val="00531BD5"/>
    <w:rsid w:val="00531CC2"/>
    <w:rsid w:val="00531D87"/>
    <w:rsid w:val="005447DA"/>
    <w:rsid w:val="00544F00"/>
    <w:rsid w:val="00544FA2"/>
    <w:rsid w:val="005467DB"/>
    <w:rsid w:val="0054704C"/>
    <w:rsid w:val="005515F1"/>
    <w:rsid w:val="00551EC7"/>
    <w:rsid w:val="00552B96"/>
    <w:rsid w:val="00556178"/>
    <w:rsid w:val="00560C54"/>
    <w:rsid w:val="00563FAB"/>
    <w:rsid w:val="00564668"/>
    <w:rsid w:val="005754EE"/>
    <w:rsid w:val="005757FF"/>
    <w:rsid w:val="00575BB5"/>
    <w:rsid w:val="00581307"/>
    <w:rsid w:val="005816EE"/>
    <w:rsid w:val="005821AF"/>
    <w:rsid w:val="00582BAA"/>
    <w:rsid w:val="005842D2"/>
    <w:rsid w:val="005853AD"/>
    <w:rsid w:val="00585914"/>
    <w:rsid w:val="00587E54"/>
    <w:rsid w:val="00591266"/>
    <w:rsid w:val="005A2F68"/>
    <w:rsid w:val="005A3565"/>
    <w:rsid w:val="005B0AD6"/>
    <w:rsid w:val="005B12CD"/>
    <w:rsid w:val="005B2FE1"/>
    <w:rsid w:val="005B46B9"/>
    <w:rsid w:val="005B487B"/>
    <w:rsid w:val="005B77E2"/>
    <w:rsid w:val="005C7620"/>
    <w:rsid w:val="005D4C40"/>
    <w:rsid w:val="005D511F"/>
    <w:rsid w:val="005D7A01"/>
    <w:rsid w:val="005E0580"/>
    <w:rsid w:val="005E19DB"/>
    <w:rsid w:val="005E3A59"/>
    <w:rsid w:val="005E3B94"/>
    <w:rsid w:val="005E7700"/>
    <w:rsid w:val="005F1227"/>
    <w:rsid w:val="005F1290"/>
    <w:rsid w:val="005F1B6B"/>
    <w:rsid w:val="005F2C16"/>
    <w:rsid w:val="005F2C19"/>
    <w:rsid w:val="005F2E8A"/>
    <w:rsid w:val="005F620D"/>
    <w:rsid w:val="005F6245"/>
    <w:rsid w:val="005F6C08"/>
    <w:rsid w:val="00600689"/>
    <w:rsid w:val="00602869"/>
    <w:rsid w:val="00607B56"/>
    <w:rsid w:val="00611840"/>
    <w:rsid w:val="00616194"/>
    <w:rsid w:val="00622093"/>
    <w:rsid w:val="006231EF"/>
    <w:rsid w:val="0062328A"/>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620EE"/>
    <w:rsid w:val="00663378"/>
    <w:rsid w:val="00665310"/>
    <w:rsid w:val="0066767E"/>
    <w:rsid w:val="00667ECA"/>
    <w:rsid w:val="00670804"/>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B3A9D"/>
    <w:rsid w:val="006B774C"/>
    <w:rsid w:val="006B781F"/>
    <w:rsid w:val="006C02DB"/>
    <w:rsid w:val="006C6B95"/>
    <w:rsid w:val="006D14E9"/>
    <w:rsid w:val="006D18BE"/>
    <w:rsid w:val="006D1AF4"/>
    <w:rsid w:val="006D2C68"/>
    <w:rsid w:val="006D3024"/>
    <w:rsid w:val="006D3220"/>
    <w:rsid w:val="006D5802"/>
    <w:rsid w:val="006D6585"/>
    <w:rsid w:val="006E04FA"/>
    <w:rsid w:val="006E3084"/>
    <w:rsid w:val="006F4747"/>
    <w:rsid w:val="006F7EFE"/>
    <w:rsid w:val="00701833"/>
    <w:rsid w:val="00703925"/>
    <w:rsid w:val="007058D2"/>
    <w:rsid w:val="00712689"/>
    <w:rsid w:val="00712AA9"/>
    <w:rsid w:val="007169AD"/>
    <w:rsid w:val="00720682"/>
    <w:rsid w:val="00721A13"/>
    <w:rsid w:val="00723F0C"/>
    <w:rsid w:val="00726BD4"/>
    <w:rsid w:val="00733307"/>
    <w:rsid w:val="00733446"/>
    <w:rsid w:val="00735806"/>
    <w:rsid w:val="0073776C"/>
    <w:rsid w:val="00740DB3"/>
    <w:rsid w:val="0074207B"/>
    <w:rsid w:val="00745590"/>
    <w:rsid w:val="00746E62"/>
    <w:rsid w:val="00753267"/>
    <w:rsid w:val="00754F1E"/>
    <w:rsid w:val="00760FC5"/>
    <w:rsid w:val="0076119B"/>
    <w:rsid w:val="00762F19"/>
    <w:rsid w:val="0077094B"/>
    <w:rsid w:val="00775F58"/>
    <w:rsid w:val="00785EDE"/>
    <w:rsid w:val="007879A9"/>
    <w:rsid w:val="00795243"/>
    <w:rsid w:val="007A2944"/>
    <w:rsid w:val="007A3960"/>
    <w:rsid w:val="007A7B53"/>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0DD3"/>
    <w:rsid w:val="0080478F"/>
    <w:rsid w:val="008062FB"/>
    <w:rsid w:val="00806D1E"/>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52D7"/>
    <w:rsid w:val="008A6B5D"/>
    <w:rsid w:val="008A73E2"/>
    <w:rsid w:val="008A7A0A"/>
    <w:rsid w:val="008B7326"/>
    <w:rsid w:val="008D0078"/>
    <w:rsid w:val="008D2D9C"/>
    <w:rsid w:val="008E3DFA"/>
    <w:rsid w:val="008E43B1"/>
    <w:rsid w:val="008E4FCE"/>
    <w:rsid w:val="008E7880"/>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329E"/>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5800"/>
    <w:rsid w:val="00956C2E"/>
    <w:rsid w:val="009602F2"/>
    <w:rsid w:val="00960FAB"/>
    <w:rsid w:val="00961209"/>
    <w:rsid w:val="00961941"/>
    <w:rsid w:val="00961EB6"/>
    <w:rsid w:val="00963766"/>
    <w:rsid w:val="00965EA3"/>
    <w:rsid w:val="009731A0"/>
    <w:rsid w:val="009747FC"/>
    <w:rsid w:val="00975E44"/>
    <w:rsid w:val="00976DCD"/>
    <w:rsid w:val="009770F6"/>
    <w:rsid w:val="0098051F"/>
    <w:rsid w:val="009850ED"/>
    <w:rsid w:val="009863DC"/>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09D5"/>
    <w:rsid w:val="009E4DC2"/>
    <w:rsid w:val="009E654C"/>
    <w:rsid w:val="009F0ADC"/>
    <w:rsid w:val="009F5B3A"/>
    <w:rsid w:val="009F79A7"/>
    <w:rsid w:val="00A0028F"/>
    <w:rsid w:val="00A00B27"/>
    <w:rsid w:val="00A03104"/>
    <w:rsid w:val="00A03B16"/>
    <w:rsid w:val="00A14950"/>
    <w:rsid w:val="00A20010"/>
    <w:rsid w:val="00A20806"/>
    <w:rsid w:val="00A307DC"/>
    <w:rsid w:val="00A30A19"/>
    <w:rsid w:val="00A31D86"/>
    <w:rsid w:val="00A328A2"/>
    <w:rsid w:val="00A34949"/>
    <w:rsid w:val="00A35270"/>
    <w:rsid w:val="00A35FFF"/>
    <w:rsid w:val="00A40A47"/>
    <w:rsid w:val="00A44E2F"/>
    <w:rsid w:val="00A4786F"/>
    <w:rsid w:val="00A50635"/>
    <w:rsid w:val="00A533A9"/>
    <w:rsid w:val="00A575D7"/>
    <w:rsid w:val="00A579F7"/>
    <w:rsid w:val="00A67023"/>
    <w:rsid w:val="00A6797E"/>
    <w:rsid w:val="00A70358"/>
    <w:rsid w:val="00A709C3"/>
    <w:rsid w:val="00A70BE8"/>
    <w:rsid w:val="00A70BEF"/>
    <w:rsid w:val="00A7180F"/>
    <w:rsid w:val="00A725E6"/>
    <w:rsid w:val="00A74527"/>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C2BE1"/>
    <w:rsid w:val="00AC498F"/>
    <w:rsid w:val="00AC687F"/>
    <w:rsid w:val="00AC75F5"/>
    <w:rsid w:val="00AD086B"/>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C13"/>
    <w:rsid w:val="00B1479E"/>
    <w:rsid w:val="00B1563A"/>
    <w:rsid w:val="00B165C4"/>
    <w:rsid w:val="00B17DB4"/>
    <w:rsid w:val="00B23B3C"/>
    <w:rsid w:val="00B2494E"/>
    <w:rsid w:val="00B25D55"/>
    <w:rsid w:val="00B2675D"/>
    <w:rsid w:val="00B32510"/>
    <w:rsid w:val="00B37F95"/>
    <w:rsid w:val="00B40154"/>
    <w:rsid w:val="00B41C05"/>
    <w:rsid w:val="00B43DD1"/>
    <w:rsid w:val="00B472FC"/>
    <w:rsid w:val="00B51C0E"/>
    <w:rsid w:val="00B5286A"/>
    <w:rsid w:val="00B56C74"/>
    <w:rsid w:val="00B66998"/>
    <w:rsid w:val="00B67E56"/>
    <w:rsid w:val="00B72912"/>
    <w:rsid w:val="00B7610D"/>
    <w:rsid w:val="00B82D73"/>
    <w:rsid w:val="00B8554B"/>
    <w:rsid w:val="00B85CA4"/>
    <w:rsid w:val="00B85F49"/>
    <w:rsid w:val="00B86755"/>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46F2"/>
    <w:rsid w:val="00BD7A9A"/>
    <w:rsid w:val="00BE10FD"/>
    <w:rsid w:val="00BE1EF9"/>
    <w:rsid w:val="00BF06EE"/>
    <w:rsid w:val="00BF0B48"/>
    <w:rsid w:val="00BF1957"/>
    <w:rsid w:val="00BF2DDC"/>
    <w:rsid w:val="00BF336A"/>
    <w:rsid w:val="00BF4446"/>
    <w:rsid w:val="00BF554E"/>
    <w:rsid w:val="00C00770"/>
    <w:rsid w:val="00C023C7"/>
    <w:rsid w:val="00C03529"/>
    <w:rsid w:val="00C04756"/>
    <w:rsid w:val="00C11B88"/>
    <w:rsid w:val="00C157F4"/>
    <w:rsid w:val="00C2015F"/>
    <w:rsid w:val="00C221D6"/>
    <w:rsid w:val="00C22795"/>
    <w:rsid w:val="00C2360B"/>
    <w:rsid w:val="00C23983"/>
    <w:rsid w:val="00C24454"/>
    <w:rsid w:val="00C2582E"/>
    <w:rsid w:val="00C263A9"/>
    <w:rsid w:val="00C27F6B"/>
    <w:rsid w:val="00C31576"/>
    <w:rsid w:val="00C32505"/>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1035"/>
    <w:rsid w:val="00C63224"/>
    <w:rsid w:val="00C64915"/>
    <w:rsid w:val="00C66217"/>
    <w:rsid w:val="00C76B2A"/>
    <w:rsid w:val="00C8411A"/>
    <w:rsid w:val="00C87978"/>
    <w:rsid w:val="00C87AF4"/>
    <w:rsid w:val="00C952BB"/>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B7F5B"/>
    <w:rsid w:val="00CC0964"/>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0FB0"/>
    <w:rsid w:val="00D23B17"/>
    <w:rsid w:val="00D2584A"/>
    <w:rsid w:val="00D26998"/>
    <w:rsid w:val="00D26AEF"/>
    <w:rsid w:val="00D3015D"/>
    <w:rsid w:val="00D3522A"/>
    <w:rsid w:val="00D35D48"/>
    <w:rsid w:val="00D37700"/>
    <w:rsid w:val="00D40F2C"/>
    <w:rsid w:val="00D4102F"/>
    <w:rsid w:val="00D45CB2"/>
    <w:rsid w:val="00D5184D"/>
    <w:rsid w:val="00D52577"/>
    <w:rsid w:val="00D56A32"/>
    <w:rsid w:val="00D6325C"/>
    <w:rsid w:val="00D6393B"/>
    <w:rsid w:val="00D64ACB"/>
    <w:rsid w:val="00D66493"/>
    <w:rsid w:val="00D72D8D"/>
    <w:rsid w:val="00D74797"/>
    <w:rsid w:val="00D747B0"/>
    <w:rsid w:val="00D76319"/>
    <w:rsid w:val="00D82F82"/>
    <w:rsid w:val="00D84632"/>
    <w:rsid w:val="00D95127"/>
    <w:rsid w:val="00D96086"/>
    <w:rsid w:val="00DA34B7"/>
    <w:rsid w:val="00DA55AA"/>
    <w:rsid w:val="00DA5E7F"/>
    <w:rsid w:val="00DB45BB"/>
    <w:rsid w:val="00DB52C0"/>
    <w:rsid w:val="00DB6D14"/>
    <w:rsid w:val="00DB6D2A"/>
    <w:rsid w:val="00DB72B7"/>
    <w:rsid w:val="00DB77BD"/>
    <w:rsid w:val="00DB7BB5"/>
    <w:rsid w:val="00DB7DD7"/>
    <w:rsid w:val="00DC143E"/>
    <w:rsid w:val="00DC713E"/>
    <w:rsid w:val="00DC7CDC"/>
    <w:rsid w:val="00DD0EC1"/>
    <w:rsid w:val="00DD62C4"/>
    <w:rsid w:val="00DD7292"/>
    <w:rsid w:val="00DD7A57"/>
    <w:rsid w:val="00DD7F71"/>
    <w:rsid w:val="00DE1C4B"/>
    <w:rsid w:val="00DE1F0E"/>
    <w:rsid w:val="00DE20E5"/>
    <w:rsid w:val="00DE40C4"/>
    <w:rsid w:val="00DE6521"/>
    <w:rsid w:val="00DF046F"/>
    <w:rsid w:val="00DF1FED"/>
    <w:rsid w:val="00DF4FC8"/>
    <w:rsid w:val="00DF6C0E"/>
    <w:rsid w:val="00DF73E5"/>
    <w:rsid w:val="00E0054D"/>
    <w:rsid w:val="00E01613"/>
    <w:rsid w:val="00E01860"/>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316D"/>
    <w:rsid w:val="00EA4F71"/>
    <w:rsid w:val="00EB07DA"/>
    <w:rsid w:val="00EB2B08"/>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452"/>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04C"/>
    <w:rsid w:val="00F8789F"/>
    <w:rsid w:val="00F87F2E"/>
    <w:rsid w:val="00F907A8"/>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6894"/>
    <w:rsid w:val="00FC741A"/>
    <w:rsid w:val="00FD35E1"/>
    <w:rsid w:val="00FD3777"/>
    <w:rsid w:val="00FD52EB"/>
    <w:rsid w:val="00FD7E05"/>
    <w:rsid w:val="00FE18DA"/>
    <w:rsid w:val="00FE6A55"/>
    <w:rsid w:val="00FF2255"/>
    <w:rsid w:val="00FF2F6D"/>
    <w:rsid w:val="00FF4F00"/>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sChild>
                                                                                                                                                                                                                                                                                                                                                                                                                                                                                                                                                                                                                                                                                                                                                        <w:div w:id="2079354168">
                                                                                                                                                                                                                                                                                                                                                                                                                                                                                                                                                                                                                                                                                                                                                          <w:marLeft w:val="0"/>
                                                                                                                                                                                                                                                                                                                                                                                                                                                                                                                                                                                                                                                                                                                                                          <w:marRight w:val="0"/>
                                                                                                                                                                                                                                                                                                                                                                                                                                                                                                                                                                                                                                                                                                                                                          <w:marTop w:val="0"/>
                                                                                                                                                                                                                                                                                                                                                                                                                                                                                                                                                                                                                                                                                                                                                          <w:marBottom w:val="0"/>
                                                                                                                                                                                                                                                                                                                                                                                                                                                                                                                                                                                                                                                                                                                                                          <w:divBdr>
                                                                                                                                                                                                                                                                                                                                                                                                                                                                                                                                                                                                                                                                                                                                                            <w:top w:val="none" w:sz="0" w:space="0" w:color="auto"/>
                                                                                                                                                                                                                                                                                                                                                                                                                                                                                                                                                                                                                                                                                                                                                            <w:left w:val="none" w:sz="0" w:space="0" w:color="auto"/>
                                                                                                                                                                                                                                                                                                                                                                                                                                                                                                                                                                                                                                                                                                                                                            <w:bottom w:val="none" w:sz="0" w:space="0" w:color="auto"/>
                                                                                                                                                                                                                                                                                                                                                                                                                                                                                                                                                                                                                                                                                                                                                            <w:right w:val="none" w:sz="0" w:space="0" w:color="auto"/>
                                                                                                                                                                                                                                                                                                                                                                                                                                                                                                                                                                                                                                                                                                                                                          </w:divBdr>
                                                                                                                                                                                                                                                                                                                                                                                                                                                                                                                                                                                                                                                                                                                                                          <w:divsChild>
                                                                                                                                                                                                                                                                                                                                                                                                                                                                                                                                                                                                                                                                                                                                                            <w:div w:id="24716916">
                                                                                                                                                                                                                                                                                                                                                                                                                                                                                                                                                                                                                                                                                                                                                              <w:marLeft w:val="0"/>
                                                                                                                                                                                                                                                                                                                                                                                                                                                                                                                                                                                                                                                                                                                                                              <w:marRight w:val="0"/>
                                                                                                                                                                                                                                                                                                                                                                                                                                                                                                                                                                                                                                                                                                                                                              <w:marTop w:val="0"/>
                                                                                                                                                                                                                                                                                                                                                                                                                                                                                                                                                                                                                                                                                                                                                              <w:marBottom w:val="0"/>
                                                                                                                                                                                                                                                                                                                                                                                                                                                                                                                                                                                                                                                                                                                                                              <w:divBdr>
                                                                                                                                                                                                                                                                                                                                                                                                                                                                                                                                                                                                                                                                                                                                                                <w:top w:val="none" w:sz="0" w:space="0" w:color="auto"/>
                                                                                                                                                                                                                                                                                                                                                                                                                                                                                                                                                                                                                                                                                                                                                                <w:left w:val="none" w:sz="0" w:space="0" w:color="auto"/>
                                                                                                                                                                                                                                                                                                                                                                                                                                                                                                                                                                                                                                                                                                                                                                <w:bottom w:val="none" w:sz="0" w:space="0" w:color="auto"/>
                                                                                                                                                                                                                                                                                                                                                                                                                                                                                                                                                                                                                                                                                                                                                                <w:right w:val="none" w:sz="0" w:space="0" w:color="auto"/>
                                                                                                                                                                                                                                                                                                                                                                                                                                                                                                                                                                                                                                                                                                                                                              </w:divBdr>
                                                                                                                                                                                                                                                                                                                                                                                                                                                                                                                                                                                                                                                                                                                                                              <w:divsChild>
                                                                                                                                                                                                                                                                                                                                                                                                                                                                                                                                                                                                                                                                                                                                                                <w:div w:id="1321159693">
                                                                                                                                                                                                                                                                                                                                                                                                                                                                                                                                                                                                                                                                                                                                                                  <w:marLeft w:val="0"/>
                                                                                                                                                                                                                                                                                                                                                                                                                                                                                                                                                                                                                                                                                                                                                                  <w:marRight w:val="0"/>
                                                                                                                                                                                                                                                                                                                                                                                                                                                                                                                                                                                                                                                                                                                                                                  <w:marTop w:val="0"/>
                                                                                                                                                                                                                                                                                                                                                                                                                                                                                                                                                                                                                                                                                                                                                                  <w:marBottom w:val="0"/>
                                                                                                                                                                                                                                                                                                                                                                                                                                                                                                                                                                                                                                                                                                                                                                  <w:divBdr>
                                                                                                                                                                                                                                                                                                                                                                                                                                                                                                                                                                                                                                                                                                                                                                    <w:top w:val="none" w:sz="0" w:space="0" w:color="auto"/>
                                                                                                                                                                                                                                                                                                                                                                                                                                                                                                                                                                                                                                                                                                                                                                    <w:left w:val="none" w:sz="0" w:space="0" w:color="auto"/>
                                                                                                                                                                                                                                                                                                                                                                                                                                                                                                                                                                                                                                                                                                                                                                    <w:bottom w:val="none" w:sz="0" w:space="0" w:color="auto"/>
                                                                                                                                                                                                                                                                                                                                                                                                                                                                                                                                                                                                                                                                                                                                                                    <w:right w:val="none" w:sz="0" w:space="0" w:color="auto"/>
                                                                                                                                                                                                                                                                                                                                                                                                                                                                                                                                                                                                                                                                                                                                                                  </w:divBdr>
                                                                                                                                                                                                                                                                                                                                                                                                                                                                                                                                                                                                                                                                                                                                                                  <w:divsChild>
                                                                                                                                                                                                                                                                                                                                                                                                                                                                                                                                                                                                                                                                                                                                                                    <w:div w:id="1787190160">
                                                                                                                                                                                                                                                                                                                                                                                                                                                                                                                                                                                                                                                                                                                                                                      <w:marLeft w:val="0"/>
                                                                                                                                                                                                                                                                                                                                                                                                                                                                                                                                                                                                                                                                                                                                                                      <w:marRight w:val="0"/>
                                                                                                                                                                                                                                                                                                                                                                                                                                                                                                                                                                                                                                                                                                                                                                      <w:marTop w:val="0"/>
                                                                                                                                                                                                                                                                                                                                                                                                                                                                                                                                                                                                                                                                                                                                                                      <w:marBottom w:val="0"/>
                                                                                                                                                                                                                                                                                                                                                                                                                                                                                                                                                                                                                                                                                                                                                                      <w:divBdr>
                                                                                                                                                                                                                                                                                                                                                                                                                                                                                                                                                                                                                                                                                                                                                                        <w:top w:val="none" w:sz="0" w:space="0" w:color="auto"/>
                                                                                                                                                                                                                                                                                                                                                                                                                                                                                                                                                                                                                                                                                                                                                                        <w:left w:val="none" w:sz="0" w:space="0" w:color="auto"/>
                                                                                                                                                                                                                                                                                                                                                                                                                                                                                                                                                                                                                                                                                                                                                                        <w:bottom w:val="none" w:sz="0" w:space="0" w:color="auto"/>
                                                                                                                                                                                                                                                                                                                                                                                                                                                                                                                                                                                                                                                                                                                                                                        <w:right w:val="none" w:sz="0" w:space="0" w:color="auto"/>
                                                                                                                                                                                                                                                                                                                                                                                                                                                                                                                                                                                                                                                                                                                                                                      </w:divBdr>
                                                                                                                                                                                                                                                                                                                                                                                                                                                                                                                                                                                                                                                                                                                                                                      <w:divsChild>
                                                                                                                                                                                                                                                                                                                                                                                                                                                                                                                                                                                                                                                                                                                                                                        <w:div w:id="1344284851">
                                                                                                                                                                                                                                                                                                                                                                                                                                                                                                                                                                                                                                                                                                                                                                          <w:marLeft w:val="0"/>
                                                                                                                                                                                                                                                                                                                                                                                                                                                                                                                                                                                                                                                                                                                                                                          <w:marRight w:val="0"/>
                                                                                                                                                                                                                                                                                                                                                                                                                                                                                                                                                                                                                                                                                                                                                                          <w:marTop w:val="0"/>
                                                                                                                                                                                                                                                                                                                                                                                                                                                                                                                                                                                                                                                                                                                                                                          <w:marBottom w:val="0"/>
                                                                                                                                                                                                                                                                                                                                                                                                                                                                                                                                                                                                                                                                                                                                                                          <w:divBdr>
                                                                                                                                                                                                                                                                                                                                                                                                                                                                                                                                                                                                                                                                                                                                                                            <w:top w:val="none" w:sz="0" w:space="0" w:color="auto"/>
                                                                                                                                                                                                                                                                                                                                                                                                                                                                                                                                                                                                                                                                                                                                                                            <w:left w:val="none" w:sz="0" w:space="0" w:color="auto"/>
                                                                                                                                                                                                                                                                                                                                                                                                                                                                                                                                                                                                                                                                                                                                                                            <w:bottom w:val="none" w:sz="0" w:space="0" w:color="auto"/>
                                                                                                                                                                                                                                                                                                                                                                                                                                                                                                                                                                                                                                                                                                                                                                            <w:right w:val="none" w:sz="0" w:space="0" w:color="auto"/>
                                                                                                                                                                                                                                                                                                                                                                                                                                                                                                                                                                                                                                                                                                                                                                          </w:divBdr>
                                                                                                                                                                                                                                                                                                                                                                                                                                                                                                                                                                                                                                                                                                                                                                          <w:divsChild>
                                                                                                                                                                                                                                                                                                                                                                                                                                                                                                                                                                                                                                                                                                                                                                            <w:div w:id="1112936658">
                                                                                                                                                                                                                                                                                                                                                                                                                                                                                                                                                                                                                                                                                                                                                                              <w:marLeft w:val="0"/>
                                                                                                                                                                                                                                                                                                                                                                                                                                                                                                                                                                                                                                                                                                                                                                              <w:marRight w:val="0"/>
                                                                                                                                                                                                                                                                                                                                                                                                                                                                                                                                                                                                                                                                                                                                                                              <w:marTop w:val="0"/>
                                                                                                                                                                                                                                                                                                                                                                                                                                                                                                                                                                                                                                                                                                                                                                              <w:marBottom w:val="0"/>
                                                                                                                                                                                                                                                                                                                                                                                                                                                                                                                                                                                                                                                                                                                                                                              <w:divBdr>
                                                                                                                                                                                                                                                                                                                                                                                                                                                                                                                                                                                                                                                                                                                                                                                <w:top w:val="none" w:sz="0" w:space="0" w:color="auto"/>
                                                                                                                                                                                                                                                                                                                                                                                                                                                                                                                                                                                                                                                                                                                                                                                <w:left w:val="none" w:sz="0" w:space="0" w:color="auto"/>
                                                                                                                                                                                                                                                                                                                                                                                                                                                                                                                                                                                                                                                                                                                                                                                <w:bottom w:val="none" w:sz="0" w:space="0" w:color="auto"/>
                                                                                                                                                                                                                                                                                                                                                                                                                                                                                                                                                                                                                                                                                                                                                                                <w:right w:val="none" w:sz="0" w:space="0" w:color="auto"/>
                                                                                                                                                                                                                                                                                                                                                                                                                                                                                                                                                                                                                                                                                                                                                                              </w:divBdr>
                                                                                                                                                                                                                                                                                                                                                                                                                                                                                                                                                                                                                                                                                                                                                                              <w:divsChild>
                                                                                                                                                                                                                                                                                                                                                                                                                                                                                                                                                                                                                                                                                                                                                                                <w:div w:id="14463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6428567">
      <w:bodyDiv w:val="1"/>
      <w:marLeft w:val="0"/>
      <w:marRight w:val="0"/>
      <w:marTop w:val="0"/>
      <w:marBottom w:val="0"/>
      <w:divBdr>
        <w:top w:val="none" w:sz="0" w:space="0" w:color="auto"/>
        <w:left w:val="none" w:sz="0" w:space="0" w:color="auto"/>
        <w:bottom w:val="none" w:sz="0" w:space="0" w:color="auto"/>
        <w:right w:val="none" w:sz="0" w:space="0" w:color="auto"/>
      </w:divBdr>
      <w:divsChild>
        <w:div w:id="17359330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x.doi.org/10.1098/rspb.2014.1025"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mailto:lilach.hadany@gmail.com"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97380C-ECCC-46DA-B443-C7D700669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Pages>
  <Words>54181</Words>
  <Characters>270905</Characters>
  <Application>Microsoft Office Word</Application>
  <DocSecurity>0</DocSecurity>
  <Lines>2257</Lines>
  <Paragraphs>648</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324438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40</cp:revision>
  <cp:lastPrinted>2014-08-24T05:31:00Z</cp:lastPrinted>
  <dcterms:created xsi:type="dcterms:W3CDTF">2014-04-28T13:42:00Z</dcterms:created>
  <dcterms:modified xsi:type="dcterms:W3CDTF">2014-08-24T06:51:00Z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