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5853AD">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5853AD">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5853AD">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5853A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5853AD">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5853AD">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5853A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5853AD">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5853AD">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5853AD">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5853AD">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5853AD">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5853AD">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5853AD">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5853AD">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5853AD">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5853AD">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5853AD">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5853A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5853A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5853AD">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5853AD">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5853A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D4AFA" w:rsidRDefault="00401E4A" w:rsidP="00F91E4B">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w:t>
      </w:r>
      <w:r w:rsidR="001D4AFA">
        <w:rPr>
          <w:lang w:bidi="hi-IN"/>
        </w:rPr>
        <w:t xml:space="preserve">that the mutation rate with fitness </w:t>
      </w:r>
      <w:r w:rsidR="001D4AFA">
        <w:rPr>
          <w:rFonts w:ascii="Times New Roman" w:hAnsi="Times New Roman" w:cs="Times New Roman"/>
          <w:lang w:bidi="hi-IN"/>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4D568B">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4D568B">
            <w:pPr>
              <w:spacing w:line="480" w:lineRule="auto"/>
            </w:pPr>
            <w:bookmarkStart w:id="1" w:name="_Ref374443384"/>
            <w:r>
              <w:t>(</w:t>
            </w:r>
            <w:r>
              <w:fldChar w:fldCharType="begin"/>
            </w:r>
            <w:r w:rsidRPr="00EC7EBC">
              <w:instrText xml:space="preserve"> SEQ Equation </w:instrText>
            </w:r>
            <w:r>
              <w:fldChar w:fldCharType="separate"/>
            </w:r>
            <w:r w:rsidR="007C70D4">
              <w:rPr>
                <w:noProof/>
              </w:rPr>
              <w:t>1</w:t>
            </w:r>
            <w:r>
              <w:rPr>
                <w:noProof/>
              </w:rPr>
              <w:fldChar w:fldCharType="end"/>
            </w:r>
            <w:bookmarkEnd w:id="1"/>
            <w:r>
              <w:t>)</w:t>
            </w:r>
          </w:p>
        </w:tc>
      </w:tr>
    </w:tbl>
    <w:p w:rsidR="00101FCD" w:rsidRDefault="00254610" w:rsidP="00F91E4B">
      <w:pPr>
        <w:spacing w:line="480" w:lineRule="auto"/>
        <w:rPr>
          <w:lang w:bidi="hi-IN"/>
        </w:rPr>
      </w:pPr>
      <w:r>
        <w:rPr>
          <w:lang w:bidi="hi-IN"/>
        </w:rPr>
        <w:lastRenderedPageBreak/>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7C70D4">
        <w:rPr>
          <w:rFonts w:hint="cs"/>
          <w:cs/>
          <w:lang w:bidi="hi-IN"/>
        </w:rPr>
        <w:t>‎</w:t>
      </w:r>
      <w:r w:rsidR="007C70D4">
        <w:rPr>
          <w:lang w:bidi="hi-IN"/>
        </w:rPr>
        <w:t>3.3</w:t>
      </w:r>
      <w:r w:rsidR="00950641">
        <w:rPr>
          <w:lang w:bidi="hi-IN"/>
        </w:rPr>
        <w:fldChar w:fldCharType="end"/>
      </w:r>
      <w:r w:rsidR="00950641">
        <w:rPr>
          <w:lang w:bidi="hi-IN"/>
        </w:rPr>
        <w:t>.</w:t>
      </w:r>
    </w:p>
    <w:p w:rsidR="00AC498F" w:rsidRDefault="005F1227" w:rsidP="00B87664">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007C70D4" w:rsidRPr="007C70D4">
        <w:t>Figure 1</w:t>
      </w:r>
      <w:r w:rsidR="00072D95">
        <w:fldChar w:fldCharType="end"/>
      </w:r>
      <w:r w:rsidR="00072D95">
        <w:t>).</w:t>
      </w:r>
      <w:r w:rsidR="00607B56">
        <w:t xml:space="preserve"> </w:t>
      </w:r>
    </w:p>
    <w:p w:rsidR="00A96D14" w:rsidRDefault="001968C9" w:rsidP="00E0054D">
      <w:pPr>
        <w:spacing w:line="480" w:lineRule="auto"/>
      </w:pPr>
      <w:r>
        <w:t xml:space="preserve">Our main interest is the calculation of the adaptation rate of a population homogenous for </w:t>
      </w:r>
      <w:r w:rsidR="00E0054D">
        <w:t>each</w:t>
      </w:r>
      <w:r>
        <w:t xml:space="preserv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754F1E">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5853AD">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m:t>
        </m:r>
        <m:r>
          <w:rPr>
            <w:rFonts w:ascii="Cambria Math" w:hAnsi="Cambria Math"/>
          </w:rPr>
          <m:t>≪</m:t>
        </m:r>
        <m:r>
          <w:rPr>
            <w:rFonts w:ascii="Cambria Math" w:hAnsi="Cambria Math"/>
          </w:rPr>
          <m:t>s</m:t>
        </m:r>
      </m:oMath>
      <w:r w:rsidR="00414AEF">
        <w:t>)</w:t>
      </w:r>
      <w:r w:rsidR="00CA58CA">
        <w:t>.</w:t>
      </w:r>
    </w:p>
    <w:p w:rsidR="001968C9" w:rsidRPr="00F03785" w:rsidRDefault="000D56CE" w:rsidP="00527A4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contribute to adaptation, and (ii) </w:t>
      </w:r>
      <w:r w:rsidR="00527A49">
        <w:t>allow</w:t>
      </w:r>
      <w:r>
        <w:t xml:space="preserve"> the MSB evolve from a mutation-free </w:t>
      </w:r>
      <w:r>
        <w:lastRenderedPageBreak/>
        <w:t>population.</w:t>
      </w:r>
      <w:r w:rsidR="001968C9">
        <w:t xml:space="preserve"> We also use this simulation model to study competitions between the different mutational strategies.</w:t>
      </w:r>
    </w:p>
    <w:p w:rsidR="002F4E2F" w:rsidRDefault="00CA7DA9" w:rsidP="00527A49">
      <w:pPr>
        <w:spacing w:line="480" w:lineRule="auto"/>
      </w:pPr>
      <w:r>
        <w:fldChar w:fldCharType="begin"/>
      </w:r>
      <w:r w:rsidR="00000DD9">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AA2FA4">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7C70D4">
        <w:t xml:space="preserve">Table </w:t>
      </w:r>
      <w:r w:rsidR="007C70D4">
        <w:rPr>
          <w:noProof/>
        </w:rPr>
        <w:t>1</w:t>
      </w:r>
      <w:r w:rsidR="00CA7DA9">
        <w:fldChar w:fldCharType="end"/>
      </w:r>
      <w:r w:rsidR="00A95F28">
        <w:t>)</w:t>
      </w:r>
      <w:r w:rsidR="00F25234">
        <w:t>.</w:t>
      </w:r>
    </w:p>
    <w:p w:rsidR="002D7506" w:rsidRDefault="0002786D" w:rsidP="00825A24">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w:t>
      </w:r>
      <w:proofErr w:type="spellStart"/>
      <w:r w:rsidR="00BD0663">
        <w:t>ively</w:t>
      </w:r>
      <w:proofErr w:type="spellEnd"/>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 xml:space="preserve">the </w:t>
      </w:r>
      <w:r w:rsidR="005F6C08">
        <w:lastRenderedPageBreak/>
        <w:t>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BD0663">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7C70D4">
              <w:rPr>
                <w:noProof/>
              </w:rPr>
              <w:t>2</w:t>
            </w:r>
            <w:r w:rsidR="00CA7DA9">
              <w:rPr>
                <w:noProof/>
              </w:rPr>
              <w:fldChar w:fldCharType="end"/>
            </w:r>
            <w:r>
              <w:t>)</w:t>
            </w:r>
            <w:bookmarkEnd w:id="2"/>
          </w:p>
        </w:tc>
      </w:tr>
    </w:tbl>
    <w:p w:rsidR="002D7506" w:rsidRDefault="003F5091" w:rsidP="00825A24">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7C70D4">
              <w:rPr>
                <w:noProof/>
              </w:rPr>
              <w:t>3</w:t>
            </w:r>
            <w:r w:rsidR="00CA7DA9">
              <w:rPr>
                <w:noProof/>
              </w:rPr>
              <w:fldChar w:fldCharType="end"/>
            </w:r>
            <w:r>
              <w:t>)</w:t>
            </w:r>
            <w:bookmarkEnd w:id="3"/>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7C70D4">
        <w:t>(</w:t>
      </w:r>
      <w:r w:rsidR="007C70D4">
        <w:rPr>
          <w:noProof/>
        </w:rPr>
        <w:t>2</w:t>
      </w:r>
      <w:r w:rsidR="007C70D4">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7C70D4">
        <w:t>(</w:t>
      </w:r>
      <w:r w:rsidR="007C70D4">
        <w:rPr>
          <w:noProof/>
        </w:rPr>
        <w:t>3</w:t>
      </w:r>
      <w:r w:rsidR="007C70D4">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5853A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7C70D4">
              <w:rPr>
                <w:noProof/>
              </w:rPr>
              <w:t>4</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5853AD">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7C70D4">
        <w:rPr>
          <w:rFonts w:hint="cs"/>
          <w:cs/>
          <w:lang w:bidi="hi-IN"/>
        </w:rPr>
        <w:t>‎</w:t>
      </w:r>
      <w:r w:rsidR="007C70D4">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lastRenderedPageBreak/>
        <w:t>Adaptation rate</w:t>
      </w:r>
      <w:bookmarkEnd w:id="5"/>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7C70D4">
              <w:rPr>
                <w:noProof/>
              </w:rPr>
              <w:t>5</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5853AD">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B23B3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74094382"/>
            <w:bookmarkStart w:id="7" w:name="_Ref360526047"/>
            <w:r>
              <w:t>(</w:t>
            </w:r>
            <w:r w:rsidR="00CA7DA9">
              <w:fldChar w:fldCharType="begin"/>
            </w:r>
            <w:r w:rsidR="009850ED" w:rsidRPr="00C23983">
              <w:instrText xml:space="preserve"> SEQ Equation </w:instrText>
            </w:r>
            <w:r w:rsidR="00CA7DA9">
              <w:fldChar w:fldCharType="separate"/>
            </w:r>
            <w:r w:rsidR="007C70D4">
              <w:rPr>
                <w:noProof/>
              </w:rPr>
              <w:t>6</w:t>
            </w:r>
            <w:r w:rsidR="00CA7DA9">
              <w:rPr>
                <w:noProof/>
              </w:rPr>
              <w:fldChar w:fldCharType="end"/>
            </w:r>
            <w:bookmarkEnd w:id="6"/>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4"/>
            <w:r>
              <w:t>(</w:t>
            </w:r>
            <w:fldSimple w:instr=" SEQ Equation ">
              <w:r w:rsidR="007C70D4">
                <w:rPr>
                  <w:noProof/>
                </w:rPr>
                <w:t>7</w:t>
              </w:r>
            </w:fldSimple>
            <w:bookmarkEnd w:id="8"/>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9" w:name="_Ref374094156"/>
            <w:bookmarkStart w:id="10" w:name="_Ref360526048"/>
            <w:r>
              <w:t>(</w:t>
            </w:r>
            <w:r w:rsidR="00CA7DA9">
              <w:fldChar w:fldCharType="begin"/>
            </w:r>
            <w:r w:rsidR="009850ED" w:rsidRPr="00C23983">
              <w:instrText xml:space="preserve"> SEQ Equation </w:instrText>
            </w:r>
            <w:r w:rsidR="00CA7DA9">
              <w:fldChar w:fldCharType="separate"/>
            </w:r>
            <w:r w:rsidR="007C70D4">
              <w:rPr>
                <w:noProof/>
              </w:rPr>
              <w:t>8</w:t>
            </w:r>
            <w:r w:rsidR="00CA7DA9">
              <w:rPr>
                <w:noProof/>
              </w:rPr>
              <w:fldChar w:fldCharType="end"/>
            </w:r>
            <w:bookmarkEnd w:id="9"/>
            <w:r>
              <w:t>)</w:t>
            </w:r>
            <w:bookmarkEnd w:id="10"/>
          </w:p>
        </w:tc>
      </w:tr>
    </w:tbl>
    <w:p w:rsidR="00B23B3C" w:rsidRDefault="00B23B3C" w:rsidP="00B23B3C">
      <w:pPr>
        <w:spacing w:line="480" w:lineRule="auto"/>
        <w:rPr>
          <w:lang w:bidi="hi-IN"/>
        </w:rPr>
      </w:pPr>
      <w:r>
        <w:t>Here, 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for description of model parameters and </w:t>
      </w:r>
      <w:r>
        <w:rPr>
          <w:lang w:bidi="hi-IN"/>
        </w:rPr>
        <w:fldChar w:fldCharType="begin" w:fldLock="1"/>
      </w:r>
      <w:r w:rsidR="005853A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w:t>
      </w:r>
      <w:r>
        <w:rPr>
          <w:lang w:bidi="hi-IN"/>
        </w:rPr>
        <w:fldChar w:fldCharType="begin"/>
      </w:r>
      <w:r>
        <w:rPr>
          <w:lang w:bidi="hi-IN"/>
        </w:rPr>
        <w:instrText xml:space="preserve"> REF _Ref374094382 \h </w:instrText>
      </w:r>
      <w:r>
        <w:rPr>
          <w:lang w:bidi="hi-IN"/>
        </w:rPr>
      </w:r>
      <w:r>
        <w:rPr>
          <w:lang w:bidi="hi-IN"/>
        </w:rPr>
        <w:fldChar w:fldCharType="separate"/>
      </w:r>
      <w:r w:rsidR="007C70D4">
        <w:t>(</w:t>
      </w:r>
      <w:r w:rsidR="007C70D4">
        <w:rPr>
          <w:noProof/>
        </w:rPr>
        <w:t>6</w:t>
      </w:r>
      <w:r>
        <w:rPr>
          <w:lang w:bidi="hi-IN"/>
        </w:rPr>
        <w:fldChar w:fldCharType="end"/>
      </w:r>
      <w:r>
        <w:rPr>
          <w:lang w:bidi="hi-IN"/>
        </w:rPr>
        <w:t>.</w:t>
      </w:r>
    </w:p>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7C70D4" w:rsidRPr="007C70D4">
        <w:t xml:space="preserve">Figure </w:t>
      </w:r>
      <w:r w:rsidR="007C70D4" w:rsidRPr="007C70D4">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7C70D4">
        <w:t>(</w:t>
      </w:r>
      <w:r w:rsidR="007C70D4">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7C70D4">
        <w:t>(</w:t>
      </w:r>
      <w:r w:rsidR="007C70D4">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7C70D4">
        <w:t>(</w:t>
      </w:r>
      <w:r w:rsidR="007C70D4">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7C70D4">
        <w:rPr>
          <w:rFonts w:hint="cs"/>
          <w:cs/>
        </w:rPr>
        <w:t>‎</w:t>
      </w:r>
      <w:r w:rsidR="007C70D4">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7C70D4" w:rsidRPr="007C70D4">
        <w:t xml:space="preserve">Figure </w:t>
      </w:r>
      <w:r w:rsidR="007C70D4" w:rsidRPr="007C70D4">
        <w:lastRenderedPageBreak/>
        <w:t>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5853AD">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7C70D4" w:rsidRPr="007C70D4">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lastRenderedPageBreak/>
        <w:fldChar w:fldCharType="begin"/>
      </w:r>
      <w:r>
        <w:instrText xml:space="preserve"> REF _Ref360184105 \h  \* MERGEFORMAT </w:instrText>
      </w:r>
      <w:r>
        <w:fldChar w:fldCharType="separate"/>
      </w:r>
      <w:r w:rsidR="007C70D4" w:rsidRPr="007C70D4">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7C70D4" w:rsidRPr="007C70D4">
        <w:t xml:space="preserve">Figure </w:t>
      </w:r>
      <w:r w:rsidR="007C70D4" w:rsidRPr="007C70D4">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2A0DCC">
      <w:pPr>
        <w:pStyle w:val="Heading2"/>
        <w:spacing w:line="480" w:lineRule="auto"/>
      </w:pPr>
      <w:bookmarkStart w:id="11" w:name="_Ref374010899"/>
      <w:r w:rsidRPr="00AE0A66">
        <w:t>Effect of environmental stress</w:t>
      </w:r>
      <w:bookmarkEnd w:id="11"/>
    </w:p>
    <w:p w:rsidR="0081579B" w:rsidRDefault="00FA72C5" w:rsidP="006B3A9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F91E4B" w:rsidRDefault="003A2920" w:rsidP="007C70D4">
      <w:pPr>
        <w:spacing w:line="480" w:lineRule="auto"/>
      </w:pPr>
      <w:r>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host's immune response - </w:t>
      </w:r>
      <w:r w:rsidR="0081579B">
        <w:t xml:space="preserve">which not only creates an opportunity for adaptation but also </w:t>
      </w:r>
      <w:r w:rsidR="006B3A9D">
        <w:t>reduces</w:t>
      </w:r>
      <w:r w:rsidR="0081579B">
        <w:t xml:space="preserve"> the well-being of the current 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proofErr w:type="spellStart"/>
      <w:r w:rsidR="00683B42">
        <w:rPr>
          <w:i/>
          <w:iCs/>
        </w:rPr>
        <w:t>ab</w:t>
      </w:r>
      <w:proofErr w:type="spellEnd"/>
      <w:r w:rsidR="0038712A">
        <w:t xml:space="preserve"> or the non-resistant single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under stress</w:t>
      </w:r>
      <w:r w:rsidR="00F91E4B">
        <w:t xml:space="preserve"> and therefore </w:t>
      </w:r>
      <w:proofErr w:type="spellStart"/>
      <w:r w:rsidR="00F91E4B">
        <w:t>hypermutates</w:t>
      </w:r>
      <w:proofErr w:type="spellEnd"/>
      <w:r w:rsidR="00F91E4B">
        <w:t xml:space="preserve"> – compare with</w:t>
      </w:r>
      <w:r w:rsidR="007C70D4">
        <w:t xml:space="preserve"> eq. </w:t>
      </w:r>
      <w:r w:rsidR="007C70D4">
        <w:fldChar w:fldCharType="begin"/>
      </w:r>
      <w:r w:rsidR="007C70D4">
        <w:instrText xml:space="preserve"> REF _Ref374443384 \h </w:instrText>
      </w:r>
      <w:r w:rsidR="007C70D4">
        <w:fldChar w:fldCharType="separate"/>
      </w:r>
      <w:r w:rsidR="007C70D4">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FD7E05" w:rsidP="004D568B">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Pr>
                <w:rFonts w:eastAsiaTheme="minorEastAsia"/>
              </w:rPr>
              <w:t>.</w:t>
            </w:r>
          </w:p>
        </w:tc>
        <w:tc>
          <w:tcPr>
            <w:tcW w:w="500" w:type="pct"/>
            <w:tcBorders>
              <w:top w:val="nil"/>
              <w:left w:val="nil"/>
              <w:bottom w:val="nil"/>
              <w:right w:val="nil"/>
            </w:tcBorders>
          </w:tcPr>
          <w:p w:rsidR="00FD7E05" w:rsidRDefault="00FD7E05" w:rsidP="004D568B">
            <w:pPr>
              <w:spacing w:line="480" w:lineRule="auto"/>
            </w:pPr>
            <w:r>
              <w:t>(</w:t>
            </w:r>
            <w:r>
              <w:fldChar w:fldCharType="begin"/>
            </w:r>
            <w:r w:rsidRPr="0095303A">
              <w:instrText xml:space="preserve"> SEQ Equation </w:instrText>
            </w:r>
            <w:r>
              <w:fldChar w:fldCharType="separate"/>
            </w:r>
            <w:r w:rsidR="007C70D4">
              <w:rPr>
                <w:noProof/>
              </w:rPr>
              <w:t>9</w:t>
            </w:r>
            <w:r>
              <w:rPr>
                <w:noProof/>
              </w:rPr>
              <w:fldChar w:fldCharType="end"/>
            </w:r>
            <w:r>
              <w:t>)</w:t>
            </w:r>
          </w:p>
        </w:tc>
      </w:tr>
    </w:tbl>
    <w:p w:rsidR="006B781F" w:rsidRPr="006B3A9D" w:rsidRDefault="00F91E4B" w:rsidP="00F91E4B">
      <w:pPr>
        <w:spacing w:line="480" w:lineRule="auto"/>
      </w:pPr>
      <w:r>
        <w:t xml:space="preserve">We use subscript </w:t>
      </w:r>
      <w:r>
        <w:rPr>
          <w:i/>
          <w:iCs/>
        </w:rPr>
        <w:t>e</w:t>
      </w:r>
      <w:r>
        <w:t xml:space="preserve"> to </w:t>
      </w:r>
      <w:r w:rsidR="00683B42">
        <w:t>denote quantities related with this scenario</w:t>
      </w:r>
      <w:r w:rsidR="006B3A9D">
        <w:t>.</w:t>
      </w:r>
    </w:p>
    <w:p w:rsidR="00042973" w:rsidRPr="006B781F" w:rsidRDefault="002C54C0" w:rsidP="00F91E4B">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5853A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B2675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2" w:name="_Ref360621538"/>
            <w:r>
              <w:t>(</w:t>
            </w:r>
            <w:r w:rsidR="00CA7DA9">
              <w:fldChar w:fldCharType="begin"/>
            </w:r>
            <w:r w:rsidR="009850ED" w:rsidRPr="0095303A">
              <w:instrText xml:space="preserve"> SEQ Equation </w:instrText>
            </w:r>
            <w:r w:rsidR="00CA7DA9">
              <w:fldChar w:fldCharType="separate"/>
            </w:r>
            <w:r w:rsidR="007C70D4">
              <w:rPr>
                <w:noProof/>
              </w:rPr>
              <w:t>10</w:t>
            </w:r>
            <w:r w:rsidR="00CA7DA9">
              <w:rPr>
                <w:noProof/>
              </w:rPr>
              <w:fldChar w:fldCharType="end"/>
            </w:r>
            <w:r>
              <w:t>)</w:t>
            </w:r>
            <w:bookmarkEnd w:id="12"/>
          </w:p>
        </w:tc>
      </w:tr>
    </w:tbl>
    <w:p w:rsidR="00290173" w:rsidRDefault="00290173" w:rsidP="0008011F">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 </w:t>
      </w:r>
      <w:r w:rsidR="0095303A">
        <w:lastRenderedPageBreak/>
        <w:t>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3" w:name="_Ref361310097"/>
            <w:r>
              <w:t>(</w:t>
            </w:r>
            <w:r w:rsidR="00CA7DA9">
              <w:fldChar w:fldCharType="begin"/>
            </w:r>
            <w:r w:rsidR="00C64915" w:rsidRPr="0095303A">
              <w:instrText xml:space="preserve"> SEQ Equation </w:instrText>
            </w:r>
            <w:r w:rsidR="00CA7DA9">
              <w:fldChar w:fldCharType="separate"/>
            </w:r>
            <w:r w:rsidR="007C70D4">
              <w:rPr>
                <w:noProof/>
              </w:rPr>
              <w:t>11</w:t>
            </w:r>
            <w:r w:rsidR="00CA7DA9">
              <w:rPr>
                <w:noProof/>
              </w:rPr>
              <w:fldChar w:fldCharType="end"/>
            </w:r>
            <w:r>
              <w:t>)</w:t>
            </w:r>
            <w:bookmarkEnd w:id="13"/>
          </w:p>
        </w:tc>
      </w:tr>
    </w:tbl>
    <w:p w:rsidR="00B32510" w:rsidRDefault="00042973" w:rsidP="0008011F">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bookmarkStart w:id="14" w:name="_Ref374377810"/>
      <w:r>
        <w:t>Relationship</w:t>
      </w:r>
      <w:r w:rsidR="003E68BE">
        <w:t>s</w:t>
      </w:r>
      <w:r>
        <w:t xml:space="preserve"> between stress and mutation</w:t>
      </w:r>
      <w:bookmarkEnd w:id="14"/>
      <w:r>
        <w:t xml:space="preserve">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5853A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BC43DA">
            <w:pPr>
              <w:spacing w:line="480" w:lineRule="auto"/>
              <w:jc w:val="center"/>
              <w:rPr>
                <w:rFonts w:eastAsiaTheme="minorEastAsia"/>
                <w:lang w:bidi="hi-IN"/>
              </w:rPr>
            </w:pPr>
            <m:oMath>
              <m:r>
                <w:rPr>
                  <w:rFonts w:ascii="Cambria Math" w:hAnsi="Cambria Math"/>
                  <w:lang w:bidi="hi-IN"/>
                </w:rPr>
                <m:t>U(ω)</m:t>
              </m:r>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sidR="007C70D4">
              <w:rPr>
                <w:noProof/>
              </w:rPr>
              <w:t>12</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7C70D4" w:rsidRPr="007C70D4">
        <w:t xml:space="preserve">Figure </w:t>
      </w:r>
      <w:r w:rsidR="007C70D4" w:rsidRPr="007C70D4">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w:t>
      </w:r>
      <w:r w:rsidR="0066767E">
        <w:rPr>
          <w:lang w:bidi="hi-IN"/>
        </w:rPr>
        <w:lastRenderedPageBreak/>
        <w:t xml:space="preserve">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7C70D4" w:rsidRPr="007C70D4">
        <w:t xml:space="preserve">Figure </w:t>
      </w:r>
      <w:r w:rsidR="007C70D4" w:rsidRPr="007C70D4">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B41C05">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7C70D4" w:rsidRPr="007C70D4">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5853A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5853A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5853A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5853AD">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w:t>
      </w:r>
      <w:r w:rsidR="00915B29">
        <w:rPr>
          <w:lang w:bidi="hi-IN"/>
        </w:rPr>
        <w:lastRenderedPageBreak/>
        <w:t xml:space="preserve">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5853AD">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134FEB">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5853A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5853AD">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B41C05">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5853AD">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5853A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5853A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5853AD">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lastRenderedPageBreak/>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7C70D4" w:rsidRPr="007C70D4">
        <w:rPr>
          <w:lang w:bidi="hi-IN"/>
        </w:rPr>
        <w:t>Figure 5</w:t>
      </w:r>
      <w:r w:rsidR="008B7326">
        <w:rPr>
          <w:lang w:bidi="hi-IN"/>
        </w:rPr>
        <w:fldChar w:fldCharType="end"/>
      </w:r>
      <w:r w:rsidR="008B7326">
        <w:rPr>
          <w:lang w:bidi="hi-IN"/>
        </w:rPr>
        <w:t>)</w:t>
      </w:r>
      <w:r w:rsidR="00D76319">
        <w:rPr>
          <w:lang w:bidi="hi-IN"/>
        </w:rPr>
        <w:t>.</w:t>
      </w:r>
    </w:p>
    <w:p w:rsidR="00DF6C0E" w:rsidRDefault="00B37F95" w:rsidP="00185C6A">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5853AD">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5853A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5853AD">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5853AD">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5853AD">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5853AD">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5853AD">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5853AD">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5853AD">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Winreich</w:t>
      </w:r>
      <w:proofErr w:type="spellEnd"/>
      <w:r w:rsidR="00914F9D">
        <w:rPr>
          <w:lang w:bidi="hi-IN"/>
        </w:rPr>
        <w:t xml:space="preserve"> &amp; Chao </w:t>
      </w:r>
      <w:r w:rsidR="00914F9D">
        <w:rPr>
          <w:lang w:bidi="hi-IN"/>
        </w:rPr>
        <w:fldChar w:fldCharType="begin" w:fldLock="1"/>
      </w:r>
      <w:r w:rsidR="005853A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but our model includes different mutational strategies and the effect of deleterious mutations.</w:t>
      </w:r>
      <w:r w:rsidR="00DF6C0E">
        <w:rPr>
          <w:lang w:bidi="hi-IN"/>
        </w:rPr>
        <w:t xml:space="preserve"> Our </w:t>
      </w:r>
      <w:r w:rsidR="00DF6C0E">
        <w:rPr>
          <w:lang w:bidi="hi-IN"/>
        </w:rPr>
        <w:lastRenderedPageBreak/>
        <w:t xml:space="preserve">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7C70D4" w:rsidRPr="007C70D4">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5853A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5853AD">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xml:space="preserve">. We are </w:t>
      </w:r>
      <w:r w:rsidR="004703D4">
        <w:lastRenderedPageBreak/>
        <w:t>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5853AD" w:rsidRPr="005853AD" w:rsidRDefault="007F0A97">
      <w:pPr>
        <w:pStyle w:val="NormalWeb"/>
        <w:divId w:val="1637099901"/>
        <w:rPr>
          <w:rFonts w:ascii="Palatino Linotype" w:hAnsi="Palatino Linotype"/>
          <w:noProof/>
          <w:sz w:val="22"/>
        </w:rPr>
      </w:pPr>
      <w:r>
        <w:fldChar w:fldCharType="begin" w:fldLock="1"/>
      </w:r>
      <w:r>
        <w:instrText xml:space="preserve">ADDIN Mendeley Bibliography CSL_BIBLIOGRAPHY </w:instrText>
      </w:r>
      <w:r>
        <w:fldChar w:fldCharType="separate"/>
      </w:r>
      <w:r w:rsidR="005853AD" w:rsidRPr="005853AD">
        <w:rPr>
          <w:rFonts w:ascii="Palatino Linotype" w:hAnsi="Palatino Linotype"/>
          <w:noProof/>
          <w:sz w:val="22"/>
        </w:rPr>
        <w:t>Agrawal, A. F. 2002. Genetic loads under fitness-dependent mutation rates. J. Evol. Biol. 15:1004–1010.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Berg, O. G. 1996. Selection intensity for codon bias and the effective population size of </w:t>
      </w:r>
      <w:r w:rsidRPr="005853AD">
        <w:rPr>
          <w:rFonts w:ascii="Palatino Linotype" w:hAnsi="Palatino Linotype"/>
          <w:i/>
          <w:iCs/>
          <w:noProof/>
          <w:sz w:val="22"/>
        </w:rPr>
        <w:t>Escherichia coli</w:t>
      </w:r>
      <w:r w:rsidRPr="005853AD">
        <w:rPr>
          <w:rFonts w:ascii="Palatino Linotype" w:hAnsi="Palatino Linotype"/>
          <w:noProof/>
          <w:sz w:val="22"/>
        </w:rPr>
        <w:t>. Genetics 142:1379–82.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Bjedov, I., O. Tenaillon, B. Gérard, V. Souza, E. Denamur, M. Radman, F. Taddei, and I. Matic. 2003. Stress-induced mutagenesis in bacteria. Science 300:1404–9.</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Bristow, R. G., and R. P. Hill. 2008. Hypoxia and metabolism: Hypoxia, DNA repair and genetic instability. Nat. Rev. Cancer 8:180–92.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Cairns, J., J. Overbaugh, and S. Miller. 1988. The origin of mutants. Nature 335:142–5.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Cirz, R. T., and F. E. Romesberg. 2007. Controlling mutation: intervening in evolution as a therapeutic strategy. Crit. Rev. Biochem. Mol. Biol. 42:341–54.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Coyne, J. A., N. H. Barton, and M. Turelli. 2000. Is Wright’s shifting balance process important in evolution? Evolution 54:306–317.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Crow, J. F., W. R. Engels, and C. Denniston. 1990. Phase Three of Wright’s Shifting-Balance Theory. Evolution 44:233.</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Dawson, K. J. 1998. Evolutionarily stable mutation rates. J. Theor. Biol. 194:143–57.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De Visser, J. A. G. M. 2002. The fate of microbial mutators. Microbiology 148:1247–52.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lastRenderedPageBreak/>
        <w:t xml:space="preserve">Debora, B. N., L. E. Vidales, R. Ramírez, M. Ramírez, E. A. Robleto, R. E. Yasbin, and M. Pedraza-Reyes. 2010. Mismatch Repair Modulation of MutY Activity Drives </w:t>
      </w:r>
      <w:r w:rsidRPr="005853AD">
        <w:rPr>
          <w:rFonts w:ascii="Palatino Linotype" w:hAnsi="Palatino Linotype"/>
          <w:i/>
          <w:iCs/>
          <w:noProof/>
          <w:sz w:val="22"/>
        </w:rPr>
        <w:t>Bacillus subtilis</w:t>
      </w:r>
      <w:r w:rsidRPr="005853AD">
        <w:rPr>
          <w:rFonts w:ascii="Palatino Linotype" w:hAnsi="Palatino Linotype"/>
          <w:noProof/>
          <w:sz w:val="22"/>
        </w:rPr>
        <w:t xml:space="preserve"> Stationary-Phase Mutagenesis. J. Bacteriol. 193:236–45.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Denamur, E., and I. Matic. 2006. Evolution of mutation rates in bacteria. Mol. Microbiol. 60:820–7.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Drake, J. W., B. Charlesworth, D. Charlesworth, and J. F. Crow. 1998. Rates of spontaneous mutation. Genetics 148:1667–86.</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Fisher, R. A. 1930. The Genetical Theory of Natural Selection. Clarendon Press, Oxford.</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Foster, P. L. 2007. Stress-induced mutagenesis in bacteria. Crit. Rev. Biochem. Mol. Biol. 42:373–97.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Galhardo, R. S., P. J. Hastings, and S. M. Rosenberg. 2007. Mutation as a stress response and the regulation of evolvability. Crit. Rev. Biochem. Mol. Biol. 42:399–435.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Gavrilets, S. 1996. On phase three of the shifting-balance theory. Evolution 50:1034–1041.</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Gentile, C. F., S.-C. Yu, S. A. Serrano, P. J. Gerrish, and P. D. Sniegowski. 2011. Competition between high- and higher-mutating strains of </w:t>
      </w:r>
      <w:r w:rsidRPr="005853AD">
        <w:rPr>
          <w:rFonts w:ascii="Palatino Linotype" w:hAnsi="Palatino Linotype"/>
          <w:i/>
          <w:iCs/>
          <w:noProof/>
          <w:sz w:val="22"/>
        </w:rPr>
        <w:t>Escherichia coli</w:t>
      </w:r>
      <w:r w:rsidRPr="005853AD">
        <w:rPr>
          <w:rFonts w:ascii="Palatino Linotype" w:hAnsi="Palatino Linotype"/>
          <w:noProof/>
          <w:sz w:val="22"/>
        </w:rPr>
        <w:t>. Biol. Lett. 7:422–4.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Goho, S., and G. Bell. 2000. Mild environmental stress elicits mutations affecting fitness in Chlamydomonas. Proc. R. Soc. B Biol. Sci. 267:123–9.</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Gordo, I., and F. Dionisio. 2005. Nonequilibrium model for estimating parameters of deleterious mutations. Phys. Rev. E 71:18–21.</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Gordo, I., L. Perfeito, and A. Sousa. 2011. Fitness effects of mutations in bacteria. J. Mol. Microbiol. Biotechnol. 21:20–35.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Hadany, L. 2003. Adaptive peak shifts in a heterogenous environment. Theor. Popul. Biol. 63:41–51.</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lastRenderedPageBreak/>
        <w:t>Hadany, L., and T. Beker. 2003. Fitness-associated recombination on rugged adaptive landscapes. J. Evol. Biol. 16:862–870.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Haigh, J. 1978. The accumulation of deleterious genes in a population - Muller’s Ratchet. Theor. Popul. Biol. 14:251–267.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Hall, L. M. C., and S. K. Henderson-Begg. 2006. Hypermutable bacteria isolated from humans--a critical analysis. Microbiology 152:2505–14.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Hartfield, M., and S. P. Otto. 2011. Recombination and hitchhiking of deleterious alleles. Evolution 65:2421–34.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Heidenreich, E. 2007. Adaptive mutation in </w:t>
      </w:r>
      <w:r w:rsidRPr="005853AD">
        <w:rPr>
          <w:rFonts w:ascii="Palatino Linotype" w:hAnsi="Palatino Linotype"/>
          <w:i/>
          <w:iCs/>
          <w:noProof/>
          <w:sz w:val="22"/>
        </w:rPr>
        <w:t>Saccharomyces cerevisiae</w:t>
      </w:r>
      <w:r w:rsidRPr="005853AD">
        <w:rPr>
          <w:rFonts w:ascii="Palatino Linotype" w:hAnsi="Palatino Linotype"/>
          <w:noProof/>
          <w:sz w:val="22"/>
        </w:rPr>
        <w:t>. Crit. Rev. Biochem. Mol. Biol. 42:285–311.</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Henderson-Begg, S. K., D. M. Livermore, and L. M. C. Hall. 2006. Effect of subinhibitory concentrations of antibiotics on mutation frequency in </w:t>
      </w:r>
      <w:r w:rsidRPr="005853AD">
        <w:rPr>
          <w:rFonts w:ascii="Palatino Linotype" w:hAnsi="Palatino Linotype"/>
          <w:i/>
          <w:iCs/>
          <w:noProof/>
          <w:sz w:val="22"/>
        </w:rPr>
        <w:t>Streptococcus pneumoniae</w:t>
      </w:r>
      <w:r w:rsidRPr="005853AD">
        <w:rPr>
          <w:rFonts w:ascii="Palatino Linotype" w:hAnsi="Palatino Linotype"/>
          <w:noProof/>
          <w:sz w:val="22"/>
        </w:rPr>
        <w:t>. J. Antimicrob. Chemother. 57:849–54.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Kang, J. M., N. M. Iovine, and M. J. Blaser. 2006. A paradigm for direct stress-induced mutation in prokaryotes. FASEB J. 20:2476–85.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Kessler, D. A., and H. Levine. 1998. Mutator Dynamics on a Smooth Evolutionary Landscape. Phys. Rev. Lett. 80:2012–2015.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Kibota, T. T., and M. Lynch. 1996. Estimate of the genomic mutation rate deleterious to overall fitness in </w:t>
      </w:r>
      <w:r w:rsidRPr="005853AD">
        <w:rPr>
          <w:rFonts w:ascii="Palatino Linotype" w:hAnsi="Palatino Linotype"/>
          <w:i/>
          <w:iCs/>
          <w:noProof/>
          <w:sz w:val="22"/>
        </w:rPr>
        <w:t>E. coli</w:t>
      </w:r>
      <w:r w:rsidRPr="005853AD">
        <w:rPr>
          <w:rFonts w:ascii="Palatino Linotype" w:hAnsi="Palatino Linotype"/>
          <w:noProof/>
          <w:sz w:val="22"/>
        </w:rPr>
        <w:t>. Nature 381:694–6.</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Kivisaar, M. 2010. Mechanisms of stationary-phase mutagenesis in bacteria: mutational processes in pseudomonads. FEMS Microbiol. Lett. 312:1–14.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Leigh, E. G. J. 1970. Natural Selection and Mutability. Am. Nat. 104:301–305.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Loh, E., J. J. Salk, and L. A. Loeb. 2010. Optimization of DNA polymerase mutation rates during bacterial evolution. Proc. Natl. Acad. Sci. 107:1154–9.</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Matsuba, C., D. G. Ostrow, M. P. Salomon, A. Tolani, and C. F. Baer. 2012. Temperature, stress and spontaneous mutation in </w:t>
      </w:r>
      <w:r w:rsidRPr="005853AD">
        <w:rPr>
          <w:rFonts w:ascii="Palatino Linotype" w:hAnsi="Palatino Linotype"/>
          <w:i/>
          <w:iCs/>
          <w:noProof/>
          <w:sz w:val="22"/>
        </w:rPr>
        <w:t>Caenorhabditis briggsae</w:t>
      </w:r>
      <w:r w:rsidRPr="005853AD">
        <w:rPr>
          <w:rFonts w:ascii="Palatino Linotype" w:hAnsi="Palatino Linotype"/>
          <w:noProof/>
          <w:sz w:val="22"/>
        </w:rPr>
        <w:t xml:space="preserve"> and </w:t>
      </w:r>
      <w:r w:rsidRPr="005853AD">
        <w:rPr>
          <w:rFonts w:ascii="Palatino Linotype" w:hAnsi="Palatino Linotype"/>
          <w:i/>
          <w:iCs/>
          <w:noProof/>
          <w:sz w:val="22"/>
        </w:rPr>
        <w:t>Caenorhabditis elegans</w:t>
      </w:r>
      <w:r w:rsidRPr="005853AD">
        <w:rPr>
          <w:rFonts w:ascii="Palatino Linotype" w:hAnsi="Palatino Linotype"/>
          <w:noProof/>
          <w:sz w:val="22"/>
        </w:rPr>
        <w:t>. Biol. Lett. 8–12.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Moore, F. B.-G., and S. J. Tonsor. 1994. A Simulation of Wright’s Shifting-Balance Process: Migration and the Three Phases. Evolution 48:69.</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Obolski, U., and L. Hadany. 2012. Implications of stress-induced genetic variation for minimizing multidrug resistance in bacteria. BMC Med. 10:1–30.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lastRenderedPageBreak/>
        <w:t>Peck, S. L., S. P. Ellner, and F. Gould. 2000. Varying migration and deme size and the feasibility of the shifting balance. Evolution 54:324–7.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Ponder, R. G., N. C. Fonville, and S. M. Rosenberg. 2005. A switch from high-fidelity to error-prone DNA double-strand break repair underlies stress-induced mutation. Mol. Cell 19:791–804.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Pupo, G. M., and B. J. Richardson. 1995. Biochemical genetics of a natural population of </w:t>
      </w:r>
      <w:r w:rsidRPr="005853AD">
        <w:rPr>
          <w:rFonts w:ascii="Palatino Linotype" w:hAnsi="Palatino Linotype"/>
          <w:i/>
          <w:iCs/>
          <w:noProof/>
          <w:sz w:val="22"/>
        </w:rPr>
        <w:t>Escherichia coli</w:t>
      </w:r>
      <w:r w:rsidRPr="005853AD">
        <w:rPr>
          <w:rFonts w:ascii="Palatino Linotype" w:hAnsi="Palatino Linotype"/>
          <w:noProof/>
          <w:sz w:val="22"/>
        </w:rPr>
        <w:t>: seasonal changes in alleles and haplotypes. Microbiology 141:1037–44.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Ram, Y., and L. Hadany. 2012. The evolution of stress-induced hypermutation in asexual populations. Evolution 66:2315–28.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Rodriguez, G. P., N. V Romanova, G. Bao, N. C. Rouf, Y. W. Kow, and G. F. Crouse. 2012. Mismatch repair-dependent mutagenesis in nondividing cells. Proc. Natl. Acad. Sci. 109:6153–8.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Rosenberg, S. M., C. Shee, R. L. Frisch, and P. J. Hastings. 2012. Stress-induced mutation via DNA breaks in </w:t>
      </w:r>
      <w:r w:rsidRPr="005853AD">
        <w:rPr>
          <w:rFonts w:ascii="Palatino Linotype" w:hAnsi="Palatino Linotype"/>
          <w:i/>
          <w:iCs/>
          <w:noProof/>
          <w:sz w:val="22"/>
        </w:rPr>
        <w:t>Escherichia coli</w:t>
      </w:r>
      <w:r w:rsidRPr="005853AD">
        <w:rPr>
          <w:rFonts w:ascii="Palatino Linotype" w:hAnsi="Palatino Linotype"/>
          <w:noProof/>
          <w:sz w:val="22"/>
        </w:rPr>
        <w:t>: A molecular mechanism with implications for evolution and medicine. BioEssays 1–8.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Sharp, N. P., and A. F. Agrawal. 2012. Evidence for elevated mutation rates in low-quality genotypes. Proc. Natl. Acad. Sci. 109:6142–6.</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Shaw, F. H., and C. F. Baer. 2011. Fitness-dependent mutation rates in finite populations. J. Evol. Biol. 24:1677–84.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Shee, C., J. L. Gibson, M. C. Darrow, C. Gonzalez, and S. M. Rosenberg. 2011. Impact of a stress-inducible switch to mutagenic repair of DNA breaks on mutation in </w:t>
      </w:r>
      <w:r w:rsidRPr="005853AD">
        <w:rPr>
          <w:rFonts w:ascii="Palatino Linotype" w:hAnsi="Palatino Linotype"/>
          <w:i/>
          <w:iCs/>
          <w:noProof/>
          <w:sz w:val="22"/>
        </w:rPr>
        <w:t>Escherichia coli</w:t>
      </w:r>
      <w:r w:rsidRPr="005853AD">
        <w:rPr>
          <w:rFonts w:ascii="Palatino Linotype" w:hAnsi="Palatino Linotype"/>
          <w:noProof/>
          <w:sz w:val="22"/>
        </w:rPr>
        <w:t>. Proc. Natl. Acad. Sci. 108:13659–13664.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Shor, E., C. a. Fox, and J. R. Broach. 2013. The yeast environmental stress response regulates mutagenesis induced by proteotoxic stress. PLoS Genet. 9:e1003680.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Sniegowski, P. D., P. J. Gerrish, T. Johnson, and A. Shaver. 2000. The evolution of mutation rates: separating causes from consequences. BioEssays 22:1057–66.</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Sniegowski, P. D., P. J. Gerrish, and R. E. Lenski. 1997. Evolution of high mutation rates in experimental populations of E. coli. Nature 387:703–5.</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Sung, W., M. S. Ackerman, S. F. Miller, T. G. Doak, and M. Lynch. 2012. Drift-barrier hypothesis and mutation-rate evolution. Proc. Natl. Acad. Sci. U. S. A. 109:18488–92.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Taddei, F., M. Radman, J. Maynard Smith, B. Toupance, P.-H. Gouyon, and B. Godelle. 1997. Role of mutator alleles in adaptive evolution. Nature 387:700–2.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lastRenderedPageBreak/>
        <w:t>Tenaillon, O., E. Denamur, and I. Matic. 2004. Evolutionary significance of stress-induced mutagenesis in bacteria. Trends Microbiol. 12:264–70.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Tenaillon, O., H. Le Nagard, B. Godelle, and F. Taddei. 2000. Mutators and sex in bacteria: conflict between adaptive strategies. Proc. Natl. Acad. Sci. 97:10465–70.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5853AD">
        <w:rPr>
          <w:rFonts w:ascii="Palatino Linotype" w:hAnsi="Palatino Linotype"/>
          <w:i/>
          <w:iCs/>
          <w:noProof/>
          <w:sz w:val="22"/>
        </w:rPr>
        <w:t>Escherichia coli</w:t>
      </w:r>
      <w:r w:rsidRPr="005853AD">
        <w:rPr>
          <w:rFonts w:ascii="Palatino Linotype" w:hAnsi="Palatino Linotype"/>
          <w:noProof/>
          <w:sz w:val="22"/>
        </w:rPr>
        <w:t xml:space="preserve"> population. PLoS One 8:e72963.</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Wade, M. J., and C. J. Goodnight. 1991. Wright’s shifting balance theory: an experimental study. Science 253:1015–8.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Weinreich, D. M., and L. Chao. 2005. Rapid evolutionary escape by large populations from local fitness peaks is likely in nature. Evolution 59:1175–82.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Weissman, D. B., M. W. Feldman, and D. S. Fisher. 2010. The rate of fitness-valley crossing in sexual populations. Genetics 186:1389–410.</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Whitlock, M. C. 1997. Founder effects and peak shifts without genetic drift: adaptive peak shifts occur easily when environments fluctuate slightly. Evolution 51:1044.</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Whitlock, M. C. 1995. Variance-induced peak shifts. Evolution 49:252.</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Whitlock, M. C., and P. C. Phillips. 2000. The exquisite corpse: a shifting view of the shifting balance. Trends Ecol. Evol. 15:347–348.</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Wielgoss, S., J. E. Barrick, O. Tenaillon, M. J. Wiser, W. J. Dittmar, S. Cruveiller, B. Chane-Woon-Ming, C. Medigue, R. E. Lenski, and D. Schneider. 2012. Mutation rate </w:t>
      </w:r>
      <w:r w:rsidRPr="005853AD">
        <w:rPr>
          <w:rFonts w:ascii="Palatino Linotype" w:hAnsi="Palatino Linotype"/>
          <w:noProof/>
          <w:sz w:val="22"/>
        </w:rPr>
        <w:lastRenderedPageBreak/>
        <w:t>dynamics in a bacterial population reflect tension between adaptation and genetic load. Proc. Natl. Acad. Sci. 110:222–227.</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Wright, S. 1931. Evolution in Mendelian Populations. Genetics 16:97–159.</w:t>
      </w:r>
    </w:p>
    <w:p w:rsidR="005853AD" w:rsidRPr="005853AD" w:rsidRDefault="005853AD">
      <w:pPr>
        <w:pStyle w:val="NormalWeb"/>
        <w:divId w:val="1637099901"/>
        <w:rPr>
          <w:rFonts w:ascii="Palatino Linotype" w:hAnsi="Palatino Linotype"/>
          <w:noProof/>
          <w:sz w:val="22"/>
        </w:rPr>
      </w:pPr>
      <w:r w:rsidRPr="005853AD">
        <w:rPr>
          <w:rFonts w:ascii="Palatino Linotype" w:hAnsi="Palatino Linotype"/>
          <w:noProof/>
          <w:sz w:val="22"/>
        </w:rPr>
        <w:t xml:space="preserve">Wright, S. 1988. Surfaces of selective value revisited. Am. Nat. 131:115–123. </w:t>
      </w:r>
    </w:p>
    <w:p w:rsidR="00096116" w:rsidRPr="005853AD" w:rsidRDefault="007F0A97" w:rsidP="005853AD">
      <w:pPr>
        <w:pStyle w:val="Heading1"/>
        <w:rPr>
          <w:lang w:bidi="hi-IN"/>
        </w:rPr>
      </w:pPr>
      <w:r>
        <w:fldChar w:fldCharType="end"/>
      </w:r>
      <w:r w:rsidR="00096116" w:rsidRPr="005853AD">
        <w:rPr>
          <w:lang w:bidi="hi-IN"/>
        </w:rPr>
        <w:t>Appendi</w:t>
      </w:r>
      <w:r w:rsidR="004747BD" w:rsidRPr="005853AD">
        <w:rPr>
          <w:lang w:bidi="hi-IN"/>
        </w:rPr>
        <w:t>ces</w:t>
      </w:r>
    </w:p>
    <w:p w:rsidR="00096116" w:rsidRDefault="0002786D" w:rsidP="002A0DCC">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Start w:id="17" w:name="_GoBack"/>
      <w:bookmarkEnd w:id="16"/>
      <w:bookmarkEnd w:id="17"/>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BD0663"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8" w:name="_Ref360530760"/>
      <w:bookmarkStart w:id="19" w:name="_Ref363980888"/>
      <w:r>
        <w:t>Appendix</w:t>
      </w:r>
      <w:bookmarkEnd w:id="18"/>
      <w:r w:rsidR="000F7D03">
        <w:t xml:space="preserve"> 2</w:t>
      </w:r>
      <w:bookmarkEnd w:id="19"/>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5853A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lastRenderedPageBreak/>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20"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21" w:name="_Ref363980903"/>
      <w:r>
        <w:t xml:space="preserve">Appendix </w:t>
      </w:r>
      <w:bookmarkEnd w:id="20"/>
      <w:r w:rsidR="000F7D03">
        <w:t>3</w:t>
      </w:r>
      <w:bookmarkEnd w:id="21"/>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5853AD">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lastRenderedPageBreak/>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4E782E" w:rsidP="002A0DCC">
      <w:pPr>
        <w:keepNext/>
        <w:spacing w:line="480" w:lineRule="auto"/>
        <w:jc w:val="center"/>
      </w:pPr>
      <w:r>
        <w:rPr>
          <w:noProof/>
        </w:rPr>
        <w:drawing>
          <wp:inline distT="0" distB="0" distL="0" distR="0" wp14:anchorId="58ACABA5" wp14:editId="7341C31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2"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1</w:t>
      </w:r>
      <w:r>
        <w:rPr>
          <w:b/>
          <w:bCs/>
        </w:rPr>
        <w:fldChar w:fldCharType="end"/>
      </w:r>
      <w:bookmarkEnd w:id="2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lastRenderedPageBreak/>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drawing>
          <wp:inline distT="0" distB="0" distL="0" distR="0" wp14:anchorId="3CE71823" wp14:editId="0895C013">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450026">
      <w:pPr>
        <w:pStyle w:val="FigureLegend"/>
        <w:spacing w:line="480" w:lineRule="auto"/>
      </w:pPr>
      <w:bookmarkStart w:id="23"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2</w:t>
      </w:r>
      <w:r>
        <w:rPr>
          <w:b/>
          <w:bCs/>
        </w:rPr>
        <w:fldChar w:fldCharType="end"/>
      </w:r>
      <w:bookmarkEnd w:id="23"/>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7C70D4">
        <w:rPr>
          <w:rFonts w:hint="cs"/>
          <w:cs/>
        </w:rPr>
        <w:t>‎</w:t>
      </w:r>
      <w:r w:rsidR="007C70D4">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450026">
        <w:fldChar w:fldCharType="begin"/>
      </w:r>
      <w:r w:rsidR="00450026">
        <w:instrText xml:space="preserve"> REF _Ref374377810 \r \h </w:instrText>
      </w:r>
      <w:r w:rsidR="00450026">
        <w:fldChar w:fldCharType="separate"/>
      </w:r>
      <w:r w:rsidR="007C70D4">
        <w:rPr>
          <w:rFonts w:hint="cs"/>
          <w:cs/>
        </w:rPr>
        <w:t>‎</w:t>
      </w:r>
      <w:r w:rsidR="007C70D4">
        <w:t>3.4</w:t>
      </w:r>
      <w:r w:rsidR="00450026">
        <w:fldChar w:fldCharType="end"/>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7C70D4">
        <w:t>(</w:t>
      </w:r>
      <w:r w:rsidR="007C70D4">
        <w:rPr>
          <w:noProof/>
        </w:rPr>
        <w:t>8</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73F645B5" wp14:editId="49DD226B">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450026">
      <w:pPr>
        <w:spacing w:line="480" w:lineRule="auto"/>
        <w:jc w:val="center"/>
        <w:rPr>
          <w:sz w:val="16"/>
          <w:szCs w:val="16"/>
        </w:rPr>
      </w:pPr>
      <w:bookmarkStart w:id="24"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7C70D4">
        <w:rPr>
          <w:b/>
          <w:bCs/>
          <w:noProof/>
          <w:sz w:val="16"/>
          <w:szCs w:val="16"/>
        </w:rPr>
        <w:t>3</w:t>
      </w:r>
      <w:r w:rsidRPr="003C4248">
        <w:rPr>
          <w:b/>
          <w:bCs/>
          <w:sz w:val="16"/>
          <w:szCs w:val="16"/>
        </w:rPr>
        <w:fldChar w:fldCharType="end"/>
      </w:r>
      <w:bookmarkEnd w:id="24"/>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437E51D7" wp14:editId="60167F51">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450026">
      <w:pPr>
        <w:pStyle w:val="FigureLegend"/>
        <w:spacing w:line="480" w:lineRule="auto"/>
        <w:rPr>
          <w:rFonts w:eastAsiaTheme="minorEastAsia"/>
          <w:lang w:bidi="hi-IN"/>
        </w:rPr>
      </w:pPr>
      <w:bookmarkStart w:id="25"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4</w:t>
      </w:r>
      <w:r>
        <w:rPr>
          <w:b/>
          <w:bCs/>
        </w:rPr>
        <w:fldChar w:fldCharType="end"/>
      </w:r>
      <w:bookmarkEnd w:id="25"/>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w:t>
      </w:r>
      <w:r w:rsidR="00450026">
        <w:rPr>
          <w:lang w:bidi="hi-IN"/>
        </w:rPr>
        <w:t>induced mutagenesis (SIM</w:t>
      </w:r>
      <w:r>
        <w:rPr>
          <w:lang w:bidi="hi-IN"/>
        </w:rPr>
        <w:t xml:space="preserve">) increases the mutation rate of stressed or maladapted </w:t>
      </w:r>
      <w:proofErr w:type="gramStart"/>
      <w:r>
        <w:rPr>
          <w:lang w:bidi="hi-IN"/>
        </w:rPr>
        <w:t>individuals</w:t>
      </w:r>
      <w:proofErr w:type="gramEnd"/>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5A1F3AF0" wp14:editId="7B24F455">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857502">
      <w:pPr>
        <w:pStyle w:val="Caption"/>
        <w:spacing w:line="480" w:lineRule="auto"/>
        <w:jc w:val="center"/>
        <w:rPr>
          <w:rFonts w:eastAsiaTheme="minorHAnsi"/>
          <w:b w:val="0"/>
          <w:bCs w:val="0"/>
          <w:smallCaps w:val="0"/>
          <w:noProof/>
          <w:color w:val="auto"/>
          <w:spacing w:val="0"/>
          <w:sz w:val="16"/>
          <w:szCs w:val="16"/>
          <w:lang w:bidi="he-IL"/>
        </w:rPr>
      </w:pPr>
      <w:bookmarkStart w:id="26"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7C70D4">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6"/>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7C70D4" w:rsidRPr="007C70D4">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527A49">
      <w:pPr>
        <w:pStyle w:val="FigureLegend"/>
        <w:spacing w:line="480" w:lineRule="auto"/>
      </w:pPr>
      <w:bookmarkStart w:id="27" w:name="_Ref358791100"/>
      <w:r>
        <w:t xml:space="preserve">Table </w:t>
      </w:r>
      <w:r>
        <w:fldChar w:fldCharType="begin"/>
      </w:r>
      <w:r w:rsidRPr="00E1623D">
        <w:instrText xml:space="preserve"> SEQ Table \* ARABIC </w:instrText>
      </w:r>
      <w:r>
        <w:fldChar w:fldCharType="separate"/>
      </w:r>
      <w:r w:rsidR="007C70D4">
        <w:rPr>
          <w:noProof/>
        </w:rPr>
        <w:t>1</w:t>
      </w:r>
      <w:r>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853A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853A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853AD">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E39" w:rsidRDefault="006E4E39" w:rsidP="009A122D">
      <w:pPr>
        <w:spacing w:after="0" w:line="240" w:lineRule="auto"/>
      </w:pPr>
      <w:r>
        <w:separator/>
      </w:r>
    </w:p>
  </w:endnote>
  <w:endnote w:type="continuationSeparator" w:id="0">
    <w:p w:rsidR="006E4E39" w:rsidRDefault="006E4E3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423C772-E97C-4DBD-87E4-F608A7BB91AF}"/>
    <w:embedBold r:id="rId2" w:fontKey="{2C720AB9-C8E2-4FEE-B3F0-B57A4AEE6ED8}"/>
    <w:embedItalic r:id="rId3" w:fontKey="{966A007F-C748-46BB-BA38-259585D5D830}"/>
    <w:embedBoldItalic r:id="rId4" w:fontKey="{A6735EDA-7B25-46A7-9980-9170E1988166}"/>
  </w:font>
  <w:font w:name="Tahoma">
    <w:panose1 w:val="020B0604030504040204"/>
    <w:charset w:val="00"/>
    <w:family w:val="swiss"/>
    <w:pitch w:val="variable"/>
    <w:sig w:usb0="E1002EFF" w:usb1="C000605B" w:usb2="00000029" w:usb3="00000000" w:csb0="000101FF" w:csb1="00000000"/>
    <w:embedRegular r:id="rId5" w:fontKey="{ACB7D4AC-1459-4306-B483-6A16909913B6}"/>
  </w:font>
  <w:font w:name="cmr10">
    <w:charset w:val="00"/>
    <w:family w:val="swiss"/>
    <w:pitch w:val="variable"/>
    <w:sig w:usb0="00000003" w:usb1="00000000" w:usb2="00000000" w:usb3="00000000" w:csb0="00000001" w:csb1="00000000"/>
    <w:embedRegular r:id="rId6" w:fontKey="{D5164B2E-3AA5-4703-ADEB-7C333A35AF2C}"/>
  </w:font>
  <w:font w:name="Cambria Math">
    <w:panose1 w:val="02040503050406030204"/>
    <w:charset w:val="00"/>
    <w:family w:val="roman"/>
    <w:pitch w:val="variable"/>
    <w:sig w:usb0="E00002FF" w:usb1="420024FF" w:usb2="00000000" w:usb3="00000000" w:csb0="0000019F" w:csb1="00000000"/>
    <w:embedItalic r:id="rId7" w:fontKey="{605D251B-A441-4EE1-876E-B50968F2374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D568B" w:rsidRDefault="004D568B">
        <w:pPr>
          <w:pStyle w:val="Footer"/>
          <w:jc w:val="center"/>
        </w:pPr>
        <w:r>
          <w:fldChar w:fldCharType="begin"/>
        </w:r>
        <w:r>
          <w:instrText xml:space="preserve"> PAGE   \* MERGEFORMAT </w:instrText>
        </w:r>
        <w:r>
          <w:fldChar w:fldCharType="separate"/>
        </w:r>
        <w:r w:rsidR="005853AD">
          <w:rPr>
            <w:noProof/>
          </w:rPr>
          <w:t>26</w:t>
        </w:r>
        <w:r>
          <w:rPr>
            <w:noProof/>
          </w:rPr>
          <w:fldChar w:fldCharType="end"/>
        </w:r>
      </w:p>
    </w:sdtContent>
  </w:sdt>
  <w:p w:rsidR="004D568B" w:rsidRDefault="004D56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E39" w:rsidRDefault="006E4E39" w:rsidP="009A122D">
      <w:pPr>
        <w:spacing w:after="0" w:line="240" w:lineRule="auto"/>
      </w:pPr>
      <w:r>
        <w:separator/>
      </w:r>
    </w:p>
  </w:footnote>
  <w:footnote w:type="continuationSeparator" w:id="0">
    <w:p w:rsidR="006E4E39" w:rsidRDefault="006E4E39"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74CA"/>
    <w:rsid w:val="001C3DA4"/>
    <w:rsid w:val="001C455A"/>
    <w:rsid w:val="001C5D6C"/>
    <w:rsid w:val="001D4AFA"/>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54610"/>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9C8"/>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ABC"/>
    <w:rsid w:val="00652D72"/>
    <w:rsid w:val="00663378"/>
    <w:rsid w:val="00665310"/>
    <w:rsid w:val="0066767E"/>
    <w:rsid w:val="00667ECA"/>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E4E39"/>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410A2"/>
    <w:rsid w:val="0085140E"/>
    <w:rsid w:val="00851EBB"/>
    <w:rsid w:val="00857502"/>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B7398"/>
    <w:rsid w:val="00BC26DA"/>
    <w:rsid w:val="00BC359F"/>
    <w:rsid w:val="00BC43DA"/>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822"/>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2D5967"/>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188CC-EF6A-4519-B1CB-A5AC26A6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9671</TotalTime>
  <Pages>32</Pages>
  <Words>44408</Words>
  <Characters>222040</Characters>
  <Application>Microsoft Office Word</Application>
  <DocSecurity>0</DocSecurity>
  <Lines>1850</Lines>
  <Paragraphs>531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265917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216</cp:revision>
  <dcterms:created xsi:type="dcterms:W3CDTF">2013-08-25T12:42:00Z</dcterms:created>
  <dcterms:modified xsi:type="dcterms:W3CDTF">2013-12-10T11:35:00Z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