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9"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625517" w:rsidP="00625517">
      <w:r>
        <w:t xml:space="preserve">Stress-induced mutagenesis (SIM), the phenomenon in which </w:t>
      </w:r>
      <w:r>
        <w:t xml:space="preserve">the mutation rate of </w:t>
      </w:r>
      <w:r>
        <w:t xml:space="preserve">stressed or maladapted individuals </w:t>
      </w:r>
      <w:r>
        <w:t>is increased</w:t>
      </w:r>
      <w:r>
        <w:t xml:space="preserve">, has been demonstrated in numerous species, both prokaryote and eukaryote </w:t>
      </w:r>
      <w:r>
        <w:fldChar w:fldCharType="begin" w:fldLock="1"/>
      </w:r>
      <w:r w:rsidR="00932C9B">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w:t>
      </w:r>
      <w:r>
        <w:t xml:space="preserve">More specifically, various stress responses have been shown to regulate increases in the mutation rate by shifting the cell to use error-prone DNA polymerases </w:t>
      </w:r>
      <w:r>
        <w:fldChar w:fldCharType="begin" w:fldLock="1"/>
      </w:r>
      <w:r w:rsidR="00932C9B">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932C9B">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625517" w:rsidRDefault="001307C7" w:rsidP="001307C7">
      <w:r>
        <w:t xml:space="preserve">There is both experimental, clinical and theoretical evidence that increased mutation rates have an effect on adaptation and that during adaptive evolution constitutive mutators - alleles that constitutively increase the mutation rate – can rise in frequency because of this effect </w:t>
      </w:r>
      <w:r>
        <w:fldChar w:fldCharType="begin" w:fldLock="1"/>
      </w:r>
      <w:r w:rsidR="00932C9B">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these mutators suffer from the accumulation of deleterious mutations and are purged from the environment, leading to the idiom of "the rise and fall of the mutator allele" </w:t>
      </w:r>
      <w:r>
        <w:fldChar w:fldCharType="begin" w:fldLock="1"/>
      </w:r>
      <w:r w:rsidR="00932C9B">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Therefore, it seems that the mutation rate must balance two traits – adaptability and adaptedness</w:t>
      </w:r>
      <w:r w:rsidR="00932C9B">
        <w:t>, was coined by Leigh</w:t>
      </w:r>
      <w:r>
        <w:t xml:space="preserve"> </w:t>
      </w:r>
      <w:r>
        <w:fldChar w:fldCharType="begin" w:fldLock="1"/>
      </w:r>
      <w:r w:rsidR="00932C9B">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bookmarkStart w:id="0" w:name="_GoBack"/>
      <w:bookmarkEnd w:id="0"/>
      <w:r w:rsidR="00932C9B" w:rsidRPr="00932C9B">
        <w:rPr>
          <w:noProof/>
        </w:rPr>
        <w:t>(1970)</w:t>
      </w:r>
      <w:r>
        <w:fldChar w:fldCharType="end"/>
      </w:r>
      <w:r>
        <w:t>.</w:t>
      </w:r>
    </w:p>
    <w:p w:rsidR="001307C7" w:rsidRDefault="001307C7" w:rsidP="00932C9B">
      <w:r>
        <w:t xml:space="preserve">SIM is considered by many to have a meaningful impact on </w:t>
      </w:r>
      <w:r>
        <w:rPr>
          <w:i/>
          <w:iCs/>
        </w:rPr>
        <w:t xml:space="preserve">adaptability </w:t>
      </w:r>
      <w:r>
        <w:t xml:space="preserve">or </w:t>
      </w:r>
      <w:r>
        <w:rPr>
          <w:i/>
          <w:iCs/>
        </w:rPr>
        <w:t>evolvability</w:t>
      </w:r>
      <w:r>
        <w:t xml:space="preserve"> - the capacity of individuals and populations to evolve and adapt </w:t>
      </w:r>
      <w:r>
        <w:fldChar w:fldCharType="begin" w:fldLock="1"/>
      </w:r>
      <w:r w:rsidR="00932C9B">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t xml:space="preserve">, but there is currently no theoretical treatment of this effect. The effect of SIM on adaptedness – the capacity of populations to remain adapted to current environmental conditions – did receive theoretical treatment by Agrawal </w:t>
      </w:r>
      <w:r>
        <w:fldChar w:fldCharType="begin" w:fldLock="1"/>
      </w:r>
      <w:r w:rsidR="00932C9B">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SIM doesn't affect the population mean fitness in constant environments. In a more recent work, we have showed that this if rare beneficial mutations can occur than SIM is slightly advantageous in a constant environment </w:t>
      </w:r>
      <w:r w:rsidR="00932C9B">
        <w:fldChar w:fldCharType="begin" w:fldLock="1"/>
      </w:r>
      <w:r w:rsidR="00932C9B">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p>
    <w:p w:rsidR="00625517" w:rsidRDefault="00625517" w:rsidP="00932C9B">
      <w:pPr>
        <w:rPr>
          <w:lang w:bidi="hi-IN"/>
        </w:rPr>
      </w:pPr>
      <w:r>
        <w:t>Here, we analyze a population geneti</w:t>
      </w:r>
      <w:r w:rsidR="00932C9B">
        <w:t>c model of an asexual population</w:t>
      </w:r>
      <w:r>
        <w:t xml:space="preserve">. We derive analytical expressions that demonstrate that SIM increases </w:t>
      </w:r>
      <w:r w:rsidR="00932C9B">
        <w:t xml:space="preserve">both the mean fitness and the </w:t>
      </w:r>
      <w:r>
        <w:t xml:space="preserve">adaptation rate </w:t>
      </w:r>
      <w:r w:rsidR="00932C9B">
        <w:t>of asexual populations</w:t>
      </w:r>
      <w:r w:rsidR="00932C9B">
        <w:rPr>
          <w:lang w:bidi="hi-IN"/>
        </w:rPr>
        <w:t xml:space="preserve">. We compare SIM to CM and non-mutators (NM) to show that SIM is a more efficient mutational strategy, allowing individuals and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101FCD" w:rsidRDefault="001910E3" w:rsidP="00E466DE">
      <w:pPr>
        <w:rPr>
          <w:lang w:bidi="hi-IN"/>
        </w:rPr>
      </w:pPr>
      <w:r>
        <w:rPr>
          <w:lang w:bidi="hi-IN"/>
        </w:rPr>
        <w:t xml:space="preserve">We consider a population of </w:t>
      </w:r>
      <w:r>
        <w:rPr>
          <w:i/>
          <w:iCs/>
          <w:lang w:bidi="hi-IN"/>
        </w:rPr>
        <w:t>N</w:t>
      </w:r>
      <w:r>
        <w:rPr>
          <w:lang w:bidi="hi-IN"/>
        </w:rPr>
        <w:t xml:space="preserve"> haploid asexual individuals. The number of new 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lastRenderedPageBreak/>
        <w:t>genome.</w:t>
      </w:r>
      <w:r w:rsidR="002B1207" w:rsidRPr="002B1207">
        <w:rPr>
          <w:lang w:bidi="hi-IN"/>
        </w:rPr>
        <w:t xml:space="preserve"> A mutation is deleterious or beneficial with probabilities </w:t>
      </w:r>
      <w:r w:rsidR="002B1207" w:rsidRPr="002B1207">
        <w:rPr>
          <w:rFonts w:cs="Times New Roman"/>
          <w:i/>
          <w:iCs/>
          <w:lang w:bidi="hi-IN"/>
        </w:rPr>
        <w:t>δ</w:t>
      </w:r>
      <w:r w:rsidR="002B1207" w:rsidRPr="002B1207">
        <w:rPr>
          <w:rFonts w:cs="Times New Roman"/>
          <w:lang w:bidi="hi-IN"/>
        </w:rPr>
        <w:t xml:space="preserve"> </w:t>
      </w:r>
      <w:r w:rsidR="002B1207" w:rsidRPr="002B1207">
        <w:rPr>
          <w:lang w:bidi="hi-IN"/>
        </w:rPr>
        <w:t>and</w:t>
      </w:r>
      <w:r w:rsidR="002B1207" w:rsidRPr="002B1207">
        <w:rPr>
          <w:rFonts w:cs="Times New Roman"/>
          <w:lang w:bidi="hi-IN"/>
        </w:rPr>
        <w:t xml:space="preserve"> </w:t>
      </w:r>
      <w:r w:rsidR="002B1207" w:rsidRPr="002B1207">
        <w:rPr>
          <w:rFonts w:cs="Times New Roman"/>
          <w:i/>
          <w:iCs/>
          <w:lang w:bidi="hi-IN"/>
        </w:rPr>
        <w:t>β</w:t>
      </w:r>
      <w:r w:rsidR="002B1207">
        <w:rPr>
          <w:lang w:bidi="hi-IN"/>
        </w:rPr>
        <w:t xml:space="preserve"> such that </w:t>
      </w:r>
      <w:r w:rsidR="002B1207" w:rsidRPr="002B1207">
        <w:rPr>
          <w:rFonts w:cs="Times New Roman"/>
          <w:i/>
          <w:iCs/>
          <w:lang w:bidi="hi-IN"/>
        </w:rPr>
        <w:t>δ</w:t>
      </w:r>
      <w:r w:rsidR="002B1207" w:rsidRPr="002B1207">
        <w:rPr>
          <w:rFonts w:cs="Times New Roman"/>
          <w:lang w:bidi="hi-IN"/>
        </w:rPr>
        <w:t>+</w:t>
      </w:r>
      <w:r w:rsidR="002B1207" w:rsidRPr="002B1207">
        <w:rPr>
          <w:rFonts w:cs="Times New Roman"/>
          <w:i/>
          <w:iCs/>
          <w:lang w:bidi="hi-IN"/>
        </w:rPr>
        <w:t>β</w:t>
      </w:r>
      <w:r w:rsidR="002B1207">
        <w:rPr>
          <w:rFonts w:cs="Times New Roman"/>
          <w:i/>
          <w:iCs/>
          <w:lang w:bidi="hi-IN"/>
        </w:rPr>
        <w:t>=1</w:t>
      </w:r>
      <w:r w:rsidR="002B1207">
        <w:rPr>
          <w:lang w:bidi="hi-IN"/>
        </w:rPr>
        <w:t>.</w:t>
      </w:r>
      <w:r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E466DE">
        <w:rPr>
          <w:lang w:bidi="hi-IN"/>
        </w:rPr>
        <w:t xml:space="preserve"> which we assume is higher than the mutation rate: </w:t>
      </w:r>
      <w:r w:rsidR="00E466DE">
        <w:rPr>
          <w:i/>
          <w:iCs/>
          <w:lang w:bidi="hi-IN"/>
        </w:rPr>
        <w:t>s&gt;U</w:t>
      </w:r>
      <w:r>
        <w:rPr>
          <w:lang w:bidi="hi-IN"/>
        </w:rPr>
        <w:t>.</w:t>
      </w:r>
      <w:r w:rsidR="002B1207">
        <w:rPr>
          <w:lang w:bidi="hi-IN"/>
        </w:rPr>
        <w:t xml:space="preserve"> Unless otherwise mentioned, beneficial mutations have an opposite effect, essentially reducing the number of deleterious mutations in the individual.</w:t>
      </w:r>
      <w:r w:rsidR="00101FCD">
        <w:rPr>
          <w:lang w:bidi="hi-IN"/>
        </w:rPr>
        <w:t xml:space="preserve"> </w:t>
      </w:r>
      <w:r w:rsidR="00101FCD">
        <w:t xml:space="preserve">Mutational strategies </w:t>
      </w:r>
      <w:r w:rsidR="00101FCD" w:rsidRPr="00101FCD">
        <w:t xml:space="preserve">are defined by two parameters: the fold increase in mutation rate, </w:t>
      </w:r>
      <w:r w:rsidR="00101FCD" w:rsidRPr="00101FCD">
        <w:rPr>
          <w:i/>
          <w:iCs/>
        </w:rPr>
        <w:t>τ</w:t>
      </w:r>
      <w:r w:rsidR="00101FCD" w:rsidRPr="00101FCD">
        <w:t>, and the</w:t>
      </w:r>
      <w:r w:rsidR="00101FCD">
        <w:rPr>
          <w:lang w:bidi="hi-IN"/>
        </w:rPr>
        <w:t xml:space="preserve"> minimum number of deleterious mutations sufficient to induce hypermutation, </w:t>
      </w:r>
      <w:r w:rsidR="00101FCD" w:rsidRPr="00101FCD">
        <w:rPr>
          <w:i/>
          <w:iCs/>
        </w:rPr>
        <w:t>π</w:t>
      </w:r>
      <w:r w:rsidR="00101FCD">
        <w:rPr>
          <w:lang w:bidi="hi-IN"/>
        </w:rPr>
        <w:t xml:space="preserve">. The three prototypical strategies are: normal mutagenesis (NM),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=1</w:t>
      </w:r>
      <w:r w:rsidR="00101FCD">
        <w:t xml:space="preserve">, where there is no increase in mutation rates; constitutive mutagenesis (CM)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&gt;1</w:t>
      </w:r>
      <w:r w:rsidR="00101FCD">
        <w:t xml:space="preserve">, where all individuals increase their mutation rate by </w:t>
      </w:r>
      <w:r w:rsidR="00101FCD" w:rsidRPr="00101FCD">
        <w:rPr>
          <w:i/>
          <w:iCs/>
        </w:rPr>
        <w:t>τ</w:t>
      </w:r>
      <w:r w:rsidR="00101FCD">
        <w:t xml:space="preserve">; and stress-induced mutagenesis (SIM), with </w:t>
      </w:r>
      <w:r w:rsidR="00101FCD" w:rsidRPr="00101FCD">
        <w:rPr>
          <w:i/>
          <w:iCs/>
        </w:rPr>
        <w:t>π</w:t>
      </w:r>
      <w:r w:rsidR="00101FCD">
        <w:rPr>
          <w:i/>
          <w:iCs/>
        </w:rPr>
        <w:t xml:space="preserve">&gt;0 </w:t>
      </w:r>
      <w:r w:rsidR="00101FCD" w:rsidRPr="00101FCD">
        <w:t xml:space="preserve">and </w:t>
      </w:r>
      <w:r w:rsidR="00101FCD" w:rsidRPr="00101FCD">
        <w:rPr>
          <w:i/>
          <w:iCs/>
        </w:rPr>
        <w:t>τ</w:t>
      </w:r>
      <w:r w:rsidR="00101FCD">
        <w:rPr>
          <w:i/>
          <w:iCs/>
        </w:rPr>
        <w:t>&gt;1</w:t>
      </w:r>
      <w:r w:rsidR="00101FCD">
        <w:t xml:space="preserve">, where only individuals with at least </w:t>
      </w:r>
      <w:r w:rsidR="00101FCD" w:rsidRPr="00101FCD">
        <w:t>π</w:t>
      </w:r>
      <w:r w:rsidR="00101FCD">
        <w:t xml:space="preserve"> deleterious mutations increase their mutation rate by </w:t>
      </w:r>
      <w:r w:rsidR="00101FCD" w:rsidRPr="00101FCD">
        <w:rPr>
          <w:i/>
          <w:iCs/>
        </w:rPr>
        <w:t>τ</w:t>
      </w:r>
      <w:r w:rsidR="00101FCD" w:rsidRPr="00101FCD">
        <w:t>.</w:t>
      </w:r>
      <w:r w:rsidR="001033CA">
        <w:t xml:space="preserve"> </w:t>
      </w:r>
    </w:p>
    <w:p w:rsidR="001033CA" w:rsidRDefault="001033CA" w:rsidP="001033CA">
      <w:pPr>
        <w:rPr>
          <w:lang w:bidi="hi-IN"/>
        </w:rPr>
      </w:pPr>
      <w:r>
        <w:rPr>
          <w:lang w:bidi="hi-IN"/>
        </w:rPr>
        <w:t xml:space="preserve">We develop four distinct models: (i) mutation-selection balance in a constant environment, (ii) adaptive evolution of a one-locus trait in a smooth fitness landscape, (iii) adaptive evolution of a double-locus trait in a rugged fitness landscape, and </w:t>
      </w:r>
      <w:proofErr w:type="gramStart"/>
      <w:r>
        <w:rPr>
          <w:lang w:bidi="hi-IN"/>
        </w:rPr>
        <w:t>(iv) the</w:t>
      </w:r>
      <w:proofErr w:type="gramEnd"/>
      <w:r>
        <w:rPr>
          <w:lang w:bidi="hi-IN"/>
        </w:rPr>
        <w:t xml:space="preserve"> loss of the fittest genotype by drift, aka </w:t>
      </w:r>
      <w:r>
        <w:rPr>
          <w:i/>
          <w:iCs/>
          <w:lang w:bidi="hi-IN"/>
        </w:rPr>
        <w:t>Muller's ratchet</w:t>
      </w:r>
      <w:r>
        <w:rPr>
          <w:lang w:bidi="hi-IN"/>
        </w:rPr>
        <w:t>. We use a mixture of analytic approximations and stochastic simulation to compare the effect of different mutational strategies (NM, CM and SIM) in these models.</w:t>
      </w:r>
    </w:p>
    <w:p w:rsidR="001033CA" w:rsidRDefault="001033CA" w:rsidP="001033CA">
      <w:pPr>
        <w:pStyle w:val="Heading2"/>
      </w:pPr>
      <w:r>
        <w:t>Mutation-selection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125157">
      <w:pPr>
        <w:rPr>
          <w:rFonts w:eastAsiaTheme="minorEastAsia"/>
          <w:lang w:bidi="hi-IN"/>
        </w:rPr>
      </w:pPr>
      <w:r>
        <w:rPr>
          <w:rFonts w:eastAsiaTheme="minorEastAsia"/>
          <w:lang w:bidi="hi-IN"/>
        </w:rPr>
        <w:t>This can also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932C9B">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 xml:space="preserve">δ=1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932C9B">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932C9B">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w:t>
      </w:r>
      <w:proofErr w:type="gramStart"/>
      <w:r>
        <w:rPr>
          <w:rFonts w:eastAsiaTheme="minorEastAsia"/>
          <w:lang w:bidi="hi-IN"/>
        </w:rPr>
        <w:t xml:space="preserve">that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0D56CE" w:rsidP="000D56CE">
      <w:r>
        <w:t xml:space="preserve">We consider a population at a MSB in which the wildtype genotype is </w:t>
      </w:r>
      <w:r>
        <w:rPr>
          <w:i/>
          <w:iCs/>
        </w:rPr>
        <w:t>ab</w:t>
      </w:r>
      <w:r>
        <w:t xml:space="preserve"> and its fitness is 1. Site-specific mutations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Individuals with SIM and fitness lower than 1 increase their mutation rate </w:t>
      </w:r>
      <w:r w:rsidRPr="0062461C">
        <w:rPr>
          <w:rFonts w:ascii="Times New Roman" w:hAnsi="Times New Roman"/>
          <w:i/>
          <w:iCs/>
        </w:rPr>
        <w:t>τ</w:t>
      </w:r>
      <w:r>
        <w:t xml:space="preserve">-fold. </w:t>
      </w:r>
    </w:p>
    <w:p w:rsidR="000D56CE" w:rsidRDefault="000D56CE" w:rsidP="000D56CE">
      <w:r>
        <w:t xml:space="preserve">We are interested in the capacity of the population to adapt to an environmental change after which the double mutant </w:t>
      </w:r>
      <w:r>
        <w:rPr>
          <w:i/>
          <w:iCs/>
        </w:rPr>
        <w:t>AB</w:t>
      </w:r>
      <w:r>
        <w:t xml:space="preserve"> is the optimal genotype, with fitness </w:t>
      </w:r>
      <w:r>
        <w:rPr>
          <w:i/>
          <w:iCs/>
        </w:rPr>
        <w:t>1+sH</w:t>
      </w:r>
      <w:r>
        <w:t xml:space="preserve"> (</w:t>
      </w:r>
      <w:r>
        <w:rPr>
          <w:i/>
          <w:iCs/>
        </w:rPr>
        <w:t>H</w:t>
      </w:r>
      <w:r>
        <w:t xml:space="preserve"> is the double mutant relative advantage). We develop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(i) individuals with deleterious alleles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(i)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6EE6896E" wp14:editId="1D332BD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0D56CE">
      <w:pPr>
        <w:pStyle w:val="FigureLegend"/>
        <w:rPr>
          <w:lang w:bidi="hi-IN"/>
        </w:rPr>
      </w:pPr>
      <w:bookmarkStart w:id="1"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Pr="000D56CE">
        <w:rPr>
          <w:b/>
          <w:bCs/>
        </w:rPr>
        <w:t>1</w:t>
      </w:r>
      <w:r w:rsidRPr="000D56CE">
        <w:rPr>
          <w:b/>
          <w:bCs/>
        </w:rPr>
        <w:fldChar w:fldCharType="end"/>
      </w:r>
      <w:bookmarkEnd w:id="1"/>
      <w:r w:rsidRPr="000D56CE">
        <w:rPr>
          <w:b/>
          <w:bCs/>
        </w:rPr>
        <w:t xml:space="preserve"> – Adaptive landscape illustration.</w:t>
      </w:r>
      <w:r w:rsidRPr="000D56CE">
        <w:t xml:space="preserve"> Nodes represent genotypes: the alleles </w:t>
      </w:r>
      <w:proofErr w:type="gramStart"/>
      <w:r w:rsidRPr="000D56CE">
        <w:t>a or</w:t>
      </w:r>
      <w:proofErr w:type="gramEnd"/>
      <w:r w:rsidRPr="000D56CE">
        <w:t xml:space="preserve"> A and b or B, and in panel b also the number of deleterious alleles across the genome. Mutagenesis is induced in stressed genotypes (fitness &lt; 1), indicated by ellipses, while adapted genotypes (fitness &gt; 1)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colour represents fitness (see colourbar),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r>
        <w:rPr>
          <w:i/>
          <w:iCs/>
        </w:rPr>
        <w:t>ab</w:t>
      </w:r>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r>
        <w:rPr>
          <w:i/>
          <w:iCs/>
        </w:rPr>
        <w:t>Ab</w:t>
      </w:r>
      <w:r>
        <w:t xml:space="preserve"> and </w:t>
      </w:r>
      <w:r>
        <w:rPr>
          <w:i/>
          <w:iCs/>
        </w:rPr>
        <w:t>aB</w:t>
      </w:r>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 xml:space="preserve">Therefore, </w:t>
      </w:r>
      <w:r w:rsidRPr="00183F36">
        <w:lastRenderedPageBreak/>
        <w:t>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2" w:name="_Ref358733007"/>
            <w:bookmarkStart w:id="3" w:name="_Ref354149705"/>
            <w:r>
              <w:t>(</w:t>
            </w:r>
            <w:r>
              <w:fldChar w:fldCharType="begin"/>
            </w:r>
            <w:r>
              <w:instrText xml:space="preserve"> SEQ Equation </w:instrText>
            </w:r>
            <w:r>
              <w:fldChar w:fldCharType="separate"/>
            </w:r>
            <w:r>
              <w:rPr>
                <w:noProof/>
              </w:rPr>
              <w:t>1</w:t>
            </w:r>
            <w:r>
              <w:fldChar w:fldCharType="end"/>
            </w:r>
            <w:bookmarkEnd w:id="2"/>
            <w:r>
              <w:t>)</w:t>
            </w:r>
            <w:bookmarkEnd w:id="3"/>
          </w:p>
        </w:tc>
      </w:tr>
      <w:tr w:rsidR="002D7506" w:rsidTr="00563FAB">
        <w:tc>
          <w:tcPr>
            <w:tcW w:w="4500" w:type="pct"/>
            <w:vAlign w:val="center"/>
          </w:tcPr>
          <w:p w:rsidR="002D7506" w:rsidRDefault="002D7506"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4" w:name="_Ref358733010"/>
            <w:bookmarkStart w:id="5" w:name="_Ref354129072"/>
            <w:r>
              <w:t>(</w:t>
            </w:r>
            <w:r>
              <w:fldChar w:fldCharType="begin"/>
            </w:r>
            <w:r>
              <w:instrText xml:space="preserve"> SEQ Equation </w:instrText>
            </w:r>
            <w:r>
              <w:fldChar w:fldCharType="separate"/>
            </w:r>
            <w:r>
              <w:rPr>
                <w:noProof/>
              </w:rPr>
              <w:t>2</w:t>
            </w:r>
            <w:r>
              <w:fldChar w:fldCharType="end"/>
            </w:r>
            <w:bookmarkEnd w:id="4"/>
            <w:r>
              <w:t>)</w:t>
            </w:r>
            <w:bookmarkEnd w:id="5"/>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proofErr w:type="gramStart"/>
      <w:r>
        <w:t xml:space="preserve">for  </w:t>
      </w:r>
      <w:r w:rsidRPr="001A482B">
        <w:rPr>
          <w:i/>
          <w:iCs/>
        </w:rPr>
        <w:t>Escherischia</w:t>
      </w:r>
      <w:proofErr w:type="gramEnd"/>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6" w:name="_Ref358791100"/>
      <w:r>
        <w:t xml:space="preserve">Table </w:t>
      </w:r>
      <w:r>
        <w:fldChar w:fldCharType="begin"/>
      </w:r>
      <w:r>
        <w:instrText xml:space="preserve"> SEQ Table \* ARABIC </w:instrText>
      </w:r>
      <w:r>
        <w:fldChar w:fldCharType="separate"/>
      </w:r>
      <w:r>
        <w:rPr>
          <w:noProof/>
        </w:rPr>
        <w:t>1</w:t>
      </w:r>
      <w:r>
        <w:fldChar w:fldCharType="end"/>
      </w:r>
      <w:bookmarkEnd w:id="6"/>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932C9B">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2D7506">
      <w:pPr>
        <w:pStyle w:val="Firstparagraph"/>
        <w:rPr>
          <w:lang w:val="en-US"/>
        </w:rPr>
      </w:pPr>
      <w:r>
        <w:rPr>
          <w:lang w:val="en-US"/>
        </w:rPr>
        <w:t>Because there are no double mutants (</w:t>
      </w:r>
      <w:r>
        <w:rPr>
          <w:i/>
          <w:iCs/>
          <w:lang w:val="en-US"/>
        </w:rPr>
        <w:t>AB</w:t>
      </w:r>
      <w:r>
        <w:rPr>
          <w:lang w:val="en-US"/>
        </w:rPr>
        <w:t xml:space="preserve">) at the time of the environmental change, double mutants can appear either via a double mutation in a wildtype individual, </w:t>
      </w:r>
      <w:r>
        <w:rPr>
          <w:i/>
          <w:iCs/>
          <w:lang w:val="en-US"/>
        </w:rPr>
        <w:t>ab</w:t>
      </w:r>
      <w:r>
        <w:rPr>
          <w:lang w:val="en-US"/>
        </w:rPr>
        <w:t xml:space="preserve">, or via a single mutation in a single mutant, </w:t>
      </w:r>
      <w:r>
        <w:rPr>
          <w:i/>
          <w:iCs/>
          <w:lang w:val="en-US"/>
        </w:rPr>
        <w:t>Ab</w:t>
      </w:r>
      <w:r>
        <w:rPr>
          <w:lang w:val="en-US"/>
        </w:rPr>
        <w:t xml:space="preserve"> or </w:t>
      </w:r>
      <w:r>
        <w:rPr>
          <w:i/>
          <w:iCs/>
          <w:lang w:val="en-US"/>
        </w:rPr>
        <w:t xml:space="preserve">aB </w:t>
      </w:r>
      <w:r w:rsidRPr="00D65806">
        <w:rPr>
          <w:lang w:val="en-US"/>
        </w:rPr>
        <w:t>(</w:t>
      </w:r>
      <w:r>
        <w:rPr>
          <w:lang w:val="en-US"/>
        </w:rPr>
        <w:t xml:space="preserve">Figure 1a). We assume that at the MSB the number of deleterious mutations per individual follows a Poisson distribution </w:t>
      </w:r>
      <w:r w:rsidRPr="002D7506">
        <w:rPr>
          <w:lang w:val="en-US"/>
        </w:rPr>
        <w:fldChar w:fldCharType="begin" w:fldLock="1"/>
      </w:r>
      <w:r w:rsidR="00932C9B">
        <w:rPr>
          <w:lang w:val="en-US"/>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rPr>
          <w:lang w:val="en-US"/>
        </w:rPr>
        <w:fldChar w:fldCharType="separate"/>
      </w:r>
      <w:r w:rsidRPr="002D7506">
        <w:rPr>
          <w:noProof/>
          <w:lang w:val="en-US"/>
        </w:rPr>
        <w:t>(Haigh 1978)</w:t>
      </w:r>
      <w:r w:rsidRPr="002D7506">
        <w:rPr>
          <w:lang w:val="en-US"/>
        </w:rPr>
        <w:fldChar w:fldCharType="end"/>
      </w:r>
      <w:r>
        <w:rPr>
          <w:lang w:val="en-US"/>
        </w:rPr>
        <w:t xml:space="preserve">. Therefore, the frequencies of mutation-free wildtype </w:t>
      </w:r>
      <w:r>
        <w:rPr>
          <w:i/>
          <w:iCs/>
          <w:lang w:val="en-US"/>
        </w:rPr>
        <w:t>ab</w:t>
      </w:r>
      <w:r>
        <w:rPr>
          <w:lang w:val="en-US"/>
        </w:rPr>
        <w:t xml:space="preserve"> and single mutants </w:t>
      </w:r>
      <w:r w:rsidRPr="00BB678E">
        <w:rPr>
          <w:i/>
          <w:iCs/>
          <w:lang w:val="en-US"/>
        </w:rPr>
        <w:t>aB</w:t>
      </w:r>
      <w:r>
        <w:rPr>
          <w:lang w:val="en-US"/>
        </w:rPr>
        <w:t xml:space="preserve"> and </w:t>
      </w:r>
      <w:r w:rsidRPr="005F3FF6">
        <w:rPr>
          <w:i/>
          <w:iCs/>
          <w:lang w:val="en-US"/>
        </w:rPr>
        <w:t>Ab</w:t>
      </w:r>
      <w:r>
        <w:rPr>
          <w:lang w:val="en-US"/>
        </w:rPr>
        <w:t xml:space="preserve"> </w:t>
      </w:r>
      <w:r w:rsidRPr="005F3FF6">
        <w:rPr>
          <w:lang w:val="en-US"/>
        </w:rPr>
        <w:t>are</w:t>
      </w:r>
      <w:r>
        <w:rPr>
          <w:lang w:val="en-US"/>
        </w:rPr>
        <w:t xml:space="preserve"> </w:t>
      </w:r>
      <m:oMath>
        <m:sSup>
          <m:sSupPr>
            <m:ctrlPr>
              <w:rPr>
                <w:rFonts w:ascii="Cambria Math" w:hAnsi="Cambria Math"/>
                <w:i/>
                <w:lang w:val="en-US"/>
              </w:rPr>
            </m:ctrlPr>
          </m:sSupPr>
          <m:e>
            <m:r>
              <w:rPr>
                <w:rFonts w:ascii="Cambria Math" w:hAnsi="Cambria Math"/>
                <w:lang w:val="en-US"/>
              </w:rPr>
              <m:t>e</m:t>
            </m:r>
          </m:e>
          <m:sup>
            <m:f>
              <m:fPr>
                <m:type m:val="lin"/>
                <m:ctrlPr>
                  <w:rPr>
                    <w:rFonts w:ascii="Cambria Math" w:hAnsi="Cambria Math"/>
                    <w:i/>
                    <w:lang w:val="en-US"/>
                  </w:rPr>
                </m:ctrlPr>
              </m:fPr>
              <m:num>
                <m:r>
                  <w:rPr>
                    <w:rFonts w:ascii="Cambria Math" w:hAnsi="Cambria Math"/>
                    <w:lang w:val="en-US"/>
                  </w:rPr>
                  <m:t>-U</m:t>
                </m:r>
              </m:num>
              <m:den>
                <m:r>
                  <w:rPr>
                    <w:rFonts w:ascii="Cambria Math" w:hAnsi="Cambria Math"/>
                    <w:lang w:val="en-US"/>
                  </w:rPr>
                  <m:t>s</m:t>
                </m:r>
              </m:den>
            </m:f>
          </m:sup>
        </m:sSup>
      </m:oMath>
      <w:r>
        <w:rPr>
          <w:lang w:val="en-US"/>
        </w:rPr>
        <w:t xml:space="preserve"> </w:t>
      </w:r>
      <w:proofErr w:type="gramStart"/>
      <w:r>
        <w:rPr>
          <w:lang w:val="en-US"/>
        </w:rPr>
        <w:t xml:space="preserve">and  </w:t>
      </w:r>
      <w:proofErr w:type="gramEnd"/>
      <m:oMath>
        <m:f>
          <m:fPr>
            <m:type m:val="skw"/>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up>
        </m:sSup>
      </m:oMath>
      <w:r>
        <w:rPr>
          <w:lang w:val="en-US"/>
        </w:rPr>
        <w:t xml:space="preserve">. The probability </w:t>
      </w:r>
      <w:r>
        <w:rPr>
          <w:i/>
          <w:iCs/>
          <w:lang w:val="en-US"/>
        </w:rPr>
        <w:t>q</w:t>
      </w:r>
      <w:r>
        <w:rPr>
          <w:lang w:val="en-US"/>
        </w:rPr>
        <w:t xml:space="preserve"> that a random individual in the </w:t>
      </w:r>
      <w:r>
        <w:rPr>
          <w:lang w:val="en-US"/>
        </w:rPr>
        <w:lastRenderedPageBreak/>
        <w:t>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7" w:name="_Ref354134924"/>
            <w:r>
              <w:t>(</w:t>
            </w:r>
            <w:r>
              <w:fldChar w:fldCharType="begin"/>
            </w:r>
            <w:r>
              <w:instrText xml:space="preserve"> SEQ Equation </w:instrText>
            </w:r>
            <w:r>
              <w:fldChar w:fldCharType="separate"/>
            </w:r>
            <w:r>
              <w:rPr>
                <w:noProof/>
              </w:rPr>
              <w:t>3</w:t>
            </w:r>
            <w:r>
              <w:fldChar w:fldCharType="end"/>
            </w:r>
            <w:r>
              <w:t>)</w:t>
            </w:r>
            <w:bookmarkEnd w:id="7"/>
          </w:p>
        </w:tc>
      </w:tr>
    </w:tbl>
    <w:p w:rsidR="002D7506" w:rsidRDefault="002D7506" w:rsidP="002D7506">
      <w:r>
        <w:t xml:space="preserve">If mutation is stress-induced, then the mutation rate of single mutants is increased </w:t>
      </w:r>
      <w:r w:rsidRPr="002D7506">
        <w:rPr>
          <w:i/>
          <w:iCs/>
        </w:rPr>
        <w:t>τ</w:t>
      </w:r>
      <w:r>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8" w:name="_Ref354134926"/>
            <w:r>
              <w:t>(</w:t>
            </w:r>
            <w:r>
              <w:fldChar w:fldCharType="begin"/>
            </w:r>
            <w:r>
              <w:instrText xml:space="preserve"> SEQ Equation </w:instrText>
            </w:r>
            <w:r>
              <w:fldChar w:fldCharType="separate"/>
            </w:r>
            <w:r>
              <w:rPr>
                <w:noProof/>
              </w:rPr>
              <w:t>4</w:t>
            </w:r>
            <w:r>
              <w:fldChar w:fldCharType="end"/>
            </w:r>
            <w:r>
              <w:t>)</w:t>
            </w:r>
            <w:bookmarkEnd w:id="8"/>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r>
        <w:rPr>
          <w:i/>
          <w:iCs/>
        </w:rPr>
        <w:t>sU</w:t>
      </w:r>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9" w:name="_Ref354319257"/>
            <w:r>
              <w:t>(</w:t>
            </w:r>
            <w:r>
              <w:fldChar w:fldCharType="begin"/>
            </w:r>
            <w:r>
              <w:instrText xml:space="preserve"> SEQ Equation </w:instrText>
            </w:r>
            <w:r>
              <w:fldChar w:fldCharType="separate"/>
            </w:r>
            <w:r>
              <w:rPr>
                <w:noProof/>
              </w:rPr>
              <w:t>5</w:t>
            </w:r>
            <w:r>
              <w:fldChar w:fldCharType="end"/>
            </w:r>
            <w:r>
              <w:t>)</w:t>
            </w:r>
            <w:bookmarkEnd w:id="9"/>
          </w:p>
        </w:tc>
      </w:tr>
    </w:tbl>
    <w:p w:rsidR="002D7506" w:rsidRDefault="002D7506" w:rsidP="002D7506">
      <w:r>
        <w:t xml:space="preserve">For a population with SIM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2D7506" w:rsidP="002D7506">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r>
        <w:rPr>
          <w:rFonts w:ascii="Times New Roman" w:hAnsi="Times New Roman"/>
          <w:i/>
          <w:iCs/>
        </w:rPr>
        <w:t>τ</w:t>
      </w:r>
      <w:r>
        <w:rPr>
          <w:i/>
          <w:iCs/>
        </w:rPr>
        <w:t>U</w:t>
      </w:r>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2D7506" w:rsidP="00354774">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354774"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10" w:name="_Ref354319499"/>
            <w:r>
              <w:t>(</w:t>
            </w:r>
            <w:r>
              <w:fldChar w:fldCharType="begin"/>
            </w:r>
            <w:r>
              <w:instrText xml:space="preserve"> SEQ Equation </w:instrText>
            </w:r>
            <w:r>
              <w:fldChar w:fldCharType="separate"/>
            </w:r>
            <w:r>
              <w:rPr>
                <w:noProof/>
              </w:rPr>
              <w:t>6</w:t>
            </w:r>
            <w:r>
              <w:fldChar w:fldCharType="end"/>
            </w:r>
            <w:r>
              <w:t>)</w:t>
            </w:r>
            <w:bookmarkEnd w:id="10"/>
          </w:p>
        </w:tc>
      </w:tr>
    </w:tbl>
    <w:p w:rsidR="002D7506" w:rsidRPr="00AB0448" w:rsidRDefault="002D7506" w:rsidP="00AB0448">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m:t>
            </m:r>
          </m:sub>
        </m:sSub>
      </m:oMath>
      <w:r w:rsidRPr="00BA00E0">
        <w:t>.</w:t>
      </w:r>
    </w:p>
    <w:p w:rsidR="002D7506" w:rsidRDefault="002D7506" w:rsidP="002D7506">
      <w:pPr>
        <w:pStyle w:val="Heading3"/>
      </w:pPr>
      <w:bookmarkStart w:id="11" w:name="_Ref354319797"/>
      <w:r>
        <w:t>Fixation probability with stress-induced mutation</w:t>
      </w:r>
      <w:bookmarkEnd w:id="11"/>
    </w:p>
    <w:p w:rsidR="002D7506" w:rsidRDefault="002D7506" w:rsidP="002D7506">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 Following a similar development as in (</w:t>
      </w:r>
      <w:r>
        <w:fldChar w:fldCharType="begin"/>
      </w:r>
      <w:r>
        <w:instrText xml:space="preserve"> REF _Ref359341945 \r \h </w:instrText>
      </w:r>
      <w:r>
        <w:fldChar w:fldCharType="separate"/>
      </w:r>
      <w:r>
        <w:rPr>
          <w:rFonts w:hint="eastAsia"/>
          <w:cs/>
        </w:rPr>
        <w:t>‎</w:t>
      </w:r>
      <w:r>
        <w:t>1.2.2</w:t>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m:oMathPara>
              <m:oMath>
                <m:r>
                  <w:rPr>
                    <w:rFonts w:ascii="Cambria Math" w:hAnsi="Cambria Math"/>
                  </w:rPr>
                  <m:t>ρ=</m:t>
                </m:r>
                <m:f>
                  <m:fPr>
                    <m:ctrlPr>
                      <w:rPr>
                        <w:rFonts w:ascii="Cambria Math" w:hAnsi="Cambria Math"/>
                        <w:i/>
                      </w:rPr>
                    </m:ctrlPr>
                  </m:fPr>
                  <m:num>
                    <m:r>
                      <w:rPr>
                        <w:rFonts w:ascii="Cambria Math" w:hAnsi="Cambria Math"/>
                      </w:rPr>
                      <m:t>2sH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2" w:name="_Ref354316816"/>
            <w:r>
              <w:t>(</w:t>
            </w:r>
            <w:r>
              <w:fldChar w:fldCharType="begin"/>
            </w:r>
            <w:r>
              <w:instrText xml:space="preserve"> SEQ Equation </w:instrText>
            </w:r>
            <w:r>
              <w:fldChar w:fldCharType="separate"/>
            </w:r>
            <w:r>
              <w:rPr>
                <w:noProof/>
              </w:rPr>
              <w:t>9</w:t>
            </w:r>
            <w:r>
              <w:fldChar w:fldCharType="end"/>
            </w:r>
            <w:r>
              <w:t>)</w:t>
            </w:r>
            <w:bookmarkEnd w:id="12"/>
          </w:p>
        </w:tc>
      </w:tr>
    </w:tbl>
    <w:p w:rsidR="002D7506" w:rsidRPr="00CC2E91" w:rsidRDefault="00B72912" w:rsidP="002D7506">
      <w:r>
        <w:t>A</w:t>
      </w:r>
      <w:r w:rsidR="002D7506">
        <w:t xml:space="preserve">ssuming that </w:t>
      </w:r>
      <m:oMath>
        <m:r>
          <w:rPr>
            <w:rFonts w:ascii="Cambria Math" w:hAnsi="Cambria Math"/>
          </w:rPr>
          <m:t>1-α=sH</m:t>
        </m:r>
      </m:oMath>
      <w:r w:rsidR="002D7506">
        <w:t xml:space="preserve"> is small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2D7506" w:rsidP="00B72912">
            <m:oMathPara>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≈2sH</m:t>
                </m:r>
              </m:oMath>
            </m:oMathPara>
          </w:p>
        </w:tc>
        <w:tc>
          <w:tcPr>
            <w:tcW w:w="500" w:type="pct"/>
            <w:vAlign w:val="center"/>
          </w:tcPr>
          <w:p w:rsidR="002D7506" w:rsidRDefault="002D7506" w:rsidP="00563FAB">
            <w:bookmarkStart w:id="13" w:name="_Ref354134928"/>
            <w:r>
              <w:t>(</w:t>
            </w:r>
            <w:r>
              <w:fldChar w:fldCharType="begin"/>
            </w:r>
            <w:r>
              <w:instrText xml:space="preserve"> SEQ Equation </w:instrText>
            </w:r>
            <w:r>
              <w:fldChar w:fldCharType="separate"/>
            </w:r>
            <w:r>
              <w:rPr>
                <w:noProof/>
              </w:rPr>
              <w:t>10</w:t>
            </w:r>
            <w:r>
              <w:fldChar w:fldCharType="end"/>
            </w:r>
            <w:r>
              <w:t>)</w:t>
            </w:r>
            <w:bookmarkEnd w:id="13"/>
          </w:p>
        </w:tc>
      </w:tr>
    </w:tbl>
    <w:p w:rsidR="00B72912" w:rsidRDefault="00B72912" w:rsidP="00B72912">
      <w:pPr>
        <w:rPr>
          <w:lang w:bidi="hi-IN"/>
        </w:rPr>
      </w:pPr>
      <w:r>
        <w:rPr>
          <w:lang w:bidi="hi-IN"/>
        </w:rPr>
        <w:t xml:space="preserve">In this case, 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w:t>
      </w: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932C9B">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Agrawal </w:t>
      </w:r>
      <w:r>
        <w:fldChar w:fldCharType="begin" w:fldLock="1"/>
      </w:r>
      <w:r w:rsidR="00932C9B">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932C9B">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w:t>
      </w:r>
      <w:r w:rsidR="00125157">
        <w:rPr>
          <w:rFonts w:eastAsiaTheme="minorEastAsia"/>
        </w:rPr>
        <w:lastRenderedPageBreak/>
        <w:t xml:space="preserve">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354774" w:rsidRDefault="00354774" w:rsidP="00354774">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 which can be approximated, similar to (</w:t>
      </w:r>
      <w:r>
        <w:rPr>
          <w:lang w:bidi="hi-IN"/>
        </w:rPr>
        <w:fldChar w:fldCharType="begin"/>
      </w:r>
      <w:r>
        <w:rPr>
          <w:lang w:bidi="hi-IN"/>
        </w:rPr>
        <w:instrText xml:space="preserve"> REF _Ref359342274 \r \h </w:instrText>
      </w:r>
      <w:r>
        <w:rPr>
          <w:lang w:bidi="hi-IN"/>
        </w:rPr>
      </w:r>
      <w:r>
        <w:rPr>
          <w:lang w:bidi="hi-IN"/>
        </w:rPr>
        <w:fldChar w:fldCharType="separate"/>
      </w:r>
      <w:r>
        <w:rPr>
          <w:rFonts w:hint="cs"/>
          <w:cs/>
          <w:lang w:bidi="hi-IN"/>
        </w:rPr>
        <w:t>‎</w:t>
      </w:r>
      <w:r>
        <w:rPr>
          <w:lang w:bidi="hi-IN"/>
        </w:rPr>
        <w:t>1.2.3</w:t>
      </w:r>
      <w:r>
        <w:rPr>
          <w:lang w:bidi="hi-IN"/>
        </w:rPr>
        <w:fldChar w:fldCharType="end"/>
      </w:r>
      <w:r>
        <w:rPr>
          <w:lang w:bidi="hi-IN"/>
        </w:rPr>
        <w:t xml:space="preserve">), by </w:t>
      </w:r>
      <w:r>
        <w:rPr>
          <w:i/>
          <w:iCs/>
          <w:lang w:bidi="hi-IN"/>
        </w:rPr>
        <w:t>1/N</w:t>
      </w:r>
      <w:r w:rsidRPr="005E3A59">
        <w:rPr>
          <w:i/>
          <w:iCs/>
        </w:rPr>
        <w:t>ρ</w:t>
      </w:r>
      <w:r>
        <w:rPr>
          <w:i/>
          <w:iCs/>
          <w:lang w:bidi="hi-IN"/>
        </w:rPr>
        <w:t>q</w:t>
      </w:r>
      <w:r>
        <w:rPr>
          <w:lang w:bidi="hi-IN"/>
        </w:rPr>
        <w:t>:</w:t>
      </w:r>
    </w:p>
    <w:p w:rsidR="00563FAB" w:rsidRPr="00563FAB" w:rsidRDefault="00563FAB"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oMath>
      </m:oMathPara>
    </w:p>
    <w:p w:rsidR="00354774" w:rsidRDefault="00354774"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1-τU</m:t>
              </m:r>
            </m:e>
          </m:d>
          <m:d>
            <m:dPr>
              <m:ctrlPr>
                <w:rPr>
                  <w:rFonts w:ascii="Cambria Math" w:hAnsi="Cambria Math"/>
                  <w:i/>
                </w:rPr>
              </m:ctrlPr>
            </m:dPr>
            <m:e>
              <m:r>
                <w:rPr>
                  <w:rFonts w:ascii="Cambria Math" w:hAnsi="Cambria Math"/>
                </w:rPr>
                <m:t>2-τU</m:t>
              </m:r>
            </m:e>
          </m:d>
        </m:oMath>
      </m:oMathPara>
    </w:p>
    <w:p w:rsidR="00354774" w:rsidRPr="00354774" w:rsidRDefault="00563FAB" w:rsidP="00563FAB">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r>
            <w:rPr>
              <w:rFonts w:ascii="Cambria Math" w:hAnsi="Cambria Math"/>
            </w:rPr>
            <m:t>4τ</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NH</m:t>
          </m:r>
          <m:d>
            <m:dPr>
              <m:ctrlPr>
                <w:rPr>
                  <w:rFonts w:ascii="Cambria Math" w:hAnsi="Cambria Math"/>
                  <w:i/>
                </w:rPr>
              </m:ctrlPr>
            </m:dPr>
            <m:e>
              <m:r>
                <w:rPr>
                  <w:rFonts w:ascii="Cambria Math" w:hAnsi="Cambria Math"/>
                </w:rPr>
                <m:t>1-τU</m:t>
              </m:r>
            </m:e>
          </m:d>
        </m:oMath>
      </m:oMathPara>
    </w:p>
    <w:p w:rsidR="00EB3214" w:rsidRDefault="00AB0448" w:rsidP="00245A8B">
      <w:pPr>
        <w:rPr>
          <w:lang w:bidi="hi-IN"/>
        </w:rPr>
      </w:pPr>
      <w:r>
        <w:rPr>
          <w:rFonts w:eastAsiaTheme="minorEastAsia"/>
          <w:lang w:bidi="hi-IN"/>
        </w:rPr>
        <w:t xml:space="preserve">There are several interpretations we can make from these expressions. First, comparing SIM to NM, we can see that as long as </w:t>
      </w:r>
      <w:r w:rsidRPr="00AB0448">
        <w:rPr>
          <w:i/>
          <w:iCs/>
        </w:rPr>
        <w:t>τ</w:t>
      </w:r>
      <w:r w:rsidR="00042C46">
        <w:rPr>
          <w:i/>
          <w:iCs/>
        </w:rPr>
        <w:t>U</w:t>
      </w:r>
      <w:r>
        <w:rPr>
          <w:i/>
          <w:iCs/>
        </w:rPr>
        <w:t>&lt;</w:t>
      </w:r>
      <w:r w:rsidR="00042C46">
        <w:rPr>
          <w:i/>
          <w:iCs/>
        </w:rPr>
        <w:t>1</w:t>
      </w:r>
      <w:r w:rsidR="00042C46">
        <w:rPr>
          <w:lang w:bidi="hi-IN"/>
        </w:rPr>
        <w:t xml:space="preserve">, the adaptation rate with SIM is higher than with NM. Second, as long as </w:t>
      </w:r>
      <w:r w:rsidR="00042C46" w:rsidRPr="00AB0448">
        <w:rPr>
          <w:i/>
          <w:iCs/>
        </w:rPr>
        <w:t>τ</w:t>
      </w:r>
      <w:r w:rsidR="00042C46" w:rsidRPr="00042C46">
        <w:rPr>
          <w:i/>
          <w:iCs/>
          <w:lang w:bidi="hi-IN"/>
        </w:rPr>
        <w:t>U&lt;</w:t>
      </w:r>
      <w:r w:rsidR="00042C46">
        <w:rPr>
          <w:i/>
          <w:iCs/>
          <w:lang w:bidi="hi-IN"/>
        </w:rPr>
        <w:t>1/</w:t>
      </w:r>
      <w:r w:rsidR="00042C46" w:rsidRPr="00042C46">
        <w:rPr>
          <w:i/>
          <w:iCs/>
          <w:lang w:bidi="hi-IN"/>
        </w:rPr>
        <w:t>2</w:t>
      </w:r>
      <w:r w:rsidR="00042C46">
        <w:rPr>
          <w:lang w:bidi="hi-IN"/>
        </w:rPr>
        <w:t xml:space="preserve">, the adaptation rate with SIM increases with </w:t>
      </w:r>
      <w:r w:rsidR="00042C46" w:rsidRPr="00AB0448">
        <w:rPr>
          <w:i/>
          <w:iCs/>
        </w:rPr>
        <w:t>τ</w:t>
      </w:r>
      <w:r w:rsidR="00042C46">
        <w:t xml:space="preserve">. Third, as long as </w:t>
      </w:r>
      <w:r w:rsidR="00042C46" w:rsidRPr="00AB0448">
        <w:rPr>
          <w:i/>
          <w:iCs/>
        </w:rPr>
        <w:t>τ</w:t>
      </w:r>
      <w:r w:rsidR="00042C46">
        <w:rPr>
          <w:i/>
          <w:iCs/>
        </w:rPr>
        <w:t>U&lt;</w:t>
      </w:r>
      <w:r w:rsidR="00042C46">
        <w:rPr>
          <w:i/>
          <w:iCs/>
        </w:rPr>
        <w:t>2</w:t>
      </w:r>
      <w:r w:rsidR="00042C46">
        <w:t>, adaptation with CM is faster than with SIM</w:t>
      </w:r>
      <w:r w:rsidR="00245A8B">
        <w:t xml:space="preserve">. </w:t>
      </w:r>
    </w:p>
    <w:p w:rsidR="00DB72B7" w:rsidRPr="00DB72B7" w:rsidRDefault="00DB72B7" w:rsidP="00DB72B7">
      <w:pPr>
        <w:rPr>
          <w:lang w:bidi="hi-IN"/>
        </w:rPr>
      </w:pPr>
      <w:r>
        <w:rPr>
          <w:lang w:bidi="hi-IN"/>
        </w:rPr>
        <w:t>Because the genomic mutation rates in microbes is generally on the order of 10</w:t>
      </w:r>
      <w:r>
        <w:rPr>
          <w:vertAlign w:val="superscript"/>
          <w:lang w:bidi="hi-IN"/>
        </w:rPr>
        <w:t>-4</w:t>
      </w:r>
      <w:r>
        <w:rPr>
          <w:lang w:bidi="hi-IN"/>
        </w:rPr>
        <w:t>-10</w:t>
      </w:r>
      <w:r>
        <w:rPr>
          <w:vertAlign w:val="superscript"/>
          <w:lang w:bidi="hi-IN"/>
        </w:rPr>
        <w:t>-2</w:t>
      </w:r>
      <w:r>
        <w:rPr>
          <w:i/>
          <w:iCs/>
          <w:vertAlign w:val="superscript"/>
          <w:lang w:bidi="hi-IN"/>
        </w:rPr>
        <w:t xml:space="preserve"> </w:t>
      </w:r>
      <w:r>
        <w:rPr>
          <w:lang w:bidi="hi-IN"/>
        </w:rPr>
        <w:t xml:space="preserve">(see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this sets the limits on </w:t>
      </w:r>
      <w:r w:rsidRPr="00AB0448">
        <w:rPr>
          <w:i/>
          <w:iCs/>
        </w:rPr>
        <w:t>τ</w:t>
      </w:r>
      <w:r>
        <w:rPr>
          <w:i/>
          <w:iCs/>
          <w:lang w:bidi="hi-IN"/>
        </w:rPr>
        <w:t xml:space="preserve"> </w:t>
      </w:r>
      <w:r>
        <w:rPr>
          <w:lang w:bidi="hi-IN"/>
        </w:rPr>
        <w:t xml:space="preserve">to 100-10,000 for SIM to increase the adaptation rate. </w:t>
      </w:r>
    </w:p>
    <w:sectPr w:rsidR="00DB72B7" w:rsidRPr="00DB72B7" w:rsidSect="00753267">
      <w:footerReference w:type="default" r:id="rId11"/>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91B" w:rsidRDefault="0010291B" w:rsidP="009A122D">
      <w:pPr>
        <w:spacing w:after="0" w:line="240" w:lineRule="auto"/>
      </w:pPr>
      <w:r>
        <w:separator/>
      </w:r>
    </w:p>
  </w:endnote>
  <w:endnote w:type="continuationSeparator" w:id="0">
    <w:p w:rsidR="0010291B" w:rsidRDefault="0010291B"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8B8F207F-3783-445F-8F47-66145436F3DC}"/>
    <w:embedBold r:id="rId2" w:fontKey="{209A5444-6E71-4210-8CB1-5D687FC1768F}"/>
    <w:embedItalic r:id="rId3" w:fontKey="{011C3820-B19A-4DB8-9982-CF30538166B1}"/>
    <w:embedBoldItalic r:id="rId4" w:fontKey="{338B6DAE-86C3-45DB-A0B7-C101DA9ACC79}"/>
  </w:font>
  <w:font w:name="Tahoma">
    <w:panose1 w:val="020B0604030504040204"/>
    <w:charset w:val="00"/>
    <w:family w:val="swiss"/>
    <w:pitch w:val="variable"/>
    <w:sig w:usb0="E1002EFF" w:usb1="C000605B" w:usb2="00000029" w:usb3="00000000" w:csb0="000101FF" w:csb1="00000000"/>
    <w:embedRegular r:id="rId5" w:fontKey="{BF344073-FFBC-4816-9A26-9C82F7EB3F76}"/>
  </w:font>
  <w:font w:name="cmr10">
    <w:panose1 w:val="020B0500000000000000"/>
    <w:charset w:val="00"/>
    <w:family w:val="swiss"/>
    <w:pitch w:val="variable"/>
    <w:sig w:usb0="00000003" w:usb1="00000000" w:usb2="00000000" w:usb3="00000000" w:csb0="00000001" w:csb1="00000000"/>
    <w:embedRegular r:id="rId6" w:fontKey="{4D871604-59D4-4A2E-8133-7227FF4EC393}"/>
    <w:embedItalic r:id="rId7" w:fontKey="{9CAE8A50-33EB-4A01-B763-FD5DC739E01B}"/>
  </w:font>
  <w:font w:name="Cambria Math">
    <w:panose1 w:val="02040503050406030204"/>
    <w:charset w:val="00"/>
    <w:family w:val="roman"/>
    <w:pitch w:val="variable"/>
    <w:sig w:usb0="E00002FF" w:usb1="420024FF" w:usb2="00000000" w:usb3="00000000" w:csb0="0000019F" w:csb1="00000000"/>
    <w:embedRegular r:id="rId8" w:fontKey="{153465DD-61CE-497E-873E-66E42D5B1B69}"/>
    <w:embedItalic r:id="rId9" w:fontKey="{931585EE-AC26-4486-B718-09E7EAF8A4C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63FAB" w:rsidRDefault="00563FAB">
        <w:pPr>
          <w:pStyle w:val="Footer"/>
          <w:jc w:val="center"/>
        </w:pPr>
        <w:r>
          <w:fldChar w:fldCharType="begin"/>
        </w:r>
        <w:r>
          <w:instrText xml:space="preserve"> PAGE   \* MERGEFORMAT </w:instrText>
        </w:r>
        <w:r>
          <w:fldChar w:fldCharType="separate"/>
        </w:r>
        <w:r w:rsidR="00932C9B">
          <w:rPr>
            <w:noProof/>
          </w:rPr>
          <w:t>9</w:t>
        </w:r>
        <w:r>
          <w:rPr>
            <w:noProof/>
          </w:rPr>
          <w:fldChar w:fldCharType="end"/>
        </w:r>
      </w:p>
    </w:sdtContent>
  </w:sdt>
  <w:p w:rsidR="00563FAB" w:rsidRDefault="00563F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91B" w:rsidRDefault="0010291B" w:rsidP="009A122D">
      <w:pPr>
        <w:spacing w:after="0" w:line="240" w:lineRule="auto"/>
      </w:pPr>
      <w:r>
        <w:separator/>
      </w:r>
    </w:p>
  </w:footnote>
  <w:footnote w:type="continuationSeparator" w:id="0">
    <w:p w:rsidR="0010291B" w:rsidRDefault="0010291B"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10EC0"/>
    <w:rsid w:val="00042C46"/>
    <w:rsid w:val="000545AB"/>
    <w:rsid w:val="0008670D"/>
    <w:rsid w:val="000C6518"/>
    <w:rsid w:val="000D56CE"/>
    <w:rsid w:val="00101FCD"/>
    <w:rsid w:val="0010291B"/>
    <w:rsid w:val="001033CA"/>
    <w:rsid w:val="00125157"/>
    <w:rsid w:val="001307C7"/>
    <w:rsid w:val="001910E3"/>
    <w:rsid w:val="001F5496"/>
    <w:rsid w:val="002135AE"/>
    <w:rsid w:val="0021470E"/>
    <w:rsid w:val="00245A8B"/>
    <w:rsid w:val="002630C5"/>
    <w:rsid w:val="00275A3C"/>
    <w:rsid w:val="002B1207"/>
    <w:rsid w:val="002D7506"/>
    <w:rsid w:val="00354774"/>
    <w:rsid w:val="00373875"/>
    <w:rsid w:val="003D42F5"/>
    <w:rsid w:val="003D4900"/>
    <w:rsid w:val="004A2989"/>
    <w:rsid w:val="00563FAB"/>
    <w:rsid w:val="005E3A59"/>
    <w:rsid w:val="00625517"/>
    <w:rsid w:val="006C02DB"/>
    <w:rsid w:val="00753267"/>
    <w:rsid w:val="007E25F3"/>
    <w:rsid w:val="007E6659"/>
    <w:rsid w:val="00932C9B"/>
    <w:rsid w:val="009A122D"/>
    <w:rsid w:val="00A03104"/>
    <w:rsid w:val="00A70358"/>
    <w:rsid w:val="00AB0448"/>
    <w:rsid w:val="00B5286A"/>
    <w:rsid w:val="00B72912"/>
    <w:rsid w:val="00B86C28"/>
    <w:rsid w:val="00B96911"/>
    <w:rsid w:val="00BA6231"/>
    <w:rsid w:val="00BF2DDC"/>
    <w:rsid w:val="00C2360B"/>
    <w:rsid w:val="00C555BC"/>
    <w:rsid w:val="00D3522A"/>
    <w:rsid w:val="00D40F2C"/>
    <w:rsid w:val="00DB72B7"/>
    <w:rsid w:val="00E466DE"/>
    <w:rsid w:val="00EB3214"/>
    <w:rsid w:val="00EB5020"/>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11A93-D1FF-463D-8175-2C6C2405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9</Pages>
  <Words>14556</Words>
  <Characters>72782</Characters>
  <Application>Microsoft Office Word</Application>
  <DocSecurity>0</DocSecurity>
  <Lines>606</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22</cp:revision>
  <dcterms:created xsi:type="dcterms:W3CDTF">2013-06-18T10:07:00Z</dcterms:created>
  <dcterms:modified xsi:type="dcterms:W3CDTF">2013-06-20T06:34:00Z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