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8A7A0A">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8A7A0A">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8A7A0A">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8A7A0A">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8A7A0A">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8A7A0A">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8A7A0A">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8A7A0A">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8A7A0A">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8A7A0A">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8A7A0A">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8A7A0A">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8A7A0A">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8A7A0A">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8A7A0A">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8A7A0A">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8A7A0A">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8A7A0A">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8A7A0A">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8A7A0A">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8A7A0A">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8A7A0A">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8A7A0A">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8A7A0A">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bookmarkStart w:id="1" w:name="_GoBack"/>
      <w:bookmarkEnd w:id="1"/>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D2A59"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C362E9">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necessary assumptions and simplifications. Figure S1 shows a comparison of these analytic results with the simulations results.</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8A7A0A">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8A7A0A">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5"/>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8A7A0A">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D2A59"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D2A59"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305556">
              <w:fldChar w:fldCharType="begin"/>
            </w:r>
            <w:r w:rsidR="00305556">
              <w:instrText xml:space="preserve"> SEQ Equation </w:instrText>
            </w:r>
            <w:r w:rsidR="00305556">
              <w:fldChar w:fldCharType="separate"/>
            </w:r>
            <w:r w:rsidR="00CA58CA">
              <w:rPr>
                <w:noProof/>
              </w:rPr>
              <w:t>6</w:t>
            </w:r>
            <w:r w:rsidR="00305556">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D2A59"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D104F2">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320207" w:rsidRPr="00320207">
        <w:t>).</w:t>
      </w:r>
      <w:r w:rsidR="001C5D6C">
        <w:t xml:space="preserve"> See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lastRenderedPageBreak/>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8A7A0A">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8A7A0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w:t>
      </w:r>
      <w:r w:rsidR="005D511F">
        <w:rPr>
          <w:lang w:bidi="hi-IN"/>
        </w:rPr>
        <w:lastRenderedPageBreak/>
        <w:t xml:space="preserve">beneficial (compensatory) mutations are allowed </w:t>
      </w:r>
      <w:r w:rsidR="005D511F">
        <w:rPr>
          <w:lang w:bidi="hi-IN"/>
        </w:rPr>
        <w:fldChar w:fldCharType="begin" w:fldLock="1"/>
      </w:r>
      <w:r w:rsidR="008A7A0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w:instrText>
      </w:r>
      <w:r w:rsidR="005D511F">
        <w:rPr>
          <w:lang w:bidi="hi-IN"/>
        </w:rPr>
      </w:r>
      <w:r w:rsidR="005D511F">
        <w:rPr>
          <w:lang w:bidi="hi-IN"/>
        </w:rPr>
        <w:instrText xml:space="preserve"> \* MERGEFORMAT </w:instrText>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Pr="00B7610D" w:rsidRDefault="00072D95" w:rsidP="003E0693">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slight advantage over NM </w:t>
      </w:r>
      <w:r w:rsidR="00961209">
        <w:rPr>
          <w:lang w:bidi="hi-IN"/>
        </w:rPr>
        <w:t>that</w:t>
      </w:r>
      <w:r w:rsidR="005515F1">
        <w:rPr>
          <w:lang w:bidi="hi-IN"/>
        </w:rPr>
        <w:t xml:space="preserve"> cannot be seen in this figure</w:t>
      </w:r>
      <w:r w:rsidR="003E0693">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bookmarkStart w:id="8" w:name="_Ref374010899"/>
      <w:r w:rsidRPr="00CE72C5">
        <w:t>Effect of environmental stress</w:t>
      </w:r>
      <w:bookmarkEnd w:id="8"/>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w:t>
      </w:r>
      <w:r w:rsidR="00042973">
        <w:lastRenderedPageBreak/>
        <w:t xml:space="preserve">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8A7A0A">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but in this 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D2A59"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9"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9"/>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0"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0"/>
          </w:p>
        </w:tc>
      </w:tr>
    </w:tbl>
    <w:p w:rsidR="00B32510" w:rsidRDefault="00042973" w:rsidP="00E87B67">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lastRenderedPageBreak/>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8A7A0A">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8A7A0A">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Pr="008A3174" w:rsidRDefault="00514DED" w:rsidP="008A317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w:t>
      </w:r>
      <w:r w:rsidR="0007409B">
        <w:rPr>
          <w:lang w:bidi="hi-IN"/>
        </w:rPr>
        <w:lastRenderedPageBreak/>
        <w:t xml:space="preserve">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8A7A0A">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8A7A0A">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8A7A0A">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8A7A0A">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8A7A0A">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that is evolving in a changing environment SIM is favored by selection over both NM and CM. SIM was favored because in a changing environment 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constant uniform mutation rate.</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8A7A0A">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8A7A0A">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8A7A0A">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8A7A0A">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8A7A0A">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8A7A0A">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8A7A0A">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8A7A0A">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8A7A0A">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w:t>
      </w:r>
      <w:r w:rsidR="00DF6C0E">
        <w:rPr>
          <w:lang w:bidi="hi-IN"/>
        </w:rPr>
        <w:lastRenderedPageBreak/>
        <w:t xml:space="preserve">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8A7A0A">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8A7A0A">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9D54F1">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proofErr w:type="gramStart"/>
      <w:r w:rsidR="009D54F1">
        <w:t>,  and</w:t>
      </w:r>
      <w:proofErr w:type="gramEnd"/>
      <w:r w:rsidR="009D54F1">
        <w:t xml:space="preserve"> A.F. </w:t>
      </w:r>
      <w:r w:rsidR="009D54F1">
        <w:lastRenderedPageBreak/>
        <w:t>Agrawal and two anonymous reviewers for helpful comments on the 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8A7A0A" w:rsidRPr="008A7A0A" w:rsidRDefault="007F0A97">
      <w:pPr>
        <w:pStyle w:val="NormalWeb"/>
        <w:divId w:val="1084957355"/>
        <w:rPr>
          <w:rFonts w:ascii="Palatino Linotype" w:hAnsi="Palatino Linotype"/>
          <w:noProof/>
          <w:sz w:val="22"/>
        </w:rPr>
      </w:pPr>
      <w:r>
        <w:fldChar w:fldCharType="begin" w:fldLock="1"/>
      </w:r>
      <w:r>
        <w:instrText xml:space="preserve">ADDIN Mendeley Bibliography CSL_BIBLIOGRAPHY </w:instrText>
      </w:r>
      <w:r>
        <w:fldChar w:fldCharType="separate"/>
      </w:r>
      <w:r w:rsidR="008A7A0A" w:rsidRPr="008A7A0A">
        <w:rPr>
          <w:rFonts w:ascii="Palatino Linotype" w:hAnsi="Palatino Linotype"/>
          <w:noProof/>
          <w:sz w:val="22"/>
        </w:rPr>
        <w:t>Agrawal, A. F. 2002. Genetic loads under fitness-dependent mutation rates. J. Evol. Biol. 15:1004–1010. Wiley Online Library.</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Berg, O. G. 1996. Selection intensity for codon bias and the effective population size of Escherichia coli. Genetics 142:1379–82.</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Bjedov, I., O. Tenaillon, B. Gérard, V. Souza, E. Denamur, M. Radman, F. Taddei, and I. Matic. 2003. Stress-induced mutagenesis in bacteria. Science (80-. ). 300:1404–9.</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Bristow, R. G., and R. P. Hill. 2008. Hypoxia and metabolism: Hypoxia, DNA repair and genetic instability. Nat. Rev. Cancer 8:180–92. Nature Publishing Group.</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Cairns, J., J. Overbaugh, and S. Miller. 1988. The origin of mutants. Nature 335:142–5.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Cirz, R. T., and F. E. Romesberg. 2007. Controlling mutation: intervening in evolution as a therapeutic strategy. Crit. Rev. Biochem. Mol. Biol. 42:341–54.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Coyne, J. A., N. H. Barton, and M. Turelli. 2000. Is Wright’s shifting balance process important in evolution? Evolution (N. Y). 54:306–317.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Crow, J. F., W. R. Engels, and C. Denniston. 1990. Phase Three of Wright’s Shifting-Balance Theory. Evolution (N. Y). 44:233.</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Dawson, K. J. 1998. Evolutionarily stable mutation rates. J. Theor. Biol. 194:143–57.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De Visser, J. A. G. M. 2002. The fate of microbial mutators. Microbiology 148:1247–52.</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lastRenderedPageBreak/>
        <w:t>Denamur, E., and I. Matic. 2006. Evolution of mutation rates in bacteria. Mol. Microbiol. 60:820–7.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Drake, J. W., B. Charlesworth, D. Charlesworth, and J. F. Crow. 1998. Rates of spontaneous mutation. Genetics 148:1667–86. Genetics Soc America.</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Fisher, R. A. 1930. The Genetical Theory of Natural Selection. Clarendon Press, Oxford.</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Foster, P. L. 2007. Stress-induced mutagenesis in bacteria. Crit. Rev. Biochem. Mol. Biol. 42:373–97.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Galhardo, R. S., P. J. Hastings, and S. M. Rosenberg. 2007. Mutation as a stress response and the regulation of evolvability. Crit. Rev. Biochem. Mol. Biol. 42:399–435.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Gavrilets, S. 1996. On phase three of the shifting-balance theory. Evolution (N. Y). 50:1034–1041. JSTOR.</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Goho, S., and G. Bell. 2000. Mild environmental stress elicits mutations affecting fitness in Chlamydomonas. Proc. R. Soc. B Biol. Sci. 267:123–9.</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Gordo, I., and F. Dionisio. 2005. Nonequilibrium model for estimating parameters of deleterious mutations. Phys. Rev. E 71:18–21.</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Gordo, I., L. Perfeito, and A. Sousa. 2011. Fitness effects of mutations in bacteria. J. Mol. Microbiol. Biotechnol. 21:20–35.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Hadany, L. 2003. Adaptive peak shifts in a heterogenous environment. Theor. Popul. Biol. 63:41–51.</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Hadany, L., and T. Beker. 2003. Fitness-associated recombination on rugged adaptive landscapes. J. Evol. Biol. 16:862–870.</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Haigh, J. 1978. The accumulation of deleterious genes in a population - Muller’s Ratchet. Theor. Popul. Biol. 14:251–267.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Hall, L. M. C., and S. K. Henderson-Begg. 2006. Hypermutable bacteria isolated from humans--a critical analysis. Microbiology 152:2505–14.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Hartfield, M., and S. P. Otto. 2011. Recombination and hitchhiking of deleterious alleles. Evolution 65:2421–34.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lastRenderedPageBreak/>
        <w:t>Heidenreich, E. 2007. Adaptive mutation in Saccharomyces cerevisiae. Crit. Rev. Biochem. Mol. Biol. 42:285–311.</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Kang, J. M., N. M. Iovine, and M. J. Blaser. 2006. A paradigm for direct stress-induced mutation in prokaryotes. FASEB J. 20:2476–85.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Kessler, D. A., and H. Levine. 1998. Mutator Dynamics on a Smooth Evolutionary Landscape. Phys. Rev. Lett. 80:2012–2015.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Kibota, T. T., and M. Lynch. 1996. Estimate of the genomic mutation rate deleterious to overall fitness in E. coli. Nature 381:694–6.</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Kivisaar, M. 2010. Mechanisms of stationary-phase mutagenesis in bacteria: mutational processes in pseudomonads. FEMS Microbiol. Lett. 312:1–14.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Leigh, E. G. J. 1970. Natural Selection and Mutability. Am. Nat. 104:301–305.</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Moore, F. B.-G., and S. J. Tonsor. 1994. A Simulation of Wright’s Shifting-Balance Process: Migration and the Three Phases. Evolution (N. Y). 48:69.</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Obolski, U., and L. Hadany. 2012. Implications of stress-induced genetic variation for minimizing multidrug resistance in bacteria. BMC Med. 10:1–30.</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Peck, S. L., S. P. Ellner, and F. Gould. 2000. Varying migration and deme size and the feasibility of the shifting balance. Evolution 54:324–7.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Ponder, R. G., N. C. Fonville, and S. M. Rosenberg. 2005. A switch from high-fidelity to error-prone DNA double-strand break repair underlies stress-induced mutation. Mol. Cell 19:791–804.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Pupo, G. M., and B. J. Richardson. 1995. Biochemical genetics of a natural population of Escherichia coli: seasonal changes in alleles and haplotypes. Microbiology 141:1037–44.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Ram, Y., and L. Hadany. 2012. The evolution of stress-induced hypermutation in asexual populations. Evolution (N. Y). 66:2315–28.</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Sharp, N. P., and A. F. Agrawal. 2012. Evidence for elevated mutation rates in low-quality genotypes. Proc. Natl. Acad. Sci. 109:6142–6.</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Shaw, F. H., and C. F. Baer. 2011. Fitness-dependent mutation rates in finite populations. J. Evol. Biol. 24:1677–84.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Shor, E., C. a. Fox, and J. R. Broach. 2013. The Yeast Environmental Stress Response Regulates Mutagenesis Induced by Proteotoxic Stress. PLoS Genet. 9:e1003680.</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Sniegowski, P. D., P. J. Gerrish, T. Johnson, and A. Shaver. 2000. The evolution of mutation rates: separating causes from consequences. BioEssays 22:1057–66.</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Sniegowski, P. D., P. J. Gerrish, and R. E. Lenski. 1997. Evolution of high mutation rates in experimental populations of E. coli. Nature 387:703–5. Nature Publishing Group.</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Sung, W., M. S. Ackerman, S. F. Miller, T. G. Doak, and M. Lynch. 2012. Drift-barrier hypothesis and mutation-rate evolution. Proc. Natl. Acad. Sci., doi: 10.1073/pnas.1216223109.</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Taddei, F., M. Radman, J. Maynard Smith, B. Toupance, P.-H. Gouyon, and B. Godelle. 1997. Role of mutator alleles in adaptive evolution. Nature 387:700–2.</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Tenaillon, O., E. Denamur, and I. Matic. 2004. Evolutionary significance of stress-induced mutagenesis in bacteria. Trends Microbiol. 12:264–70.</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lastRenderedPageBreak/>
        <w:t>Turrientes, M.-C., F. Baquero, B. R. Levin, J.-L. Martínez, A. Ripoll, J.-M. González-Alba, R. Tobes, M. Manrique, M.-R. Baquero, M.-J. Rodríguez-Domínguez, R. Cantón, and J.-C. Galán. 2013. Normal Mutation Rate Variants Arise in a Mutator (Mut S) Escherichia coli Population. PLoS One 8:e72963.</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Wade, M., and C. Goodnight. 1991. Wright’s shifting balance theory: an experimental study. Science (80-. ). 253:1015–1018.</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Weissman, D. B., M. M. Desai, D. S. Fisher, and M. W. Feldman. 2009. The rate at which asexual populations cross fitness valleys. Theor. Popul. Biol. 75:286–300. Elsevier Inc.</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Weissman, D. B., M. W. Feldman, and D. S. Fisher. 2010. The rate of fitness-valley crossing in sexual populations. Genetics 186:1389–410.</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Whitlock, M. C. 1997. Founder Effects and Peak Shifts Without Genetic Drift: Adaptive Peak Shifts Occur Easily When Environments Fluctuate Slightly. Evolution (N. Y). 51:1044.</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Whitlock, M. C. 1995. Variance-Induced Peak Shifts. Evolution (N. Y). 49:252.</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Whitlock, M. C., and P. C. Phillips. 2000. The exquisite corpse: a shifting view of the shifting balance. Trends Ecol. Evol. 15:347–348.</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Wright, S. 1931. Evolution in Mendelian Populations. Genetics 16:97–159.</w:t>
      </w:r>
    </w:p>
    <w:p w:rsidR="008A7A0A" w:rsidRPr="008A7A0A" w:rsidRDefault="008A7A0A">
      <w:pPr>
        <w:pStyle w:val="NormalWeb"/>
        <w:divId w:val="1084957355"/>
        <w:rPr>
          <w:rFonts w:ascii="Palatino Linotype" w:hAnsi="Palatino Linotype"/>
          <w:noProof/>
          <w:sz w:val="22"/>
        </w:rPr>
      </w:pPr>
      <w:r w:rsidRPr="008A7A0A">
        <w:rPr>
          <w:rFonts w:ascii="Palatino Linotype" w:hAnsi="Palatino Linotype"/>
          <w:noProof/>
          <w:sz w:val="22"/>
        </w:rPr>
        <w:t xml:space="preserve">Wright, S. 1988. Surfaces of selective value revisited. Am. Nat. 131:115–123. </w:t>
      </w:r>
    </w:p>
    <w:p w:rsidR="00347C94" w:rsidRPr="00347C94" w:rsidRDefault="007F0A97" w:rsidP="008A7A0A">
      <w:pPr>
        <w:pStyle w:val="NormalWeb"/>
        <w:divId w:val="1749380790"/>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1" w:name="_Ref360530640"/>
      <w:bookmarkStart w:id="12" w:name="_Ref363980873"/>
      <w:r>
        <w:t xml:space="preserve">Appendix </w:t>
      </w:r>
      <w:bookmarkEnd w:id="11"/>
      <w:r w:rsidR="000F7D03">
        <w:t>1</w:t>
      </w:r>
      <w:bookmarkEnd w:id="12"/>
    </w:p>
    <w:p w:rsidR="0002786D" w:rsidRDefault="00044F35" w:rsidP="00044F35">
      <w:pPr>
        <w:spacing w:line="480" w:lineRule="auto"/>
      </w:pPr>
      <w:r>
        <w:t xml:space="preserve">In the following analysis we assume that </w:t>
      </w:r>
      <m:oMath>
        <m:r>
          <w:rPr>
            <w:rFonts w:ascii="Cambria Math" w:hAnsi="Cambria Math"/>
          </w:rPr>
          <m:t>U≪s</m:t>
        </m:r>
      </m:oMath>
      <w:r>
        <w:rPr>
          <w:rFonts w:eastAsiaTheme="minorEastAsia"/>
        </w:rPr>
        <w:t xml:space="preserve"> and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044F35">
      <w:pPr>
        <w:spacing w:line="480" w:lineRule="auto"/>
      </w:pPr>
      <w:r w:rsidRPr="00C36DFD">
        <w:t>Now, we assume</w:t>
      </w:r>
      <w:r w:rsidR="0002786D" w:rsidRPr="00C36DFD">
        <w:t xml:space="preserve"> </w:t>
      </w:r>
      <w:proofErr w:type="gramStart"/>
      <w:r w:rsidR="0002786D" w:rsidRPr="00C36DFD">
        <w:t xml:space="preserve">that </w:t>
      </w:r>
      <w:proofErr w:type="gramEnd"/>
      <m:oMath>
        <m:r>
          <w:rPr>
            <w:rFonts w:ascii="Cambria Math" w:hAnsi="Cambria Math"/>
          </w:rPr>
          <m:t>2</m:t>
        </m:r>
        <m:f>
          <m:fPr>
            <m:type m:val="lin"/>
            <m:ctrlPr>
              <w:rPr>
                <w:rFonts w:ascii="Cambria Math" w:hAnsi="Cambria Math"/>
                <w:i/>
                <w:iCs/>
              </w:rPr>
            </m:ctrlPr>
          </m:fPr>
          <m:num>
            <m:r>
              <w:rPr>
                <w:rFonts w:ascii="Cambria Math" w:hAnsi="Cambria Math"/>
              </w:rPr>
              <m:t>μ</m:t>
            </m:r>
          </m:num>
          <m:den>
            <m:r>
              <w:rPr>
                <w:rFonts w:ascii="Cambria Math" w:hAnsi="Cambria Math"/>
              </w:rPr>
              <m:t>s</m:t>
            </m:r>
          </m:den>
        </m:f>
        <m:r>
          <w:rPr>
            <w:rFonts w:ascii="Cambria Math" w:hAnsi="Cambria Math"/>
          </w:rPr>
          <m:t>≪</m:t>
        </m:r>
        <m:r>
          <w:rPr>
            <w:rFonts w:ascii="Cambria Math" w:hAnsi="Cambria Math"/>
          </w:rPr>
          <m:t>s</m:t>
        </m:r>
        <m:r>
          <w:rPr>
            <w:rFonts w:ascii="Cambria Math" w:hAnsi="Cambria Math"/>
          </w:rPr>
          <m:t>≪</m:t>
        </m:r>
        <m:r>
          <w:rPr>
            <w:rFonts w:ascii="Cambria Math" w:hAnsi="Cambria Math"/>
          </w:rPr>
          <m:t>2</m:t>
        </m:r>
      </m:oMath>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9D2A59"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EA04C0">
      <w:pPr>
        <w:spacing w:line="480" w:lineRule="auto"/>
      </w:pPr>
      <w:r>
        <w:t xml:space="preserve">The last approximation assumes that </w:t>
      </w:r>
      <m:oMath>
        <m:r>
          <w:rPr>
            <w:rFonts w:ascii="Cambria Math" w:hAnsi="Cambria Math"/>
          </w:rPr>
          <m:t>Us</m:t>
        </m:r>
        <m:r>
          <w:rPr>
            <w:rFonts w:ascii="Cambria Math" w:hAnsi="Cambria Math"/>
          </w:rPr>
          <m:t>≪</m:t>
        </m:r>
        <m:r>
          <w:rPr>
            <w:rFonts w:ascii="Cambria Math" w:hAnsi="Cambria Math"/>
          </w:rPr>
          <m:t>U</m:t>
        </m:r>
      </m:oMath>
      <w:r>
        <w:t xml:space="preserve"> and </w:t>
      </w:r>
      <w:proofErr w:type="gramStart"/>
      <w:r>
        <w:t xml:space="preserve">that </w:t>
      </w:r>
      <w:proofErr w:type="gramEnd"/>
      <m:oMath>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m:t>
        </m:r>
        <m:r>
          <w:rPr>
            <w:rFonts w:ascii="Cambria Math" w:hAnsi="Cambria Math"/>
          </w:rPr>
          <m:t>τU</m:t>
        </m:r>
      </m:oMath>
      <w:r>
        <w:rPr>
          <w:i/>
          <w:iCs/>
        </w:rPr>
        <w:t>.</w:t>
      </w:r>
      <w:r>
        <w:t xml:space="preserve"> Now,</w:t>
      </w:r>
    </w:p>
    <w:p w:rsidR="0002786D" w:rsidRPr="005579CA" w:rsidRDefault="009D2A59"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D2A59"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3" w:name="_Ref360530760"/>
      <w:bookmarkStart w:id="14" w:name="_Ref363980888"/>
      <w:r>
        <w:t>Appendix</w:t>
      </w:r>
      <w:bookmarkEnd w:id="13"/>
      <w:r w:rsidR="000F7D03">
        <w:t xml:space="preserve"> 2</w:t>
      </w:r>
      <w:bookmarkEnd w:id="14"/>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8A7A0A">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5"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6" w:name="_Ref363980903"/>
      <w:r>
        <w:lastRenderedPageBreak/>
        <w:t xml:space="preserve">Appendix </w:t>
      </w:r>
      <w:bookmarkEnd w:id="15"/>
      <w:r w:rsidR="000F7D03">
        <w:t>3</w:t>
      </w:r>
      <w:bookmarkEnd w:id="16"/>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8A7A0A">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m:t>
            </m:r>
            <m:r>
              <w:rPr>
                <w:rFonts w:ascii="Cambria Math" w:eastAsiaTheme="minorEastAsia" w:hAnsi="Cambria Math"/>
                <w:lang w:bidi="hi-IN"/>
              </w:rPr>
              <m:t>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9D2A59"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3683FB0C" wp14:editId="0042D341">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7"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7"/>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1EAF1A90" wp14:editId="3E9AD7C3">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92861">
      <w:pPr>
        <w:pStyle w:val="FigureLegend"/>
        <w:spacing w:line="480" w:lineRule="auto"/>
      </w:pPr>
      <w:bookmarkStart w:id="18"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8"/>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555426B6" wp14:editId="185DE9EA">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9"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9"/>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w:t>
      </w:r>
      <w:r w:rsidRPr="003C4248">
        <w:rPr>
          <w:sz w:val="16"/>
          <w:szCs w:val="16"/>
        </w:rPr>
        <w:lastRenderedPageBreak/>
        <w:t xml:space="preserve">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65E368A8" wp14:editId="6032ED24">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785EDE">
      <w:pPr>
        <w:pStyle w:val="FigureLegend"/>
        <w:spacing w:line="480" w:lineRule="auto"/>
        <w:rPr>
          <w:lang w:bidi="hi-IN"/>
        </w:rPr>
      </w:pPr>
      <w:bookmarkStart w:id="20"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20"/>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ml:space="preserve">; x-axis) and the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1"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1"/>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A7A0A">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A7A0A">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A7A0A">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A7A0A">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A7A0A">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8A7A0A">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1F4" w:rsidRDefault="002931F4" w:rsidP="009A122D">
      <w:pPr>
        <w:spacing w:after="0" w:line="240" w:lineRule="auto"/>
      </w:pPr>
      <w:r>
        <w:separator/>
      </w:r>
    </w:p>
  </w:endnote>
  <w:endnote w:type="continuationSeparator" w:id="0">
    <w:p w:rsidR="002931F4" w:rsidRDefault="002931F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0271467-89B4-4818-964C-F0FFEE0F92B2}"/>
    <w:embedBold r:id="rId2" w:fontKey="{3BD64498-5599-49FD-8E0A-1B1B1B9F5743}"/>
    <w:embedItalic r:id="rId3" w:fontKey="{266CAFA8-0A7F-4AF9-9432-AACD5F1C6C28}"/>
    <w:embedBoldItalic r:id="rId4" w:fontKey="{FF226B93-9649-435E-AB47-6E5FD4E58E40}"/>
  </w:font>
  <w:font w:name="Tahoma">
    <w:panose1 w:val="020B0604030504040204"/>
    <w:charset w:val="00"/>
    <w:family w:val="swiss"/>
    <w:pitch w:val="variable"/>
    <w:sig w:usb0="E1002EFF" w:usb1="C000605B" w:usb2="00000029" w:usb3="00000000" w:csb0="000101FF" w:csb1="00000000"/>
    <w:embedRegular r:id="rId5" w:fontKey="{20F2D667-3A40-47ED-9924-72C499D7B35A}"/>
  </w:font>
  <w:font w:name="cmr10">
    <w:charset w:val="00"/>
    <w:family w:val="swiss"/>
    <w:pitch w:val="variable"/>
    <w:sig w:usb0="00000003" w:usb1="00000000" w:usb2="00000000" w:usb3="00000000" w:csb0="00000001" w:csb1="00000000"/>
    <w:embedRegular r:id="rId6" w:fontKey="{4F54C81F-92D3-4002-8196-0CD7C83FB48B}"/>
  </w:font>
  <w:font w:name="Cambria Math">
    <w:panose1 w:val="02040503050406030204"/>
    <w:charset w:val="00"/>
    <w:family w:val="roman"/>
    <w:pitch w:val="variable"/>
    <w:sig w:usb0="E00002FF" w:usb1="420024FF" w:usb2="00000000" w:usb3="00000000" w:csb0="0000019F" w:csb1="00000000"/>
    <w:embedItalic r:id="rId7" w:fontKey="{32113D16-5576-4F41-B291-3F5457EE46B1}"/>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47165" w:rsidRDefault="00E47165">
        <w:pPr>
          <w:pStyle w:val="Footer"/>
          <w:jc w:val="center"/>
        </w:pPr>
        <w:r>
          <w:fldChar w:fldCharType="begin"/>
        </w:r>
        <w:r>
          <w:instrText xml:space="preserve"> PAGE   \* MERGEFORMAT </w:instrText>
        </w:r>
        <w:r>
          <w:fldChar w:fldCharType="separate"/>
        </w:r>
        <w:r w:rsidR="00390D59">
          <w:rPr>
            <w:noProof/>
          </w:rPr>
          <w:t>7</w:t>
        </w:r>
        <w:r>
          <w:rPr>
            <w:noProof/>
          </w:rPr>
          <w:fldChar w:fldCharType="end"/>
        </w:r>
      </w:p>
    </w:sdtContent>
  </w:sdt>
  <w:p w:rsidR="00E47165" w:rsidRDefault="00E471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1F4" w:rsidRDefault="002931F4" w:rsidP="009A122D">
      <w:pPr>
        <w:spacing w:after="0" w:line="240" w:lineRule="auto"/>
      </w:pPr>
      <w:r>
        <w:separator/>
      </w:r>
    </w:p>
  </w:footnote>
  <w:footnote w:type="continuationSeparator" w:id="0">
    <w:p w:rsidR="002931F4" w:rsidRDefault="002931F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409B"/>
    <w:rsid w:val="00083C4D"/>
    <w:rsid w:val="0008670D"/>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DE0"/>
    <w:rsid w:val="00290173"/>
    <w:rsid w:val="0029078B"/>
    <w:rsid w:val="00292861"/>
    <w:rsid w:val="002931F4"/>
    <w:rsid w:val="00295B91"/>
    <w:rsid w:val="00295FB4"/>
    <w:rsid w:val="002A0DCC"/>
    <w:rsid w:val="002A275A"/>
    <w:rsid w:val="002B1207"/>
    <w:rsid w:val="002C490D"/>
    <w:rsid w:val="002C54C0"/>
    <w:rsid w:val="002D501F"/>
    <w:rsid w:val="002D7506"/>
    <w:rsid w:val="002E0EBF"/>
    <w:rsid w:val="002F4E2F"/>
    <w:rsid w:val="00305197"/>
    <w:rsid w:val="00305556"/>
    <w:rsid w:val="00313F54"/>
    <w:rsid w:val="00320207"/>
    <w:rsid w:val="003247B3"/>
    <w:rsid w:val="00325953"/>
    <w:rsid w:val="0033327A"/>
    <w:rsid w:val="00335E62"/>
    <w:rsid w:val="0034713C"/>
    <w:rsid w:val="00347C94"/>
    <w:rsid w:val="00354774"/>
    <w:rsid w:val="00360699"/>
    <w:rsid w:val="003657AC"/>
    <w:rsid w:val="00373875"/>
    <w:rsid w:val="003757EA"/>
    <w:rsid w:val="0038310A"/>
    <w:rsid w:val="003877F5"/>
    <w:rsid w:val="00390D59"/>
    <w:rsid w:val="00391853"/>
    <w:rsid w:val="00396D80"/>
    <w:rsid w:val="003A1D28"/>
    <w:rsid w:val="003B3D00"/>
    <w:rsid w:val="003B4B81"/>
    <w:rsid w:val="003C4248"/>
    <w:rsid w:val="003C66D8"/>
    <w:rsid w:val="003D306F"/>
    <w:rsid w:val="003D42F5"/>
    <w:rsid w:val="003D4900"/>
    <w:rsid w:val="003D5DA7"/>
    <w:rsid w:val="003E0693"/>
    <w:rsid w:val="003E0BDF"/>
    <w:rsid w:val="003E2958"/>
    <w:rsid w:val="003F5091"/>
    <w:rsid w:val="00401E4A"/>
    <w:rsid w:val="00412A85"/>
    <w:rsid w:val="00414AEF"/>
    <w:rsid w:val="004163AF"/>
    <w:rsid w:val="004178FE"/>
    <w:rsid w:val="00435563"/>
    <w:rsid w:val="0043685D"/>
    <w:rsid w:val="00440833"/>
    <w:rsid w:val="00446BDA"/>
    <w:rsid w:val="00453133"/>
    <w:rsid w:val="0045618B"/>
    <w:rsid w:val="0046652F"/>
    <w:rsid w:val="004747BD"/>
    <w:rsid w:val="00475C27"/>
    <w:rsid w:val="00477861"/>
    <w:rsid w:val="00483013"/>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4EE"/>
    <w:rsid w:val="005757FF"/>
    <w:rsid w:val="00575BB5"/>
    <w:rsid w:val="005816EE"/>
    <w:rsid w:val="005821AF"/>
    <w:rsid w:val="00587E54"/>
    <w:rsid w:val="005A2F68"/>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511"/>
    <w:rsid w:val="00652D72"/>
    <w:rsid w:val="00663378"/>
    <w:rsid w:val="00665310"/>
    <w:rsid w:val="006733DF"/>
    <w:rsid w:val="0067436B"/>
    <w:rsid w:val="00683120"/>
    <w:rsid w:val="006911A5"/>
    <w:rsid w:val="00691767"/>
    <w:rsid w:val="0069770A"/>
    <w:rsid w:val="006A479B"/>
    <w:rsid w:val="006B774C"/>
    <w:rsid w:val="006C02DB"/>
    <w:rsid w:val="006D14E9"/>
    <w:rsid w:val="006D3220"/>
    <w:rsid w:val="006D5802"/>
    <w:rsid w:val="006F4747"/>
    <w:rsid w:val="00701833"/>
    <w:rsid w:val="007058D2"/>
    <w:rsid w:val="00720682"/>
    <w:rsid w:val="00723F0C"/>
    <w:rsid w:val="00733446"/>
    <w:rsid w:val="00753267"/>
    <w:rsid w:val="0077094B"/>
    <w:rsid w:val="00775F58"/>
    <w:rsid w:val="00785EDE"/>
    <w:rsid w:val="007A2944"/>
    <w:rsid w:val="007B25AD"/>
    <w:rsid w:val="007C4DDB"/>
    <w:rsid w:val="007D5C6B"/>
    <w:rsid w:val="007E1D16"/>
    <w:rsid w:val="007E25F3"/>
    <w:rsid w:val="007E4A3D"/>
    <w:rsid w:val="007E6659"/>
    <w:rsid w:val="007F0A97"/>
    <w:rsid w:val="007F101A"/>
    <w:rsid w:val="007F26D6"/>
    <w:rsid w:val="007F656F"/>
    <w:rsid w:val="008062FB"/>
    <w:rsid w:val="00806F37"/>
    <w:rsid w:val="00812097"/>
    <w:rsid w:val="00812DB3"/>
    <w:rsid w:val="00814BE5"/>
    <w:rsid w:val="00817816"/>
    <w:rsid w:val="00817B34"/>
    <w:rsid w:val="00821FF3"/>
    <w:rsid w:val="00824294"/>
    <w:rsid w:val="0082586B"/>
    <w:rsid w:val="00830F34"/>
    <w:rsid w:val="0085140E"/>
    <w:rsid w:val="00851EBB"/>
    <w:rsid w:val="008643AC"/>
    <w:rsid w:val="00870ED3"/>
    <w:rsid w:val="008752E9"/>
    <w:rsid w:val="008851DB"/>
    <w:rsid w:val="00890BB3"/>
    <w:rsid w:val="008967F9"/>
    <w:rsid w:val="008A0C66"/>
    <w:rsid w:val="008A3174"/>
    <w:rsid w:val="008A35F3"/>
    <w:rsid w:val="008A5282"/>
    <w:rsid w:val="008A7A0A"/>
    <w:rsid w:val="008E3DFA"/>
    <w:rsid w:val="008E7880"/>
    <w:rsid w:val="008F5983"/>
    <w:rsid w:val="009040D1"/>
    <w:rsid w:val="00917C32"/>
    <w:rsid w:val="009207F0"/>
    <w:rsid w:val="00922611"/>
    <w:rsid w:val="00925154"/>
    <w:rsid w:val="00927B26"/>
    <w:rsid w:val="00932C9B"/>
    <w:rsid w:val="0094207C"/>
    <w:rsid w:val="0094540E"/>
    <w:rsid w:val="0094679F"/>
    <w:rsid w:val="00946A45"/>
    <w:rsid w:val="00946BF8"/>
    <w:rsid w:val="00950641"/>
    <w:rsid w:val="0095303A"/>
    <w:rsid w:val="009602F2"/>
    <w:rsid w:val="00960FAB"/>
    <w:rsid w:val="00961209"/>
    <w:rsid w:val="00961EB6"/>
    <w:rsid w:val="00963766"/>
    <w:rsid w:val="00975E44"/>
    <w:rsid w:val="009770F6"/>
    <w:rsid w:val="009850ED"/>
    <w:rsid w:val="00986F1F"/>
    <w:rsid w:val="00992FC4"/>
    <w:rsid w:val="009969E9"/>
    <w:rsid w:val="009A0E7D"/>
    <w:rsid w:val="009A122D"/>
    <w:rsid w:val="009A294A"/>
    <w:rsid w:val="009A2A4B"/>
    <w:rsid w:val="009B5BE5"/>
    <w:rsid w:val="009C438B"/>
    <w:rsid w:val="009D2A59"/>
    <w:rsid w:val="009D3762"/>
    <w:rsid w:val="009D54F1"/>
    <w:rsid w:val="009D699D"/>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70358"/>
    <w:rsid w:val="00A709C3"/>
    <w:rsid w:val="00A725E6"/>
    <w:rsid w:val="00A74527"/>
    <w:rsid w:val="00A81E09"/>
    <w:rsid w:val="00A81E4B"/>
    <w:rsid w:val="00A9277F"/>
    <w:rsid w:val="00A95F28"/>
    <w:rsid w:val="00A96D14"/>
    <w:rsid w:val="00AB0448"/>
    <w:rsid w:val="00AC2BE1"/>
    <w:rsid w:val="00AC498F"/>
    <w:rsid w:val="00AC687F"/>
    <w:rsid w:val="00AC75F5"/>
    <w:rsid w:val="00AD2B33"/>
    <w:rsid w:val="00AD32AA"/>
    <w:rsid w:val="00AE0B1E"/>
    <w:rsid w:val="00AE42B5"/>
    <w:rsid w:val="00AE4609"/>
    <w:rsid w:val="00AE4A3F"/>
    <w:rsid w:val="00AF1C24"/>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5518"/>
    <w:rsid w:val="00BC359F"/>
    <w:rsid w:val="00BF06EE"/>
    <w:rsid w:val="00BF2DDC"/>
    <w:rsid w:val="00BF336A"/>
    <w:rsid w:val="00C023C7"/>
    <w:rsid w:val="00C11B88"/>
    <w:rsid w:val="00C157F4"/>
    <w:rsid w:val="00C2015F"/>
    <w:rsid w:val="00C2360B"/>
    <w:rsid w:val="00C23983"/>
    <w:rsid w:val="00C24454"/>
    <w:rsid w:val="00C32D39"/>
    <w:rsid w:val="00C35E46"/>
    <w:rsid w:val="00C362E9"/>
    <w:rsid w:val="00C36DFD"/>
    <w:rsid w:val="00C40CB3"/>
    <w:rsid w:val="00C43354"/>
    <w:rsid w:val="00C47221"/>
    <w:rsid w:val="00C53C8F"/>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35AA"/>
    <w:rsid w:val="00EE3B41"/>
    <w:rsid w:val="00EE3CB4"/>
    <w:rsid w:val="00EE6EA2"/>
    <w:rsid w:val="00EF0B86"/>
    <w:rsid w:val="00EF3BEC"/>
    <w:rsid w:val="00EF44A6"/>
    <w:rsid w:val="00EF634C"/>
    <w:rsid w:val="00EF797F"/>
    <w:rsid w:val="00F0097B"/>
    <w:rsid w:val="00F00D32"/>
    <w:rsid w:val="00F03785"/>
    <w:rsid w:val="00F052BD"/>
    <w:rsid w:val="00F07DD7"/>
    <w:rsid w:val="00F100B3"/>
    <w:rsid w:val="00F12058"/>
    <w:rsid w:val="00F124DA"/>
    <w:rsid w:val="00F23504"/>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9F7D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6F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6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A3A80-02AD-491F-9B4B-DC665B25D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7254</TotalTime>
  <Pages>28</Pages>
  <Words>36526</Words>
  <Characters>182630</Characters>
  <Application>Microsoft Office Word</Application>
  <DocSecurity>0</DocSecurity>
  <Lines>1521</Lines>
  <Paragraphs>437</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218719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125</cp:revision>
  <dcterms:created xsi:type="dcterms:W3CDTF">2013-08-25T12:42:00Z</dcterms:created>
  <dcterms:modified xsi:type="dcterms:W3CDTF">2013-12-05T16:26:00Z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