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Pr="0038310A" w:rsidRDefault="00C87978" w:rsidP="00531CC2">
      <w:pPr>
        <w:pStyle w:val="Title"/>
        <w:spacing w:line="480" w:lineRule="auto"/>
        <w:ind w:firstLine="284"/>
        <w:jc w:val="center"/>
        <w:rPr>
          <w:sz w:val="32"/>
          <w:szCs w:val="24"/>
        </w:rPr>
      </w:pPr>
      <w:r w:rsidRPr="0038310A">
        <w:rPr>
          <w:sz w:val="32"/>
          <w:szCs w:val="24"/>
        </w:rPr>
        <w:softHyphen/>
      </w:r>
      <w:r w:rsidR="002630C5" w:rsidRPr="0038310A">
        <w:rPr>
          <w:sz w:val="32"/>
          <w:szCs w:val="24"/>
        </w:rPr>
        <w:t>Stress</w:t>
      </w:r>
      <w:r w:rsidR="0038310A" w:rsidRPr="0038310A">
        <w:rPr>
          <w:sz w:val="32"/>
          <w:szCs w:val="24"/>
        </w:rPr>
        <w:t xml:space="preserve">-Induced Mutagenesis Breaks </w:t>
      </w:r>
      <w:r w:rsidR="00531CC2">
        <w:rPr>
          <w:sz w:val="32"/>
          <w:szCs w:val="24"/>
        </w:rPr>
        <w:t>t</w:t>
      </w:r>
      <w:r w:rsidR="0038310A" w:rsidRPr="0038310A">
        <w:rPr>
          <w:sz w:val="32"/>
          <w:szCs w:val="24"/>
        </w:rPr>
        <w:t xml:space="preserve">he Trade-Off </w:t>
      </w:r>
      <w:proofErr w:type="gramStart"/>
      <w:r w:rsidR="0038310A" w:rsidRPr="0038310A">
        <w:rPr>
          <w:sz w:val="32"/>
          <w:szCs w:val="24"/>
        </w:rPr>
        <w:t>Between</w:t>
      </w:r>
      <w:proofErr w:type="gramEnd"/>
      <w:r w:rsidR="0038310A" w:rsidRPr="0038310A">
        <w:rPr>
          <w:sz w:val="32"/>
          <w:szCs w:val="24"/>
        </w:rPr>
        <w:t xml:space="preserve"> Adaptability </w:t>
      </w:r>
      <w:r w:rsidR="00531CC2">
        <w:rPr>
          <w:sz w:val="32"/>
          <w:szCs w:val="24"/>
        </w:rPr>
        <w:t>a</w:t>
      </w:r>
      <w:r w:rsidR="0038310A" w:rsidRPr="0038310A">
        <w:rPr>
          <w:sz w:val="32"/>
          <w:szCs w:val="24"/>
        </w:rPr>
        <w:t>nd Adaptedness</w:t>
      </w:r>
    </w:p>
    <w:p w:rsidR="002630C5" w:rsidRDefault="002630C5" w:rsidP="002A0DCC">
      <w:pPr>
        <w:pStyle w:val="Subtitle"/>
        <w:spacing w:line="480" w:lineRule="auto"/>
        <w:ind w:firstLine="284"/>
      </w:pPr>
    </w:p>
    <w:p w:rsidR="002630C5" w:rsidRPr="0038310A" w:rsidRDefault="002630C5" w:rsidP="0038310A">
      <w:pPr>
        <w:pStyle w:val="Subtitle"/>
        <w:spacing w:line="480" w:lineRule="auto"/>
        <w:ind w:firstLine="284"/>
        <w:jc w:val="center"/>
        <w:rPr>
          <w:sz w:val="28"/>
          <w:szCs w:val="22"/>
        </w:rPr>
      </w:pPr>
      <w:proofErr w:type="spellStart"/>
      <w:r w:rsidRPr="0038310A">
        <w:rPr>
          <w:sz w:val="28"/>
          <w:szCs w:val="22"/>
        </w:rPr>
        <w:t>Yoav</w:t>
      </w:r>
      <w:proofErr w:type="spellEnd"/>
      <w:r w:rsidRPr="0038310A">
        <w:rPr>
          <w:sz w:val="28"/>
          <w:szCs w:val="22"/>
        </w:rPr>
        <w:t xml:space="preserve"> Ram and </w:t>
      </w:r>
      <w:proofErr w:type="spellStart"/>
      <w:r w:rsidRPr="0038310A">
        <w:rPr>
          <w:sz w:val="28"/>
          <w:szCs w:val="22"/>
        </w:rPr>
        <w:t>Lilach</w:t>
      </w:r>
      <w:proofErr w:type="spellEnd"/>
      <w:r w:rsidRPr="0038310A">
        <w:rPr>
          <w:sz w:val="28"/>
          <w:szCs w:val="22"/>
        </w:rPr>
        <w:t xml:space="preserve"> </w:t>
      </w:r>
      <w:proofErr w:type="spellStart"/>
      <w:r w:rsidRPr="0038310A">
        <w:rPr>
          <w:sz w:val="28"/>
          <w:szCs w:val="22"/>
        </w:rPr>
        <w:t>Hadany</w:t>
      </w:r>
      <w:proofErr w:type="spellEnd"/>
    </w:p>
    <w:p w:rsidR="0038310A" w:rsidRDefault="0038310A" w:rsidP="0038310A">
      <w:pPr>
        <w:spacing w:line="480" w:lineRule="auto"/>
        <w:ind w:firstLine="284"/>
        <w:rPr>
          <w:rFonts w:ascii="Times New Roman" w:hAnsi="Times New Roman" w:cs="Times New Roman"/>
        </w:rPr>
      </w:pPr>
    </w:p>
    <w:p w:rsidR="002630C5" w:rsidRDefault="0038310A" w:rsidP="0038310A">
      <w:pPr>
        <w:spacing w:line="480" w:lineRule="auto"/>
        <w:ind w:firstLine="284"/>
        <w:rPr>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9" w:history="1">
        <w:r w:rsidRPr="00823689">
          <w:rPr>
            <w:rStyle w:val="Hyperlink"/>
            <w:lang w:bidi="hi-IN"/>
          </w:rPr>
          <w:t>yoavram@post.tau.ac.il</w:t>
        </w:r>
      </w:hyperlink>
      <w:r>
        <w:rPr>
          <w:lang w:bidi="hi-IN"/>
        </w:rPr>
        <w:t xml:space="preserve">, LH - </w:t>
      </w:r>
      <w:hyperlink r:id="rId10" w:history="1">
        <w:r w:rsidR="00B8554B">
          <w:rPr>
            <w:rStyle w:val="Hyperlink"/>
            <w:lang w:bidi="hi-IN"/>
          </w:rPr>
          <w:t>lilach.hadany@gmail.com</w:t>
        </w:r>
      </w:hyperlink>
    </w:p>
    <w:p w:rsidR="002630C5" w:rsidRDefault="0038310A" w:rsidP="0038310A">
      <w:pPr>
        <w:spacing w:line="480" w:lineRule="auto"/>
        <w:ind w:firstLine="284"/>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2630C5" w:rsidRDefault="002630C5" w:rsidP="0038310A">
      <w:pPr>
        <w:spacing w:line="480" w:lineRule="auto"/>
        <w:ind w:firstLine="284"/>
        <w:rPr>
          <w:lang w:bidi="hi-IN"/>
        </w:rPr>
      </w:pPr>
      <w:r>
        <w:rPr>
          <w:lang w:bidi="hi-IN"/>
        </w:rPr>
        <w:t>Tel-Aviv 69978, Israel</w:t>
      </w:r>
      <w:r w:rsidR="0038310A">
        <w:rPr>
          <w:lang w:bidi="hi-IN"/>
        </w:rPr>
        <w:t>. Tel. +972.3.640.6886</w:t>
      </w:r>
    </w:p>
    <w:p w:rsidR="002630C5" w:rsidRDefault="004E278A" w:rsidP="0038310A">
      <w:pPr>
        <w:spacing w:line="480" w:lineRule="auto"/>
        <w:ind w:firstLine="284"/>
        <w:rPr>
          <w:lang w:bidi="hi-IN"/>
        </w:rPr>
      </w:pPr>
      <w:r w:rsidRPr="0038310A">
        <w:rPr>
          <w:b/>
          <w:bCs/>
          <w:lang w:bidi="hi-IN"/>
        </w:rPr>
        <w:t>Running title:</w:t>
      </w:r>
      <w:r>
        <w:rPr>
          <w:lang w:bidi="hi-IN"/>
        </w:rPr>
        <w:t xml:space="preserve"> </w:t>
      </w:r>
      <w:r w:rsidRPr="004E278A">
        <w:rPr>
          <w:lang w:bidi="hi-IN"/>
        </w:rPr>
        <w:t>SIM, adaptability and adaptedness</w:t>
      </w:r>
    </w:p>
    <w:p w:rsidR="00347C94" w:rsidRDefault="00347C94" w:rsidP="0038310A">
      <w:pPr>
        <w:spacing w:line="480" w:lineRule="auto"/>
        <w:ind w:firstLine="284"/>
        <w:rPr>
          <w:lang w:bidi="hi-IN"/>
        </w:rPr>
      </w:pPr>
      <w:r w:rsidRPr="0038310A">
        <w:rPr>
          <w:b/>
          <w:bCs/>
          <w:lang w:bidi="hi-IN"/>
        </w:rPr>
        <w:t>Keywords</w:t>
      </w:r>
      <w:r>
        <w:rPr>
          <w:lang w:bidi="hi-IN"/>
        </w:rPr>
        <w:t>: adaptation, fitness, models/simulations, mutations, population genetics, trade-offs</w:t>
      </w:r>
    </w:p>
    <w:p w:rsidR="00347C94" w:rsidRDefault="0038310A" w:rsidP="00313F54">
      <w:pPr>
        <w:spacing w:line="480" w:lineRule="auto"/>
        <w:ind w:firstLine="284"/>
        <w:rPr>
          <w:lang w:bidi="hi-IN"/>
        </w:rPr>
      </w:pPr>
      <w:r w:rsidRPr="0038310A">
        <w:rPr>
          <w:b/>
          <w:bCs/>
          <w:lang w:bidi="hi-IN"/>
        </w:rPr>
        <w:t>Counts</w:t>
      </w:r>
      <w:r>
        <w:rPr>
          <w:lang w:bidi="hi-IN"/>
        </w:rPr>
        <w:t xml:space="preserve">: </w:t>
      </w:r>
      <w:r w:rsidR="00313F54">
        <w:rPr>
          <w:lang w:bidi="hi-IN"/>
        </w:rPr>
        <w:t>X</w:t>
      </w:r>
      <w:r w:rsidR="00347C94">
        <w:rPr>
          <w:lang w:bidi="hi-IN"/>
        </w:rPr>
        <w:t xml:space="preserve"> words, </w:t>
      </w:r>
      <w:r w:rsidR="00313F54">
        <w:rPr>
          <w:lang w:bidi="hi-IN"/>
        </w:rPr>
        <w:t>X</w:t>
      </w:r>
      <w:r w:rsidR="00347C94">
        <w:rPr>
          <w:lang w:bidi="hi-IN"/>
        </w:rPr>
        <w:t xml:space="preserve"> figures, 1 table</w:t>
      </w:r>
    </w:p>
    <w:p w:rsidR="0038310A" w:rsidRDefault="00347C94" w:rsidP="00FB1726">
      <w:pPr>
        <w:spacing w:line="480" w:lineRule="auto"/>
        <w:ind w:firstLine="284"/>
        <w:rPr>
          <w:lang w:bidi="hi-IN"/>
        </w:rPr>
      </w:pPr>
      <w:r w:rsidRPr="0038310A">
        <w:rPr>
          <w:b/>
          <w:bCs/>
          <w:lang w:bidi="hi-IN"/>
        </w:rPr>
        <w:t>Data archiving</w:t>
      </w:r>
      <w:r w:rsidR="00FB1726">
        <w:rPr>
          <w:lang w:bidi="hi-IN"/>
        </w:rPr>
        <w:t>: Dryad</w:t>
      </w:r>
    </w:p>
    <w:p w:rsidR="0038310A" w:rsidRDefault="0038310A" w:rsidP="0038310A">
      <w:pPr>
        <w:rPr>
          <w:lang w:bidi="hi-IN"/>
        </w:rPr>
      </w:pPr>
      <w:r>
        <w:rPr>
          <w:lang w:bidi="hi-IN"/>
        </w:rPr>
        <w:br w:type="page"/>
      </w:r>
    </w:p>
    <w:p w:rsidR="003757EA" w:rsidRDefault="003757EA" w:rsidP="002A0DCC">
      <w:pPr>
        <w:pStyle w:val="Heading1"/>
        <w:keepLines w:val="0"/>
        <w:numPr>
          <w:ilvl w:val="0"/>
          <w:numId w:val="0"/>
        </w:numPr>
        <w:tabs>
          <w:tab w:val="left" w:pos="482"/>
        </w:tabs>
        <w:spacing w:after="180" w:line="480" w:lineRule="auto"/>
        <w:jc w:val="both"/>
      </w:pPr>
      <w:r>
        <w:lastRenderedPageBreak/>
        <w:t>Abstract</w:t>
      </w:r>
    </w:p>
    <w:p w:rsidR="00282DE0" w:rsidRDefault="00D4102F" w:rsidP="00282DE0">
      <w:pPr>
        <w:spacing w:line="480" w:lineRule="auto"/>
      </w:pPr>
      <w:r>
        <w:t xml:space="preserve">Evolutionary theory suggests </w:t>
      </w:r>
      <w:r w:rsidR="00282DE0">
        <w:t xml:space="preserve">that </w:t>
      </w:r>
      <w:r>
        <w:t xml:space="preserve">the mutation rate must balance between </w:t>
      </w:r>
      <w:r w:rsidRPr="00282DE0">
        <w:rPr>
          <w:i/>
          <w:iCs/>
        </w:rPr>
        <w:t>adaptability</w:t>
      </w:r>
      <w:r>
        <w:t xml:space="preserve"> – the ability to adapt – and </w:t>
      </w:r>
      <w:r w:rsidRPr="00D4102F">
        <w:rPr>
          <w:i/>
          <w:iCs/>
        </w:rPr>
        <w:t>adaptedness</w:t>
      </w:r>
      <w:r>
        <w:t xml:space="preserve"> – the ability to remain adapted.</w:t>
      </w:r>
      <w:r w:rsidR="00282DE0">
        <w:t xml:space="preserve"> </w:t>
      </w:r>
    </w:p>
    <w:p w:rsidR="003757EA" w:rsidRPr="00282DE0" w:rsidRDefault="00282DE0" w:rsidP="006D3220">
      <w:pPr>
        <w:spacing w:line="480" w:lineRule="auto"/>
      </w:pPr>
      <w:r>
        <w:t xml:space="preserve">We model a population crossing a fitness valley and analyze the rate of complex adaptation with and without stress-induced mutagenesis - the increase of mutation rates in response to stress or maladaptation. </w:t>
      </w:r>
      <w:r w:rsidR="00021B61">
        <w:t xml:space="preserve">We </w:t>
      </w:r>
      <w:r>
        <w:t xml:space="preserve">show that stress-induced mutagenesis breaks this evolutionary trade-off, increasing the </w:t>
      </w:r>
      <w:r>
        <w:rPr>
          <w:i/>
          <w:iCs/>
        </w:rPr>
        <w:t>adaptability</w:t>
      </w:r>
      <w:r>
        <w:t xml:space="preserve"> of asexual populations without reducing their </w:t>
      </w:r>
      <w:r>
        <w:rPr>
          <w:i/>
          <w:iCs/>
        </w:rPr>
        <w:t>adaptedness</w:t>
      </w:r>
      <w:r>
        <w:t xml:space="preserve">. </w:t>
      </w:r>
      <w:r w:rsidR="00021B61">
        <w:t xml:space="preserve">Our theoretical </w:t>
      </w:r>
      <w:r>
        <w:t xml:space="preserve">results support the hypothesis that stress-induced mutagenesis </w:t>
      </w:r>
      <w:r w:rsidR="006D3220">
        <w:t>can be</w:t>
      </w:r>
      <w:r>
        <w:t xml:space="preserve"> an </w:t>
      </w:r>
      <w:r w:rsidR="008643AC">
        <w:t xml:space="preserve">adaptive </w:t>
      </w:r>
      <w:r>
        <w:t>trait</w:t>
      </w:r>
      <w:r w:rsidR="006D3220">
        <w:t xml:space="preserve"> </w:t>
      </w:r>
      <w:r w:rsidR="006D3220" w:rsidRPr="006D3220">
        <w:t>and provide quantitative predictions about the difference between different mutational strategies in adaptive evolution.</w:t>
      </w:r>
    </w:p>
    <w:p w:rsidR="00625517" w:rsidRDefault="00625517" w:rsidP="002A0DCC">
      <w:pPr>
        <w:pStyle w:val="Heading1"/>
        <w:keepLines w:val="0"/>
        <w:tabs>
          <w:tab w:val="left" w:pos="482"/>
        </w:tabs>
        <w:spacing w:after="180" w:line="480" w:lineRule="auto"/>
        <w:ind w:left="0" w:firstLine="0"/>
        <w:jc w:val="both"/>
      </w:pPr>
      <w:r>
        <w:t>Introduction</w:t>
      </w:r>
    </w:p>
    <w:p w:rsidR="00625517" w:rsidRDefault="001307C7" w:rsidP="00AE4609">
      <w:pPr>
        <w:spacing w:line="480" w:lineRule="auto"/>
      </w:pPr>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CA7DA9">
        <w:fldChar w:fldCharType="begin" w:fldLock="1"/>
      </w:r>
      <w:r w:rsidR="00914F9D">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"ISSN" : "1350-0872", "PMID" : "11988499", "abstract" : "The separation of sex and reproduction in bacteria and most other microbes makes their evolutionary adap- tation primarily dependent on mutation as the \u2018raw material\u2019. At first sight, producing as many mutations as possible may thus seem a profitable strategy for microbes, because it would allow them to respond rapidly to changing environmental conditions. How- ever, mutations come in many forms and only very few are beneficial for adaptation of the organism to its environment, while many more have deleterious effects (Sturtevant, 1937). This begs the question to what level the mutation rate should evolve to balance the necessity of adaptive change with the cost of deleterious mutations (Sniegowski et al., 2000). Whatever the best mutation rate might be theoretically, actual changes of the mutation rate come about by natural selection acting on mutants with different mutation rates. Since these forces can be different for individual mutation-rate mutants within a population and entire populations of such mutants (see below), the observed mutation rate does not always reflect a single theoretical optimum. Actual mutation rates are rather a product of the interplay between short- and long-term evolutionary forces acting on these mutants, where short-term forces affect the frequency of individual mutation-rate mutants within populations, and long-term forces affect the frequency of populations of these mutants relative to other populations. The clonal structure of most microbial populations causes competition between populations to be a relevant force.", "author" : [ { "dropping-particle" : "", "family" : "Visser", "given" : "J. Arjan G. M.", "non-dropping-particle" : "de", "parse-names" : false, "suffix" : "" } ], "container-title" : "Microbiology (Reading, England)", "id" : "ITEM-3", "issue" : "Pt 5", "issued" : { "date-parts" : [ [ "2002", "5" ] ] }, "page" : "1247-52", "title" : "The fate of microbial mutators.", "type" : "article-journal", "volume" : "148" }, "uris" : [ "http://www.mendeley.com/documents/?uuid=5c9d401b-35f7-4b0b-9cd9-1e433221d47f" ] } ], "mendeley" : { "manualFormatting" : "(reviewed in Sniegowski et al. 2000; de Visser 2002; Denamur and Matic 2006)", "previouslyFormattedCitation" : "(Sniegowski et al. 2000; de Visser 2002; Denamur and Matic 2006)" }, "properties" : { "noteIndex" : 0 }, "schema" : "https://github.com/citation-style-language/schema/raw/master/csl-citation.json" }</w:instrText>
      </w:r>
      <w:r w:rsidR="00CA7DA9">
        <w:fldChar w:fldCharType="separate"/>
      </w:r>
      <w:r w:rsidR="00AE4609" w:rsidRPr="00AE4609">
        <w:rPr>
          <w:noProof/>
        </w:rPr>
        <w:t>(</w:t>
      </w:r>
      <w:r w:rsidR="00AE4609">
        <w:rPr>
          <w:noProof/>
        </w:rPr>
        <w:t xml:space="preserve">reviewed in </w:t>
      </w:r>
      <w:r w:rsidR="00AE4609" w:rsidRPr="00AE4609">
        <w:rPr>
          <w:noProof/>
        </w:rPr>
        <w:t>Sniegowski et al. 2000; de Visser 2002; Denamur and Matic 2006)</w:t>
      </w:r>
      <w:r w:rsidR="00CA7DA9">
        <w:fldChar w:fldCharType="end"/>
      </w:r>
      <w:r>
        <w:t>. However, during evol</w:t>
      </w:r>
      <w:r w:rsidR="00EE3B41">
        <w:t>ution in a constant environment,</w:t>
      </w:r>
      <w:r>
        <w:t xml:space="preserve"> </w:t>
      </w:r>
      <w:r w:rsidR="00A725E6">
        <w:t>constitutive</w:t>
      </w:r>
      <w:r>
        <w:t xml:space="preserve"> mutators </w:t>
      </w:r>
      <w:r w:rsidR="00EE3B41">
        <w:t xml:space="preserve">become associated with </w:t>
      </w:r>
      <w:r w:rsidR="0017087D">
        <w:t>poor</w:t>
      </w:r>
      <w:r w:rsidR="00EE3B41">
        <w:t xml:space="preserve"> genetic backgrounds due to increased </w:t>
      </w:r>
      <w:r>
        <w:t>accumulation of deleterious mutations</w:t>
      </w:r>
      <w:r w:rsidR="0017087D">
        <w:t>. Therefore, these mutator alleles</w:t>
      </w:r>
      <w:r>
        <w:t xml:space="preserve"> are </w:t>
      </w:r>
      <w:r w:rsidR="0017087D">
        <w:t>selected against</w:t>
      </w:r>
      <w:r>
        <w:t>, leading to "the rise and fall of the mutator allele"</w:t>
      </w:r>
      <w:r w:rsidR="00E1760D">
        <w:t xml:space="preserve">, a phenomenon that was studied using experimental evolution </w:t>
      </w:r>
      <w:r w:rsidR="00E1760D">
        <w:fldChar w:fldCharType="begin" w:fldLock="1"/>
      </w:r>
      <w:r w:rsidR="00914F9D">
        <w:instrText>ADDIN CSL_CITATION { "citationItems" : [ { "id" : "ITEM-1", "itemData" : { "DOI" : "10.1038/42701", "ISSN" : "0028-0836", "PMID" : "9192894", "abstract" : "Most mutations are likely to be deleterious, and so the spontaneous mutation rate is generally held at a very low value. Nonetheless, evolutionary theory predicts that high mutation rates can evolve under certain circumstances. Empirical observations have previously been limited to short-term studies of the fates of mutator strains deliberately introduced into laboratory populations of Escherichia coli, and to the effects of intense selective events on mutator frequencies in E. coli. Here we report the rise of spontaneously originated mutators in populations of E. coli undergoing long-term adaptation to a new environment. Our results corroborate computer simulations of mutator evolution in adapting clonal populations, and may help to explain observations that associate high mutation rates with emerging pathogens and with certain cancers.", "author" : [ { "dropping-particle" : "", "family" : "Sniegowski", "given" : "Paul D.", "non-dropping-particle" : "", "parse-names" : false, "suffix" : "" }, { "dropping-particle" : "", "family" : "Gerrish", "given" : "Philip J.", "non-dropping-particle" : "", "parse-names" : false, "suffix" : "" }, { "dropping-particle" : "", "family" : "Lenski", "given" : "Richard E.", "non-dropping-particle" : "", "parse-names" : false, "suffix" : "" } ], "chapter-number" : "NY", "container-title" : "Nature", "id" : "ITEM-1", "issue" : "6634", "issued" : { "date-parts" : [ [ "1997", "6" ] ] }, "note" : "experimental\n        \n3/12 populations increase mutation rate within 10,000 generations to between 1 and two orders of magnitude higher\n        \nmutator lineages remained mutators - persistence", "page" : "703-5", "publisher" : "Nature Publishing Group", "title" : "Evolution of high mutation rates in experimental populations of E. coli.", "type" : "article-journal", "volume" : "387" }, "uris" : [ "http://www.mendeley.com/documents/?uuid=ebc3ea94-3856-48ec-8a84-0a8de217730f" ] }, { "id" : "ITEM-2",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"ITEM-2",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"(Sniegowski et al. 1997; Wielgoss et al. 2012)" }, "properties" : { "noteIndex" : 0 }, "schema" : "https://github.com/citation-style-language/schema/raw/master/csl-citation.json" }</w:instrText>
      </w:r>
      <w:r w:rsidR="00E1760D">
        <w:fldChar w:fldCharType="separate"/>
      </w:r>
      <w:r w:rsidR="00E1760D" w:rsidRPr="00E1760D">
        <w:rPr>
          <w:noProof/>
        </w:rPr>
        <w:t xml:space="preserve">(Sniegowski et </w:t>
      </w:r>
      <w:r w:rsidR="00E1760D" w:rsidRPr="00E1760D">
        <w:rPr>
          <w:noProof/>
        </w:rPr>
        <w:lastRenderedPageBreak/>
        <w:t>al. 1997; Wielgoss et al. 2012)</w:t>
      </w:r>
      <w:r w:rsidR="00E1760D">
        <w:fldChar w:fldCharType="end"/>
      </w:r>
      <w:r w:rsidR="00E1760D">
        <w:t>,</w:t>
      </w:r>
      <w:r w:rsidR="003E2958">
        <w:t xml:space="preserve"> mathematical analysis, and</w:t>
      </w:r>
      <w:r w:rsidR="00E1760D">
        <w:t xml:space="preserve"> simulations </w:t>
      </w:r>
      <w:r w:rsidR="00E1760D">
        <w:fldChar w:fldCharType="begin" w:fldLock="1"/>
      </w:r>
      <w:r w:rsidR="00914F9D">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"10.1103/PhysRevLett.80.2012", "ISSN" : "0031-9007", "abstract" : "We investigate a model of evolutionary dynamics on a smooth landscape which features a ``mutator'' allele whose effect is to increase the mutation rate. We show that the expected proportion of mutators far from equilibrium, when the fitness is steadily increasing in time, is governed solely by the transition rates into and out of the mutator state. This results is a much faster rate of fitness increase than would be the case without the mutator allele. Near the fitness equilibrium, however, the mutators are severely suppressed, due to the detrimental effects of a large mutation rate near the fitness maximum. We discuss the results of a recent experiment on natural selection of E. coli in the light of our model.", "author" : [ { "dropping-particle" : "", "family" : "Kessler", "given" : "David A", "non-dropping-particle" : "", "parse-names" : false, "suffix" : "" }, { "dropping-particle" : "", "family" : "Levine", "given" : "Herbert", "non-dropping-particle" : "", "parse-names" : false, "suffix" : "" } ], "container-title" : "Physical Review Letters", "id" : "ITEM-2", "issue" : "9", "issued" : { "date-parts" : [ [ "1998", "3" ] ] }, "page" : "2012-2015", "title" : "Mutator Dynamics on a Smooth Evolutionary Landscape", "type" : "article-journal", "volume" : "80" }, "uris" : [ "http://www.mendeley.com/documents/?uuid=87e79d5f-65b8-40bf-8c34-1a7629afca5e" ] }, { "id" : "ITEM-3", "itemData" : { "abstract" : "Selection of mutator alleles, increasing the mutation rate up to 10,000-fold, has been observed during in vitro experimental evolution. This spread is ascribed to the hitchhiking of mutator alleles with favorable mutations, as demonstrated by a theoretical model using selective parameters corresponding to such experiments. Observations of unexpectedly high frequencies of mutators in natural isolates suggest that the same phemonemon could occur in the wild. But it remains questionable whether realistic in natura parameter values could also result in selection of mutators. In particular, the main parameters of adaptation, the size of the adapting population and the height and steepness of the adaptive peak characterizing adaptation, are very variable in nature. By simulation approach, we studied the effect of these parameters on the selection of mutators in asexual populations, assuming additive fitness. We show that the larger the population size, the more likely the fixation of mutator alleles. At a large population size, at least four adaptive mutations are needed for mutator fixation; moreover, under stronger selection stronger mutators are selected. We propose a model based on multiple mutations to illustrate how second-order selection can optimize population fitness when few favorable mutations are required for adaptation.", "author" : [ { "dropping-particle" : "", "family" : "Tenaillon", "given" : "Olivier", "non-dropping-particle" : "", "parse-names" : false, "suffix" : "" }, { "dropping-particle" : "", "family" : "Toupance", "given" : "Bruno", "non-dropping-particle" : "", "parse-names" : false, "suffix" : "" }, { "dropping-particle" : "", "family" : "Nagard", "given" : "Herve", "non-dropping-particle" : "Le", "parse-names" : false, "suffix" : "" }, { "dropping-particle" : "", "family" : "Taddei", "given" : "Fran\u00e7ois", "non-dropping-particle" : "", "parse-names" : false, "suffix" : "" }, { "dropping-particle" : "", "family" : "Godelle", "given" : "Bernard", "non-dropping-particle" : "", "parse-names" : false, "suffix" : "" } ], "container-title" : "Genetics", "id" : "ITEM-3", "issue" : "2", "issued" : { "date-parts" : [ [ "1999" ] ] }, "note" : "treis to evaluate the results of Taddei et al 1997 for \"natural\" parameter values:\n*population size\n*number of beneficial mutations needed for adaptation\n*selection coefficient of beneficial mutations\n        \n        \nprobability of fixation is defined as the percantage of populations in which the frequency of the mutator  at the end of adaptation reaches 95% - much harder for the mutator then in our model", "page" : "485-493", "title" : "Mutators, Population Size, Adaptive Landscape and the Adaptation of Asexual Populations of Bacteria", "type" : "article-journal", "volume" : "152" }, "uris" : [ "http://www.mendeley.com/documents/?uuid=31a3329f-09b7-46c8-ae20-0987c1294b44" ] } ], "mendeley" : { "previouslyFormattedCitation" : "(Taddei et al. 1997; Kessler and Levine 1998; Tenaillon et al. 1999)" }, "properties" : { "noteIndex" : 0 }, "schema" : "https://github.com/citation-style-language/schema/raw/master/csl-citation.json" }</w:instrText>
      </w:r>
      <w:r w:rsidR="00E1760D">
        <w:fldChar w:fldCharType="separate"/>
      </w:r>
      <w:r w:rsidR="003E2958" w:rsidRPr="003E2958">
        <w:rPr>
          <w:noProof/>
        </w:rPr>
        <w:t>(Taddei et al. 1997; Kessler and Levine 1998; Tenaillon et al. 1999)</w:t>
      </w:r>
      <w:r w:rsidR="00E1760D">
        <w:fldChar w:fldCharType="end"/>
      </w:r>
      <w:r w:rsidR="00E1760D">
        <w:t>.</w:t>
      </w:r>
      <w:r w:rsidR="003E2958">
        <w:t xml:space="preserve"> </w:t>
      </w:r>
      <w:r w:rsidR="00A725E6">
        <w:t xml:space="preserve">Leigh </w:t>
      </w:r>
      <w:r w:rsidR="00CA7DA9">
        <w:fldChar w:fldCharType="begin" w:fldLock="1"/>
      </w:r>
      <w:r w:rsidR="00914F9D">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CA7DA9">
        <w:fldChar w:fldCharType="separate"/>
      </w:r>
      <w:r w:rsidR="00663378" w:rsidRPr="00663378">
        <w:rPr>
          <w:noProof/>
        </w:rPr>
        <w:t>(1970)</w:t>
      </w:r>
      <w:r w:rsidR="00CA7DA9">
        <w:fldChar w:fldCharType="end"/>
      </w:r>
      <w:r w:rsidR="00A725E6">
        <w:t xml:space="preserve"> suggested that </w:t>
      </w:r>
      <w:r>
        <w:t xml:space="preserve">the mutation rate must balance </w:t>
      </w:r>
      <w:r w:rsidR="00EE3B41">
        <w:t xml:space="preserve">between two </w:t>
      </w:r>
      <w:r w:rsidR="009770F6">
        <w:t>evolutionary traits</w:t>
      </w:r>
      <w:r w:rsidR="00EE3B41">
        <w:t>:</w:t>
      </w:r>
      <w:r>
        <w:t xml:space="preserve"> </w:t>
      </w:r>
      <w:r w:rsidRPr="00A725E6">
        <w:rPr>
          <w:i/>
          <w:iCs/>
        </w:rPr>
        <w:t>adaptability</w:t>
      </w:r>
      <w:r>
        <w:t xml:space="preserve"> </w:t>
      </w:r>
      <w:r w:rsidR="00EE3B41">
        <w:t xml:space="preserve">– the capacity to adapt to new environmental conditions - </w:t>
      </w:r>
      <w:r>
        <w:t xml:space="preserve">and </w:t>
      </w:r>
      <w:r w:rsidRPr="00A725E6">
        <w:rPr>
          <w:i/>
          <w:iCs/>
        </w:rPr>
        <w:t>adaptedness</w:t>
      </w:r>
      <w:r w:rsidR="00EE3B41">
        <w:t xml:space="preserve"> – the capacity to remain adapted to existing conditions</w:t>
      </w:r>
      <w:r>
        <w:t>.</w:t>
      </w:r>
    </w:p>
    <w:p w:rsidR="00F12058" w:rsidRDefault="00A725E6" w:rsidP="00B87664">
      <w:pPr>
        <w:spacing w:line="480" w:lineRule="auto"/>
      </w:pPr>
      <w:r>
        <w:t>Stress-induced mutagenesis (SIM)</w:t>
      </w:r>
      <w:r w:rsidR="00C2015F">
        <w:t>,</w:t>
      </w:r>
      <w:r>
        <w:t xml:space="preserve"> the increase of mutation rate</w:t>
      </w:r>
      <w:r w:rsidR="00C2015F">
        <w:t>s</w:t>
      </w:r>
      <w:r>
        <w:t xml:space="preserve"> in stressed or maladapted individuals, </w:t>
      </w:r>
      <w:r w:rsidR="00B87664">
        <w:t>has been</w:t>
      </w:r>
      <w:r>
        <w:t xml:space="preserve"> demonstrated in </w:t>
      </w:r>
      <w:r w:rsidR="00C2015F">
        <w:t>many</w:t>
      </w:r>
      <w:r>
        <w:t xml:space="preserve"> species, </w:t>
      </w:r>
      <w:r w:rsidR="00B87664">
        <w:t xml:space="preserve">including </w:t>
      </w:r>
      <w:r>
        <w:t>both prokaryote and eukaryote</w:t>
      </w:r>
      <w:r w:rsidR="00AE4609">
        <w:t xml:space="preserve"> </w:t>
      </w:r>
      <w:r w:rsidR="00AE4609">
        <w:fldChar w:fldCharType="begin" w:fldLock="1"/>
      </w:r>
      <w:r w:rsidR="00914F9D">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"mendeley" : { "previouslyFormattedCitation" : "(Galhardo et al. 2007)" }, "properties" : { "noteIndex" : 0 }, "schema" : "https://github.com/citation-style-language/schema/raw/master/csl-citation.json" }</w:instrText>
      </w:r>
      <w:r w:rsidR="00AE4609">
        <w:fldChar w:fldCharType="separate"/>
      </w:r>
      <w:r w:rsidR="00AE4609" w:rsidRPr="00AE4609">
        <w:rPr>
          <w:noProof/>
        </w:rPr>
        <w:t>(Galhardo et al. 2007)</w:t>
      </w:r>
      <w:r w:rsidR="00AE4609">
        <w:fldChar w:fldCharType="end"/>
      </w:r>
      <w:r w:rsidR="00AE4609">
        <w:t xml:space="preserve">. The phenomenon was observed in </w:t>
      </w:r>
      <w:r w:rsidR="00AE4609">
        <w:rPr>
          <w:i/>
          <w:iCs/>
        </w:rPr>
        <w:t xml:space="preserve">Escherichia coli </w:t>
      </w:r>
      <w:r w:rsidR="00AE4609">
        <w:t>in the lab</w:t>
      </w:r>
      <w:r w:rsidR="00AE4609">
        <w:rPr>
          <w:i/>
          <w:iCs/>
        </w:rPr>
        <w:t xml:space="preserve"> </w:t>
      </w:r>
      <w:r w:rsidR="00AE4609">
        <w:rPr>
          <w:i/>
          <w:iCs/>
        </w:rPr>
        <w:fldChar w:fldCharType="begin" w:fldLock="1"/>
      </w:r>
      <w:r w:rsidR="00914F9D">
        <w:rPr>
          <w:i/>
          <w:iCs/>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"mendeley" : { "previouslyFormattedCitation" : "(Foster 2007; Rosenberg et al. 2012)" }, "properties" : { "noteIndex" : 0 }, "schema" : "https://github.com/citation-style-language/schema/raw/master/csl-citation.json" }</w:instrText>
      </w:r>
      <w:r w:rsidR="00AE4609">
        <w:rPr>
          <w:i/>
          <w:iCs/>
        </w:rPr>
        <w:fldChar w:fldCharType="separate"/>
      </w:r>
      <w:r w:rsidR="00C53C8F" w:rsidRPr="00C53C8F">
        <w:rPr>
          <w:iCs/>
          <w:noProof/>
        </w:rPr>
        <w:t>(Foster 2007; Rosenberg et al. 2012)</w:t>
      </w:r>
      <w:r w:rsidR="00AE4609">
        <w:rPr>
          <w:i/>
          <w:iCs/>
        </w:rPr>
        <w:fldChar w:fldCharType="end"/>
      </w:r>
      <w:r w:rsidR="00AE4609">
        <w:t xml:space="preserve">, and in natural populations </w:t>
      </w:r>
      <w:r w:rsidR="00AE4609">
        <w:fldChar w:fldCharType="begin" w:fldLock="1"/>
      </w:r>
      <w:r w:rsidR="00914F9D">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"mendeley" : { "previouslyFormattedCitation" : "(Bjedov et al. 2003)" }, "properties" : { "noteIndex" : 0 }, "schema" : "https://github.com/citation-style-language/schema/raw/master/csl-citation.json" }</w:instrText>
      </w:r>
      <w:r w:rsidR="00AE4609">
        <w:fldChar w:fldCharType="separate"/>
      </w:r>
      <w:r w:rsidR="00AE4609" w:rsidRPr="00313F54">
        <w:rPr>
          <w:noProof/>
        </w:rPr>
        <w:t>(Bjedov et al. 2003)</w:t>
      </w:r>
      <w:r w:rsidR="00AE4609">
        <w:fldChar w:fldCharType="end"/>
      </w:r>
      <w:r w:rsidR="00AE4609">
        <w:t xml:space="preserve">; in other species of bacteria, including Pseudomonads </w:t>
      </w:r>
      <w:r w:rsidR="00AE4609">
        <w:fldChar w:fldCharType="begin" w:fldLock="1"/>
      </w:r>
      <w:r w:rsidR="00914F9D">
        <w:instrText>ADDIN CSL_CITATION { "citationItems" : [ { "id" : "ITEM-1", "itemData" : { "DOI" : "10.1111/j.1574-6968.2010.02027.x", "ISSN" : "1574-6968", "PMID" : "20572869", "abstract" : "In a growth-restricting environment, mutants arise that are able to take over bacterial populations by a process known as adaptive mutation or stationary-phase mutation. This process is best studied in Escherichia coli. The genus Pseudomonas represents one of the largest groups of bacteria able to colonize multiple habitats and to adapt rapidly to new environments. The majority of bacteria including pseudomonads contain a different set of DNA polymerases and DNA repair enzymes than those identified in E. coli. The aim of this review is to provide an overview of the results of studies of mutagenic processes in pseudomonads and to discuss these results in the light of the mechanisms of stationary-phase mutagenesis discovered in E. coli.", "author" : [ { "dropping-particle" : "", "family" : "Kivisaar", "given" : "Maia", "non-dropping-particle" : "", "parse-names" : false, "suffix" : "" } ], "container-title" : "FEMS microbiology letters", "id" : "ITEM-1", "issue" : "1", "issued" : { "date-parts" : [ [ "2010", "11" ] ] }, "note" : "half-read", "page" : "1-14", "title" : "Mechanisms of stationary-phase mutagenesis in bacteria: mutational processes in pseudomonads.", "type" : "article-journal", "volume" : "312" }, "uris" : [ "http://www.mendeley.com/documents/?uuid=feaa95f9-7e63-4308-8f59-171e5f183a28" ] } ], "mendeley" : { "previouslyFormattedCitation" : "(Kivisaar 2010)" }, "properties" : { "noteIndex" : 0 }, "schema" : "https://github.com/citation-style-language/schema/raw/master/csl-citation.json" }</w:instrText>
      </w:r>
      <w:r w:rsidR="00AE4609">
        <w:fldChar w:fldCharType="separate"/>
      </w:r>
      <w:r w:rsidR="00AE4609" w:rsidRPr="00AE4609">
        <w:rPr>
          <w:noProof/>
        </w:rPr>
        <w:t>(Kivisaar 2010)</w:t>
      </w:r>
      <w:r w:rsidR="00AE4609">
        <w:fldChar w:fldCharType="end"/>
      </w:r>
      <w:r w:rsidR="00C53C8F">
        <w:t xml:space="preserve">, </w:t>
      </w:r>
      <w:r w:rsidR="00C53C8F">
        <w:rPr>
          <w:i/>
          <w:iCs/>
        </w:rPr>
        <w:t xml:space="preserve">Helicobacter pylori </w:t>
      </w:r>
      <w:r w:rsidR="00C53C8F">
        <w:rPr>
          <w:i/>
          <w:iCs/>
        </w:rPr>
        <w:fldChar w:fldCharType="begin" w:fldLock="1"/>
      </w:r>
      <w:r w:rsidR="00914F9D">
        <w:rPr>
          <w:i/>
          <w:iCs/>
        </w:rPr>
        <w:instrText>ADDIN CSL_CITATION { "citationItems" : [ { "id" : "ITEM-1", "itemData" : { "DOI" : "10.1096/fj.06-6209com", "ISSN" : "1530-6860", "PMID" : "17142797", "abstract" : "Environmental stresses may lead to selection for hypermutator bacterial cells, which have an increased chance of generating beneficial variants. With stress removal, cost of mutation exceeds the fitness advantage, selecting against hypermutators. Hypermutators arise through several mechanisms, including inactivation of mismatch repair genes (MMR) or induction of error-prone polymerases. Helicobacter pylori may provide an alternative mechanism of stress-induced mutagenesis, since it lacks the MMR genes and error-prone polymerases found in other bacterial species, and possesses an endogenously high mutation frequency. In this study, we expose H. pylori strains to reactive oxygen species and reactive nitrogen species, stressors found in their natural environment. These exposures directly resulted in elevated rates of spontaneous point mutation, deletion between direct repeats, and intergenomic recombination. We demonstrate that these effects are transient and do not involve selection for hypermutator strains. That H. pylori possesses direct repeats in regions where potential gene rearrangements can occur suggests a mechanism for targeted mutation in response to stress that avoids the deleterious fitness costs of fixed hypermutation. These studies provide a new paradigm for adaptation under increased selective pressures that may be present in other prokaryotes.", "author" : [ { "dropping-particle" : "", "family" : "Kang", "given" : "Josephine M", "non-dropping-particle" : "", "parse-names" : false, "suffix" : "" }, { "dropping-particle" : "", "family" : "Iovine", "given" : "Nicole M", "non-dropping-particle" : "", "parse-names" : false, "suffix" : "" }, { "dropping-particle" : "", "family" : "Blaser", "given" : "Martin J", "non-dropping-particle" : "", "parse-names" : false, "suffix" : "" } ], "container-title" : "The FASEB journal : official publication of the Federation of American Societies for Experimental Biology", "id" : "ITEM-1", "issue" : "14", "issued" : { "date-parts" : [ [ "2006", "12" ] ] }, "note" : "direct-DNA damage induces point mutations, rearrangements and HGT.\nthis phenotype is limited to the time of stress.\nnothing about induction by starvation etc.\nno hypermutable state - this is a global effect of the environment\nis there any variance in mutaiton/recombination rates? do some individuals hyper and some don't?", "page" : "2476-85", "title" : "A paradigm for direct stress-induced mutation in prokaryotes.", "type" : "article-journal", "volume" : "20" }, "uris" : [ "http://www.mendeley.com/documents/?uuid=467269d8-8be0-4fab-915f-06a3f43cea4b" ] } ], "mendeley" : { "previouslyFormattedCitation" : "(Kang et al. 2006)" }, "properties" : { "noteIndex" : 0 }, "schema" : "https://github.com/citation-style-language/schema/raw/master/csl-citation.json" }</w:instrText>
      </w:r>
      <w:r w:rsidR="00C53C8F">
        <w:rPr>
          <w:i/>
          <w:iCs/>
        </w:rPr>
        <w:fldChar w:fldCharType="separate"/>
      </w:r>
      <w:r w:rsidR="00C53C8F" w:rsidRPr="00C53C8F">
        <w:rPr>
          <w:iCs/>
          <w:noProof/>
        </w:rPr>
        <w:t>(Kang et al. 2006)</w:t>
      </w:r>
      <w:r w:rsidR="00C53C8F">
        <w:rPr>
          <w:i/>
          <w:iCs/>
        </w:rPr>
        <w:fldChar w:fldCharType="end"/>
      </w:r>
      <w:r w:rsidR="00C53C8F">
        <w:t xml:space="preserve">, and </w:t>
      </w:r>
      <w:r w:rsidR="00C53C8F" w:rsidRPr="00C53C8F">
        <w:rPr>
          <w:i/>
          <w:iCs/>
        </w:rPr>
        <w:t>Streptococcus pneumonia</w:t>
      </w:r>
      <w:r w:rsidR="00C53C8F">
        <w:t xml:space="preserve"> </w:t>
      </w:r>
      <w:r w:rsidR="00C53C8F">
        <w:fldChar w:fldCharType="begin" w:fldLock="1"/>
      </w:r>
      <w:r w:rsidR="00914F9D">
        <w:instrText>ADDIN CSL_CITATION { "citationItems" : [ { "id" : "ITEM-1", "itemData" : { "DOI" : "10.1093/jac/dkl064", "ISSN" : "0305-7453", "PMID" : "16531433", "abstract" : "To investigate the effect of subinhibitory concentrations of ciprofloxacin, streptomycin, trimethoprim, ampicillin and erythromycin on mutation frequency in Streptococcus pneumoniae.", "author" : [ { "dropping-particle" : "", "family" : "Henderson-Begg", "given" : "Stephanie K", "non-dropping-particle" : "", "parse-names" : false, "suffix" : "" }, { "dropping-particle" : "", "family" : "Livermore", "given" : "David M", "non-dropping-particle" : "", "parse-names" : false, "suffix" : "" }, { "dropping-particle" : "", "family" : "Hall", "given" : "Lucinda M C", "non-dropping-particle" : "", "parse-names" : false, "suffix" : "" } ], "container-title" : "The Journal of antimicrobial chemotherapy", "id" : "ITEM-1", "issue" : "5", "issued" : { "date-parts" : [ [ "2006", "5" ] ] }, "page" : "849-54", "title" : "Effect of subinhibitory concentrations of antibiotics on mutation frequency in Streptococcus pneumoniae.", "type" : "article-journal", "volume" : "57" }, "uris" : [ "http://www.mendeley.com/documents/?uuid=9d27374b-edb2-4edc-b0b7-b1636df1593c" ] } ], "mendeley" : { "previouslyFormattedCitation" : "(Henderson-Begg et al. 2006)" }, "properties" : { "noteIndex" : 0 }, "schema" : "https://github.com/citation-style-language/schema/raw/master/csl-citation.json" }</w:instrText>
      </w:r>
      <w:r w:rsidR="00C53C8F">
        <w:fldChar w:fldCharType="separate"/>
      </w:r>
      <w:r w:rsidR="00C53C8F" w:rsidRPr="00C53C8F">
        <w:rPr>
          <w:noProof/>
        </w:rPr>
        <w:t>(Henderson-Begg et al. 2006)</w:t>
      </w:r>
      <w:r w:rsidR="00C53C8F">
        <w:fldChar w:fldCharType="end"/>
      </w:r>
      <w:r w:rsidR="00C53C8F">
        <w:t>.</w:t>
      </w:r>
      <w:r w:rsidR="00AE4609">
        <w:t xml:space="preserve"> </w:t>
      </w:r>
      <w:r w:rsidR="00C53C8F">
        <w:t xml:space="preserve">SIM was also suggested to operate in yeast </w:t>
      </w:r>
      <w:r w:rsidR="00C53C8F">
        <w:fldChar w:fldCharType="begin" w:fldLock="1"/>
      </w:r>
      <w:r w:rsidR="00914F9D">
        <w:instrText>ADDIN CSL_CITATION { "citationItems" : [ { "id" : "ITEM-1", "itemData" : { "DOI" : "10.1080/10409230701507773", "ISSN" : "1040-9238", "PMID" : "17687670", "abstract" : "Adaptive mutation is a generic term for processes that allow individual cells of nonproliferating cell populations to acquire advantageous mutations and thereby to overcome the strong selective pressure of proliferation-limiting environmental conditions. Prerequisites for an occurrence of adaptive mutation are that the selective conditions are nonlethal and that a restart of proliferation may be accomplished by some genetic change in principle. The importance of adaptive mutation is derived from the assumption that it may, on the one hand, result in an accelerated evolution of microorganisms and, on the other, in multicellular organisms may contribute to a breakout of somatic cells from negative growth regulation, i.e., to cancerogenesis. Most information on adaptive mutation in eukaryotes has been gained with the budding yeast Saccharomyces cerevisiae. This review focuses comprehensively on adaptive mutation in this organism and summarizes our current understanding of this issue.", "author" : [ { "dropping-particle" : "", "family" : "Heidenreich", "given" : "Erich", "non-dropping-particle" : "", "parse-names" : false, "suffix" : "" } ], "container-title" : "Critical reviews in biochemistry and molecular biology", "id" : "ITEM-1", "issue" : "4", "issued" : { "date-parts" : [ [ "2007" ] ] }, "page" : "285-311", "title" : "Adaptive mutation in Saccharomyces cerevisiae.", "type" : "article-journal", "volume" : "42" }, "uris" : [ "http://www.mendeley.com/documents/?uuid=04d7aadf-550f-4d1a-bd6c-9d465758da10" ] }, { "id" : "ITEM-2", "itemData" : { "ISSN" : "1091-6490", "abstract" : "Mismatch repair (MMR) is a major DNA repair pathway in cells from all branches of life that removes replication errors in a strand-specific manner, such that mismatched nucleotides are preferentially removed from the newly replicated strand of DNA. Here we demonstrate a role for MMR in helping create new phenotypes in nondividing cells. We show that mispairs in yeast that escape MMR during replication can later be subject to MMR activity in a replication strand-independent manner in nondividing cells, resulting in either fully wild-type or mutant DNA sequence. In one case, this activity is responsible for what appears to be adaptive mutation. This replication strand-independent MMR activity could contribute to the formation of tumors arising in nondividing cells and could also contribute to mutagenesis observed during somatic hypermutation of Ig genes.", "author" : [ { "dropping-particle" : "", "family" : "Rodriguez", "given" : "Gina P", "non-dropping-particle" : "", "parse-names" : false, "suffix" : "" }, { "dropping-particle" : "V", "family" : "Romanova", "given" : "Nina", "non-dropping-particle" : "", "parse-names" : false, "suffix" : "" }, { "dropping-particle" : "", "family" : "Bao", "given" : "Gaobin", "non-dropping-particle" : "", "parse-names" : false, "suffix" : "" }, { "dropping-particle" : "", "family" : "Rouf", "given" : "N Cynthia", "non-dropping-particle" : "", "parse-names" : false, "suffix" : "" }, { "dropping-particle" : "", "family" : "Kow", "given" : "Yoke Wah", "non-dropping-particle" : "", "parse-names" : false, "suffix" : "" }, { "dropping-particle" : "", "family" : "Crouse", "given" : "Gray F", "non-dropping-particle" : "", "parse-names" : false, "suffix" : "" } ], "container-title" : "Proceedings of the National Academy of Sciences", "id" : "ITEM-2", "issue" : "16", "issued" : { "date-parts" : [ [ "2012", "4", "17" ] ] }, "page" : "6153-8", "title" : "Mismatch repair-dependent mutagenesis in nondividing cells.", "type" : "article-journal", "volume" : "109" }, "uris" : [ "http://www.mendeley.com/documents/?uuid=32d6e5ed-0110-42d5-893e-960080c314b0" ] } ], "mendeley" : { "previouslyFormattedCitation" : "(Heidenreich 2007; Rodriguez et al. 2012)" }, "properties" : { "noteIndex" : 0 }, "schema" : "https://github.com/citation-style-language/schema/raw/master/csl-citation.json" }</w:instrText>
      </w:r>
      <w:r w:rsidR="00C53C8F">
        <w:fldChar w:fldCharType="separate"/>
      </w:r>
      <w:r w:rsidR="00C53C8F" w:rsidRPr="00C53C8F">
        <w:rPr>
          <w:noProof/>
        </w:rPr>
        <w:t>(Heidenreich 2007; Rodriguez et al. 2012)</w:t>
      </w:r>
      <w:r w:rsidR="00C53C8F">
        <w:fldChar w:fldCharType="end"/>
      </w:r>
      <w:r w:rsidR="00C53C8F">
        <w:t xml:space="preserve">, algae </w:t>
      </w:r>
      <w:r w:rsidR="00C53C8F">
        <w:fldChar w:fldCharType="begin" w:fldLock="1"/>
      </w:r>
      <w:r w:rsidR="00914F9D">
        <w:instrText>ADDIN CSL_CITATION { "citationItems" : [ { "id" : "ITEM-1", "itemData" : { "DOI" : "10.1098/rspb.2000.0976", "ISSN" : "0962-8452", "PMID" : "10687816", "abstract" : "Cultures of Chlamydomonas were exposed to a range of relatively mild stresses for a period of 24 h. These stresses comprised high and low temperatures, osmotic stress, low pH, starvation and toxic stress. They were then allowed to recuperate for around ten vegetative generations under near-optimal conditions in unmodified minimal medium. Fitness was then assayed as the rate of division of isolated cells on agar. We found that there was a strong tendency for stressed cultures to have lower mean fitness and greater standardized variance in fitness than the negative controls which had been cultured throughout in unmodified minimal medium. The same tendency was shown, as expected, by positive controls which received mutagenic doses of ultraviolet irradiation. We concluded that the most reasonable interpretation of these observations is that mild stress increases the genomic rate of mutation. This appears to be the first time that this phenomenon has been noticed in eukaryotes. The response might be adaptive because lineages in which higher mutation rates are elicited by stress can be favourably selected through the production of a few mutants which are fortuitously well adapted to the stressful environment. Other interpretations are not excluded, however. Regardless of the mechanism involved, the elevation of mutation rates under stress will affect the rate of evolutionary response to environmental change and also the maintenance of sexuality.", "author" : [ { "dropping-particle" : "", "family" : "Goho", "given" : "Shaun", "non-dropping-particle" : "", "parse-names" : false, "suffix" : "" }, { "dropping-particle" : "", "family" : "Bell", "given" : "Graham", "non-dropping-particle" : "", "parse-names" : false, "suffix" : "" } ], "container-title" : "Proceedings of the Royal Society B: Biological Sciences", "id" : "ITEM-1", "issue" : "1439", "issued" : { "date-parts" : [ [ "2000", "1", "22" ] ] }, "note" : "SIM in algea\n        \nGoho &amp; Bell (2000) exposed replicated lines of the unicellular chlorophyte, Chlamydomonas reinhardtii,toa variety of mildly stressful environments for several generations, allowed these lines to recuperate for at least 10 generations in their standard environment, and then assayed their fitnesses. They found that these lines had significantly lower mean fitnesses and higher standard- ized variances than control lines that had not experi- enced environmental stress. They interpreted these results as evidence for increased mutation rates in stressful environments. They suggest that mutation rates are \ue00110\u201340-fold higher in mildly stressful environments. (from Agrawal 2002)", "page" : "123-9", "title" : "Mild environmental stress elicits mutations affecting fitness in Chlamydomonas.", "type" : "article-journal", "volume" : "267" }, "uris" : [ "http://www.mendeley.com/documents/?uuid=0129a77e-0b1b-4df3-a08a-c3221072dfb8" ] } ], "mendeley" : { "previouslyFormattedCitation" : "(Goho and Bell 2000)" }, "properties" : { "noteIndex" : 0 }, "schema" : "https://github.com/citation-style-language/schema/raw/master/csl-citation.json" }</w:instrText>
      </w:r>
      <w:r w:rsidR="00C53C8F">
        <w:fldChar w:fldCharType="separate"/>
      </w:r>
      <w:r w:rsidR="00C53C8F" w:rsidRPr="00C53C8F">
        <w:rPr>
          <w:noProof/>
        </w:rPr>
        <w:t>(Goho and Bell 2000)</w:t>
      </w:r>
      <w:r w:rsidR="00C53C8F">
        <w:fldChar w:fldCharType="end"/>
      </w:r>
      <w:r w:rsidR="00C53C8F">
        <w:t xml:space="preserve">, </w:t>
      </w:r>
      <w:proofErr w:type="spellStart"/>
      <w:r w:rsidR="00C53C8F" w:rsidRPr="00C53C8F">
        <w:t>Caenorhabditis</w:t>
      </w:r>
      <w:proofErr w:type="spellEnd"/>
      <w:r w:rsidR="00C53C8F">
        <w:t xml:space="preserve"> </w:t>
      </w:r>
      <w:r w:rsidR="00C53C8F">
        <w:fldChar w:fldCharType="begin" w:fldLock="1"/>
      </w:r>
      <w:r w:rsidR="00914F9D">
        <w:instrText>ADDIN CSL_CITATION { "citationItems" : [ { "id" : "ITEM-1", "itemData" : { "DOI" : "10.1098/rsbl.2012.0334", "ISSN" : "1744-957X", "PMID" : "22875817", "abstract" : "Mutation rate often increases with environmental temperature, but establishing causality is complicated. Asymmetry between physiological stress and deviation from the optimal temperature means that temperature and stress are often confounded. We allowed mutations to accumulate in two species of Caenorhabditis for approximately 100 generations at 18\u00b0C and for approximately 165 generations at 26\u00b0C; 26\u00b0C is stressful for Caenorhabditis elegans but not for Caenorhabditis briggsae. We report mutation rates at a set of microsatellite loci and estimates of the per-generation decay of fitness (\u0394M(w)), the genomic mutation rate for fitness (U) and the average effect of a new mutation (E[a]), assayed at both temperatures. In C. elegans, the microsatellite mutation rate is significantly greater at 26\u00b0C than at 18\u00b0C whereas in C. briggsae there is only a slight, non-significant increase in mutation rate at 26\u00b0C, consistent with stress-dependent mutation in C. elegans. The fitness data from both species qualitatively reinforce the microsatellite results. The fitness results of C. elegans are potentially complicated by selection but also suggest temperature-dependent mutation; the difference between the two species suggests that physiological stress plays a significant role in the mutational process.", "author" : [ { "dropping-particle" : "", "family" : "Matsuba", "given" : "Chikako", "non-dropping-particle" : "", "parse-names" : false, "suffix" : "" }, { "dropping-particle" : "", "family" : "Ostrow", "given" : "Dejerianne G", "non-dropping-particle" : "", "parse-names" : false, "suffix" : "" }, { "dropping-particle" : "", "family" : "Salomon", "given" : "Matthew P", "non-dropping-particle" : "", "parse-names" : false, "suffix" : "" }, { "dropping-particle" : "", "family" : "Tolani", "given" : "Amit", "non-dropping-particle" : "", "parse-names" : false, "suffix" : "" }, { "dropping-particle" : "", "family" : "Baer", "given" : "Charles F.", "non-dropping-particle" : "", "parse-names" : false, "suffix" : "" } ], "container-title" : "Biology letters", "id" : "ITEM-1", "issue" : "August", "issued" : { "date-parts" : [ [ "2012", "8", "8" ] ] }, "page" : "8-12", "title" : "Temperature, stress and spontaneous mutation in Caenorhabditis briggsae and Caenorhabditis elegans.", "type" : "article-journal" }, "uris" : [ "http://www.mendeley.com/documents/?uuid=f2b45649-c465-44f2-9705-e3e1722e95e5" ] } ], "mendeley" : { "previouslyFormattedCitation" : "(Matsuba et al. 2012)" }, "properties" : { "noteIndex" : 0 }, "schema" : "https://github.com/citation-style-language/schema/raw/master/csl-citation.json" }</w:instrText>
      </w:r>
      <w:r w:rsidR="00C53C8F">
        <w:fldChar w:fldCharType="separate"/>
      </w:r>
      <w:r w:rsidR="00C53C8F" w:rsidRPr="00C53C8F">
        <w:rPr>
          <w:noProof/>
        </w:rPr>
        <w:t>(Matsuba et al. 2012)</w:t>
      </w:r>
      <w:r w:rsidR="00C53C8F">
        <w:fldChar w:fldCharType="end"/>
      </w:r>
      <w:r w:rsidR="00C53C8F">
        <w:t xml:space="preserve">, flies </w:t>
      </w:r>
      <w:r w:rsidR="00C53C8F">
        <w:fldChar w:fldCharType="begin" w:fldLock="1"/>
      </w:r>
      <w:r w:rsidR="00914F9D">
        <w:instrText>ADDIN CSL_CITATION { "citationItems" : [ { "id" : "ITEM-1",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"ITEM-1", "issue" : "16", "issued" : { "date-parts" : [ [ "2012", "4", "17" ] ] }, "page" : "6142-6", "title" : "Evidence for elevated mutation rates in low-quality genotypes.", "type" : "article-journal", "volume" : "109" }, "uris" : [ "http://www.mendeley.com/documents/?uuid=ae5981bc-560e-47cc-9f70-ebd384c1b3ea" ] } ], "mendeley" : { "previouslyFormattedCitation" : "(Sharp and Agrawal 2012)" }, "properties" : { "noteIndex" : 0 }, "schema" : "https://github.com/citation-style-language/schema/raw/master/csl-citation.json" }</w:instrText>
      </w:r>
      <w:r w:rsidR="00C53C8F">
        <w:fldChar w:fldCharType="separate"/>
      </w:r>
      <w:r w:rsidR="00C53C8F" w:rsidRPr="00C53C8F">
        <w:rPr>
          <w:noProof/>
        </w:rPr>
        <w:t>(Sharp and Agrawal 2012)</w:t>
      </w:r>
      <w:r w:rsidR="00C53C8F">
        <w:fldChar w:fldCharType="end"/>
      </w:r>
      <w:r w:rsidR="00C53C8F">
        <w:t xml:space="preserve">, and human cancer cells </w:t>
      </w:r>
      <w:r w:rsidR="000F6261">
        <w:fldChar w:fldCharType="begin" w:fldLock="1"/>
      </w:r>
      <w:r w:rsidR="00914F9D">
        <w:instrText>ADDIN CSL_CITATION { "citationItems" : [ { "id" : "ITEM-1", "itemData" : { "DOI" : "10.1038/nrc2344", "ISSN" : "1474-1768", "PMID" : "18273037", "abstract" : "Areas of hypoxic tumour tissue are known to be resistant to treatment and are associated with a poor clinical prognosis. There are several reasons why this might be, including the capacity of hypoxia to drive genomic instability and alter DNA damage repair pathways. Significantly, current models fail to distinguish between the complexities of the hypoxic microenvironment and the biological effects of acute hypoxia exposures versus longer-term, chronic hypoxia exposures on the transcription and translation of proteins involved in genetic stability and cell survival. Acute and chronic hypoxia might lead to different biology within the tumour and this might have a direct effect on the design of new therapies for the treatment of hypoxic tumours.", "author" : [ { "dropping-particle" : "", "family" : "Bristow", "given" : "Robert G.", "non-dropping-particle" : "", "parse-names" : false, "suffix" : "" }, { "dropping-particle" : "", "family" : "Hill", "given" : "Richard P.", "non-dropping-particle" : "", "parse-names" : false, "suffix" : "" } ], "container-title" : "Nature reviews. Cancer", "id" : "ITEM-1", "issue" : "3", "issued" : { "date-parts" : [ [ "2008", "3" ] ] }, "page" : "180-92", "publisher" : "Nature Publishing Group", "shortTitle" : "Nat Rev Cancer", "title" : "Hypoxia and metabolism: Hypoxia, DNA repair and genetic instability.", "type" : "article-journal", "volume" : "8" }, "uris" : [ "http://www.mendeley.com/documents/?uuid=6153a5f2-da8b-42a7-acc6-65713582b4cc" ] } ], "mendeley" : { "previouslyFormattedCitation" : "(Bristow and Hill 2008)" }, "properties" : { "noteIndex" : 0 }, "schema" : "https://github.com/citation-style-language/schema/raw/master/csl-citation.json" }</w:instrText>
      </w:r>
      <w:r w:rsidR="000F6261">
        <w:fldChar w:fldCharType="separate"/>
      </w:r>
      <w:r w:rsidR="000F6261" w:rsidRPr="000F6261">
        <w:rPr>
          <w:noProof/>
        </w:rPr>
        <w:t>(Bristow and Hill 2008)</w:t>
      </w:r>
      <w:r w:rsidR="000F6261">
        <w:fldChar w:fldCharType="end"/>
      </w:r>
      <w:r w:rsidR="00C53C8F">
        <w:t>.</w:t>
      </w:r>
      <w:r w:rsidR="00F052BD">
        <w:t xml:space="preserve"> </w:t>
      </w:r>
      <w:r w:rsidR="00C2015F">
        <w:t xml:space="preserve">Several </w:t>
      </w:r>
      <w:r>
        <w:t>stress responses</w:t>
      </w:r>
      <w:r w:rsidR="00AE0B1E">
        <w:t xml:space="preserve"> </w:t>
      </w:r>
      <w:r>
        <w:t>regulate the mutation rate</w:t>
      </w:r>
      <w:r w:rsidR="005B77E2">
        <w:t xml:space="preserve"> in bacteria </w:t>
      </w:r>
      <w:r>
        <w:t xml:space="preserve">by shifting </w:t>
      </w:r>
      <w:r w:rsidR="00C2015F">
        <w:t>replication</w:t>
      </w:r>
      <w:r>
        <w:t xml:space="preserve"> to error-prone DNA polymerases </w:t>
      </w:r>
      <w:r w:rsidR="00CA7DA9">
        <w:fldChar w:fldCharType="begin" w:fldLock="1"/>
      </w:r>
      <w:r w:rsidR="00914F9D">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\n        \n      ", "page" : "791-804", "title" : "A switch from high-fidelity to error-prone DNA double-strand break repair underlies stress-induced mutation.", "type" : "article-journal", "volume" : "19" }, "uris" : [ "http://www.mendeley.com/documents/?uuid=ad526231-0df2-49f5-a7bc-0b0008947f72" ] } ], "mendeley" : { "previouslyFormattedCitation" : "(Ponder et al. 2005)" }, "properties" : { "noteIndex" : 0 }, "schema" : "https://github.com/citation-style-language/schema/raw/master/csl-citation.json" }</w:instrText>
      </w:r>
      <w:r w:rsidR="00CA7DA9">
        <w:fldChar w:fldCharType="separate"/>
      </w:r>
      <w:r w:rsidR="00663378" w:rsidRPr="00663378">
        <w:rPr>
          <w:noProof/>
        </w:rPr>
        <w:t>(Ponder et al. 2005)</w:t>
      </w:r>
      <w:r w:rsidR="00CA7DA9">
        <w:fldChar w:fldCharType="end"/>
      </w:r>
      <w:r>
        <w:t xml:space="preserve"> and by inhibiting the mismatch repair system </w:t>
      </w:r>
      <w:r w:rsidR="00CA7DA9">
        <w:fldChar w:fldCharType="begin" w:fldLock="1"/>
      </w:r>
      <w:r w:rsidR="00914F9D">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Bacillus subtilis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rsidR="00CA7DA9">
        <w:fldChar w:fldCharType="separate"/>
      </w:r>
      <w:r w:rsidR="00663378" w:rsidRPr="00663378">
        <w:rPr>
          <w:noProof/>
        </w:rPr>
        <w:t>(Debora et al. 2010)</w:t>
      </w:r>
      <w:r w:rsidR="00CA7DA9">
        <w:fldChar w:fldCharType="end"/>
      </w:r>
      <w:r>
        <w:t>.</w:t>
      </w:r>
      <w:r w:rsidR="00AE0B1E">
        <w:t xml:space="preserve"> </w:t>
      </w:r>
      <w:r w:rsidR="009770F6">
        <w:t xml:space="preserve">In </w:t>
      </w:r>
      <w:r w:rsidR="00F052BD">
        <w:rPr>
          <w:i/>
          <w:iCs/>
        </w:rPr>
        <w:t>E.</w:t>
      </w:r>
      <w:r w:rsidR="009770F6">
        <w:rPr>
          <w:i/>
          <w:iCs/>
        </w:rPr>
        <w:t xml:space="preserve"> coli</w:t>
      </w:r>
      <w:r w:rsidR="009770F6">
        <w:t xml:space="preserve"> t</w:t>
      </w:r>
      <w:r w:rsidR="00AE0B1E">
        <w:t xml:space="preserve">hese stress responses include the SOS DNA-damage response, the </w:t>
      </w:r>
      <w:proofErr w:type="spellStart"/>
      <w:r w:rsidR="00AE0B1E">
        <w:t>RpoS</w:t>
      </w:r>
      <w:proofErr w:type="spellEnd"/>
      <w:r w:rsidR="00AE0B1E">
        <w:t>-controlled general or starvation stress response</w:t>
      </w:r>
      <w:r w:rsidR="00C2015F">
        <w:t>,</w:t>
      </w:r>
      <w:r w:rsidR="00AE0B1E">
        <w:t xml:space="preserve"> and the </w:t>
      </w:r>
      <w:proofErr w:type="spellStart"/>
      <w:r w:rsidR="00AE0B1E">
        <w:t>RpoE</w:t>
      </w:r>
      <w:proofErr w:type="spellEnd"/>
      <w:r w:rsidR="00AE0B1E">
        <w:t xml:space="preserve"> membrane protein stress response </w:t>
      </w:r>
      <w:r w:rsidR="00CA7DA9">
        <w:fldChar w:fldCharType="begin" w:fldLock="1"/>
      </w:r>
      <w:r w:rsidR="00914F9D">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"ITEM-1",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CA7DA9">
        <w:fldChar w:fldCharType="separate"/>
      </w:r>
      <w:r w:rsidR="00663378" w:rsidRPr="00663378">
        <w:rPr>
          <w:noProof/>
        </w:rPr>
        <w:t>(Al Mamun et al. 2012)</w:t>
      </w:r>
      <w:r w:rsidR="00CA7DA9">
        <w:fldChar w:fldCharType="end"/>
      </w:r>
      <w:r w:rsidR="00C2015F">
        <w:t>.</w:t>
      </w:r>
    </w:p>
    <w:p w:rsidR="00F12058" w:rsidRDefault="00F12058" w:rsidP="00F12058">
      <w:pPr>
        <w:spacing w:line="480" w:lineRule="auto"/>
      </w:pPr>
      <w:r>
        <w:t xml:space="preserve">In a previous </w:t>
      </w:r>
      <w:r w:rsidR="00313F54">
        <w:t xml:space="preserve"> </w:t>
      </w:r>
      <w:r>
        <w:t xml:space="preserve">work, we showed that SIM can evolve in asexual populations due to selection on the beneficial mutations it generates </w:t>
      </w:r>
      <w:r>
        <w:fldChar w:fldCharType="begin" w:fldLock="1"/>
      </w:r>
      <w:r w:rsidR="00914F9D">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fldChar w:fldCharType="separate"/>
      </w:r>
      <w:r w:rsidRPr="00F12058">
        <w:rPr>
          <w:noProof/>
        </w:rPr>
        <w:t>(Ram and Hadany 2012)</w:t>
      </w:r>
      <w:r>
        <w:fldChar w:fldCharType="end"/>
      </w:r>
      <w:r>
        <w:t xml:space="preserve">. This </w:t>
      </w:r>
      <w:r>
        <w:lastRenderedPageBreak/>
        <w:t xml:space="preserve">evolutionary advantage was shown at the individual level both in constant and changing environments. </w:t>
      </w:r>
    </w:p>
    <w:p w:rsidR="001307C7" w:rsidRPr="00A725E6" w:rsidRDefault="00F12058" w:rsidP="00A20010">
      <w:pPr>
        <w:spacing w:line="480" w:lineRule="auto"/>
      </w:pPr>
      <w:r>
        <w:t xml:space="preserve">It is still not clear how SIM affects evolution and adaptation. </w:t>
      </w:r>
      <w:r w:rsidR="009770F6">
        <w:t>Some authors propose</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r w:rsidR="001307C7">
        <w:t xml:space="preserve"> </w:t>
      </w:r>
      <w:proofErr w:type="spellStart"/>
      <w:r w:rsidR="001307C7">
        <w:rPr>
          <w:i/>
          <w:iCs/>
        </w:rPr>
        <w:t>evolvability</w:t>
      </w:r>
      <w:proofErr w:type="spellEnd"/>
      <w:r w:rsidR="001307C7">
        <w:t xml:space="preserve"> </w:t>
      </w:r>
      <w:r w:rsidR="00CA7DA9">
        <w:fldChar w:fldCharType="begin" w:fldLock="1"/>
      </w:r>
      <w:r w:rsidR="00914F9D">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"id" : "ITEM-3",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"ITEM-3", "issue" : "5", "issued" : { "date-parts" : [ [ "2007" ] ] }, "page" : "341-54", "title" : "Controlling mutation: intervening in evolution as a therapeutic strategy.", "type" : "article-journal", "volume" : "42" }, "uris" : [ "http://www.mendeley.com/documents/?uuid=39c629ad-ad0e-42b2-b298-d1f433c1322f" ] } ], "mendeley" : { "previouslyFormattedCitation" : "(Tenaillon et al. 2004; Cirz and Romesberg 2007; Rosenberg et al. 2012)" }, "properties" : { "noteIndex" : 0 }, "schema" : "https://github.com/citation-style-language/schema/raw/master/csl-citation.json" }</w:instrText>
      </w:r>
      <w:r w:rsidR="00CA7DA9">
        <w:fldChar w:fldCharType="separate"/>
      </w:r>
      <w:r w:rsidRPr="00F12058">
        <w:rPr>
          <w:noProof/>
        </w:rPr>
        <w:t>(Tenaillon et al. 2004; Cirz and Romesberg 2007; Rosenberg et al. 2012)</w:t>
      </w:r>
      <w:r w:rsidR="00CA7DA9">
        <w:fldChar w:fldCharType="end"/>
      </w:r>
      <w:r w:rsidR="00033028">
        <w:t>, but</w:t>
      </w:r>
      <w:r w:rsidR="001307C7" w:rsidRPr="00817B34">
        <w:t xml:space="preserve"> </w:t>
      </w:r>
      <w:r w:rsidR="00033028">
        <w:t>there is no</w:t>
      </w:r>
      <w:r w:rsidR="001307C7" w:rsidRPr="00817B34">
        <w:t xml:space="preserve"> theoretical treatment of this </w:t>
      </w:r>
      <w:r w:rsidR="00A725E6" w:rsidRPr="00817B34">
        <w:t>impact</w:t>
      </w:r>
      <w:r w:rsidR="001307C7" w:rsidRPr="00817B34">
        <w:t xml:space="preserve">. </w:t>
      </w:r>
      <w:r w:rsidR="00031C58">
        <w:t>On the other hand, t</w:t>
      </w:r>
      <w:r w:rsidR="001307C7" w:rsidRPr="00817B34">
        <w:t xml:space="preserve">he effect of SIM on </w:t>
      </w:r>
      <w:r w:rsidR="001307C7" w:rsidRPr="00817B34">
        <w:rPr>
          <w:i/>
          <w:iCs/>
        </w:rPr>
        <w:t>adaptedness</w:t>
      </w:r>
      <w:r w:rsidR="001307C7">
        <w:t xml:space="preserve"> </w:t>
      </w:r>
      <w:r w:rsidR="009770F6">
        <w:t>was</w:t>
      </w:r>
      <w:r w:rsidR="00391853">
        <w:t xml:space="preserve"> </w:t>
      </w:r>
      <w:r w:rsidR="00A20010">
        <w:t xml:space="preserve">studied with deterministic </w:t>
      </w:r>
      <w:r w:rsidR="00A20010">
        <w:fldChar w:fldCharType="begin" w:fldLock="1"/>
      </w:r>
      <w:r w:rsidR="00914F9D">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A20010">
        <w:fldChar w:fldCharType="separate"/>
      </w:r>
      <w:r w:rsidR="00A20010" w:rsidRPr="00A20010">
        <w:rPr>
          <w:noProof/>
        </w:rPr>
        <w:t>(Agrawal 2002)</w:t>
      </w:r>
      <w:r w:rsidR="00A20010">
        <w:fldChar w:fldCharType="end"/>
      </w:r>
      <w:r w:rsidR="009770F6">
        <w:t xml:space="preserve"> and </w:t>
      </w:r>
      <w:r w:rsidR="00A20010">
        <w:t xml:space="preserve">stochastic </w:t>
      </w:r>
      <w:r w:rsidR="00CA7DA9">
        <w:fldChar w:fldCharType="begin" w:fldLock="1"/>
      </w:r>
      <w:r w:rsidR="00914F9D">
        <w:instrText>ADDIN CSL_CITATION { "citationItems" : [ { "id" : "ITEM-1",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"ITEM-1",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"(Shaw and Baer 2011)" }, "properties" : { "noteIndex" : 0 }, "schema" : "https://github.com/citation-style-language/schema/raw/master/csl-citation.json" }</w:instrText>
      </w:r>
      <w:r w:rsidR="00CA7DA9">
        <w:fldChar w:fldCharType="separate"/>
      </w:r>
      <w:r w:rsidR="00A20010" w:rsidRPr="00A20010">
        <w:rPr>
          <w:noProof/>
        </w:rPr>
        <w:t>(Shaw and Baer 2011)</w:t>
      </w:r>
      <w:r w:rsidR="00CA7DA9">
        <w:fldChar w:fldCharType="end"/>
      </w:r>
      <w:r w:rsidR="00A20010">
        <w:t xml:space="preserve"> models. Both studies</w:t>
      </w:r>
      <w:r w:rsidR="001307C7">
        <w:t xml:space="preserve"> showed </w:t>
      </w:r>
      <w:r w:rsidR="00932C9B">
        <w:t xml:space="preserve">that </w:t>
      </w:r>
      <w:r w:rsidR="009770F6">
        <w:t>without beneficial mutat</w:t>
      </w:r>
      <w:r w:rsidR="00031C58">
        <w:t>ions</w:t>
      </w:r>
      <w:r w:rsidR="009770F6">
        <w:t xml:space="preserve"> </w:t>
      </w:r>
      <w:r w:rsidR="00932C9B">
        <w:t>SIM doesn't affect the mean fitness</w:t>
      </w:r>
      <w:r w:rsidR="00031C58">
        <w:t xml:space="preserve"> of asexual population</w:t>
      </w:r>
      <w:r w:rsidR="00C2015F">
        <w:t>s</w:t>
      </w:r>
      <w:r w:rsidR="00031C58">
        <w:t xml:space="preserve"> in constant environments</w:t>
      </w:r>
      <w:r w:rsidR="00932C9B">
        <w:t xml:space="preserve">. </w:t>
      </w:r>
      <w:r w:rsidR="00072D95">
        <w:t>More r</w:t>
      </w:r>
      <w:r w:rsidR="009770F6">
        <w:t>ecently</w:t>
      </w:r>
      <w:r w:rsidR="00932C9B">
        <w:t xml:space="preserve">, we showed that </w:t>
      </w:r>
      <w:r w:rsidR="009770F6">
        <w:t>with rare beneficial mutations</w:t>
      </w:r>
      <w:r w:rsidR="00072D95">
        <w:t>,</w:t>
      </w:r>
      <w:r w:rsidR="009770F6">
        <w:t xml:space="preserve"> </w:t>
      </w:r>
      <w:r w:rsidR="00C24454">
        <w:t xml:space="preserve">if </w:t>
      </w:r>
      <w:r w:rsidR="009770F6">
        <w:t>maladapted individ</w:t>
      </w:r>
      <w:r w:rsidR="00C24454">
        <w:t xml:space="preserve">uals increase their mutation rate, </w:t>
      </w:r>
      <w:r w:rsidR="009770F6">
        <w:t>the</w:t>
      </w:r>
      <w:r w:rsidR="00C24454">
        <w:t>n the</w:t>
      </w:r>
      <w:r w:rsidR="009770F6">
        <w:t xml:space="preserve"> mean fitness </w:t>
      </w:r>
      <w:r w:rsidR="00031C58">
        <w:t xml:space="preserve">of </w:t>
      </w:r>
      <w:r w:rsidR="00C24454">
        <w:t xml:space="preserve">asexual populations increases </w:t>
      </w:r>
      <w:r w:rsidR="00CA7DA9">
        <w:fldChar w:fldCharType="begin" w:fldLock="1"/>
      </w:r>
      <w:r w:rsidR="00914F9D">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fldChar w:fldCharType="separate"/>
      </w:r>
      <w:r w:rsidR="00663378" w:rsidRPr="00663378">
        <w:rPr>
          <w:noProof/>
        </w:rPr>
        <w:t>(Ram and Hadany 2012)</w:t>
      </w:r>
      <w:r w:rsidR="00CA7DA9">
        <w:fldChar w:fldCharType="end"/>
      </w:r>
      <w:r w:rsidR="00932C9B">
        <w:t>.</w:t>
      </w:r>
    </w:p>
    <w:p w:rsidR="00625517" w:rsidRDefault="00A725E6" w:rsidP="00095098">
      <w:pPr>
        <w:spacing w:line="480" w:lineRule="auto"/>
        <w:rPr>
          <w:lang w:bidi="hi-IN"/>
        </w:rPr>
      </w:pPr>
      <w:r>
        <w:t>Here, w</w:t>
      </w:r>
      <w:r w:rsidR="00625517">
        <w:t xml:space="preserve">e </w:t>
      </w:r>
      <w:r w:rsidR="00C24454">
        <w:t>explore the effect of st</w:t>
      </w:r>
      <w:r w:rsidR="00095098">
        <w:t xml:space="preserve">ress-induced mutagenesis on </w:t>
      </w:r>
      <w:r w:rsidR="0024068F">
        <w:t xml:space="preserve">the rate of fitness valley crossing by </w:t>
      </w:r>
      <w:r w:rsidR="00095098">
        <w:t>analyzing</w:t>
      </w:r>
      <w:r w:rsidR="004F4440">
        <w:t xml:space="preserve"> </w:t>
      </w:r>
      <w:r w:rsidR="00625517">
        <w:t>population geneti</w:t>
      </w:r>
      <w:r w:rsidR="00932C9B">
        <w:t>c model</w:t>
      </w:r>
      <w:r w:rsidR="004F4440">
        <w:t xml:space="preserve">s </w:t>
      </w:r>
      <w:r w:rsidR="009E654C">
        <w:t>of</w:t>
      </w:r>
      <w:r w:rsidR="00031C58">
        <w:t xml:space="preserve"> adaptive evolution</w:t>
      </w:r>
      <w:r w:rsidR="00625517">
        <w:t xml:space="preserve">. We </w:t>
      </w:r>
      <w:r>
        <w:t xml:space="preserve">develop general </w:t>
      </w:r>
      <w:r w:rsidR="00FC62DB">
        <w:t xml:space="preserve">analytical </w:t>
      </w:r>
      <w:r w:rsidR="00625517">
        <w:t>expressions</w:t>
      </w:r>
      <w:r w:rsidR="0033327A">
        <w:t xml:space="preserve"> and</w:t>
      </w:r>
      <w:r w:rsidR="00FC62DB">
        <w:t xml:space="preserve"> stochastic simulations</w:t>
      </w:r>
      <w:r w:rsidR="0033327A">
        <w:t xml:space="preserve"> and compare </w:t>
      </w:r>
      <w:r w:rsidR="0033327A">
        <w:rPr>
          <w:lang w:bidi="hi-IN"/>
        </w:rPr>
        <w:t xml:space="preserve">normal, </w:t>
      </w:r>
      <w:r w:rsidR="00FC62DB">
        <w:rPr>
          <w:lang w:bidi="hi-IN"/>
        </w:rPr>
        <w:t>constitutive</w:t>
      </w:r>
      <w:r w:rsidR="00095098">
        <w:rPr>
          <w:lang w:bidi="hi-IN"/>
        </w:rPr>
        <w:t xml:space="preserve">, and </w:t>
      </w:r>
      <w:r w:rsidR="00095098">
        <w:t>stress-induced</w:t>
      </w:r>
      <w:r w:rsidR="00FC62DB">
        <w:rPr>
          <w:lang w:bidi="hi-IN"/>
        </w:rPr>
        <w:t xml:space="preser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FC62DB">
        <w:rPr>
          <w:lang w:bidi="hi-IN"/>
        </w:rPr>
        <w:t xml:space="preserve">breaks the 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adaptation rate without decreasing the</w:t>
      </w:r>
      <w:r w:rsidR="00033028">
        <w:rPr>
          <w:lang w:bidi="hi-IN"/>
        </w:rPr>
        <w:t xml:space="preserve"> population</w:t>
      </w:r>
      <w:r w:rsidR="00FC62DB">
        <w:rPr>
          <w:lang w:bidi="hi-IN"/>
        </w:rPr>
        <w:t xml:space="preserve"> mean fitness.</w:t>
      </w:r>
      <w:r w:rsidR="00C24454">
        <w:rPr>
          <w:lang w:bidi="hi-IN"/>
        </w:rPr>
        <w:t xml:space="preserve"> </w:t>
      </w:r>
    </w:p>
    <w:p w:rsidR="002630C5" w:rsidRDefault="002630C5" w:rsidP="002A0DCC">
      <w:pPr>
        <w:pStyle w:val="Heading1"/>
        <w:spacing w:line="480" w:lineRule="auto"/>
        <w:rPr>
          <w:lang w:bidi="hi-IN"/>
        </w:rPr>
      </w:pPr>
      <w:bookmarkStart w:id="0" w:name="_Ref361735010"/>
      <w:r>
        <w:rPr>
          <w:lang w:bidi="hi-IN"/>
        </w:rPr>
        <w:t>Model</w:t>
      </w:r>
      <w:bookmarkEnd w:id="0"/>
    </w:p>
    <w:p w:rsidR="00A96D14" w:rsidRDefault="00A96D14" w:rsidP="002A0DCC">
      <w:pPr>
        <w:pStyle w:val="Heading2"/>
        <w:spacing w:line="480" w:lineRule="auto"/>
      </w:pPr>
      <w:r>
        <w:t>Overview</w:t>
      </w:r>
    </w:p>
    <w:p w:rsidR="009C438B" w:rsidRDefault="001910E3" w:rsidP="00396D80">
      <w:pPr>
        <w:spacing w:line="480" w:lineRule="auto"/>
        <w:rPr>
          <w:lang w:bidi="hi-IN"/>
        </w:rPr>
      </w:pPr>
      <w:r>
        <w:rPr>
          <w:lang w:bidi="hi-IN"/>
        </w:rPr>
        <w:t xml:space="preserve">We consider a population of </w:t>
      </w:r>
      <w:r>
        <w:rPr>
          <w:i/>
          <w:iCs/>
          <w:lang w:bidi="hi-IN"/>
        </w:rPr>
        <w:t>N</w:t>
      </w:r>
      <w:r w:rsidR="00072D95">
        <w:rPr>
          <w:lang w:bidi="hi-IN"/>
        </w:rPr>
        <w:t xml:space="preserve"> haploid asexual individuals</w:t>
      </w:r>
      <w:r w:rsidR="00DD7F71">
        <w:rPr>
          <w:lang w:bidi="hi-IN"/>
        </w:rPr>
        <w:t xml:space="preserve"> with an infinite number of loci</w:t>
      </w:r>
      <w:r w:rsidR="009C438B">
        <w:rPr>
          <w:lang w:bidi="hi-IN"/>
        </w:rPr>
        <w:t xml:space="preserve"> in </w:t>
      </w:r>
      <w:r w:rsidR="00396D80">
        <w:rPr>
          <w:lang w:bidi="hi-IN"/>
        </w:rPr>
        <w:t xml:space="preserve">full </w:t>
      </w:r>
      <w:r w:rsidR="009C438B">
        <w:rPr>
          <w:lang w:bidi="hi-IN"/>
        </w:rPr>
        <w:t>linkage</w:t>
      </w:r>
      <w:r w:rsidR="00DD7F71">
        <w:rPr>
          <w:lang w:bidi="hi-IN"/>
        </w:rPr>
        <w:t xml:space="preserve">. </w:t>
      </w:r>
      <w:r w:rsidR="009C438B">
        <w:rPr>
          <w:lang w:bidi="hi-IN"/>
        </w:rPr>
        <w:t xml:space="preserve">We consider the effects of mutation, selection, and genetic drift, </w:t>
      </w:r>
      <w:r w:rsidR="009C438B">
        <w:rPr>
          <w:lang w:bidi="hi-IN"/>
        </w:rPr>
        <w:lastRenderedPageBreak/>
        <w:t>but disregard population structure effects (</w:t>
      </w:r>
      <w:r w:rsidR="009C438B" w:rsidRPr="00396D80">
        <w:rPr>
          <w:i/>
          <w:iCs/>
          <w:lang w:bidi="hi-IN"/>
        </w:rPr>
        <w:t>i.e.</w:t>
      </w:r>
      <w:r w:rsidR="009C438B">
        <w:rPr>
          <w:lang w:bidi="hi-IN"/>
        </w:rPr>
        <w:t xml:space="preserve"> migration, group selection) and sex-related mechanisms (</w:t>
      </w:r>
      <w:r w:rsidR="009C438B" w:rsidRPr="00396D80">
        <w:rPr>
          <w:i/>
          <w:iCs/>
          <w:lang w:bidi="hi-IN"/>
        </w:rPr>
        <w:t>i.e.</w:t>
      </w:r>
      <w:r w:rsidR="009C438B">
        <w:rPr>
          <w:lang w:bidi="hi-IN"/>
        </w:rPr>
        <w:t xml:space="preserve"> recombination, segregation).</w:t>
      </w:r>
    </w:p>
    <w:p w:rsidR="00DD7F71" w:rsidRDefault="00DD7F71" w:rsidP="00440833">
      <w:pPr>
        <w:spacing w:line="480" w:lineRule="auto"/>
        <w:rPr>
          <w:lang w:bidi="hi-IN"/>
        </w:rPr>
      </w:pPr>
      <w:r>
        <w:rPr>
          <w:lang w:bidi="hi-IN"/>
        </w:rPr>
        <w:t xml:space="preserve">Deleterious mutations are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Pr>
          <w:lang w:bidi="hi-IN"/>
        </w:rPr>
        <w:t xml:space="preserve"> per replication</w:t>
      </w:r>
      <w:r w:rsidRPr="002B1207">
        <w:rPr>
          <w:lang w:bidi="hi-IN"/>
        </w:rPr>
        <w:t xml:space="preserve">. </w:t>
      </w:r>
      <w:r>
        <w:rPr>
          <w:lang w:bidi="hi-IN"/>
        </w:rPr>
        <w:t>The effects of these delet</w:t>
      </w:r>
      <w:r w:rsidR="00440833">
        <w:rPr>
          <w:lang w:bidi="hi-IN"/>
        </w:rPr>
        <w:t>erious mutations on fitness are independent (</w:t>
      </w:r>
      <w:r w:rsidR="00440833" w:rsidRPr="009E654C">
        <w:rPr>
          <w:i/>
          <w:iCs/>
          <w:lang w:bidi="hi-IN"/>
        </w:rPr>
        <w:t>i.e.</w:t>
      </w:r>
      <w:r w:rsidR="00440833">
        <w:rPr>
          <w:lang w:bidi="hi-IN"/>
        </w:rPr>
        <w:t>, multiplicative) and identical</w:t>
      </w:r>
      <w:r>
        <w:rPr>
          <w:lang w:bidi="hi-IN"/>
        </w:rPr>
        <w:t xml:space="preserve">, such that the fitness of an individual with </w:t>
      </w:r>
      <w:r>
        <w:rPr>
          <w:i/>
          <w:iCs/>
          <w:lang w:bidi="hi-IN"/>
        </w:rPr>
        <w:t>x</w:t>
      </w:r>
      <w:r>
        <w:rPr>
          <w:lang w:bidi="hi-IN"/>
        </w:rPr>
        <w:t xml:space="preserve"> deleterious mutations is </w:t>
      </w:r>
      <w:r w:rsidRPr="00EF3BEC">
        <w:rPr>
          <w:rFonts w:cs="Times New Roman"/>
          <w:i/>
          <w:iCs/>
          <w:lang w:bidi="hi-IN"/>
        </w:rPr>
        <w:t>ω</w:t>
      </w:r>
      <w:proofErr w:type="gramStart"/>
      <w:r w:rsidRPr="008F5983">
        <w:rPr>
          <w:lang w:bidi="hi-IN"/>
        </w:rPr>
        <w:t>=(</w:t>
      </w:r>
      <w:proofErr w:type="gramEnd"/>
      <w:r w:rsidRPr="008F5983">
        <w:rPr>
          <w:lang w:bidi="hi-IN"/>
        </w:rPr>
        <w:t>1-</w:t>
      </w:r>
      <w:r w:rsidRPr="00EF3BEC">
        <w:rPr>
          <w:i/>
          <w:iCs/>
          <w:lang w:bidi="hi-IN"/>
        </w:rPr>
        <w:t>s</w:t>
      </w:r>
      <w:r w:rsidRPr="008F5983">
        <w:rPr>
          <w:lang w:bidi="hi-IN"/>
        </w:rPr>
        <w:t>)</w:t>
      </w:r>
      <w:r w:rsidRPr="00EF3BEC">
        <w:rPr>
          <w:i/>
          <w:iCs/>
          <w:vertAlign w:val="superscript"/>
          <w:lang w:bidi="hi-IN"/>
        </w:rPr>
        <w:t>x</w:t>
      </w:r>
      <w:r>
        <w:rPr>
          <w:lang w:bidi="hi-IN"/>
        </w:rPr>
        <w:t xml:space="preserve">, where </w:t>
      </w:r>
      <w:r>
        <w:rPr>
          <w:i/>
          <w:iCs/>
          <w:lang w:bidi="hi-IN"/>
        </w:rPr>
        <w:t>s</w:t>
      </w:r>
      <w:r>
        <w:rPr>
          <w:lang w:bidi="hi-IN"/>
        </w:rPr>
        <w:t xml:space="preserve"> is the selection coefficient. In addition, we </w:t>
      </w:r>
      <w:r w:rsidR="009B5BE5">
        <w:rPr>
          <w:lang w:bidi="hi-IN"/>
        </w:rPr>
        <w:t xml:space="preserve">focus on </w:t>
      </w:r>
      <w:r w:rsidR="00821FF3">
        <w:rPr>
          <w:lang w:bidi="hi-IN"/>
        </w:rPr>
        <w:t xml:space="preserve">two bi-allelic loci </w:t>
      </w:r>
      <w:r w:rsidR="00821FF3">
        <w:t xml:space="preserve">in which the wildtype genotype is </w:t>
      </w:r>
      <w:proofErr w:type="spellStart"/>
      <w:r w:rsidR="00821FF3">
        <w:rPr>
          <w:i/>
          <w:iCs/>
        </w:rPr>
        <w:t>ab</w:t>
      </w:r>
      <w:proofErr w:type="spellEnd"/>
      <w:r w:rsidR="00821FF3">
        <w:t xml:space="preserve"> and its fitness is 1. Mutations at these loci change </w:t>
      </w:r>
      <w:proofErr w:type="gramStart"/>
      <w:r w:rsidR="00821FF3">
        <w:rPr>
          <w:i/>
          <w:iCs/>
        </w:rPr>
        <w:t>a</w:t>
      </w:r>
      <w:r w:rsidR="00821FF3">
        <w:t xml:space="preserve"> to</w:t>
      </w:r>
      <w:proofErr w:type="gramEnd"/>
      <w:r w:rsidR="00821FF3">
        <w:t xml:space="preserve"> </w:t>
      </w:r>
      <w:r w:rsidR="00821FF3">
        <w:rPr>
          <w:i/>
          <w:iCs/>
        </w:rPr>
        <w:t>A</w:t>
      </w:r>
      <w:r w:rsidR="00821FF3">
        <w:t xml:space="preserve"> and </w:t>
      </w:r>
      <w:r w:rsidR="00821FF3">
        <w:rPr>
          <w:i/>
          <w:iCs/>
        </w:rPr>
        <w:t xml:space="preserve">b </w:t>
      </w:r>
      <w:r w:rsidR="00821FF3">
        <w:t xml:space="preserve">to </w:t>
      </w:r>
      <w:r w:rsidR="00821FF3">
        <w:rPr>
          <w:i/>
          <w:iCs/>
        </w:rPr>
        <w:t>B</w:t>
      </w:r>
      <w:r w:rsidR="00821FF3">
        <w:t xml:space="preserve"> at reproduction with probability </w:t>
      </w:r>
      <w:r w:rsidR="00821FF3" w:rsidRPr="00A8498D">
        <w:rPr>
          <w:rFonts w:ascii="Times New Roman" w:hAnsi="Times New Roman"/>
          <w:i/>
          <w:iCs/>
        </w:rPr>
        <w:t>µ</w:t>
      </w:r>
      <w:r w:rsidR="00821FF3">
        <w:t xml:space="preserve"> (without back-mutations</w:t>
      </w:r>
      <w:r>
        <w:t>)</w:t>
      </w:r>
      <w:r w:rsidR="00083C4D">
        <w:t xml:space="preserve"> and their effect</w:t>
      </w:r>
      <w:r>
        <w:t xml:space="preserve"> is </w:t>
      </w:r>
      <w:r w:rsidR="00083C4D">
        <w:t xml:space="preserve">initially </w:t>
      </w:r>
      <w:r>
        <w:t>deleterious, reducing the fitness by 1-</w:t>
      </w:r>
      <w:r w:rsidRPr="00DD7F71">
        <w:rPr>
          <w:i/>
          <w:iCs/>
        </w:rPr>
        <w:t>s</w:t>
      </w:r>
      <w:r w:rsidR="009B5BE5">
        <w:t xml:space="preserve"> (similar to deleterious mutations in other loci)</w:t>
      </w:r>
      <w:r w:rsidR="00821FF3">
        <w:t>.</w:t>
      </w:r>
      <w:r>
        <w:t xml:space="preserve"> </w:t>
      </w:r>
      <w:r>
        <w:rPr>
          <w:lang w:bidi="hi-IN"/>
        </w:rPr>
        <w:t xml:space="preserve">Therefore, every individual is characterized by </w:t>
      </w:r>
      <w:r w:rsidR="009B5BE5">
        <w:rPr>
          <w:lang w:bidi="hi-IN"/>
        </w:rPr>
        <w:t>its genotype in the focus</w:t>
      </w:r>
      <w:r>
        <w:rPr>
          <w:lang w:bidi="hi-IN"/>
        </w:rPr>
        <w:t xml:space="preserve"> loci </w:t>
      </w:r>
      <w:r w:rsidR="009B5BE5">
        <w:rPr>
          <w:lang w:bidi="hi-IN"/>
        </w:rPr>
        <w:t>(</w:t>
      </w:r>
      <w:proofErr w:type="spellStart"/>
      <w:r w:rsidR="009B5BE5" w:rsidRPr="009B5BE5">
        <w:rPr>
          <w:i/>
          <w:iCs/>
          <w:lang w:bidi="hi-IN"/>
        </w:rPr>
        <w:t>ab</w:t>
      </w:r>
      <w:proofErr w:type="spellEnd"/>
      <w:r w:rsidR="009B5BE5">
        <w:rPr>
          <w:lang w:bidi="hi-IN"/>
        </w:rPr>
        <w:t xml:space="preserve">, </w:t>
      </w:r>
      <w:proofErr w:type="spellStart"/>
      <w:r w:rsidR="009B5BE5" w:rsidRPr="009B5BE5">
        <w:rPr>
          <w:i/>
          <w:iCs/>
          <w:lang w:bidi="hi-IN"/>
        </w:rPr>
        <w:t>Ab</w:t>
      </w:r>
      <w:proofErr w:type="spellEnd"/>
      <w:r w:rsidR="009B5BE5">
        <w:rPr>
          <w:lang w:bidi="hi-IN"/>
        </w:rPr>
        <w:t xml:space="preserve">, </w:t>
      </w:r>
      <w:proofErr w:type="spellStart"/>
      <w:r w:rsidR="009B5BE5" w:rsidRPr="009B5BE5">
        <w:rPr>
          <w:i/>
          <w:iCs/>
          <w:lang w:bidi="hi-IN"/>
        </w:rPr>
        <w:t>aB</w:t>
      </w:r>
      <w:proofErr w:type="spellEnd"/>
      <w:r w:rsidR="009B5BE5">
        <w:rPr>
          <w:lang w:bidi="hi-IN"/>
        </w:rPr>
        <w:t xml:space="preserve">, and </w:t>
      </w:r>
      <w:r w:rsidR="009B5BE5" w:rsidRPr="009B5BE5">
        <w:rPr>
          <w:i/>
          <w:iCs/>
          <w:lang w:bidi="hi-IN"/>
        </w:rPr>
        <w:t>AB</w:t>
      </w:r>
      <w:r w:rsidR="009B5BE5">
        <w:rPr>
          <w:lang w:bidi="hi-IN"/>
        </w:rPr>
        <w:t xml:space="preserve">) </w:t>
      </w:r>
      <w:r w:rsidRPr="009B5BE5">
        <w:rPr>
          <w:lang w:bidi="hi-IN"/>
        </w:rPr>
        <w:t>and</w:t>
      </w:r>
      <w:r>
        <w:rPr>
          <w:lang w:bidi="hi-IN"/>
        </w:rPr>
        <w:t xml:space="preserve"> the number of deleterious mutations it has in the rest of the </w:t>
      </w:r>
      <w:r w:rsidR="009B5BE5">
        <w:rPr>
          <w:lang w:bidi="hi-IN"/>
        </w:rPr>
        <w:t>genome (0 or more)</w:t>
      </w:r>
      <w:r>
        <w:rPr>
          <w:lang w:bidi="hi-IN"/>
        </w:rPr>
        <w:t>.</w:t>
      </w:r>
      <w:r w:rsidR="009C438B">
        <w:rPr>
          <w:lang w:bidi="hi-IN"/>
        </w:rPr>
        <w:t xml:space="preserve"> </w:t>
      </w:r>
    </w:p>
    <w:p w:rsidR="001D4AFA" w:rsidRDefault="00401E4A" w:rsidP="00F91E4B">
      <w:pPr>
        <w:spacing w:line="480" w:lineRule="auto"/>
        <w:rPr>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9E654C">
        <w:t>,</w:t>
      </w:r>
      <w:r w:rsidR="00101FCD">
        <w:t xml:space="preserve"> where there is no increase in mutation rates; constitutive mutagenesis (CM)</w:t>
      </w:r>
      <w:r w:rsidR="009E654C">
        <w:t>,</w:t>
      </w:r>
      <w:r w:rsidR="00101FCD">
        <w:t xml:space="preserve"> where all individuals </w:t>
      </w:r>
      <w:r w:rsidR="00083C4D">
        <w:t xml:space="preserve">always </w:t>
      </w:r>
      <w:r w:rsidR="00101FCD">
        <w:t xml:space="preserve">increase their mutation rate by </w:t>
      </w:r>
      <w:r w:rsidR="00FC62DB" w:rsidRPr="00101FCD">
        <w:rPr>
          <w:i/>
          <w:iCs/>
        </w:rPr>
        <w:t>τ</w:t>
      </w:r>
      <w:r w:rsidR="00683120" w:rsidRPr="00817B34">
        <w:t>,</w:t>
      </w:r>
      <w:r w:rsidR="00683120">
        <w:rPr>
          <w:i/>
          <w:iCs/>
        </w:rPr>
        <w:t xml:space="preserve"> </w:t>
      </w:r>
      <w:r w:rsidR="00683120">
        <w:t>the mutation rate fold increase</w:t>
      </w:r>
      <w:r w:rsidR="00101FCD">
        <w:t>; and stress-induced mutagenesis (SIM)</w:t>
      </w:r>
      <w:r w:rsidR="009E654C">
        <w:t>,</w:t>
      </w:r>
      <w:r w:rsidR="00101FCD">
        <w:t xml:space="preserve"> where only </w:t>
      </w:r>
      <w:r>
        <w:t xml:space="preserve">stressed or maladapted </w:t>
      </w:r>
      <w:r w:rsidR="00101FCD">
        <w:t xml:space="preserve">individuals increase their mutation rate by </w:t>
      </w:r>
      <w:r w:rsidR="00101FCD" w:rsidRPr="00101FCD">
        <w:rPr>
          <w:i/>
          <w:iCs/>
        </w:rPr>
        <w:t>τ</w:t>
      </w:r>
      <w:r w:rsidR="00101FCD" w:rsidRPr="00101FCD">
        <w:t>.</w:t>
      </w:r>
      <w:r w:rsidR="00DD7F71">
        <w:t xml:space="preserve"> </w:t>
      </w:r>
      <w:r w:rsidR="00083C4D">
        <w:t>Individuals are</w:t>
      </w:r>
      <w:r w:rsidR="00E0054D">
        <w:t xml:space="preserve"> considered</w:t>
      </w:r>
      <w:r w:rsidR="00083C4D">
        <w:t xml:space="preserve"> </w:t>
      </w:r>
      <w:r w:rsidR="00E0054D">
        <w:t xml:space="preserve">stressed </w:t>
      </w:r>
      <w:r w:rsidR="00083C4D">
        <w:t xml:space="preserve">if their fitness is below a </w:t>
      </w:r>
      <w:r w:rsidR="00E0054D">
        <w:t xml:space="preserve">specific </w:t>
      </w:r>
      <w:r w:rsidR="00083C4D">
        <w:t>threshold, so stress can be caused by a deleterious mutation (</w:t>
      </w:r>
      <w:r w:rsidR="00E0054D">
        <w:t>either</w:t>
      </w:r>
      <w:r w:rsidR="00083C4D">
        <w:t xml:space="preserve"> in the specific </w:t>
      </w:r>
      <w:r w:rsidR="00083C4D" w:rsidRPr="00083C4D">
        <w:rPr>
          <w:i/>
          <w:iCs/>
        </w:rPr>
        <w:t>A/a</w:t>
      </w:r>
      <w:r w:rsidR="00083C4D">
        <w:t xml:space="preserve"> and </w:t>
      </w:r>
      <w:r w:rsidR="00083C4D" w:rsidRPr="00083C4D">
        <w:rPr>
          <w:i/>
          <w:iCs/>
        </w:rPr>
        <w:t>B/b</w:t>
      </w:r>
      <w:r w:rsidR="00083C4D">
        <w:t xml:space="preserve"> loci and </w:t>
      </w:r>
      <w:r w:rsidR="00E0054D">
        <w:t>or in</w:t>
      </w:r>
      <w:r w:rsidR="00083C4D">
        <w:t xml:space="preserve"> non-specific loci) or by an environmental change that changes the fitness of the different genotypes at the specific loci (</w:t>
      </w:r>
      <w:proofErr w:type="spellStart"/>
      <w:r w:rsidR="00083C4D">
        <w:rPr>
          <w:i/>
          <w:iCs/>
        </w:rPr>
        <w:t>aa</w:t>
      </w:r>
      <w:proofErr w:type="spellEnd"/>
      <w:r w:rsidR="00083C4D" w:rsidRPr="00083C4D">
        <w:t>,</w:t>
      </w:r>
      <w:r w:rsidR="00083C4D">
        <w:rPr>
          <w:i/>
          <w:iCs/>
        </w:rPr>
        <w:t xml:space="preserve"> </w:t>
      </w:r>
      <w:proofErr w:type="spellStart"/>
      <w:r w:rsidR="00083C4D">
        <w:rPr>
          <w:i/>
          <w:iCs/>
        </w:rPr>
        <w:t>Ab</w:t>
      </w:r>
      <w:proofErr w:type="spellEnd"/>
      <w:r w:rsidR="00083C4D" w:rsidRPr="00083C4D">
        <w:t>,</w:t>
      </w:r>
      <w:r w:rsidR="00083C4D">
        <w:rPr>
          <w:i/>
          <w:iCs/>
        </w:rPr>
        <w:t xml:space="preserve"> </w:t>
      </w:r>
      <w:proofErr w:type="spellStart"/>
      <w:r w:rsidR="00083C4D">
        <w:rPr>
          <w:i/>
          <w:iCs/>
        </w:rPr>
        <w:t>aB</w:t>
      </w:r>
      <w:proofErr w:type="spellEnd"/>
      <w:r w:rsidR="00083C4D" w:rsidRPr="00083C4D">
        <w:t>,</w:t>
      </w:r>
      <w:r w:rsidR="00083C4D">
        <w:rPr>
          <w:i/>
          <w:iCs/>
        </w:rPr>
        <w:t xml:space="preserve"> </w:t>
      </w:r>
      <w:r w:rsidR="00083C4D" w:rsidRPr="00083C4D">
        <w:t>and</w:t>
      </w:r>
      <w:r w:rsidR="00083C4D">
        <w:rPr>
          <w:i/>
          <w:iCs/>
        </w:rPr>
        <w:t xml:space="preserve"> AB</w:t>
      </w:r>
      <w:r w:rsidR="00083C4D">
        <w:rPr>
          <w:lang w:bidi="hi-IN"/>
        </w:rPr>
        <w:t>).</w:t>
      </w:r>
      <w:r w:rsidR="00950641">
        <w:rPr>
          <w:lang w:bidi="hi-IN"/>
        </w:rPr>
        <w:t xml:space="preserve"> Our main analysis </w:t>
      </w:r>
      <w:r w:rsidR="001D4AFA">
        <w:rPr>
          <w:lang w:bidi="hi-IN"/>
        </w:rPr>
        <w:t xml:space="preserve">that the mutation rate with fitness </w:t>
      </w:r>
      <w:r w:rsidR="001D4AFA">
        <w:rPr>
          <w:rFonts w:ascii="Times New Roman" w:hAnsi="Times New Roman" w:cs="Times New Roman"/>
          <w:lang w:bidi="hi-IN"/>
        </w:rPr>
        <w:t>ω</w:t>
      </w:r>
      <w:r w:rsidR="001D4AFA">
        <w:rPr>
          <w:lang w:bidi="hi-IN"/>
        </w:rPr>
        <w:t xml:space="preserve">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6D1AF4" w:rsidTr="00B53E4A">
        <w:tc>
          <w:tcPr>
            <w:tcW w:w="4500" w:type="pct"/>
            <w:vAlign w:val="center"/>
          </w:tcPr>
          <w:p w:rsidR="006D1AF4" w:rsidRDefault="006D1AF4" w:rsidP="00B53E4A">
            <w:pPr>
              <w:spacing w:line="480" w:lineRule="auto"/>
              <w:ind w:left="340"/>
              <w:jc w:val="center"/>
            </w:pPr>
            <m:oMath>
              <m:r>
                <w:rPr>
                  <w:rFonts w:ascii="Cambria Math" w:hAnsi="Cambria Math"/>
                  <w:lang w:bidi="hi-IN"/>
                </w:rPr>
                <m:t>U(ω)=</m:t>
              </m:r>
              <m:d>
                <m:dPr>
                  <m:begChr m:val="{"/>
                  <m:endChr m:val=""/>
                  <m:ctrlPr>
                    <w:rPr>
                      <w:rFonts w:ascii="Cambria Math" w:eastAsiaTheme="minorHAnsi" w:hAnsi="Cambria Math" w:cstheme="minorBidi"/>
                      <w:i/>
                      <w:sz w:val="22"/>
                      <w:szCs w:val="22"/>
                      <w:lang w:bidi="hi-IN"/>
                    </w:rPr>
                  </m:ctrlPr>
                </m:dPr>
                <m:e>
                  <m:eqArr>
                    <m:eqArrPr>
                      <m:ctrlPr>
                        <w:rPr>
                          <w:rFonts w:ascii="Cambria Math" w:eastAsiaTheme="minorHAnsi" w:hAnsi="Cambria Math" w:cstheme="minorBidi"/>
                          <w:i/>
                          <w:sz w:val="22"/>
                          <w:szCs w:val="22"/>
                          <w:lang w:bidi="hi-IN"/>
                        </w:rPr>
                      </m:ctrlPr>
                    </m:eqArrPr>
                    <m:e>
                      <m:r>
                        <w:rPr>
                          <w:rFonts w:ascii="Cambria Math" w:hAnsi="Cambria Math"/>
                          <w:lang w:bidi="hi-IN"/>
                        </w:rPr>
                        <m:t>τU,   ω&lt;1</m:t>
                      </m:r>
                    </m:e>
                    <m:e>
                      <m:r>
                        <w:rPr>
                          <w:rFonts w:ascii="Cambria Math" w:hAnsi="Cambria Math"/>
                          <w:lang w:bidi="hi-IN"/>
                        </w:rPr>
                        <m:t>U,   ω≥1</m:t>
                      </m:r>
                    </m:e>
                  </m:eqArr>
                </m:e>
              </m:d>
            </m:oMath>
            <w:r>
              <w:t>.</w:t>
            </w:r>
          </w:p>
        </w:tc>
        <w:tc>
          <w:tcPr>
            <w:tcW w:w="500" w:type="pct"/>
            <w:vAlign w:val="center"/>
          </w:tcPr>
          <w:p w:rsidR="006D1AF4" w:rsidRDefault="006D1AF4" w:rsidP="00B53E4A">
            <w:pPr>
              <w:spacing w:line="480" w:lineRule="auto"/>
            </w:pPr>
            <w:bookmarkStart w:id="1" w:name="_Ref374443384"/>
            <w:r>
              <w:t>(</w:t>
            </w:r>
            <w:r>
              <w:fldChar w:fldCharType="begin"/>
            </w:r>
            <w:r w:rsidRPr="00EC7EBC">
              <w:instrText xml:space="preserve"> SEQ Equation </w:instrText>
            </w:r>
            <w:r>
              <w:fldChar w:fldCharType="separate"/>
            </w:r>
            <w:r w:rsidR="007C70D4">
              <w:rPr>
                <w:noProof/>
              </w:rPr>
              <w:t>1</w:t>
            </w:r>
            <w:r>
              <w:rPr>
                <w:noProof/>
              </w:rPr>
              <w:fldChar w:fldCharType="end"/>
            </w:r>
            <w:bookmarkEnd w:id="1"/>
            <w:r>
              <w:t>)</w:t>
            </w:r>
          </w:p>
        </w:tc>
      </w:tr>
    </w:tbl>
    <w:p w:rsidR="00101FCD" w:rsidRDefault="00254610" w:rsidP="00F91E4B">
      <w:pPr>
        <w:spacing w:line="480" w:lineRule="auto"/>
        <w:rPr>
          <w:lang w:bidi="hi-IN"/>
        </w:rPr>
      </w:pPr>
      <w:r>
        <w:rPr>
          <w:lang w:bidi="hi-IN"/>
        </w:rPr>
        <w:lastRenderedPageBreak/>
        <w:t xml:space="preserve">This emulates a scenario in which an environmental change – for example, </w:t>
      </w:r>
      <w:r w:rsidR="006B3A9D">
        <w:rPr>
          <w:lang w:bidi="hi-IN"/>
        </w:rPr>
        <w:t>appearance of a</w:t>
      </w:r>
      <w:r>
        <w:rPr>
          <w:lang w:bidi="hi-IN"/>
        </w:rPr>
        <w:t xml:space="preserve"> new </w:t>
      </w:r>
      <w:r w:rsidR="00AD30BD">
        <w:rPr>
          <w:lang w:bidi="hi-IN"/>
        </w:rPr>
        <w:t>ecological niche or a new carbon</w:t>
      </w:r>
      <w:r>
        <w:rPr>
          <w:lang w:bidi="hi-IN"/>
        </w:rPr>
        <w:t xml:space="preserve"> source – provides an opportunity for adaptation </w:t>
      </w:r>
      <w:r w:rsidR="008410A2">
        <w:rPr>
          <w:lang w:bidi="hi-IN"/>
        </w:rPr>
        <w:t>without</w:t>
      </w:r>
      <w:r>
        <w:rPr>
          <w:lang w:bidi="hi-IN"/>
        </w:rPr>
        <w:t xml:space="preserve"> affecting the fitness of the current population. </w:t>
      </w:r>
      <w:r w:rsidR="00950641">
        <w:rPr>
          <w:lang w:bidi="hi-IN"/>
        </w:rPr>
        <w:t xml:space="preserve">We also study a different case – see section </w:t>
      </w:r>
      <w:r w:rsidR="00950641">
        <w:rPr>
          <w:lang w:bidi="hi-IN"/>
        </w:rPr>
        <w:fldChar w:fldCharType="begin"/>
      </w:r>
      <w:r w:rsidR="00950641">
        <w:rPr>
          <w:lang w:bidi="hi-IN"/>
        </w:rPr>
        <w:instrText xml:space="preserve"> REF _Ref374010899 \r \h </w:instrText>
      </w:r>
      <w:r w:rsidR="00950641">
        <w:rPr>
          <w:lang w:bidi="hi-IN"/>
        </w:rPr>
      </w:r>
      <w:r w:rsidR="00950641">
        <w:rPr>
          <w:lang w:bidi="hi-IN"/>
        </w:rPr>
        <w:fldChar w:fldCharType="separate"/>
      </w:r>
      <w:r w:rsidR="007C70D4">
        <w:rPr>
          <w:rFonts w:hint="cs"/>
          <w:cs/>
          <w:lang w:bidi="hi-IN"/>
        </w:rPr>
        <w:t>‎</w:t>
      </w:r>
      <w:r w:rsidR="007C70D4">
        <w:rPr>
          <w:lang w:bidi="hi-IN"/>
        </w:rPr>
        <w:t>3.3</w:t>
      </w:r>
      <w:r w:rsidR="00950641">
        <w:rPr>
          <w:lang w:bidi="hi-IN"/>
        </w:rPr>
        <w:fldChar w:fldCharType="end"/>
      </w:r>
      <w:r w:rsidR="00950641">
        <w:rPr>
          <w:lang w:bidi="hi-IN"/>
        </w:rPr>
        <w:t>.</w:t>
      </w:r>
    </w:p>
    <w:p w:rsidR="00AC498F" w:rsidRDefault="005F1227" w:rsidP="00B87664">
      <w:pPr>
        <w:spacing w:line="480" w:lineRule="auto"/>
      </w:pPr>
      <w:r>
        <w:t xml:space="preserve">After the population </w:t>
      </w:r>
      <w:r w:rsidR="00DF73E5">
        <w:t>reaches</w:t>
      </w:r>
      <w:r>
        <w:t xml:space="preserve"> a </w:t>
      </w:r>
      <w:r w:rsidR="00072D95">
        <w:t>mutation-selection balance (</w:t>
      </w:r>
      <w:r>
        <w:t>MSB</w:t>
      </w:r>
      <w:r w:rsidR="00072D95">
        <w:t>)</w:t>
      </w:r>
      <w:r>
        <w:t xml:space="preserve"> it </w:t>
      </w:r>
      <w:r w:rsidR="00B87664">
        <w:t>under</w:t>
      </w:r>
      <w:r w:rsidR="002F4E2F">
        <w:t xml:space="preserve">goes </w:t>
      </w:r>
      <w:r>
        <w:t xml:space="preserve">adaptive evolution to an environmental change which </w:t>
      </w:r>
      <w:r w:rsidR="002F4E2F">
        <w:t>change</w:t>
      </w:r>
      <w:r w:rsidR="00072D95">
        <w:t>s</w:t>
      </w:r>
      <w:r w:rsidR="002F4E2F">
        <w:t xml:space="preserve"> the </w:t>
      </w:r>
      <w:r>
        <w:t xml:space="preserve">fitness of the </w:t>
      </w:r>
      <w:r w:rsidR="00607B56">
        <w:rPr>
          <w:i/>
          <w:iCs/>
        </w:rPr>
        <w:t>AB</w:t>
      </w:r>
      <w:r w:rsidR="00607B56">
        <w:t xml:space="preserve"> genotype </w:t>
      </w:r>
      <w:r>
        <w:t xml:space="preserve">from </w:t>
      </w:r>
      <w:r w:rsidRPr="00CD0FB7">
        <w:t>(1-</w:t>
      </w:r>
      <w:r>
        <w:rPr>
          <w:i/>
          <w:iCs/>
        </w:rPr>
        <w:t>s</w:t>
      </w:r>
      <w:r w:rsidRPr="00CD0FB7">
        <w:t>)</w:t>
      </w:r>
      <w:r w:rsidRPr="00CD0FB7">
        <w:rPr>
          <w:vertAlign w:val="superscript"/>
        </w:rPr>
        <w:t>2</w:t>
      </w:r>
      <w:r w:rsidR="00CD0FB7">
        <w:rPr>
          <w:i/>
          <w:iCs/>
        </w:rPr>
        <w:t xml:space="preserve"> </w:t>
      </w:r>
      <w:r w:rsidR="00CD0FB7">
        <w:t>to</w:t>
      </w:r>
      <w:r>
        <w:rPr>
          <w:i/>
          <w:iCs/>
        </w:rPr>
        <w:t xml:space="preserve"> </w:t>
      </w:r>
      <w:r>
        <w:t xml:space="preserve"> </w:t>
      </w:r>
      <w:r w:rsidR="00607B56" w:rsidRPr="00CD0FB7">
        <w:t>1+</w:t>
      </w:r>
      <w:r w:rsidR="00607B56">
        <w:rPr>
          <w:i/>
          <w:iCs/>
        </w:rPr>
        <w:t>sH</w:t>
      </w:r>
      <w:r w:rsidR="00DF73E5">
        <w:t xml:space="preserve">, where </w:t>
      </w:r>
      <w:r w:rsidR="00607B56">
        <w:rPr>
          <w:i/>
          <w:iCs/>
        </w:rPr>
        <w:t>H</w:t>
      </w:r>
      <w:r w:rsidR="00FD3777">
        <w:t>&gt;0</w:t>
      </w:r>
      <w:r w:rsidR="00607B56">
        <w:t xml:space="preserve"> is the double mutant relative advantage</w:t>
      </w:r>
      <w:r w:rsidR="00DF73E5">
        <w:t xml:space="preserve">. This makes </w:t>
      </w:r>
      <w:r w:rsidR="00DF73E5">
        <w:rPr>
          <w:i/>
          <w:iCs/>
        </w:rPr>
        <w:t>AB</w:t>
      </w:r>
      <w:r w:rsidR="00DF73E5">
        <w:t xml:space="preserve"> with 0 deleterious mutations</w:t>
      </w:r>
      <w:r>
        <w:t xml:space="preserve"> the optimal genotype</w:t>
      </w:r>
      <w:r w:rsidR="00072D95">
        <w:t xml:space="preserve"> (</w:t>
      </w:r>
      <w:r w:rsidR="00072D95">
        <w:fldChar w:fldCharType="begin"/>
      </w:r>
      <w:r w:rsidR="00072D95">
        <w:instrText xml:space="preserve"> REF _Ref354316371 \h  \* MERGEFORMAT </w:instrText>
      </w:r>
      <w:r w:rsidR="00072D95">
        <w:fldChar w:fldCharType="separate"/>
      </w:r>
      <w:r w:rsidR="007C70D4" w:rsidRPr="007C70D4">
        <w:t>Figure 1</w:t>
      </w:r>
      <w:r w:rsidR="00072D95">
        <w:fldChar w:fldCharType="end"/>
      </w:r>
      <w:r w:rsidR="00072D95">
        <w:t>).</w:t>
      </w:r>
      <w:r w:rsidR="00607B56">
        <w:t xml:space="preserve"> </w:t>
      </w:r>
    </w:p>
    <w:p w:rsidR="00A96D14" w:rsidRDefault="001968C9" w:rsidP="00E0054D">
      <w:pPr>
        <w:spacing w:line="480" w:lineRule="auto"/>
      </w:pPr>
      <w:r>
        <w:t xml:space="preserve">Our main interest is the calculation of the adaptation rate of a population homogenous for </w:t>
      </w:r>
      <w:r w:rsidR="00E0054D">
        <w:t>each</w:t>
      </w:r>
      <w:r>
        <w:t xml:space="preserve"> of the above mutational strategies. </w:t>
      </w:r>
      <w:r w:rsidR="00B87664">
        <w:t>We separate th</w:t>
      </w:r>
      <w:r w:rsidR="00A96D14">
        <w:t xml:space="preserve">e adaptation process </w:t>
      </w:r>
      <w:r w:rsidR="00B87664">
        <w:t>in</w:t>
      </w:r>
      <w:r w:rsidR="00A96D14">
        <w:t xml:space="preserve">to two </w:t>
      </w:r>
      <w:r w:rsidR="00A96D14">
        <w:softHyphen/>
      </w:r>
      <w:r w:rsidR="00A96D14">
        <w:softHyphen/>
      </w:r>
      <w:r w:rsidR="00A96D14">
        <w:softHyphen/>
      </w:r>
      <w:r w:rsidR="00A96D14">
        <w:softHyphen/>
        <w:t xml:space="preserve">distinct </w:t>
      </w:r>
      <w:r w:rsidR="005D7A01">
        <w:t>stages</w:t>
      </w:r>
      <w:r w:rsidR="00A96D14">
        <w:t>. In the first</w:t>
      </w:r>
      <w:r w:rsidR="005D7A01">
        <w:t xml:space="preserve"> stage</w:t>
      </w:r>
      <w:r w:rsidR="00A96D14">
        <w:t xml:space="preserve">, a double mutant </w:t>
      </w:r>
      <w:r w:rsidR="00A96D14">
        <w:rPr>
          <w:i/>
          <w:iCs/>
        </w:rPr>
        <w:t>AB</w:t>
      </w:r>
      <w:r w:rsidR="00A96D14">
        <w:t xml:space="preserve"> appears in the population</w:t>
      </w:r>
      <w:r w:rsidR="005D7A01">
        <w:t xml:space="preserve"> </w:t>
      </w:r>
      <w:r w:rsidR="00A96D14">
        <w:t>in a single copy. In the second</w:t>
      </w:r>
      <w:r w:rsidR="005D7A01">
        <w:t xml:space="preserve"> stage</w:t>
      </w:r>
      <w:r w:rsidR="00A96D14">
        <w:t>, the single copy of the double mutant avoids extinction, increases in frequency</w:t>
      </w:r>
      <w:r w:rsidR="005D7A01">
        <w:t>,</w:t>
      </w:r>
      <w:r w:rsidR="00A96D14">
        <w:t xml:space="preserve"> and goes to fixation. </w:t>
      </w:r>
    </w:p>
    <w:p w:rsidR="00CA58CA" w:rsidRDefault="000D56CE" w:rsidP="00754F1E">
      <w:pPr>
        <w:spacing w:line="480" w:lineRule="auto"/>
      </w:pPr>
      <w:r>
        <w:t xml:space="preserve">We </w:t>
      </w:r>
      <w:r w:rsidR="002F4E2F">
        <w:t>analyze</w:t>
      </w:r>
      <w:r w:rsidR="00AC2BE1">
        <w:t>d</w:t>
      </w:r>
      <w:r w:rsidR="002F4E2F">
        <w:t xml:space="preserve"> this model with two methods</w:t>
      </w:r>
      <w:r>
        <w:t>. The first is analytic (</w:t>
      </w:r>
      <w:r w:rsidR="00CA7DA9">
        <w:fldChar w:fldCharType="begin"/>
      </w:r>
      <w:r>
        <w:instrText xml:space="preserve"> REF _Ref354316371 \h </w:instrText>
      </w:r>
      <w:r w:rsidR="002A0DCC">
        <w:instrText xml:space="preserve"> \* MERGEFORMAT </w:instrText>
      </w:r>
      <w:r w:rsidR="00CA7DA9">
        <w:fldChar w:fldCharType="separate"/>
      </w:r>
      <w:r w:rsidR="007C70D4" w:rsidRPr="007C70D4">
        <w:t xml:space="preserve">Figure </w:t>
      </w:r>
      <w:r w:rsidR="007C70D4" w:rsidRPr="007C70D4">
        <w:rPr>
          <w:noProof/>
        </w:rPr>
        <w:t>1</w:t>
      </w:r>
      <w:r w:rsidR="00CA7DA9">
        <w:fldChar w:fldCharType="end"/>
      </w:r>
      <w:r w:rsidR="00527A49">
        <w:t>A</w:t>
      </w:r>
      <w:r>
        <w:t>), in which we assume that: (</w:t>
      </w:r>
      <w:proofErr w:type="spellStart"/>
      <w:r>
        <w:t>i</w:t>
      </w:r>
      <w:proofErr w:type="spellEnd"/>
      <w:r>
        <w:t xml:space="preserve">) </w:t>
      </w:r>
      <w:r w:rsidR="00607B56">
        <w:t xml:space="preserve">genotypes </w:t>
      </w:r>
      <w:r>
        <w:t>with deleterious alleles</w:t>
      </w:r>
      <w:r w:rsidR="00607B56">
        <w:t xml:space="preserve"> (except</w:t>
      </w:r>
      <w:r w:rsidR="009A294A">
        <w:t xml:space="preserve"> for</w:t>
      </w:r>
      <w:r w:rsidR="00607B56">
        <w:t xml:space="preserve"> </w:t>
      </w:r>
      <w:proofErr w:type="spellStart"/>
      <w:r w:rsidR="00607B56">
        <w:rPr>
          <w:i/>
          <w:iCs/>
        </w:rPr>
        <w:t>Ab</w:t>
      </w:r>
      <w:proofErr w:type="spellEnd"/>
      <w:r w:rsidR="00607B56">
        <w:t xml:space="preserve"> and </w:t>
      </w:r>
      <w:proofErr w:type="spellStart"/>
      <w:r w:rsidR="00607B56">
        <w:rPr>
          <w:i/>
          <w:iCs/>
        </w:rPr>
        <w:t>aB</w:t>
      </w:r>
      <w:proofErr w:type="spellEnd"/>
      <w:r w:rsidR="00607B56">
        <w:t>)</w:t>
      </w:r>
      <w:r>
        <w:t xml:space="preserve"> do not contribute to the adaptation process</w:t>
      </w:r>
      <w:r w:rsidR="002F4E2F">
        <w:t>,</w:t>
      </w:r>
      <w:r>
        <w:t xml:space="preserve"> and (ii) the number of deleterious mutations per individual at the MSB is Poisson distributed</w:t>
      </w:r>
      <w:r w:rsidR="00F0097B">
        <w:t xml:space="preserve"> with mean </w:t>
      </w:r>
      <w:r w:rsidR="00F0097B" w:rsidRPr="00527A49">
        <w:rPr>
          <w:i/>
          <w:iCs/>
        </w:rPr>
        <w:t>U/s</w:t>
      </w:r>
      <w:r w:rsidR="008752E9">
        <w:t xml:space="preserve"> </w:t>
      </w:r>
      <w:r w:rsidR="00CA7DA9">
        <w:fldChar w:fldCharType="begin" w:fldLock="1"/>
      </w:r>
      <w:r w:rsidR="00914F9D">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"(Haigh 1978)" }, "properties" : { "noteIndex" : 0 }, "schema" : "https://github.com/citation-style-language/schema/raw/master/csl-citation.json" }</w:instrText>
      </w:r>
      <w:r w:rsidR="00CA7DA9">
        <w:fldChar w:fldCharType="separate"/>
      </w:r>
      <w:r w:rsidR="008752E9" w:rsidRPr="00CD660F">
        <w:rPr>
          <w:noProof/>
        </w:rPr>
        <w:t>(Haigh 1978)</w:t>
      </w:r>
      <w:r w:rsidR="00CA7DA9">
        <w:fldChar w:fldCharType="end"/>
      </w:r>
      <w:r>
        <w:t>.</w:t>
      </w:r>
      <w:r w:rsidR="008752E9">
        <w:t xml:space="preserve"> These assumptions require that mu</w:t>
      </w:r>
      <w:r w:rsidR="00414AEF">
        <w:t>tation is weaker than selection (</w:t>
      </w:r>
      <m:oMath>
        <m:r>
          <w:rPr>
            <w:rFonts w:ascii="Cambria Math" w:hAnsi="Cambria Math"/>
          </w:rPr>
          <m:t>U</m:t>
        </m:r>
        <m:r>
          <w:rPr>
            <w:rFonts w:ascii="Cambria Math" w:hAnsi="Cambria Math"/>
          </w:rPr>
          <m:t>≪</m:t>
        </m:r>
        <m:r>
          <w:rPr>
            <w:rFonts w:ascii="Cambria Math" w:hAnsi="Cambria Math"/>
          </w:rPr>
          <m:t>s</m:t>
        </m:r>
      </m:oMath>
      <w:r w:rsidR="00414AEF">
        <w:t>)</w:t>
      </w:r>
      <w:r w:rsidR="00CA58CA">
        <w:t>.</w:t>
      </w:r>
    </w:p>
    <w:p w:rsidR="001968C9" w:rsidRPr="00F03785" w:rsidRDefault="000D56CE" w:rsidP="00527A49">
      <w:pPr>
        <w:spacing w:line="480" w:lineRule="auto"/>
      </w:pPr>
      <w:r>
        <w:t xml:space="preserve">The second </w:t>
      </w:r>
      <w:r w:rsidR="00CA58CA">
        <w:t xml:space="preserve">method </w:t>
      </w:r>
      <w:r>
        <w:t>is a stochastic Wright-Fisher simulation with selection, mutation and drift (</w:t>
      </w:r>
      <w:r w:rsidR="00CA7DA9">
        <w:fldChar w:fldCharType="begin"/>
      </w:r>
      <w:r>
        <w:instrText xml:space="preserve"> REF _Ref354316371 \h </w:instrText>
      </w:r>
      <w:r w:rsidR="002A0DCC">
        <w:instrText xml:space="preserve"> \* MERGEFORMAT </w:instrText>
      </w:r>
      <w:r w:rsidR="00CA7DA9">
        <w:fldChar w:fldCharType="separate"/>
      </w:r>
      <w:r w:rsidR="007C70D4" w:rsidRPr="007C70D4">
        <w:t xml:space="preserve">Figure </w:t>
      </w:r>
      <w:r w:rsidR="007C70D4" w:rsidRPr="007C70D4">
        <w:rPr>
          <w:noProof/>
        </w:rPr>
        <w:t>1</w:t>
      </w:r>
      <w:r w:rsidR="00CA7DA9">
        <w:fldChar w:fldCharType="end"/>
      </w:r>
      <w:r w:rsidR="00527A49">
        <w:t>B</w:t>
      </w:r>
      <w:r>
        <w:t>), in which we: (</w:t>
      </w:r>
      <w:proofErr w:type="spellStart"/>
      <w:r>
        <w:t>i</w:t>
      </w:r>
      <w:proofErr w:type="spellEnd"/>
      <w:r>
        <w:t xml:space="preserve">) </w:t>
      </w:r>
      <w:r w:rsidR="00527A49">
        <w:t>allow</w:t>
      </w:r>
      <w:r>
        <w:t xml:space="preserve"> individuals with deleterious mutations contribute to adaptation, and (ii) </w:t>
      </w:r>
      <w:r w:rsidR="00527A49">
        <w:t>allow</w:t>
      </w:r>
      <w:r>
        <w:t xml:space="preserve"> the MSB evolve from a mutation-free </w:t>
      </w:r>
      <w:r>
        <w:lastRenderedPageBreak/>
        <w:t>population.</w:t>
      </w:r>
      <w:r w:rsidR="001968C9">
        <w:t xml:space="preserve"> We also use this simulation model to study competitions between the different mutational strategies.</w:t>
      </w:r>
    </w:p>
    <w:p w:rsidR="002F4E2F" w:rsidRDefault="00CA7DA9" w:rsidP="00527A49">
      <w:pPr>
        <w:spacing w:line="480" w:lineRule="auto"/>
      </w:pPr>
      <w:r>
        <w:fldChar w:fldCharType="begin"/>
      </w:r>
      <w:r w:rsidR="00000DD9">
        <w:instrText xml:space="preserve"> REF _Ref358791100 \h </w:instrText>
      </w:r>
      <w:r w:rsidR="002A0DCC">
        <w:instrText xml:space="preserve"> \* MERGEFORMAT </w:instrText>
      </w:r>
      <w:r>
        <w:fldChar w:fldCharType="separate"/>
      </w:r>
      <w:r w:rsidR="007C70D4">
        <w:t xml:space="preserve">Table </w:t>
      </w:r>
      <w:r w:rsidR="007C70D4">
        <w:rPr>
          <w:noProof/>
        </w:rPr>
        <w:t>1</w:t>
      </w:r>
      <w:r>
        <w:fldChar w:fldCharType="end"/>
      </w:r>
      <w:r w:rsidR="00000DD9">
        <w:t xml:space="preserve"> summarizes the model parameters with estimated values for </w:t>
      </w:r>
      <w:r w:rsidR="00527A49">
        <w:rPr>
          <w:i/>
          <w:iCs/>
        </w:rPr>
        <w:t>E.</w:t>
      </w:r>
      <w:r w:rsidR="00000DD9" w:rsidRPr="001A482B">
        <w:rPr>
          <w:i/>
          <w:iCs/>
        </w:rPr>
        <w:t xml:space="preserve"> coli</w:t>
      </w:r>
      <w:r w:rsidR="00000DD9">
        <w:t>.</w:t>
      </w:r>
    </w:p>
    <w:p w:rsidR="002D7506" w:rsidRDefault="002D7506" w:rsidP="002A0DCC">
      <w:pPr>
        <w:pStyle w:val="Heading2"/>
        <w:spacing w:line="480" w:lineRule="auto"/>
      </w:pPr>
      <w:r>
        <w:t>Appearance of a double mutant</w:t>
      </w:r>
    </w:p>
    <w:p w:rsidR="00A95F28" w:rsidRDefault="00A95F28" w:rsidP="00AA2FA4">
      <w:pPr>
        <w:spacing w:after="0" w:line="480" w:lineRule="auto"/>
        <w:jc w:val="both"/>
      </w:pPr>
      <w:r>
        <w:t>W</w:t>
      </w:r>
      <w:r w:rsidR="0002786D">
        <w:t xml:space="preserve">e are interested in the waiting time for the appearance of a double mutant </w:t>
      </w:r>
      <w:r w:rsidR="002D7506">
        <w:t xml:space="preserve">either </w:t>
      </w:r>
      <w:r w:rsidR="0002786D">
        <w:t xml:space="preserve">by </w:t>
      </w:r>
      <w:r w:rsidR="002D7506">
        <w:t>a double mu</w:t>
      </w:r>
      <w:r w:rsidR="003F5091">
        <w:t>tation in a wildtype individual</w:t>
      </w:r>
      <w:r w:rsidR="002D7506">
        <w:t xml:space="preserve"> </w:t>
      </w:r>
      <w:proofErr w:type="spellStart"/>
      <w:r w:rsidR="002D7506">
        <w:rPr>
          <w:i/>
          <w:iCs/>
        </w:rPr>
        <w:t>ab</w:t>
      </w:r>
      <w:proofErr w:type="spellEnd"/>
      <w:r w:rsidR="002D7506">
        <w:t>, or via a sin</w:t>
      </w:r>
      <w:r w:rsidR="003F5091">
        <w:t>gle mutation in a single mutant</w:t>
      </w:r>
      <w:r w:rsidR="002D7506">
        <w:t xml:space="preserve"> </w:t>
      </w:r>
      <w:proofErr w:type="spellStart"/>
      <w:r w:rsidR="002D7506">
        <w:rPr>
          <w:i/>
          <w:iCs/>
        </w:rPr>
        <w:t>Ab</w:t>
      </w:r>
      <w:proofErr w:type="spellEnd"/>
      <w:r w:rsidR="002D7506">
        <w:t xml:space="preserve"> or </w:t>
      </w:r>
      <w:proofErr w:type="spellStart"/>
      <w:r w:rsidR="002D7506">
        <w:rPr>
          <w:i/>
          <w:iCs/>
        </w:rPr>
        <w:t>aB</w:t>
      </w:r>
      <w:proofErr w:type="spellEnd"/>
      <w:r w:rsidR="002D7506">
        <w:rPr>
          <w:i/>
          <w:iCs/>
        </w:rPr>
        <w:t xml:space="preserve"> </w:t>
      </w:r>
      <w:r w:rsidR="002D7506" w:rsidRPr="00D65806">
        <w:t>(</w:t>
      </w:r>
      <w:r>
        <w:t xml:space="preserve">see </w:t>
      </w:r>
      <w:r w:rsidR="002D7506">
        <w:t>Figure 1a).</w:t>
      </w:r>
      <w:r w:rsidR="0002786D">
        <w:t xml:space="preserve"> Denoting the population size by </w:t>
      </w:r>
      <w:r w:rsidR="0002786D">
        <w:rPr>
          <w:i/>
          <w:iCs/>
        </w:rPr>
        <w:t xml:space="preserve">N, </w:t>
      </w:r>
      <w:r w:rsidR="0002786D">
        <w:t xml:space="preserve">we </w:t>
      </w:r>
      <w:r>
        <w:t xml:space="preserve">note </w:t>
      </w:r>
      <w:r w:rsidR="0002786D">
        <w:t>that (</w:t>
      </w:r>
      <w:proofErr w:type="spellStart"/>
      <w:r w:rsidR="0002786D">
        <w:t>i</w:t>
      </w:r>
      <w:proofErr w:type="spellEnd"/>
      <w:r w:rsidR="0002786D">
        <w:t xml:space="preserve">)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vertAlign w:val="superscript"/>
              </w:rPr>
              <m:t>-</m:t>
            </m:r>
            <m:f>
              <m:fPr>
                <m:type m:val="lin"/>
                <m:ctrlPr>
                  <w:rPr>
                    <w:rFonts w:ascii="Cambria Math" w:hAnsi="Cambria Math"/>
                    <w:i/>
                    <w:vertAlign w:val="superscript"/>
                  </w:rPr>
                </m:ctrlPr>
              </m:fPr>
              <m:num>
                <m:r>
                  <w:rPr>
                    <w:rFonts w:ascii="Cambria Math" w:hAnsi="Cambria Math"/>
                    <w:vertAlign w:val="superscript"/>
                  </w:rPr>
                  <m:t>U</m:t>
                </m:r>
              </m:num>
              <m:den>
                <m:r>
                  <w:rPr>
                    <w:rFonts w:ascii="Cambria Math" w:hAnsi="Cambria Math"/>
                    <w:vertAlign w:val="superscript"/>
                  </w:rPr>
                  <m:t>s</m:t>
                </m:r>
              </m:den>
            </m:f>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µ</m:t>
                    </m:r>
                  </m:num>
                  <m:den>
                    <m:r>
                      <w:rPr>
                        <w:rFonts w:ascii="Cambria Math" w:hAnsi="Cambria Math"/>
                      </w:rPr>
                      <m:t>s</m:t>
                    </m:r>
                  </m:den>
                </m:f>
                <m:r>
                  <w:rPr>
                    <w:rFonts w:ascii="Cambria Math" w:hAnsi="Cambria Math"/>
                  </w:rPr>
                  <m:t xml:space="preserve"> </m:t>
                </m:r>
              </m:e>
            </m:d>
          </m:e>
          <m:sup>
            <m:r>
              <w:rPr>
                <w:rFonts w:ascii="Cambria Math" w:hAnsi="Cambria Math"/>
              </w:rPr>
              <m:t>2</m:t>
            </m:r>
          </m:sup>
        </m:sSup>
        <m:r>
          <w:rPr>
            <w:rFonts w:ascii="Cambria Math" w:hAnsi="Cambria Math"/>
          </w:rPr>
          <m:t>≈N</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µ</m:t>
                    </m:r>
                  </m:num>
                  <m:den>
                    <m:r>
                      <w:rPr>
                        <w:rFonts w:ascii="Cambria Math" w:hAnsi="Cambria Math"/>
                      </w:rPr>
                      <m:t>s</m:t>
                    </m:r>
                  </m:den>
                </m:f>
                <m:r>
                  <w:rPr>
                    <w:rFonts w:ascii="Cambria Math" w:hAnsi="Cambria Math"/>
                  </w:rPr>
                  <m:t xml:space="preserve"> </m:t>
                </m:r>
              </m:e>
            </m:d>
          </m:e>
          <m:sup>
            <m:r>
              <w:rPr>
                <w:rFonts w:ascii="Cambria Math" w:hAnsi="Cambria Math"/>
              </w:rPr>
              <m:t>2</m:t>
            </m:r>
          </m:sup>
        </m:sSup>
        <m:r>
          <w:rPr>
            <w:rFonts w:ascii="Cambria Math" w:hAnsi="Cambria Math"/>
          </w:rPr>
          <m:t>&gt;1</m:t>
        </m:r>
      </m:oMath>
      <w:r w:rsidR="0002786D">
        <w:t xml:space="preserve"> then double mutants </w:t>
      </w:r>
      <w:r w:rsidR="007E1D16">
        <w:t xml:space="preserve">are already expected </w:t>
      </w:r>
      <w:r w:rsidR="0002786D">
        <w:t>in the population at the MSB and adaptation will not require new mutations</w:t>
      </w:r>
      <w:r>
        <w:t>,</w:t>
      </w:r>
      <w:r w:rsidR="0002786D">
        <w:t xml:space="preserve"> and (ii)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≈N</m:t>
        </m:r>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&lt;1</m:t>
        </m:r>
      </m:oMath>
      <w:r w:rsidR="0002786D">
        <w:t xml:space="preserve"> then no single mutants </w:t>
      </w:r>
      <w:r w:rsidR="007E1D16">
        <w:t xml:space="preserve">are expected </w:t>
      </w:r>
      <w:r w:rsidR="0002786D">
        <w:t xml:space="preserve">at the MSB and double mutants must be generated by a double mutation in a wildtype individual. </w:t>
      </w:r>
      <w:r>
        <w:t>In this case</w:t>
      </w:r>
      <w:r w:rsidR="0002786D" w:rsidRPr="00183F36">
        <w:t xml:space="preserve">, increasing the mutation rate of individuals with fitness below 1 will </w:t>
      </w:r>
      <w:r>
        <w:t xml:space="preserve">not have an </w:t>
      </w:r>
      <w:r w:rsidR="0002786D" w:rsidRPr="00183F36">
        <w:t xml:space="preserve">effect </w:t>
      </w:r>
      <w:r>
        <w:t xml:space="preserve">on the appearance of the double mutant </w:t>
      </w:r>
      <w:r w:rsidR="0002786D">
        <w:t xml:space="preserve">and </w:t>
      </w:r>
      <w:r>
        <w:t>there is no point in analyzing the effect of SIM</w:t>
      </w:r>
      <w:r w:rsidR="0002786D">
        <w:t xml:space="preserve">. </w:t>
      </w:r>
    </w:p>
    <w:p w:rsidR="00000DD9" w:rsidRDefault="0002786D" w:rsidP="002A0DCC">
      <w:pPr>
        <w:spacing w:after="0" w:line="480" w:lineRule="auto"/>
        <w:jc w:val="both"/>
      </w:pPr>
      <w:r>
        <w:t xml:space="preserve">Combining these two constraints </w:t>
      </w:r>
      <w:r w:rsidR="00CA58CA">
        <w:t xml:space="preserve">we get the following constraint </w:t>
      </w:r>
      <w:r>
        <w:t>on</w:t>
      </w:r>
      <w:r w:rsidR="00A95F28">
        <w:t xml:space="preserve"> the population size</w:t>
      </w:r>
      <w:r w:rsidR="00AC2BE1">
        <w:t xml:space="preserve"> </w:t>
      </w:r>
      <w:r w:rsidR="00AC2BE1" w:rsidRPr="00AC2BE1">
        <w:rPr>
          <w:i/>
          <w:iCs/>
        </w:rPr>
        <w:t>N</w:t>
      </w:r>
      <w:proofErr w:type="gramStart"/>
      <w:r w:rsidR="00CA58CA">
        <w:t>:</w:t>
      </w:r>
      <w:r w:rsidR="00CA58CA">
        <w:rPr>
          <w:rFonts w:eastAsiaTheme="minorEastAsia"/>
        </w:rPr>
        <w:t xml:space="preserve"> </w:t>
      </w:r>
      <w:proofErr w:type="gramEnd"/>
      <m:oMath>
        <m:r>
          <w:rPr>
            <w:rFonts w:ascii="Cambria Math" w:hAnsi="Cambria Math"/>
          </w:rPr>
          <m:t xml:space="preserve"> </m:t>
        </m:r>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00CA58CA">
        <w:rPr>
          <w:rFonts w:eastAsiaTheme="minorEastAsia"/>
        </w:rPr>
        <w:t>.</w:t>
      </w:r>
      <w:r w:rsidR="00CA58CA">
        <w:t xml:space="preserve"> This constraint is</w:t>
      </w:r>
      <w:r w:rsidR="00A95F28">
        <w:t xml:space="preserve"> reasonable for bacterial populations</w:t>
      </w:r>
      <w:r w:rsidR="00CA58CA">
        <w:t xml:space="preserve"> </w:t>
      </w:r>
      <w:r w:rsidR="00A95F28">
        <w:t xml:space="preserve">(see </w:t>
      </w:r>
      <w:r w:rsidR="00CA7DA9">
        <w:fldChar w:fldCharType="begin"/>
      </w:r>
      <w:r w:rsidR="00A95F28">
        <w:instrText xml:space="preserve"> REF _Ref358791100 \h </w:instrText>
      </w:r>
      <w:r w:rsidR="002A0DCC">
        <w:instrText xml:space="preserve"> \* MERGEFORMAT </w:instrText>
      </w:r>
      <w:r w:rsidR="00CA7DA9">
        <w:fldChar w:fldCharType="separate"/>
      </w:r>
      <w:r w:rsidR="007C70D4">
        <w:t xml:space="preserve">Table </w:t>
      </w:r>
      <w:r w:rsidR="007C70D4">
        <w:rPr>
          <w:noProof/>
        </w:rPr>
        <w:t>1</w:t>
      </w:r>
      <w:r w:rsidR="00CA7DA9">
        <w:fldChar w:fldCharType="end"/>
      </w:r>
      <w:r w:rsidR="00A95F28">
        <w:t>)</w:t>
      </w:r>
      <w:r w:rsidR="00F25234">
        <w:t>.</w:t>
      </w:r>
    </w:p>
    <w:p w:rsidR="002D7506" w:rsidRDefault="0002786D" w:rsidP="00825A24">
      <w:pPr>
        <w:spacing w:line="480" w:lineRule="auto"/>
      </w:pPr>
      <w:r>
        <w:t>T</w:t>
      </w:r>
      <w:r w:rsidR="002D7506">
        <w:t xml:space="preserve">he frequencies of </w:t>
      </w:r>
      <w:proofErr w:type="spellStart"/>
      <w:r w:rsidR="002D7506">
        <w:t>wildtype</w:t>
      </w:r>
      <w:r w:rsidR="00BD0663">
        <w:t>s</w:t>
      </w:r>
      <w:proofErr w:type="spellEnd"/>
      <w:r w:rsidR="002D7506">
        <w:t xml:space="preserve"> </w:t>
      </w:r>
      <w:r w:rsidR="00BD0663">
        <w:t>(</w:t>
      </w:r>
      <w:proofErr w:type="spellStart"/>
      <w:r w:rsidR="002D7506">
        <w:rPr>
          <w:i/>
          <w:iCs/>
        </w:rPr>
        <w:t>ab</w:t>
      </w:r>
      <w:proofErr w:type="spellEnd"/>
      <w:r w:rsidR="00BD0663" w:rsidRPr="00BD0663">
        <w:t>)</w:t>
      </w:r>
      <w:r w:rsidR="002D7506">
        <w:t xml:space="preserve"> and single mutants </w:t>
      </w:r>
      <w:r w:rsidR="00BD0663">
        <w:t>(</w:t>
      </w:r>
      <w:proofErr w:type="spellStart"/>
      <w:r w:rsidR="002D7506" w:rsidRPr="00BB678E">
        <w:rPr>
          <w:i/>
          <w:iCs/>
        </w:rPr>
        <w:t>aB</w:t>
      </w:r>
      <w:proofErr w:type="spellEnd"/>
      <w:r w:rsidR="002D7506">
        <w:t xml:space="preserve"> and </w:t>
      </w:r>
      <w:proofErr w:type="spellStart"/>
      <w:r w:rsidR="002D7506" w:rsidRPr="005F3FF6">
        <w:rPr>
          <w:i/>
          <w:iCs/>
        </w:rPr>
        <w:t>Ab</w:t>
      </w:r>
      <w:proofErr w:type="spellEnd"/>
      <w:r w:rsidR="00BD0663">
        <w:t xml:space="preserve"> combined</w:t>
      </w:r>
      <w:r w:rsidR="00BD0663" w:rsidRPr="00BD0663">
        <w:t>)</w:t>
      </w:r>
      <w:r w:rsidR="002D7506">
        <w:t xml:space="preserve"> </w:t>
      </w:r>
      <w:r w:rsidR="00A95F28">
        <w:t xml:space="preserve">that are mutation-free </w:t>
      </w:r>
      <w:r>
        <w:t xml:space="preserve">at the MSB </w:t>
      </w:r>
      <w:r w:rsidR="002D7506" w:rsidRPr="005F3FF6">
        <w:t>are</w:t>
      </w:r>
      <w:r w:rsidR="002D7506">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2D7506">
        <w:t xml:space="preserve"> </w:t>
      </w:r>
      <w:proofErr w:type="gramStart"/>
      <w:r w:rsidR="002D7506">
        <w:t xml:space="preserve">and  </w:t>
      </w:r>
      <w:proofErr w:type="gramEnd"/>
      <m:oMath>
        <m:r>
          <w:rPr>
            <w:rFonts w:ascii="Cambria Math" w:hAnsi="Cambria Math"/>
          </w:rPr>
          <m:t>2</m:t>
        </m:r>
        <m:f>
          <m:fPr>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BD0663">
        <w:t>, respectively</w:t>
      </w:r>
      <w:r w:rsidR="002D7506">
        <w:t>.</w:t>
      </w:r>
      <w:r w:rsidR="00BD0663">
        <w:t xml:space="preserve"> The probability that an offspring of </w:t>
      </w:r>
      <w:proofErr w:type="spellStart"/>
      <w:r w:rsidR="00BD0663">
        <w:t>wildtypes</w:t>
      </w:r>
      <w:proofErr w:type="spellEnd"/>
      <w:r w:rsidR="00BD0663">
        <w:t xml:space="preserve"> or single mutants is a double mutant (</w:t>
      </w:r>
      <w:r w:rsidR="00BD0663">
        <w:rPr>
          <w:i/>
          <w:iCs/>
        </w:rPr>
        <w:t>AB</w:t>
      </w:r>
      <w:r w:rsidR="00BD0663">
        <w:t xml:space="preserve">) is </w:t>
      </w:r>
      <m:oMath>
        <m:sSup>
          <m:sSupPr>
            <m:ctrlPr>
              <w:rPr>
                <w:rFonts w:ascii="Cambria Math" w:hAnsi="Cambria Math"/>
                <w:i/>
              </w:rPr>
            </m:ctrlPr>
          </m:sSupPr>
          <m:e>
            <m:r>
              <w:rPr>
                <w:rFonts w:ascii="Cambria Math" w:hAnsi="Cambria Math"/>
              </w:rPr>
              <m:t>μ</m:t>
            </m:r>
          </m:e>
          <m:sup>
            <m:r>
              <w:rPr>
                <w:rFonts w:ascii="Cambria Math" w:hAnsi="Cambria Math"/>
              </w:rPr>
              <m:t>2</m:t>
            </m:r>
          </m:sup>
        </m:sSup>
      </m:oMath>
      <w:r w:rsidR="00BD0663">
        <w:rPr>
          <w:rFonts w:eastAsiaTheme="minorEastAsia"/>
        </w:rPr>
        <w:t xml:space="preserve"> </w:t>
      </w:r>
      <w:proofErr w:type="gramStart"/>
      <w:r w:rsidR="00BD0663">
        <w:rPr>
          <w:rFonts w:eastAsiaTheme="minorEastAsia"/>
        </w:rPr>
        <w:t xml:space="preserve">and </w:t>
      </w:r>
      <w:proofErr w:type="gramEnd"/>
      <m:oMath>
        <m:r>
          <w:rPr>
            <w:rFonts w:ascii="Cambria Math" w:hAnsi="Cambria Math"/>
          </w:rPr>
          <m:t>μ</m:t>
        </m:r>
      </m:oMath>
      <w:r w:rsidR="00BD0663">
        <w:t>, respectively.</w:t>
      </w:r>
      <w:r w:rsidR="002D7506">
        <w:t xml:space="preserve"> </w:t>
      </w:r>
      <w:r w:rsidR="00414AEF">
        <w:t xml:space="preserve">The probability that </w:t>
      </w:r>
      <w:r w:rsidR="00BD0663">
        <w:t xml:space="preserve">this offspring is also mutation free, that is, the only mutations that occurred were at the specific loci, </w:t>
      </w:r>
      <w:proofErr w:type="gramStart"/>
      <w:r w:rsidR="00BD0663">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414AEF">
        <w:rPr>
          <w:rFonts w:eastAsiaTheme="minorEastAsia"/>
        </w:rPr>
        <w:t xml:space="preserve">. Therefore, </w:t>
      </w:r>
      <w:r w:rsidR="00414AEF">
        <w:t>t</w:t>
      </w:r>
      <w:r w:rsidR="002D7506">
        <w:t xml:space="preserve">he probability </w:t>
      </w:r>
      <w:r w:rsidR="002D7506">
        <w:rPr>
          <w:i/>
          <w:iCs/>
        </w:rPr>
        <w:t>q</w:t>
      </w:r>
      <w:r w:rsidR="002D7506">
        <w:t xml:space="preserve"> that a random </w:t>
      </w:r>
      <w:r w:rsidR="00BD0663">
        <w:t>offspring</w:t>
      </w:r>
      <w:r w:rsidR="002D7506">
        <w:t xml:space="preserve"> is a double mutant, given there are no double mutants</w:t>
      </w:r>
      <w:r w:rsidR="00A95F28">
        <w:t xml:space="preserve"> in </w:t>
      </w:r>
      <w:r w:rsidR="005F6C08">
        <w:t xml:space="preserve">the </w:t>
      </w:r>
      <w:r w:rsidR="005F6C08">
        <w:lastRenderedPageBreak/>
        <w:t>current</w:t>
      </w:r>
      <w:r w:rsidR="00A95F28">
        <w:t xml:space="preserve"> generation</w:t>
      </w:r>
      <w:r w:rsidR="005F6C08">
        <w:t>,</w:t>
      </w:r>
      <w:r w:rsidR="002D7506">
        <w:t xml:space="preserve"> </w:t>
      </w:r>
      <w:r w:rsidR="00825A24">
        <w:t>can be calculated from the frequencies of the parents and the mutation probabilities</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BD0663">
            <w:pPr>
              <w:spacing w:line="480" w:lineRule="auto"/>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00CB2F61">
              <w:t>.</w:t>
            </w:r>
          </w:p>
        </w:tc>
        <w:tc>
          <w:tcPr>
            <w:tcW w:w="500" w:type="pct"/>
            <w:vAlign w:val="center"/>
          </w:tcPr>
          <w:p w:rsidR="002D7506" w:rsidRDefault="002D7506" w:rsidP="002A0DCC">
            <w:pPr>
              <w:spacing w:line="480" w:lineRule="auto"/>
            </w:pPr>
            <w:bookmarkStart w:id="2" w:name="_Ref354134924"/>
            <w:r>
              <w:t>(</w:t>
            </w:r>
            <w:r w:rsidR="00CA7DA9">
              <w:fldChar w:fldCharType="begin"/>
            </w:r>
            <w:r w:rsidR="00C64915" w:rsidRPr="00EC7EBC">
              <w:instrText xml:space="preserve"> SEQ Equation </w:instrText>
            </w:r>
            <w:r w:rsidR="00CA7DA9">
              <w:fldChar w:fldCharType="separate"/>
            </w:r>
            <w:r w:rsidR="007C70D4">
              <w:rPr>
                <w:noProof/>
              </w:rPr>
              <w:t>2</w:t>
            </w:r>
            <w:r w:rsidR="00CA7DA9">
              <w:rPr>
                <w:noProof/>
              </w:rPr>
              <w:fldChar w:fldCharType="end"/>
            </w:r>
            <w:r>
              <w:t>)</w:t>
            </w:r>
            <w:bookmarkEnd w:id="2"/>
          </w:p>
        </w:tc>
      </w:tr>
    </w:tbl>
    <w:p w:rsidR="002D7506" w:rsidRDefault="003F5091" w:rsidP="00825A24">
      <w:pPr>
        <w:spacing w:line="480" w:lineRule="auto"/>
      </w:pPr>
      <w:r>
        <w:t>With</w:t>
      </w:r>
      <w:r w:rsidR="00925154">
        <w:t xml:space="preserve"> SIM</w:t>
      </w:r>
      <w:r w:rsidR="002D7506">
        <w:t xml:space="preserve"> the mutation rate of single mutants is increased </w:t>
      </w:r>
      <w:r w:rsidR="002D7506" w:rsidRPr="002D7506">
        <w:rPr>
          <w:i/>
          <w:iCs/>
        </w:rPr>
        <w:t>τ</w:t>
      </w:r>
      <w:r w:rsidR="002D7506">
        <w:t xml:space="preserve">-fold and </w:t>
      </w:r>
      <w:r w:rsidR="00825A24">
        <w:t xml:space="preserve">the </w:t>
      </w:r>
      <w:r w:rsidR="00825A24">
        <w:t>probability that a random offspring is a double mutant</w:t>
      </w:r>
      <w:r w:rsidR="00825A24">
        <w:t xml:space="preserve"> is</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BD0663" w:rsidP="009E4DC2">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≈2τ</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1-τU</m:t>
                  </m:r>
                </m:e>
              </m:d>
              <m:r>
                <w:rPr>
                  <w:rFonts w:ascii="Cambria Math" w:hAnsi="Cambria Math"/>
                </w:rPr>
                <m:t>=q⋅τ(1-τU)</m:t>
              </m:r>
            </m:oMath>
            <w:r w:rsidR="00CB2F61">
              <w:t>.</w:t>
            </w:r>
          </w:p>
        </w:tc>
        <w:tc>
          <w:tcPr>
            <w:tcW w:w="500" w:type="pct"/>
            <w:vAlign w:val="center"/>
          </w:tcPr>
          <w:p w:rsidR="002D7506" w:rsidRDefault="002D7506" w:rsidP="002A0DCC">
            <w:pPr>
              <w:spacing w:line="480" w:lineRule="auto"/>
            </w:pPr>
            <w:bookmarkStart w:id="3" w:name="_Ref354134926"/>
            <w:r>
              <w:t>(</w:t>
            </w:r>
            <w:r w:rsidR="00CA7DA9">
              <w:fldChar w:fldCharType="begin"/>
            </w:r>
            <w:r w:rsidR="00C64915" w:rsidRPr="00EC7EBC">
              <w:instrText xml:space="preserve"> SEQ Equation </w:instrText>
            </w:r>
            <w:r w:rsidR="00CA7DA9">
              <w:fldChar w:fldCharType="separate"/>
            </w:r>
            <w:r w:rsidR="007C70D4">
              <w:rPr>
                <w:noProof/>
              </w:rPr>
              <w:t>3</w:t>
            </w:r>
            <w:r w:rsidR="00CA7DA9">
              <w:rPr>
                <w:noProof/>
              </w:rPr>
              <w:fldChar w:fldCharType="end"/>
            </w:r>
            <w:r>
              <w:t>)</w:t>
            </w:r>
            <w:bookmarkEnd w:id="3"/>
          </w:p>
        </w:tc>
      </w:tr>
    </w:tbl>
    <w:p w:rsidR="0002786D" w:rsidRDefault="005447DA" w:rsidP="009E4DC2">
      <w:pPr>
        <w:spacing w:line="480" w:lineRule="auto"/>
      </w:pPr>
      <w:proofErr w:type="gramStart"/>
      <w:r>
        <w:t>The right-hand side</w:t>
      </w:r>
      <w:r w:rsidR="009E4DC2">
        <w:t>s</w:t>
      </w:r>
      <w:r>
        <w:t xml:space="preserve"> of </w:t>
      </w:r>
      <w:proofErr w:type="spellStart"/>
      <w:r>
        <w:t>Eqs</w:t>
      </w:r>
      <w:proofErr w:type="spellEnd"/>
      <w:r>
        <w:t>.</w:t>
      </w:r>
      <w:proofErr w:type="gramEnd"/>
      <w:r>
        <w:t xml:space="preserve"> </w:t>
      </w:r>
      <w:r w:rsidR="00CA7DA9">
        <w:fldChar w:fldCharType="begin"/>
      </w:r>
      <w:r>
        <w:instrText xml:space="preserve"> REF _Ref354134924 \h </w:instrText>
      </w:r>
      <w:r w:rsidR="002A0DCC">
        <w:instrText xml:space="preserve"> \* MERGEFORMAT </w:instrText>
      </w:r>
      <w:r w:rsidR="00CA7DA9">
        <w:fldChar w:fldCharType="separate"/>
      </w:r>
      <w:r w:rsidR="007C70D4">
        <w:t>(</w:t>
      </w:r>
      <w:r w:rsidR="007C70D4">
        <w:rPr>
          <w:noProof/>
        </w:rPr>
        <w:t>2</w:t>
      </w:r>
      <w:r w:rsidR="007C70D4">
        <w:t>)</w:t>
      </w:r>
      <w:r w:rsidR="00CA7DA9">
        <w:fldChar w:fldCharType="end"/>
      </w:r>
      <w:r>
        <w:t xml:space="preserve"> </w:t>
      </w:r>
      <w:proofErr w:type="gramStart"/>
      <w:r>
        <w:t>and</w:t>
      </w:r>
      <w:proofErr w:type="gramEnd"/>
      <w:r>
        <w:t xml:space="preserve"> </w:t>
      </w:r>
      <w:r w:rsidR="00CA7DA9">
        <w:fldChar w:fldCharType="begin"/>
      </w:r>
      <w:r w:rsidRPr="00EC7EBC">
        <w:instrText xml:space="preserve"> REF _Ref354134926 \h </w:instrText>
      </w:r>
      <w:r w:rsidR="002A0DCC">
        <w:instrText xml:space="preserve"> \* MERGEFORMAT </w:instrText>
      </w:r>
      <w:r w:rsidR="00CA7DA9">
        <w:fldChar w:fldCharType="separate"/>
      </w:r>
      <w:r w:rsidR="007C70D4">
        <w:t>(</w:t>
      </w:r>
      <w:r w:rsidR="007C70D4">
        <w:rPr>
          <w:noProof/>
        </w:rPr>
        <w:t>3</w:t>
      </w:r>
      <w:r w:rsidR="007C70D4">
        <w:t>)</w:t>
      </w:r>
      <w:r w:rsidR="00CA7DA9">
        <w:fldChar w:fldCharType="end"/>
      </w:r>
      <w:r>
        <w:t xml:space="preserve"> are 1</w:t>
      </w:r>
      <w:r w:rsidRPr="005447DA">
        <w:rPr>
          <w:vertAlign w:val="superscript"/>
        </w:rPr>
        <w:t>st</w:t>
      </w:r>
      <w:r>
        <w:t xml:space="preserve"> order approximations</w:t>
      </w:r>
      <w:r w:rsidR="00C362E9">
        <w:t xml:space="preserve">. </w:t>
      </w:r>
      <w:r w:rsidR="003C66D8">
        <w:t>Appendix 1</w:t>
      </w:r>
      <w:r w:rsidR="00C362E9">
        <w:t xml:space="preserve"> includes full derivations of these formulae, including a detailed description of </w:t>
      </w:r>
      <w:r w:rsidR="009E4DC2">
        <w:t>the</w:t>
      </w:r>
      <w:r w:rsidR="00C362E9">
        <w:t xml:space="preserve"> assumptions and simplifications. Figure S1 shows a comparison of these analytic results with the simulations results.</w:t>
      </w:r>
    </w:p>
    <w:p w:rsidR="002D7506" w:rsidRDefault="002D7506" w:rsidP="002A0DCC">
      <w:pPr>
        <w:pStyle w:val="Heading2"/>
        <w:spacing w:line="480" w:lineRule="auto"/>
      </w:pPr>
      <w:bookmarkStart w:id="4" w:name="_Ref354319797"/>
      <w:r>
        <w:t xml:space="preserve">Fixation probability with stress-induced </w:t>
      </w:r>
      <w:bookmarkEnd w:id="4"/>
      <w:r w:rsidR="003F5091">
        <w:t>mutagenesis</w:t>
      </w:r>
    </w:p>
    <w:p w:rsidR="005447DA" w:rsidRPr="005447DA" w:rsidRDefault="002D7506" w:rsidP="003C66D8">
      <w:pPr>
        <w:spacing w:line="480" w:lineRule="auto"/>
      </w:pPr>
      <w:r>
        <w:t xml:space="preserve">Assuming </w:t>
      </w:r>
      <w:r w:rsidR="008967F9">
        <w:t>a considerable</w:t>
      </w:r>
      <w:r>
        <w:t xml:space="preserve"> advantage </w:t>
      </w:r>
      <w:r w:rsidR="008967F9">
        <w:t>to</w:t>
      </w:r>
      <w:r>
        <w:t xml:space="preserve">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w:t>
      </w:r>
      <w:r w:rsidR="008967F9">
        <w:rPr>
          <w:rFonts w:cstheme="majorBidi"/>
        </w:rPr>
        <w:t>a large</w:t>
      </w:r>
      <w:r>
        <w:rPr>
          <w:rFonts w:cstheme="majorBidi"/>
        </w:rPr>
        <w:t xml:space="preserve"> population size (</w:t>
      </w:r>
      <w:r w:rsidR="00CA58CA">
        <w:rPr>
          <w:rFonts w:cstheme="majorBidi"/>
        </w:rPr>
        <w:t xml:space="preserve">the </w:t>
      </w:r>
      <w:r>
        <w:rPr>
          <w:rFonts w:cstheme="majorBidi"/>
        </w:rPr>
        <w:t xml:space="preserve">constraint </w:t>
      </w:r>
      <w:r w:rsidR="008967F9">
        <w:rPr>
          <w:rFonts w:cstheme="majorBidi"/>
        </w:rPr>
        <w:t xml:space="preserve">on </w:t>
      </w:r>
      <w:r w:rsidR="008967F9">
        <w:rPr>
          <w:rFonts w:cstheme="majorBidi"/>
          <w:i/>
          <w:iCs/>
        </w:rPr>
        <w:t xml:space="preserve">N </w:t>
      </w:r>
      <w:r>
        <w:rPr>
          <w:rFonts w:cstheme="majorBidi"/>
        </w:rPr>
        <w:t xml:space="preserve">ensures that), a double mutant </w:t>
      </w:r>
      <w:r>
        <w:t>has two possible fates after its appearance: fixation or extinction.</w:t>
      </w:r>
      <w:r w:rsidR="003F5091" w:rsidRPr="003F5091">
        <w:t xml:space="preserve"> </w:t>
      </w:r>
      <w:r w:rsidR="003F5091">
        <w:t xml:space="preserve">Following </w:t>
      </w:r>
      <w:proofErr w:type="spellStart"/>
      <w:r w:rsidR="003F5091">
        <w:t>Eshel</w:t>
      </w:r>
      <w:proofErr w:type="spellEnd"/>
      <w:r w:rsidR="003F5091">
        <w:t xml:space="preserve"> </w:t>
      </w:r>
      <w:r w:rsidR="00CA7DA9">
        <w:fldChar w:fldCharType="begin" w:fldLock="1"/>
      </w:r>
      <w:r w:rsidR="00914F9D">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663378" w:rsidRPr="00663378">
        <w:rPr>
          <w:noProof/>
        </w:rPr>
        <w:t>(1981)</w:t>
      </w:r>
      <w:r w:rsidR="00CA7DA9">
        <w:fldChar w:fldCharType="end"/>
      </w:r>
      <w:r w:rsidR="003F5091">
        <w:t xml:space="preserve">, the fixation probability </w:t>
      </w:r>
      <w:r w:rsidR="003F5091" w:rsidRPr="006A479B">
        <w:rPr>
          <w:i/>
          <w:iCs/>
        </w:rPr>
        <w:t>ρ</w:t>
      </w:r>
      <w:r w:rsidR="003F5091">
        <w:t xml:space="preserve"> of the double mutant is</w:t>
      </w:r>
      <w:r w:rsidR="005447DA">
        <w:t xml:space="preserve"> (see </w:t>
      </w:r>
      <w:r w:rsidR="003C66D8">
        <w:t>Appendix 2</w:t>
      </w:r>
      <w:r w:rsidR="005447DA">
        <w:t>)</w:t>
      </w:r>
      <w:r w:rsidR="003F5091">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2A0DCC">
            <w:pPr>
              <w:spacing w:line="480" w:lineRule="auto"/>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447DA" w:rsidRDefault="005447DA" w:rsidP="002A0DCC">
            <w:pPr>
              <w:spacing w:line="480" w:lineRule="auto"/>
            </w:pPr>
            <w:r>
              <w:t>(</w:t>
            </w:r>
            <w:r w:rsidR="00CA7DA9">
              <w:fldChar w:fldCharType="begin"/>
            </w:r>
            <w:r w:rsidR="00C64915" w:rsidRPr="00EC7EBC">
              <w:instrText xml:space="preserve"> SEQ Equation </w:instrText>
            </w:r>
            <w:r w:rsidR="00CA7DA9">
              <w:fldChar w:fldCharType="separate"/>
            </w:r>
            <w:r w:rsidR="007C70D4">
              <w:rPr>
                <w:noProof/>
              </w:rPr>
              <w:t>4</w:t>
            </w:r>
            <w:r w:rsidR="00CA7DA9">
              <w:rPr>
                <w:noProof/>
              </w:rPr>
              <w:fldChar w:fldCharType="end"/>
            </w:r>
            <w:r>
              <w:t>)</w:t>
            </w:r>
          </w:p>
        </w:tc>
      </w:tr>
    </w:tbl>
    <w:p w:rsidR="005447DA" w:rsidRDefault="006A479B" w:rsidP="002A0DCC">
      <w:pPr>
        <w:spacing w:line="480" w:lineRule="auto"/>
        <w:rPr>
          <w:lang w:bidi="hi-IN"/>
        </w:rPr>
      </w:pPr>
      <w:bookmarkStart w:id="5" w:name="_Ref360181968"/>
      <w:r>
        <w:rPr>
          <w:lang w:bidi="hi-IN"/>
        </w:rPr>
        <w:t>That is, the fixation probability of the double mutant is roughly twice its adaptive advantage</w:t>
      </w:r>
      <w:r w:rsidR="008967F9">
        <w:rPr>
          <w:lang w:bidi="hi-IN"/>
        </w:rPr>
        <w:t>. This</w:t>
      </w:r>
      <w:r w:rsidR="005447DA">
        <w:rPr>
          <w:lang w:bidi="hi-IN"/>
        </w:rPr>
        <w:t xml:space="preserve"> is a classic result of population genetics theory </w:t>
      </w:r>
      <w:r w:rsidR="00CA7DA9">
        <w:rPr>
          <w:lang w:bidi="hi-IN"/>
        </w:rPr>
        <w:fldChar w:fldCharType="begin" w:fldLock="1"/>
      </w:r>
      <w:r w:rsidR="00914F9D">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"mendeley" : { "previouslyFormattedCitation" : "(Fisher 1930 p. 76)" }, "properties" : { "noteIndex" : 0 }, "schema" : "https://github.com/citation-style-language/schema/raw/master/csl-citation.json" }</w:instrText>
      </w:r>
      <w:r w:rsidR="00CA7DA9">
        <w:rPr>
          <w:lang w:bidi="hi-IN"/>
        </w:rPr>
        <w:fldChar w:fldCharType="separate"/>
      </w:r>
      <w:r w:rsidR="00663378" w:rsidRPr="00663378">
        <w:rPr>
          <w:noProof/>
          <w:lang w:bidi="hi-IN"/>
        </w:rPr>
        <w:t>(Fisher 1930 p. 76)</w:t>
      </w:r>
      <w:r w:rsidR="00CA7DA9">
        <w:rPr>
          <w:lang w:bidi="hi-IN"/>
        </w:rPr>
        <w:fldChar w:fldCharType="end"/>
      </w:r>
      <w:r w:rsidR="005447DA">
        <w:rPr>
          <w:lang w:bidi="hi-IN"/>
        </w:rPr>
        <w:t>.</w:t>
      </w:r>
    </w:p>
    <w:p w:rsidR="005447DA" w:rsidRDefault="005447DA" w:rsidP="00D104F2">
      <w:pPr>
        <w:spacing w:line="480" w:lineRule="auto"/>
        <w:rPr>
          <w:lang w:bidi="hi-IN"/>
        </w:rPr>
      </w:pPr>
      <w:r>
        <w:rPr>
          <w:lang w:bidi="hi-IN"/>
        </w:rPr>
        <w:t xml:space="preserve">The fixation probability with SIM equals that of NM and CM because the mutation rate of the wildtype </w:t>
      </w:r>
      <w:proofErr w:type="spellStart"/>
      <w:r>
        <w:rPr>
          <w:i/>
          <w:iCs/>
          <w:lang w:bidi="hi-IN"/>
        </w:rPr>
        <w:t>ab</w:t>
      </w:r>
      <w:proofErr w:type="spellEnd"/>
      <w:r>
        <w:rPr>
          <w:lang w:bidi="hi-IN"/>
        </w:rPr>
        <w:t xml:space="preserve"> equals that of the double mutant </w:t>
      </w:r>
      <w:r>
        <w:rPr>
          <w:i/>
          <w:iCs/>
          <w:lang w:bidi="hi-IN"/>
        </w:rPr>
        <w:t>AB</w:t>
      </w:r>
      <w:r w:rsidR="00EC7EBC">
        <w:rPr>
          <w:lang w:bidi="hi-IN"/>
        </w:rPr>
        <w:t xml:space="preserve"> (but see an exception </w:t>
      </w:r>
      <w:r w:rsidR="00D104F2">
        <w:rPr>
          <w:lang w:bidi="hi-IN"/>
        </w:rPr>
        <w:t xml:space="preserve">in section </w:t>
      </w:r>
      <w:r w:rsidR="00D104F2">
        <w:rPr>
          <w:lang w:bidi="hi-IN"/>
        </w:rPr>
        <w:fldChar w:fldCharType="begin"/>
      </w:r>
      <w:r w:rsidR="00D104F2">
        <w:rPr>
          <w:lang w:bidi="hi-IN"/>
        </w:rPr>
        <w:instrText xml:space="preserve"> REF _Ref374010899 \r \h </w:instrText>
      </w:r>
      <w:r w:rsidR="00D104F2">
        <w:rPr>
          <w:lang w:bidi="hi-IN"/>
        </w:rPr>
      </w:r>
      <w:r w:rsidR="00D104F2">
        <w:rPr>
          <w:lang w:bidi="hi-IN"/>
        </w:rPr>
        <w:fldChar w:fldCharType="separate"/>
      </w:r>
      <w:r w:rsidR="007C70D4">
        <w:rPr>
          <w:rFonts w:hint="cs"/>
          <w:cs/>
          <w:lang w:bidi="hi-IN"/>
        </w:rPr>
        <w:t>‎</w:t>
      </w:r>
      <w:r w:rsidR="007C70D4">
        <w:rPr>
          <w:lang w:bidi="hi-IN"/>
        </w:rPr>
        <w:t>3.3</w:t>
      </w:r>
      <w:r w:rsidR="00D104F2">
        <w:rPr>
          <w:lang w:bidi="hi-IN"/>
        </w:rPr>
        <w:fldChar w:fldCharType="end"/>
      </w:r>
      <w:r w:rsidR="00EC7EBC">
        <w:rPr>
          <w:lang w:bidi="hi-IN"/>
        </w:rPr>
        <w:t>)</w:t>
      </w:r>
      <w:r>
        <w:rPr>
          <w:lang w:bidi="hi-IN"/>
        </w:rPr>
        <w:t>.</w:t>
      </w:r>
    </w:p>
    <w:p w:rsidR="00B82D73" w:rsidRDefault="00B82D73" w:rsidP="002A0DCC">
      <w:pPr>
        <w:pStyle w:val="Heading2"/>
        <w:spacing w:line="480" w:lineRule="auto"/>
      </w:pPr>
      <w:r>
        <w:lastRenderedPageBreak/>
        <w:t>Adaptation rate</w:t>
      </w:r>
      <w:bookmarkEnd w:id="5"/>
    </w:p>
    <w:p w:rsidR="00B82D73" w:rsidRPr="00D516F5" w:rsidRDefault="00B82D73" w:rsidP="005F6C08">
      <w:pPr>
        <w:spacing w:line="480" w:lineRule="auto"/>
      </w:pPr>
      <w:r>
        <w:t xml:space="preserve">From the probability </w:t>
      </w:r>
      <w:r>
        <w:rPr>
          <w:i/>
          <w:iCs/>
        </w:rPr>
        <w:t>q</w:t>
      </w:r>
      <w:r>
        <w:t xml:space="preserve"> that a random newborn is a double mutant</w:t>
      </w:r>
      <w:r w:rsidR="008967F9">
        <w:t>,</w:t>
      </w:r>
      <w:r>
        <w:t xml:space="preserve"> we can derive the probability that some double mutants appear in the next generation</w:t>
      </w:r>
      <w:proofErr w:type="gramStart"/>
      <w:r>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w:t>
      </w:r>
      <w:r w:rsidR="00CA58CA">
        <w:t>The c</w:t>
      </w:r>
      <w:r>
        <w:t xml:space="preserve">onstraint </w:t>
      </w:r>
      <w:r w:rsidR="00B1479E">
        <w:t xml:space="preserve">on </w:t>
      </w:r>
      <w:r w:rsidR="00B1479E" w:rsidRPr="00B1479E">
        <w:rPr>
          <w:i/>
          <w:iCs/>
        </w:rPr>
        <w:t>N</w:t>
      </w:r>
      <w:r w:rsidR="00B1479E">
        <w:t xml:space="preserve"> guarantees </w:t>
      </w:r>
      <w:r>
        <w:t xml:space="preserve">that </w:t>
      </w:r>
      <w:proofErr w:type="spellStart"/>
      <w:r w:rsidRPr="001752B4">
        <w:rPr>
          <w:i/>
          <w:iCs/>
        </w:rPr>
        <w:t>Nq</w:t>
      </w:r>
      <w:proofErr w:type="spellEnd"/>
      <w:r>
        <w:t xml:space="preserve"> is very small and therefore this probability can be approximated by </w:t>
      </w:r>
      <w:proofErr w:type="spellStart"/>
      <w:r>
        <w:rPr>
          <w:i/>
          <w:iCs/>
        </w:rPr>
        <w:t>Nq</w:t>
      </w:r>
      <w:proofErr w:type="spellEnd"/>
      <w:r>
        <w:t>.</w:t>
      </w:r>
      <w:r w:rsidR="005447DA">
        <w:t xml:space="preserve"> </w:t>
      </w:r>
      <w:r>
        <w:t xml:space="preserve">Once a double mutant appears it </w:t>
      </w:r>
      <w:r w:rsidR="005F6C08">
        <w:t>g</w:t>
      </w:r>
      <w:r w:rsidR="008967F9">
        <w:t xml:space="preserve">oes to fixation with </w:t>
      </w:r>
      <w:r>
        <w:t xml:space="preserve">probability </w:t>
      </w:r>
      <w:r w:rsidRPr="00B82D73">
        <w:rPr>
          <w:i/>
          <w:iCs/>
        </w:rPr>
        <w:t>ρ</w:t>
      </w:r>
      <w:r w:rsidR="005447DA">
        <w:t>.</w:t>
      </w:r>
    </w:p>
    <w:p w:rsidR="00B82D73" w:rsidRDefault="00B82D73" w:rsidP="002A0DCC">
      <w:pPr>
        <w:spacing w:line="480" w:lineRule="auto"/>
        <w:rPr>
          <w:lang w:bidi="hi-IN"/>
        </w:rPr>
      </w:pPr>
      <w:r w:rsidRPr="00CB2F61">
        <w:t xml:space="preserve">The time for adaptation </w:t>
      </w:r>
      <w:r w:rsidRPr="00CB2F61">
        <w:rPr>
          <w:i/>
          <w:iCs/>
        </w:rPr>
        <w:t>T</w:t>
      </w:r>
      <w:r w:rsidRPr="00CB2F61">
        <w:t xml:space="preserve"> can be approximated by the waiting time for a double mutant </w:t>
      </w:r>
      <w:r w:rsidR="005447DA">
        <w:t>that</w:t>
      </w:r>
      <w:r w:rsidRPr="00CB2F61">
        <w:t xml:space="preserve"> go</w:t>
      </w:r>
      <w:r w:rsidR="008967F9">
        <w:t>es</w:t>
      </w:r>
      <w:r w:rsidRPr="00CB2F61">
        <w:t xml:space="preserve"> to fixation. This is true as long as fixation is much faster than mutation (guaranteed by </w:t>
      </w:r>
      <w:r w:rsidR="00CA58CA" w:rsidRPr="00CA58CA">
        <w:rPr>
          <w:rFonts w:ascii="Times New Roman" w:hAnsi="Times New Roman" w:cs="Times New Roman"/>
        </w:rPr>
        <w:t>(</w:t>
      </w:r>
      <w:r w:rsidR="00CA58CA">
        <w:rPr>
          <w:rFonts w:ascii="Times New Roman" w:hAnsi="Times New Roman" w:cs="Times New Roman"/>
          <w:i/>
          <w:iCs/>
        </w:rPr>
        <w:t>τ</w:t>
      </w:r>
      <w:r w:rsidRPr="00CB2F61">
        <w:rPr>
          <w:i/>
          <w:iCs/>
        </w:rPr>
        <w:t>µ</w:t>
      </w:r>
      <w:proofErr w:type="gramStart"/>
      <w:r w:rsidR="00CA58CA" w:rsidRPr="00CA58CA">
        <w:t>)</w:t>
      </w:r>
      <w:r w:rsidRPr="00CA58CA">
        <w:rPr>
          <w:vertAlign w:val="superscript"/>
        </w:rPr>
        <w:t>2</w:t>
      </w:r>
      <w:proofErr w:type="gramEnd"/>
      <w:r w:rsidRPr="00CA58CA">
        <w:t>&lt;2</w:t>
      </w:r>
      <w:r w:rsidR="006A479B">
        <w:t>)</w:t>
      </w:r>
      <w:r w:rsidRPr="00CB2F61">
        <w:t xml:space="preserve">. </w:t>
      </w:r>
      <w:r w:rsidR="008967F9">
        <w:t>This waiting time</w:t>
      </w:r>
      <w:r w:rsidRPr="00CB2F61">
        <w:t xml:space="preserve"> follows a geometric distribution with </w:t>
      </w:r>
      <w:r w:rsidR="008967F9">
        <w:t>rate</w:t>
      </w:r>
      <w:r w:rsidRPr="00CB2F61">
        <w:t xml:space="preserve"> </w:t>
      </w:r>
      <w:proofErr w:type="spellStart"/>
      <w:r w:rsidRPr="00CB2F61">
        <w:rPr>
          <w:i/>
          <w:iCs/>
        </w:rPr>
        <w:t>Nqρ</w:t>
      </w:r>
      <w:proofErr w:type="spellEnd"/>
      <w:r w:rsidRPr="00CB2F61">
        <w:t xml:space="preserve"> and therefore the </w:t>
      </w:r>
      <w:r>
        <w:rPr>
          <w:lang w:bidi="hi-IN"/>
        </w:rPr>
        <w:t>adaptation</w:t>
      </w:r>
      <w:r w:rsidR="008967F9">
        <w:rPr>
          <w:lang w:bidi="hi-IN"/>
        </w:rPr>
        <w:t xml:space="preserve"> rate</w:t>
      </w:r>
      <w:r>
        <w:rPr>
          <w:lang w:bidi="hi-IN"/>
        </w:rPr>
        <w:t xml:space="preserve"> </w:t>
      </w:r>
      <w:r w:rsidR="008967F9">
        <w:rPr>
          <w:lang w:bidi="hi-IN"/>
        </w:rPr>
        <w:t>is approximately</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733446">
        <w:tc>
          <w:tcPr>
            <w:tcW w:w="4500" w:type="pct"/>
            <w:vAlign w:val="center"/>
          </w:tcPr>
          <w:p w:rsidR="00CB2F61" w:rsidRDefault="00CB2F61" w:rsidP="002A0DCC">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2A0DCC">
            <w:pPr>
              <w:spacing w:line="480" w:lineRule="auto"/>
            </w:pPr>
            <w:r>
              <w:t>(</w:t>
            </w:r>
            <w:r w:rsidR="00CA7DA9">
              <w:fldChar w:fldCharType="begin"/>
            </w:r>
            <w:r w:rsidR="009850ED" w:rsidRPr="00EC7EBC">
              <w:instrText xml:space="preserve"> SEQ Equation </w:instrText>
            </w:r>
            <w:r w:rsidR="00CA7DA9">
              <w:fldChar w:fldCharType="separate"/>
            </w:r>
            <w:r w:rsidR="007C70D4">
              <w:rPr>
                <w:noProof/>
              </w:rPr>
              <w:t>5</w:t>
            </w:r>
            <w:r w:rsidR="00CA7DA9">
              <w:rPr>
                <w:noProof/>
              </w:rPr>
              <w:fldChar w:fldCharType="end"/>
            </w:r>
            <w:r>
              <w:t>)</w:t>
            </w:r>
          </w:p>
        </w:tc>
      </w:tr>
    </w:tbl>
    <w:p w:rsidR="00A96D14" w:rsidRDefault="00A96D14" w:rsidP="002A0DCC">
      <w:pPr>
        <w:pStyle w:val="Heading2"/>
        <w:spacing w:line="480" w:lineRule="auto"/>
      </w:pPr>
      <w:r>
        <w:t>Wright-Fisher simulations</w:t>
      </w:r>
    </w:p>
    <w:p w:rsidR="00A96D14" w:rsidRDefault="00A96D14" w:rsidP="007B5572">
      <w:pPr>
        <w:spacing w:line="480" w:lineRule="auto"/>
      </w:pPr>
      <w:r w:rsidRPr="00A96D14">
        <w:t xml:space="preserve">We </w:t>
      </w:r>
      <w:r>
        <w:t>use</w:t>
      </w:r>
      <w:r w:rsidR="006911A5">
        <w:t>d</w:t>
      </w:r>
      <w:r>
        <w:t xml:space="preserve"> Wright-Fisher </w:t>
      </w:r>
      <w:r w:rsidR="006911A5">
        <w:t>simulations</w:t>
      </w:r>
      <w:r w:rsidR="007D5C6B">
        <w:t xml:space="preserve"> to study the evolution of a finite asexual</w:t>
      </w:r>
      <w:r>
        <w:t xml:space="preserve"> </w:t>
      </w:r>
      <w:r w:rsidR="007D5C6B">
        <w:t xml:space="preserve">population under </w:t>
      </w:r>
      <w:r>
        <w:t>selection, mutation a</w:t>
      </w:r>
      <w:r w:rsidRPr="00A96D14">
        <w:t>nd drift (Figure 1</w:t>
      </w:r>
      <w:r w:rsidR="006D1AF4">
        <w:t>B</w:t>
      </w:r>
      <w:r w:rsidRPr="00A96D14">
        <w:t xml:space="preserve">). </w:t>
      </w:r>
      <w:r w:rsidR="007B5572">
        <w:t>We divide the individuals to classes according to their genotypes (</w:t>
      </w:r>
      <w:proofErr w:type="spellStart"/>
      <w:r w:rsidR="007B5572">
        <w:rPr>
          <w:i/>
          <w:iCs/>
        </w:rPr>
        <w:t>ab</w:t>
      </w:r>
      <w:proofErr w:type="spellEnd"/>
      <w:r w:rsidR="007B5572">
        <w:rPr>
          <w:i/>
          <w:iCs/>
        </w:rPr>
        <w:t>/X</w:t>
      </w:r>
      <w:r w:rsidR="007B5572" w:rsidRPr="007B5572">
        <w:t xml:space="preserve">, </w:t>
      </w:r>
      <w:proofErr w:type="spellStart"/>
      <w:r w:rsidR="007B5572">
        <w:rPr>
          <w:i/>
          <w:iCs/>
        </w:rPr>
        <w:t>Ab</w:t>
      </w:r>
      <w:proofErr w:type="spellEnd"/>
      <w:r w:rsidR="007B5572">
        <w:rPr>
          <w:i/>
          <w:iCs/>
        </w:rPr>
        <w:t>/X</w:t>
      </w:r>
      <w:r w:rsidR="007B5572" w:rsidRPr="007B5572">
        <w:t>,</w:t>
      </w:r>
      <w:r w:rsidR="007B5572">
        <w:rPr>
          <w:i/>
          <w:iCs/>
        </w:rPr>
        <w:t xml:space="preserve"> </w:t>
      </w:r>
      <w:proofErr w:type="spellStart"/>
      <w:r w:rsidR="007B5572">
        <w:rPr>
          <w:i/>
          <w:iCs/>
        </w:rPr>
        <w:t>aB</w:t>
      </w:r>
      <w:proofErr w:type="spellEnd"/>
      <w:r w:rsidR="007B5572">
        <w:rPr>
          <w:i/>
          <w:iCs/>
        </w:rPr>
        <w:t>/X</w:t>
      </w:r>
      <w:r w:rsidR="007B5572">
        <w:t>,</w:t>
      </w:r>
      <w:r w:rsidR="007B5572">
        <w:rPr>
          <w:i/>
          <w:iCs/>
        </w:rPr>
        <w:t xml:space="preserve"> </w:t>
      </w:r>
      <w:r w:rsidR="007B5572" w:rsidRPr="007B5572">
        <w:t>and</w:t>
      </w:r>
      <w:r w:rsidR="007B5572">
        <w:rPr>
          <w:i/>
          <w:iCs/>
        </w:rPr>
        <w:t xml:space="preserve"> AB/</w:t>
      </w:r>
      <w:r w:rsidR="007B5572" w:rsidRPr="007B5572">
        <w:rPr>
          <w:i/>
          <w:iCs/>
        </w:rPr>
        <w:t>X</w:t>
      </w:r>
      <w:r w:rsidR="007B5572">
        <w:t xml:space="preserve">, where </w:t>
      </w:r>
      <w:r w:rsidR="007B5572" w:rsidRPr="007B5572">
        <w:t>X</w:t>
      </w:r>
      <w:r w:rsidR="007B5572">
        <w:rPr>
          <w:rFonts w:ascii="Times New Roman" w:hAnsi="Times New Roman" w:cs="Times New Roman"/>
        </w:rPr>
        <w:t>≥</w:t>
      </w:r>
      <w:r w:rsidR="007B5572">
        <w:t xml:space="preserve">0 is the number of deleterious mutations), and track the number of individuals in each class. </w:t>
      </w:r>
      <w:r w:rsidRPr="007B5572">
        <w:t>The</w:t>
      </w:r>
      <w:r w:rsidRPr="00A96D14">
        <w:t xml:space="preserve"> simulation</w:t>
      </w:r>
      <w:r w:rsidR="006911A5">
        <w:t>s start</w:t>
      </w:r>
      <w:r w:rsidRPr="00A96D14">
        <w:t xml:space="preserve"> with a mutation-free population (</w:t>
      </w:r>
      <w:r w:rsidR="007B5572">
        <w:t xml:space="preserve">all individuals start in the </w:t>
      </w:r>
      <w:proofErr w:type="spellStart"/>
      <w:r w:rsidRPr="007B5572">
        <w:rPr>
          <w:i/>
          <w:iCs/>
        </w:rPr>
        <w:t>ab</w:t>
      </w:r>
      <w:proofErr w:type="spellEnd"/>
      <w:r w:rsidRPr="007B5572">
        <w:rPr>
          <w:i/>
          <w:iCs/>
        </w:rPr>
        <w:t>/0</w:t>
      </w:r>
      <w:r w:rsidR="007B5572">
        <w:t xml:space="preserve"> class</w:t>
      </w:r>
      <w:r w:rsidRPr="00A96D14">
        <w:t xml:space="preserve">) </w:t>
      </w:r>
      <w:r w:rsidR="007B5572">
        <w:t>that</w:t>
      </w:r>
      <w:r w:rsidRPr="00A96D14">
        <w:t xml:space="preserve"> </w:t>
      </w:r>
      <w:r>
        <w:t>evolve</w:t>
      </w:r>
      <w:r w:rsidR="006911A5">
        <w:t>s</w:t>
      </w:r>
      <w:r>
        <w:t xml:space="preserve"> to a </w:t>
      </w:r>
      <w:r w:rsidR="007B5572">
        <w:t>mutation-selection balance (</w:t>
      </w:r>
      <w:r>
        <w:t>MSB</w:t>
      </w:r>
      <w:r w:rsidR="007B5572">
        <w:t>)</w:t>
      </w:r>
      <w:r>
        <w:t xml:space="preserve"> over the first 500 generations of the simulation (with </w:t>
      </w:r>
      <w:r>
        <w:rPr>
          <w:i/>
          <w:iCs/>
        </w:rPr>
        <w:t>s</w:t>
      </w:r>
      <w:r>
        <w:t>=0.</w:t>
      </w:r>
      <w:r w:rsidR="007B5572">
        <w:t>05</w:t>
      </w:r>
      <w:r>
        <w:t xml:space="preserve">, 500 generations are enough to get the average number of deleterious mutations per individual to 99.3% of </w:t>
      </w:r>
      <w:r w:rsidR="00CA58CA">
        <w:t>its</w:t>
      </w:r>
      <w:r>
        <w:t xml:space="preserve"> MSB value </w:t>
      </w:r>
      <w:r>
        <w:fldChar w:fldCharType="begin" w:fldLock="1"/>
      </w:r>
      <w:r w:rsidR="00914F9D">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fldChar w:fldCharType="separate"/>
      </w:r>
      <w:r w:rsidR="00663378" w:rsidRPr="00663378">
        <w:rPr>
          <w:noProof/>
        </w:rPr>
        <w:t>(Gordo and Dionisio 2005)</w:t>
      </w:r>
      <w:r>
        <w:fldChar w:fldCharType="end"/>
      </w:r>
      <w:r>
        <w:t>).</w:t>
      </w:r>
    </w:p>
    <w:p w:rsidR="00A96D14" w:rsidRDefault="00A96D14" w:rsidP="007B5572">
      <w:pPr>
        <w:spacing w:line="480" w:lineRule="auto"/>
        <w:rPr>
          <w:lang w:bidi="hi-IN"/>
        </w:rPr>
      </w:pPr>
      <w:r>
        <w:lastRenderedPageBreak/>
        <w:t xml:space="preserve">After </w:t>
      </w:r>
      <w:r w:rsidR="006911A5">
        <w:t xml:space="preserve">establishing </w:t>
      </w:r>
      <w:r>
        <w:t>a MSB, an enviro</w:t>
      </w:r>
      <w:r w:rsidRPr="00A96D14">
        <w:t xml:space="preserve">nmental change occurs, altering the fitness of the </w:t>
      </w:r>
      <w:r w:rsidRPr="00A96D14">
        <w:rPr>
          <w:i/>
          <w:iCs/>
        </w:rPr>
        <w:t xml:space="preserve">AB </w:t>
      </w:r>
      <w:r w:rsidRPr="00A96D14">
        <w:t>genotype from (1-</w:t>
      </w:r>
      <w:proofErr w:type="gramStart"/>
      <w:r w:rsidRPr="00A96D14">
        <w:rPr>
          <w:i/>
          <w:iCs/>
        </w:rPr>
        <w:t>s</w:t>
      </w:r>
      <w:r w:rsidRPr="00A96D14">
        <w:rPr>
          <w:rFonts w:hint="cs"/>
          <w:rtl/>
        </w:rPr>
        <w:t>(</w:t>
      </w:r>
      <w:proofErr w:type="gramEnd"/>
      <w:r w:rsidRPr="00A96D14">
        <w:rPr>
          <w:vertAlign w:val="superscript"/>
        </w:rPr>
        <w:t>2</w:t>
      </w:r>
      <w:r w:rsidRPr="00A96D14">
        <w:t xml:space="preserve"> to 1+</w:t>
      </w:r>
      <w:r w:rsidRPr="00A96D14">
        <w:rPr>
          <w:i/>
          <w:iCs/>
        </w:rPr>
        <w:t>sH</w:t>
      </w:r>
      <w:r>
        <w:t xml:space="preserve"> and making it </w:t>
      </w:r>
      <w:r w:rsidRPr="00CD4474">
        <w:t>the optimal genotype.</w:t>
      </w:r>
      <w:r w:rsidR="00CD4474" w:rsidRPr="00CD4474">
        <w:t xml:space="preserve"> The simulation then proceeds until an </w:t>
      </w:r>
      <w:r w:rsidR="00CD4474" w:rsidRPr="00CD4474">
        <w:rPr>
          <w:i/>
          <w:iCs/>
        </w:rPr>
        <w:t>AB</w:t>
      </w:r>
      <w:r w:rsidR="00CD4474" w:rsidRPr="00CD4474">
        <w:t xml:space="preserve"> individual appears and either goes extinct or fixates in the population (</w:t>
      </w:r>
      <w:r w:rsidR="007B5572">
        <w:t xml:space="preserve">either no or all individuals are in the </w:t>
      </w:r>
      <w:r w:rsidR="007B5572" w:rsidRPr="007B5572">
        <w:rPr>
          <w:i/>
          <w:iCs/>
        </w:rPr>
        <w:t>AB</w:t>
      </w:r>
      <w:r w:rsidR="007B5572">
        <w:t xml:space="preserve"> class</w:t>
      </w:r>
      <w:r w:rsidR="00CD4474" w:rsidRPr="00CD4474">
        <w:t>, respectively).</w:t>
      </w:r>
      <w:r w:rsidR="00CD4474">
        <w:t xml:space="preserve"> Therefore, each simulation provides one sample of the waiting time for the appearance of a double mutant</w:t>
      </w:r>
      <w:r w:rsidR="006911A5">
        <w:t xml:space="preserve"> (</w:t>
      </w:r>
      <w:proofErr w:type="spellStart"/>
      <w:r w:rsidR="006911A5">
        <w:rPr>
          <w:i/>
          <w:iCs/>
        </w:rPr>
        <w:t>Nq</w:t>
      </w:r>
      <w:proofErr w:type="spellEnd"/>
      <w:r w:rsidR="006911A5">
        <w:rPr>
          <w:i/>
          <w:iCs/>
        </w:rPr>
        <w:t>)</w:t>
      </w:r>
      <w:r w:rsidR="006911A5">
        <w:t xml:space="preserve"> </w:t>
      </w:r>
      <w:r w:rsidR="00CD4474">
        <w:t xml:space="preserve">and one sample </w:t>
      </w:r>
      <w:r w:rsidR="00D747B0">
        <w:t>of</w:t>
      </w:r>
      <w:r w:rsidR="00CD4474">
        <w:t xml:space="preserve"> the probability of fixation</w:t>
      </w:r>
      <w:r w:rsidR="006911A5">
        <w:t xml:space="preserve"> </w:t>
      </w:r>
      <w:r w:rsidR="00CD4474">
        <w:t>of a double mutant</w:t>
      </w:r>
      <w:r w:rsidR="006911A5">
        <w:t xml:space="preserve"> (</w:t>
      </w:r>
      <w:r w:rsidR="006911A5" w:rsidRPr="00B82D73">
        <w:rPr>
          <w:i/>
          <w:iCs/>
        </w:rPr>
        <w:t>ρ</w:t>
      </w:r>
      <w:r w:rsidR="006911A5">
        <w:rPr>
          <w:i/>
          <w:iCs/>
        </w:rPr>
        <w:t>)</w:t>
      </w:r>
      <w:r w:rsidR="00CD4474">
        <w:t>.</w:t>
      </w:r>
      <w:r w:rsidR="00483013">
        <w:t xml:space="preserve"> At least 1,000 simulations were performed for each parameter set.</w:t>
      </w:r>
      <w:r w:rsidR="00CD4474">
        <w:t xml:space="preserve"> </w:t>
      </w:r>
    </w:p>
    <w:p w:rsidR="007B5572" w:rsidRPr="007B5572" w:rsidRDefault="007B5572" w:rsidP="00921CC9">
      <w:pPr>
        <w:spacing w:line="480" w:lineRule="auto"/>
        <w:rPr>
          <w:lang w:bidi="hi-IN"/>
        </w:rPr>
      </w:pPr>
      <w:r>
        <w:rPr>
          <w:lang w:bidi="hi-IN"/>
        </w:rPr>
        <w:t>We also simulated direct competitions between the different mutational strategies (NN, CM, and SIM). In these competitions, after a MSB is reached we cha</w:t>
      </w:r>
      <w:r w:rsidR="00921CC9">
        <w:rPr>
          <w:lang w:bidi="hi-IN"/>
        </w:rPr>
        <w:t xml:space="preserve">nge half of the population to an invading </w:t>
      </w:r>
      <w:r>
        <w:rPr>
          <w:lang w:bidi="hi-IN"/>
        </w:rPr>
        <w:t xml:space="preserve">mutational strategy. At the end of each simulation (after the fixation or extinction of the double mutant </w:t>
      </w:r>
      <w:r>
        <w:rPr>
          <w:i/>
          <w:iCs/>
          <w:lang w:bidi="hi-IN"/>
        </w:rPr>
        <w:t>AB</w:t>
      </w:r>
      <w:r>
        <w:rPr>
          <w:lang w:bidi="hi-IN"/>
        </w:rPr>
        <w:t xml:space="preserve">) we </w:t>
      </w:r>
      <w:r w:rsidR="00921CC9">
        <w:rPr>
          <w:lang w:bidi="hi-IN"/>
        </w:rPr>
        <w:t>get a sample of the final frequency of the invading strategy. If the this final frequency is significantly lower or higher than 0.5 then the invading strategy is significantly disfavored or favored by selection over the other strategy.</w:t>
      </w:r>
    </w:p>
    <w:p w:rsidR="001033CA" w:rsidRDefault="001033CA" w:rsidP="002A0DCC">
      <w:pPr>
        <w:pStyle w:val="Heading1"/>
        <w:spacing w:line="480" w:lineRule="auto"/>
        <w:rPr>
          <w:lang w:bidi="hi-IN"/>
        </w:rPr>
      </w:pPr>
      <w:r>
        <w:rPr>
          <w:lang w:bidi="hi-IN"/>
        </w:rPr>
        <w:t>Results</w:t>
      </w:r>
    </w:p>
    <w:p w:rsidR="00354774" w:rsidRDefault="007C4DDB" w:rsidP="002A0DCC">
      <w:pPr>
        <w:pStyle w:val="Heading2"/>
        <w:spacing w:line="480" w:lineRule="auto"/>
        <w:rPr>
          <w:rFonts w:eastAsiaTheme="minorEastAsia"/>
        </w:rPr>
      </w:pPr>
      <w:r>
        <w:rPr>
          <w:rFonts w:eastAsiaTheme="minorEastAsia"/>
        </w:rPr>
        <w:t>Complex a</w:t>
      </w:r>
      <w:r w:rsidR="001F5496">
        <w:rPr>
          <w:rFonts w:eastAsiaTheme="minorEastAsia"/>
        </w:rPr>
        <w:t xml:space="preserve">daptation </w:t>
      </w:r>
    </w:p>
    <w:p w:rsidR="00354774" w:rsidRPr="007C4DDB" w:rsidRDefault="004C16E5" w:rsidP="00B23B3C">
      <w:pPr>
        <w:spacing w:line="480" w:lineRule="auto"/>
        <w:rPr>
          <w:lang w:bidi="hi-IN"/>
        </w:rPr>
      </w:pPr>
      <w:r>
        <w:rPr>
          <w:lang w:bidi="hi-IN"/>
        </w:rPr>
        <w:t xml:space="preserve">In our model, adaptation is </w:t>
      </w:r>
      <w:r w:rsidR="00F356B7">
        <w:rPr>
          <w:lang w:bidi="hi-IN"/>
        </w:rPr>
        <w:t>achieved</w:t>
      </w:r>
      <w:r>
        <w:rPr>
          <w:lang w:bidi="hi-IN"/>
        </w:rPr>
        <w:t xml:space="preserve"> by the appearance and fixation of a double mutant </w:t>
      </w:r>
      <w:r>
        <w:rPr>
          <w:i/>
          <w:iCs/>
          <w:lang w:bidi="hi-IN"/>
        </w:rPr>
        <w:t>AB</w:t>
      </w:r>
      <w:r>
        <w:rPr>
          <w:lang w:bidi="hi-IN"/>
        </w:rPr>
        <w:t xml:space="preserve"> in the population. T</w:t>
      </w:r>
      <w:r w:rsidR="007C4DDB">
        <w:rPr>
          <w:lang w:bidi="hi-IN"/>
        </w:rPr>
        <w:t xml:space="preserve">he </w:t>
      </w:r>
      <w:r w:rsidR="001C5D6C">
        <w:rPr>
          <w:lang w:bidi="hi-IN"/>
        </w:rPr>
        <w:t xml:space="preserve">rate of adaptation </w:t>
      </w:r>
      <w:r w:rsidR="001C5D6C" w:rsidRPr="001C5D6C">
        <w:rPr>
          <w:i/>
          <w:iCs/>
        </w:rPr>
        <w:t>ν</w:t>
      </w:r>
      <w:r>
        <w:t xml:space="preserve"> for the diff</w:t>
      </w:r>
      <w:r w:rsidR="00B23B3C">
        <w:t>erent mutational strategies is</w:t>
      </w:r>
      <w:r w:rsidR="007C4DDB">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CB2F61">
        <w:tc>
          <w:tcPr>
            <w:tcW w:w="4500" w:type="pct"/>
            <w:vAlign w:val="center"/>
          </w:tcPr>
          <w:p w:rsidR="00CB2F61" w:rsidRDefault="00BD0663" w:rsidP="00992B7F">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4</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2A0DCC">
            <w:pPr>
              <w:spacing w:line="480" w:lineRule="auto"/>
            </w:pPr>
            <w:bookmarkStart w:id="6" w:name="_Ref374094382"/>
            <w:bookmarkStart w:id="7" w:name="_Ref360526047"/>
            <w:r>
              <w:t>(</w:t>
            </w:r>
            <w:r w:rsidR="00CA7DA9">
              <w:fldChar w:fldCharType="begin"/>
            </w:r>
            <w:r w:rsidR="009850ED" w:rsidRPr="00C23983">
              <w:instrText xml:space="preserve"> SEQ Equation </w:instrText>
            </w:r>
            <w:r w:rsidR="00CA7DA9">
              <w:fldChar w:fldCharType="separate"/>
            </w:r>
            <w:r w:rsidR="007C70D4">
              <w:rPr>
                <w:noProof/>
              </w:rPr>
              <w:t>6</w:t>
            </w:r>
            <w:r w:rsidR="00CA7DA9">
              <w:rPr>
                <w:noProof/>
              </w:rPr>
              <w:fldChar w:fldCharType="end"/>
            </w:r>
            <w:bookmarkEnd w:id="6"/>
            <w:r>
              <w:t>)</w:t>
            </w:r>
            <w:bookmarkEnd w:id="7"/>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BD0663" w:rsidP="00992B7F">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r>
                  <w:rPr>
                    <w:rFonts w:ascii="Cambria Math" w:hAnsi="Cambria Math"/>
                  </w:rPr>
                  <m:t>4</m:t>
                </m:r>
                <m:r>
                  <w:rPr>
                    <w:rFonts w:ascii="Cambria Math" w:hAnsi="Cambria Math"/>
                    <w:lang w:bidi="hi-IN"/>
                  </w:rPr>
                  <m:t>NH</m:t>
                </m:r>
                <m:sSup>
                  <m:sSupPr>
                    <m:ctrlPr>
                      <w:rPr>
                        <w:rFonts w:ascii="Cambria Math" w:hAnsi="Cambria Math"/>
                        <w:i/>
                      </w:rPr>
                    </m:ctrlPr>
                  </m:sSupPr>
                  <m:e>
                    <m:r>
                      <w:rPr>
                        <w:rFonts w:ascii="Cambria Math" w:hAnsi="Cambria Math"/>
                      </w:rPr>
                      <m:t>τ</m:t>
                    </m:r>
                  </m:e>
                  <m:sup>
                    <m:r>
                      <w:rPr>
                        <w:rFonts w:ascii="Cambria Math" w:hAnsi="Cambria Math"/>
                      </w:rPr>
                      <m:t>2</m:t>
                    </m:r>
                  </m:sup>
                </m:sSup>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τU</m:t>
                        </m:r>
                      </m:num>
                      <m:den>
                        <m:r>
                          <w:rPr>
                            <w:rFonts w:ascii="Cambria Math" w:hAnsi="Cambria Math"/>
                          </w:rPr>
                          <m:t>s</m:t>
                        </m:r>
                      </m:den>
                    </m:f>
                  </m:e>
                </m:d>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2A0DCC">
            <w:pPr>
              <w:spacing w:line="480" w:lineRule="auto"/>
            </w:pPr>
            <w:bookmarkStart w:id="8" w:name="_Ref374094154"/>
            <w:r>
              <w:t>(</w:t>
            </w:r>
            <w:fldSimple w:instr=" SEQ Equation ">
              <w:r w:rsidR="007C70D4">
                <w:rPr>
                  <w:noProof/>
                </w:rPr>
                <w:t>7</w:t>
              </w:r>
            </w:fldSimple>
            <w:bookmarkEnd w:id="8"/>
            <w:r>
              <w:t>)</w:t>
            </w:r>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BD0663" w:rsidP="00992B7F">
            <w:pPr>
              <w:spacing w:line="480" w:lineRule="auto"/>
              <w:jc w:val="cente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∙τ(1-τU)≈τ∙</m:t>
                </m:r>
                <m:sSub>
                  <m:sSubPr>
                    <m:ctrlPr>
                      <w:rPr>
                        <w:rFonts w:ascii="Cambria Math" w:hAnsi="Cambria Math"/>
                        <w:i/>
                      </w:rPr>
                    </m:ctrlPr>
                  </m:sSubPr>
                  <m:e>
                    <m:r>
                      <w:rPr>
                        <w:rFonts w:ascii="Cambria Math" w:hAnsi="Cambria Math"/>
                      </w:rPr>
                      <m:t>ν</m:t>
                    </m:r>
                  </m:e>
                  <m:sub>
                    <m:r>
                      <w:rPr>
                        <w:rFonts w:ascii="Cambria Math" w:hAnsi="Cambria Math"/>
                      </w:rPr>
                      <m:t>NM</m:t>
                    </m:r>
                  </m:sub>
                </m:sSub>
              </m:oMath>
            </m:oMathPara>
          </w:p>
        </w:tc>
        <w:tc>
          <w:tcPr>
            <w:tcW w:w="500" w:type="pct"/>
            <w:tcBorders>
              <w:top w:val="nil"/>
              <w:left w:val="nil"/>
              <w:bottom w:val="nil"/>
              <w:right w:val="nil"/>
            </w:tcBorders>
          </w:tcPr>
          <w:p w:rsidR="00CB2F61" w:rsidRDefault="00CB2F61" w:rsidP="002A0DCC">
            <w:pPr>
              <w:spacing w:line="480" w:lineRule="auto"/>
            </w:pPr>
            <w:bookmarkStart w:id="9" w:name="_Ref374094156"/>
            <w:bookmarkStart w:id="10" w:name="_Ref360526048"/>
            <w:r>
              <w:t>(</w:t>
            </w:r>
            <w:r w:rsidR="00CA7DA9">
              <w:fldChar w:fldCharType="begin"/>
            </w:r>
            <w:r w:rsidR="009850ED" w:rsidRPr="00C23983">
              <w:instrText xml:space="preserve"> SEQ Equation </w:instrText>
            </w:r>
            <w:r w:rsidR="00CA7DA9">
              <w:fldChar w:fldCharType="separate"/>
            </w:r>
            <w:r w:rsidR="007C70D4">
              <w:rPr>
                <w:noProof/>
              </w:rPr>
              <w:t>8</w:t>
            </w:r>
            <w:r w:rsidR="00CA7DA9">
              <w:rPr>
                <w:noProof/>
              </w:rPr>
              <w:fldChar w:fldCharType="end"/>
            </w:r>
            <w:bookmarkEnd w:id="9"/>
            <w:r>
              <w:t>)</w:t>
            </w:r>
            <w:bookmarkEnd w:id="10"/>
          </w:p>
        </w:tc>
      </w:tr>
    </w:tbl>
    <w:p w:rsidR="00B23B3C" w:rsidRDefault="00B23B3C" w:rsidP="00B23B3C">
      <w:pPr>
        <w:spacing w:line="480" w:lineRule="auto"/>
        <w:rPr>
          <w:lang w:bidi="hi-IN"/>
        </w:rPr>
      </w:pPr>
      <w:r>
        <w:t xml:space="preserve">Here, </w:t>
      </w:r>
      <w:r>
        <w:t xml:space="preserve">NM </w:t>
      </w:r>
      <w:r>
        <w:t>is</w:t>
      </w:r>
      <w:r>
        <w:t xml:space="preserve"> normal mutagenesis</w:t>
      </w:r>
      <w:r>
        <w:t>,</w:t>
      </w:r>
      <w:r>
        <w:t xml:space="preserve"> CM </w:t>
      </w:r>
      <w:r>
        <w:t>is</w:t>
      </w:r>
      <w:r>
        <w:t xml:space="preserve"> constitutive mutagenesis</w:t>
      </w:r>
      <w:r>
        <w:t>, and</w:t>
      </w:r>
      <w:r>
        <w:t xml:space="preserve"> SIM </w:t>
      </w:r>
      <w:r>
        <w:t>is stress-induced mutagenesis. S</w:t>
      </w:r>
      <w:r>
        <w:rPr>
          <w:lang w:bidi="hi-IN"/>
        </w:rPr>
        <w:t xml:space="preserve">ee </w:t>
      </w:r>
      <w:r>
        <w:rPr>
          <w:lang w:bidi="hi-IN"/>
        </w:rPr>
        <w:fldChar w:fldCharType="begin"/>
      </w:r>
      <w:r>
        <w:rPr>
          <w:lang w:bidi="hi-IN"/>
        </w:rPr>
        <w:instrText xml:space="preserve"> REF _Ref358791100 \h  \* MERGEFORMAT </w:instrText>
      </w:r>
      <w:r>
        <w:rPr>
          <w:lang w:bidi="hi-IN"/>
        </w:rPr>
      </w:r>
      <w:r>
        <w:rPr>
          <w:lang w:bidi="hi-IN"/>
        </w:rPr>
        <w:fldChar w:fldCharType="separate"/>
      </w:r>
      <w:r w:rsidR="007C70D4">
        <w:t xml:space="preserve">Table </w:t>
      </w:r>
      <w:r w:rsidR="007C70D4">
        <w:rPr>
          <w:noProof/>
        </w:rPr>
        <w:t>1</w:t>
      </w:r>
      <w:r>
        <w:rPr>
          <w:lang w:bidi="hi-IN"/>
        </w:rPr>
        <w:fldChar w:fldCharType="end"/>
      </w:r>
      <w:r>
        <w:rPr>
          <w:lang w:bidi="hi-IN"/>
        </w:rPr>
        <w:t xml:space="preserve"> for description of model parameters</w:t>
      </w:r>
      <w:r>
        <w:rPr>
          <w:lang w:bidi="hi-IN"/>
        </w:rPr>
        <w:t xml:space="preserve"> and </w:t>
      </w:r>
      <w:r>
        <w:rPr>
          <w:lang w:bidi="hi-IN"/>
        </w:rPr>
        <w:fldChar w:fldCharType="begin" w:fldLock="1"/>
      </w:r>
      <w:r w:rsidR="00914F9D">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international journal of organic evolution", "id" : "ITEM-1", "issue" : "6", "issued" : { "date-parts" : [ [ "2005", "6" ] ] }, "page" : "1175-82", "title" : "Rapid evolutionary escape by large populations from local fitness peaks is likely in nature.", "type" : "article-journal", "volume" : "59" }, "uris" : [ "http://www.mendeley.com/documents/?uuid=665d2fc8-fe19-4342-9c74-6e252036a8d6" ] } ], "mendeley" : { "previouslyFormattedCitation" : "(Weinreich and Chao 2005)" }, "properties" : { "noteIndex" : 0 }, "schema" : "https://github.com/citation-style-language/schema/raw/master/csl-citation.json" }</w:instrText>
      </w:r>
      <w:r>
        <w:rPr>
          <w:lang w:bidi="hi-IN"/>
        </w:rPr>
        <w:fldChar w:fldCharType="separate"/>
      </w:r>
      <w:r w:rsidRPr="00652ABC">
        <w:rPr>
          <w:noProof/>
          <w:lang w:bidi="hi-IN"/>
        </w:rPr>
        <w:t>(Weinreich and Chao 2005)</w:t>
      </w:r>
      <w:r>
        <w:rPr>
          <w:lang w:bidi="hi-IN"/>
        </w:rPr>
        <w:fldChar w:fldCharType="end"/>
      </w:r>
      <w:r>
        <w:rPr>
          <w:lang w:bidi="hi-IN"/>
        </w:rPr>
        <w:t xml:space="preserve"> for a result similar to Eq. </w:t>
      </w:r>
      <w:r>
        <w:rPr>
          <w:lang w:bidi="hi-IN"/>
        </w:rPr>
        <w:fldChar w:fldCharType="begin"/>
      </w:r>
      <w:r>
        <w:rPr>
          <w:lang w:bidi="hi-IN"/>
        </w:rPr>
        <w:instrText xml:space="preserve"> REF _Ref374094382 \h </w:instrText>
      </w:r>
      <w:r>
        <w:rPr>
          <w:lang w:bidi="hi-IN"/>
        </w:rPr>
      </w:r>
      <w:r>
        <w:rPr>
          <w:lang w:bidi="hi-IN"/>
        </w:rPr>
        <w:fldChar w:fldCharType="separate"/>
      </w:r>
      <w:r w:rsidR="007C70D4">
        <w:t>(</w:t>
      </w:r>
      <w:r w:rsidR="007C70D4">
        <w:rPr>
          <w:noProof/>
        </w:rPr>
        <w:t>6</w:t>
      </w:r>
      <w:r>
        <w:rPr>
          <w:lang w:bidi="hi-IN"/>
        </w:rPr>
        <w:fldChar w:fldCharType="end"/>
      </w:r>
      <w:r>
        <w:rPr>
          <w:lang w:bidi="hi-IN"/>
        </w:rPr>
        <w:t>.</w:t>
      </w:r>
    </w:p>
    <w:p w:rsidR="005A2F68" w:rsidRPr="005A2F68" w:rsidRDefault="004C16E5" w:rsidP="00A853B5">
      <w:pPr>
        <w:spacing w:line="480" w:lineRule="auto"/>
        <w:rPr>
          <w:rFonts w:eastAsiaTheme="minorEastAsia"/>
          <w:lang w:bidi="hi-IN"/>
        </w:rPr>
      </w:pPr>
      <w:r>
        <w:rPr>
          <w:rFonts w:eastAsiaTheme="minorEastAsia"/>
          <w:lang w:bidi="hi-IN"/>
        </w:rPr>
        <w:t>T</w:t>
      </w:r>
      <w:r w:rsidR="005A2F68">
        <w:rPr>
          <w:rFonts w:eastAsiaTheme="minorEastAsia"/>
          <w:lang w:bidi="hi-IN"/>
        </w:rPr>
        <w:t xml:space="preserve">he right-hand </w:t>
      </w:r>
      <w:r w:rsidR="001C5D6C">
        <w:rPr>
          <w:rFonts w:eastAsiaTheme="minorEastAsia"/>
          <w:lang w:bidi="hi-IN"/>
        </w:rPr>
        <w:t>sides</w:t>
      </w:r>
      <w:r>
        <w:rPr>
          <w:rFonts w:eastAsiaTheme="minorEastAsia"/>
          <w:lang w:bidi="hi-IN"/>
        </w:rPr>
        <w:t xml:space="preserve"> of these equations</w:t>
      </w:r>
      <w:r w:rsidR="001C5D6C">
        <w:rPr>
          <w:rFonts w:eastAsiaTheme="minorEastAsia"/>
          <w:lang w:bidi="hi-IN"/>
        </w:rPr>
        <w:t xml:space="preserve"> are</w:t>
      </w:r>
      <w:r w:rsidR="004D5FC0">
        <w:rPr>
          <w:rFonts w:eastAsiaTheme="minorEastAsia"/>
          <w:lang w:bidi="hi-IN"/>
        </w:rPr>
        <w:t xml:space="preserve"> </w:t>
      </w:r>
      <w:r w:rsidR="005A2F68">
        <w:rPr>
          <w:rFonts w:eastAsiaTheme="minorEastAsia"/>
          <w:lang w:bidi="hi-IN"/>
        </w:rPr>
        <w:t xml:space="preserve">approximations for </w:t>
      </w:r>
      <m:oMath>
        <m:r>
          <w:rPr>
            <w:rFonts w:ascii="Cambria Math" w:eastAsiaTheme="minorEastAsia" w:hAnsi="Cambria Math"/>
            <w:lang w:bidi="hi-IN"/>
          </w:rPr>
          <m:t>U≪s</m:t>
        </m:r>
      </m:oMath>
      <w:r>
        <w:t xml:space="preserve"> and </w:t>
      </w:r>
      <m:oMath>
        <m:r>
          <w:rPr>
            <w:rFonts w:ascii="Cambria Math" w:hAnsi="Cambria Math"/>
          </w:rPr>
          <m:t>τU≪s</m:t>
        </m:r>
      </m:oMath>
      <w:r w:rsidR="00992B7F">
        <w:t xml:space="preserve"> (see Appendix 1)</w:t>
      </w:r>
      <w:r w:rsidR="00A853B5">
        <w:t xml:space="preserve"> – these are the conditions required for the mutation-selection balance assumptions, but they also guarantee that the adaptation rate with CM or SIM is larger than with NM</w:t>
      </w:r>
      <w:r w:rsidR="004D5FC0">
        <w:t>.</w:t>
      </w:r>
      <w:r w:rsidR="001C5D6C">
        <w:rPr>
          <w:rFonts w:eastAsiaTheme="minorEastAsia"/>
          <w:lang w:bidi="hi-IN"/>
        </w:rPr>
        <w:t xml:space="preserve"> The dynamics of the adaptation rate</w:t>
      </w:r>
      <w:r w:rsidR="00E1623D">
        <w:rPr>
          <w:rFonts w:eastAsiaTheme="minorEastAsia"/>
          <w:lang w:bidi="hi-IN"/>
        </w:rPr>
        <w:t xml:space="preserve"> </w:t>
      </w:r>
      <w:r w:rsidR="00E1623D" w:rsidRPr="00E1623D">
        <w:rPr>
          <w:i/>
          <w:iCs/>
        </w:rPr>
        <w:t>ν</w:t>
      </w:r>
      <w:r w:rsidR="001C5D6C">
        <w:rPr>
          <w:rFonts w:eastAsiaTheme="minorEastAsia"/>
          <w:lang w:bidi="hi-IN"/>
        </w:rPr>
        <w:t xml:space="preserve"> as a function of</w:t>
      </w:r>
      <w:r w:rsidR="00CD660F">
        <w:rPr>
          <w:rFonts w:eastAsiaTheme="minorEastAsia"/>
          <w:lang w:bidi="hi-IN"/>
        </w:rPr>
        <w:t xml:space="preserve"> </w:t>
      </w:r>
      <w:r w:rsidR="001C5D6C">
        <w:rPr>
          <w:rFonts w:eastAsiaTheme="minorEastAsia"/>
          <w:lang w:bidi="hi-IN"/>
        </w:rPr>
        <w:t>the mutation rate fold increase</w:t>
      </w:r>
      <w:r w:rsidR="00CD660F" w:rsidRPr="00CD660F">
        <w:rPr>
          <w:i/>
          <w:iCs/>
        </w:rPr>
        <w:t xml:space="preserve"> </w:t>
      </w:r>
      <w:r w:rsidR="00CD660F" w:rsidRPr="001C5D6C">
        <w:rPr>
          <w:i/>
          <w:iCs/>
        </w:rPr>
        <w:t>τ</w:t>
      </w:r>
      <w:r w:rsidR="00F356B7">
        <w:rPr>
          <w:rFonts w:eastAsiaTheme="minorEastAsia"/>
          <w:lang w:bidi="hi-IN"/>
        </w:rPr>
        <w:t xml:space="preserve"> </w:t>
      </w:r>
      <w:r w:rsidR="001C5D6C" w:rsidRPr="00320610">
        <w:rPr>
          <w:rFonts w:eastAsiaTheme="minorEastAsia"/>
          <w:lang w:bidi="hi-IN"/>
        </w:rPr>
        <w:t>are</w:t>
      </w:r>
      <w:r w:rsidR="001C5D6C">
        <w:rPr>
          <w:rFonts w:eastAsiaTheme="minorEastAsia"/>
          <w:lang w:bidi="hi-IN"/>
        </w:rPr>
        <w:t xml:space="preserve"> shown in</w:t>
      </w:r>
      <w:r w:rsidR="00414AEF">
        <w:t xml:space="preserve"> </w:t>
      </w:r>
      <w:r w:rsidR="00414AEF" w:rsidRPr="00414AEF">
        <w:rPr>
          <w:highlight w:val="yellow"/>
        </w:rPr>
        <w:fldChar w:fldCharType="begin"/>
      </w:r>
      <w:r w:rsidR="00414AEF" w:rsidRPr="00414AEF">
        <w:instrText xml:space="preserve"> REF _Ref360183592 \h </w:instrText>
      </w:r>
      <w:r w:rsidR="00414AEF" w:rsidRPr="00414AEF">
        <w:rPr>
          <w:highlight w:val="yellow"/>
        </w:rPr>
        <w:instrText xml:space="preserve"> \* MERGEFORMAT </w:instrText>
      </w:r>
      <w:r w:rsidR="00414AEF" w:rsidRPr="00414AEF">
        <w:rPr>
          <w:highlight w:val="yellow"/>
        </w:rPr>
      </w:r>
      <w:r w:rsidR="00414AEF" w:rsidRPr="00414AEF">
        <w:rPr>
          <w:highlight w:val="yellow"/>
        </w:rPr>
        <w:fldChar w:fldCharType="separate"/>
      </w:r>
      <w:r w:rsidR="007C70D4" w:rsidRPr="007C70D4">
        <w:t xml:space="preserve">Figure </w:t>
      </w:r>
      <w:r w:rsidR="007C70D4" w:rsidRPr="007C70D4">
        <w:rPr>
          <w:noProof/>
        </w:rPr>
        <w:t>2</w:t>
      </w:r>
      <w:r w:rsidR="00414AEF" w:rsidRPr="00414AEF">
        <w:rPr>
          <w:highlight w:val="yellow"/>
        </w:rPr>
        <w:fldChar w:fldCharType="end"/>
      </w:r>
      <w:r w:rsidR="001C5D6C">
        <w:rPr>
          <w:rFonts w:eastAsiaTheme="minorEastAsia"/>
          <w:lang w:bidi="hi-IN"/>
        </w:rPr>
        <w:t>.</w:t>
      </w:r>
    </w:p>
    <w:p w:rsidR="00544FA2" w:rsidRDefault="00CD660F" w:rsidP="00C263A9">
      <w:pPr>
        <w:spacing w:line="480" w:lineRule="auto"/>
        <w:rPr>
          <w:rFonts w:eastAsiaTheme="minorEastAsia"/>
          <w:lang w:bidi="hi-IN"/>
        </w:rPr>
      </w:pPr>
      <w:r>
        <w:rPr>
          <w:rFonts w:eastAsiaTheme="minorEastAsia"/>
          <w:lang w:bidi="hi-IN"/>
        </w:rPr>
        <w:t>We draw s</w:t>
      </w:r>
      <w:r w:rsidR="00AB0448">
        <w:rPr>
          <w:rFonts w:eastAsiaTheme="minorEastAsia"/>
          <w:lang w:bidi="hi-IN"/>
        </w:rPr>
        <w:t xml:space="preserve">everal </w:t>
      </w:r>
      <w:r w:rsidR="001C5D6C">
        <w:rPr>
          <w:rFonts w:eastAsiaTheme="minorEastAsia"/>
          <w:lang w:bidi="hi-IN"/>
        </w:rPr>
        <w:t xml:space="preserve">conclusions </w:t>
      </w:r>
      <w:r w:rsidR="00090AA3">
        <w:rPr>
          <w:rFonts w:eastAsiaTheme="minorEastAsia"/>
          <w:lang w:bidi="hi-IN"/>
        </w:rPr>
        <w:t xml:space="preserve">from </w:t>
      </w:r>
      <w:proofErr w:type="spellStart"/>
      <w:r w:rsidR="00090AA3">
        <w:rPr>
          <w:rFonts w:eastAsiaTheme="minorEastAsia"/>
          <w:lang w:bidi="hi-IN"/>
        </w:rPr>
        <w:t>eqs</w:t>
      </w:r>
      <w:proofErr w:type="spellEnd"/>
      <w:r w:rsidR="00090AA3">
        <w:rPr>
          <w:rFonts w:eastAsiaTheme="minorEastAsia"/>
          <w:lang w:bidi="hi-IN"/>
        </w:rPr>
        <w:t xml:space="preserve">. </w:t>
      </w:r>
      <w:r w:rsidR="00090AA3">
        <w:rPr>
          <w:rFonts w:eastAsiaTheme="minorEastAsia"/>
          <w:lang w:bidi="hi-IN"/>
        </w:rPr>
        <w:fldChar w:fldCharType="begin"/>
      </w:r>
      <w:r w:rsidR="00090AA3">
        <w:rPr>
          <w:rFonts w:eastAsiaTheme="minorEastAsia"/>
          <w:lang w:bidi="hi-IN"/>
        </w:rPr>
        <w:instrText xml:space="preserve"> REF _Ref374094382 \h </w:instrText>
      </w:r>
      <w:r w:rsidR="00090AA3">
        <w:rPr>
          <w:rFonts w:eastAsiaTheme="minorEastAsia"/>
          <w:lang w:bidi="hi-IN"/>
        </w:rPr>
      </w:r>
      <w:r w:rsidR="00090AA3">
        <w:rPr>
          <w:rFonts w:eastAsiaTheme="minorEastAsia"/>
          <w:lang w:bidi="hi-IN"/>
        </w:rPr>
        <w:fldChar w:fldCharType="separate"/>
      </w:r>
      <w:r w:rsidR="007C70D4">
        <w:t>(</w:t>
      </w:r>
      <w:r w:rsidR="007C70D4">
        <w:rPr>
          <w:noProof/>
        </w:rPr>
        <w:t>6</w:t>
      </w:r>
      <w:r w:rsidR="00090AA3">
        <w:rPr>
          <w:rFonts w:eastAsiaTheme="minorEastAsia"/>
          <w:lang w:bidi="hi-IN"/>
        </w:rPr>
        <w:fldChar w:fldCharType="end"/>
      </w:r>
      <w:r w:rsidR="00090AA3">
        <w:rPr>
          <w:rFonts w:eastAsiaTheme="minorEastAsia"/>
          <w:lang w:bidi="hi-IN"/>
        </w:rPr>
        <w:t>,</w:t>
      </w:r>
      <w:r w:rsidR="00090AA3" w:rsidRPr="00090AA3">
        <w:rPr>
          <w:rFonts w:eastAsiaTheme="minorEastAsia"/>
          <w:lang w:bidi="hi-IN"/>
        </w:rPr>
        <w:t xml:space="preserve"> </w:t>
      </w:r>
      <w:r w:rsidR="00090AA3">
        <w:rPr>
          <w:rFonts w:eastAsiaTheme="minorEastAsia"/>
          <w:lang w:bidi="hi-IN"/>
        </w:rPr>
        <w:fldChar w:fldCharType="begin"/>
      </w:r>
      <w:r w:rsidR="00090AA3">
        <w:rPr>
          <w:rFonts w:eastAsiaTheme="minorEastAsia"/>
          <w:lang w:bidi="hi-IN"/>
        </w:rPr>
        <w:instrText xml:space="preserve"> REF _Ref374094154 \h </w:instrText>
      </w:r>
      <w:r w:rsidR="00090AA3">
        <w:rPr>
          <w:rFonts w:eastAsiaTheme="minorEastAsia"/>
          <w:lang w:bidi="hi-IN"/>
        </w:rPr>
      </w:r>
      <w:r w:rsidR="00090AA3">
        <w:rPr>
          <w:rFonts w:eastAsiaTheme="minorEastAsia"/>
          <w:lang w:bidi="hi-IN"/>
        </w:rPr>
        <w:fldChar w:fldCharType="separate"/>
      </w:r>
      <w:r w:rsidR="007C70D4">
        <w:t>(</w:t>
      </w:r>
      <w:r w:rsidR="007C70D4">
        <w:rPr>
          <w:noProof/>
        </w:rPr>
        <w:t>7</w:t>
      </w:r>
      <w:r w:rsidR="00090AA3">
        <w:rPr>
          <w:rFonts w:eastAsiaTheme="minorEastAsia"/>
          <w:lang w:bidi="hi-IN"/>
        </w:rPr>
        <w:fldChar w:fldCharType="end"/>
      </w:r>
      <w:r w:rsidR="00090AA3">
        <w:rPr>
          <w:rFonts w:eastAsiaTheme="minorEastAsia"/>
          <w:lang w:bidi="hi-IN"/>
        </w:rPr>
        <w:t xml:space="preserve">, and </w:t>
      </w:r>
      <w:r w:rsidR="00090AA3">
        <w:rPr>
          <w:rFonts w:eastAsiaTheme="minorEastAsia"/>
          <w:lang w:bidi="hi-IN"/>
        </w:rPr>
        <w:fldChar w:fldCharType="begin"/>
      </w:r>
      <w:r w:rsidR="00090AA3">
        <w:rPr>
          <w:rFonts w:eastAsiaTheme="minorEastAsia"/>
          <w:lang w:bidi="hi-IN"/>
        </w:rPr>
        <w:instrText xml:space="preserve"> REF _Ref374094156 \h </w:instrText>
      </w:r>
      <w:r w:rsidR="00090AA3">
        <w:rPr>
          <w:rFonts w:eastAsiaTheme="minorEastAsia"/>
          <w:lang w:bidi="hi-IN"/>
        </w:rPr>
      </w:r>
      <w:r w:rsidR="00090AA3">
        <w:rPr>
          <w:rFonts w:eastAsiaTheme="minorEastAsia"/>
          <w:lang w:bidi="hi-IN"/>
        </w:rPr>
        <w:fldChar w:fldCharType="separate"/>
      </w:r>
      <w:r w:rsidR="007C70D4">
        <w:t>(</w:t>
      </w:r>
      <w:r w:rsidR="007C70D4">
        <w:rPr>
          <w:noProof/>
        </w:rPr>
        <w:t>8</w:t>
      </w:r>
      <w:r w:rsidR="00090AA3">
        <w:rPr>
          <w:rFonts w:eastAsiaTheme="minorEastAsia"/>
          <w:lang w:bidi="hi-IN"/>
        </w:rPr>
        <w:fldChar w:fldCharType="end"/>
      </w:r>
      <w:r w:rsidR="001C5D6C">
        <w:rPr>
          <w:rFonts w:eastAsiaTheme="minorEastAsia"/>
          <w:lang w:bidi="hi-IN"/>
        </w:rPr>
        <w:t>:</w:t>
      </w:r>
      <w:r w:rsidR="00AB0448">
        <w:rPr>
          <w:rFonts w:eastAsiaTheme="minorEastAsia"/>
          <w:lang w:bidi="hi-IN"/>
        </w:rPr>
        <w:t xml:space="preserve"> First, </w:t>
      </w:r>
      <w:r w:rsidR="005A2F68">
        <w:rPr>
          <w:rFonts w:eastAsiaTheme="minorEastAsia"/>
          <w:lang w:bidi="hi-IN"/>
        </w:rPr>
        <w:t>adaptation with CM is faster than with NM because of faster appearance of double mutants</w:t>
      </w:r>
      <w:r w:rsidR="001C5D6C">
        <w:rPr>
          <w:rFonts w:eastAsiaTheme="minorEastAsia"/>
          <w:lang w:bidi="hi-IN"/>
        </w:rPr>
        <w:t>,</w:t>
      </w:r>
      <w:r w:rsidR="005A2F68">
        <w:rPr>
          <w:rFonts w:eastAsiaTheme="minorEastAsia"/>
          <w:lang w:bidi="hi-IN"/>
        </w:rPr>
        <w:t xml:space="preserve"> and </w:t>
      </w:r>
      <w:r w:rsidR="00FC507C">
        <w:rPr>
          <w:rFonts w:eastAsiaTheme="minorEastAsia"/>
          <w:lang w:bidi="hi-IN"/>
        </w:rPr>
        <w:t>the adaptation rate increases with</w:t>
      </w:r>
      <w:r>
        <w:rPr>
          <w:rFonts w:eastAsiaTheme="minorEastAsia"/>
          <w:lang w:bidi="hi-IN"/>
        </w:rPr>
        <w:t xml:space="preserve"> the square of</w:t>
      </w:r>
      <w:r w:rsidR="00FC507C">
        <w:rPr>
          <w:rFonts w:eastAsiaTheme="minorEastAsia"/>
          <w:lang w:bidi="hi-IN"/>
        </w:rPr>
        <w:t xml:space="preserve"> </w:t>
      </w:r>
      <w:r w:rsidR="00FC507C" w:rsidRPr="00FC507C">
        <w:rPr>
          <w:i/>
          <w:iCs/>
        </w:rPr>
        <w:t>τ</w:t>
      </w:r>
      <w:r w:rsidR="005A2F68">
        <w:rPr>
          <w:rFonts w:eastAsiaTheme="minorEastAsia"/>
          <w:lang w:bidi="hi-IN"/>
        </w:rPr>
        <w:t xml:space="preserve">. Second, </w:t>
      </w:r>
      <w:r w:rsidR="00B32510">
        <w:t>adaptation with SIM</w:t>
      </w:r>
      <w:r w:rsidR="005A2F68">
        <w:t xml:space="preserve"> is also faster than with NM, but not as fast as with CM because only single mutants </w:t>
      </w:r>
      <w:r w:rsidR="001C5D6C">
        <w:t>(</w:t>
      </w:r>
      <w:proofErr w:type="spellStart"/>
      <w:r w:rsidR="005A2F68">
        <w:rPr>
          <w:i/>
          <w:iCs/>
        </w:rPr>
        <w:t>aB</w:t>
      </w:r>
      <w:proofErr w:type="spellEnd"/>
      <w:r w:rsidR="005A2F68">
        <w:t xml:space="preserve"> and </w:t>
      </w:r>
      <w:proofErr w:type="spellStart"/>
      <w:r w:rsidR="005A2F68">
        <w:rPr>
          <w:i/>
          <w:iCs/>
        </w:rPr>
        <w:t>Ab</w:t>
      </w:r>
      <w:proofErr w:type="spellEnd"/>
      <w:r w:rsidR="001C5D6C">
        <w:t>)</w:t>
      </w:r>
      <w:r w:rsidR="005A2F68">
        <w:t xml:space="preserve"> </w:t>
      </w:r>
      <w:proofErr w:type="spellStart"/>
      <w:r w:rsidR="005A2F68">
        <w:t>hypermutate</w:t>
      </w:r>
      <w:proofErr w:type="spellEnd"/>
      <w:r w:rsidR="00FC507C">
        <w:t xml:space="preserve">, so the adaptation rate increases </w:t>
      </w:r>
      <w:r w:rsidR="00FC507C">
        <w:rPr>
          <w:rFonts w:eastAsiaTheme="minorEastAsia"/>
          <w:lang w:bidi="hi-IN"/>
        </w:rPr>
        <w:t xml:space="preserve">linearly </w:t>
      </w:r>
      <w:r w:rsidR="00320207">
        <w:t xml:space="preserve">with </w:t>
      </w:r>
      <w:r w:rsidR="00320207" w:rsidRPr="00320207">
        <w:rPr>
          <w:i/>
          <w:iCs/>
        </w:rPr>
        <w:t>τ</w:t>
      </w:r>
      <w:r w:rsidR="005A2F68">
        <w:t>.</w:t>
      </w:r>
      <w:r w:rsidR="00320207">
        <w:t xml:space="preserve"> Third, because the fixation probability is the same for NM, CM and SIM, the difference in adaptation rate is caused by difference</w:t>
      </w:r>
      <w:r w:rsidR="001C5D6C">
        <w:t>s in the appearance probability</w:t>
      </w:r>
      <w:r w:rsidR="00320207">
        <w:t xml:space="preserve"> </w:t>
      </w:r>
      <w:r w:rsidR="00320207">
        <w:rPr>
          <w:i/>
          <w:iCs/>
        </w:rPr>
        <w:t>q</w:t>
      </w:r>
      <w:r w:rsidR="00320207">
        <w:t xml:space="preserve"> </w:t>
      </w:r>
      <w:r w:rsidR="00320207" w:rsidRPr="00320207">
        <w:t>(</w:t>
      </w:r>
      <w:r w:rsidR="002C490D">
        <w:t>Figure S1</w:t>
      </w:r>
      <w:r w:rsidR="00C263A9">
        <w:t>), but s</w:t>
      </w:r>
      <w:r w:rsidR="001C5D6C">
        <w:t xml:space="preserve">ee </w:t>
      </w:r>
      <w:r w:rsidR="00D104F2">
        <w:t xml:space="preserve">section </w:t>
      </w:r>
      <w:r w:rsidR="00D104F2">
        <w:fldChar w:fldCharType="begin"/>
      </w:r>
      <w:r w:rsidR="00D104F2">
        <w:instrText xml:space="preserve"> REF _Ref374010899 \r \h </w:instrText>
      </w:r>
      <w:r w:rsidR="00D104F2">
        <w:fldChar w:fldCharType="separate"/>
      </w:r>
      <w:r w:rsidR="007C70D4">
        <w:rPr>
          <w:rFonts w:hint="cs"/>
          <w:cs/>
        </w:rPr>
        <w:t>‎</w:t>
      </w:r>
      <w:r w:rsidR="007C70D4">
        <w:t>3.3</w:t>
      </w:r>
      <w:r w:rsidR="00D104F2">
        <w:fldChar w:fldCharType="end"/>
      </w:r>
      <w:r w:rsidR="001C5D6C">
        <w:t xml:space="preserve"> for a different scenario in which SIM increases the fixation probability.</w:t>
      </w:r>
      <w:r w:rsidR="005A2F68">
        <w:t xml:space="preserve"> </w:t>
      </w:r>
    </w:p>
    <w:p w:rsidR="006D5802" w:rsidRDefault="00B82D73" w:rsidP="00C157F4">
      <w:pPr>
        <w:spacing w:line="480" w:lineRule="auto"/>
        <w:rPr>
          <w:lang w:bidi="hi-IN"/>
        </w:rPr>
      </w:pPr>
      <w:r>
        <w:rPr>
          <w:rFonts w:eastAsiaTheme="minorEastAsia"/>
          <w:lang w:bidi="hi-IN"/>
        </w:rPr>
        <w:t xml:space="preserve">These </w:t>
      </w:r>
      <w:r w:rsidR="006D5802">
        <w:rPr>
          <w:rFonts w:eastAsiaTheme="minorEastAsia"/>
          <w:lang w:bidi="hi-IN"/>
        </w:rPr>
        <w:t>conclusions</w:t>
      </w:r>
      <w:r>
        <w:rPr>
          <w:rFonts w:eastAsiaTheme="minorEastAsia"/>
          <w:lang w:bidi="hi-IN"/>
        </w:rPr>
        <w:t xml:space="preserve"> depend on </w:t>
      </w:r>
      <w:r w:rsidR="00000DD9">
        <w:rPr>
          <w:rFonts w:eastAsiaTheme="minorEastAsia"/>
          <w:lang w:bidi="hi-IN"/>
        </w:rPr>
        <w:t xml:space="preserve">the </w:t>
      </w:r>
      <w:r>
        <w:rPr>
          <w:rFonts w:eastAsiaTheme="minorEastAsia"/>
          <w:lang w:bidi="hi-IN"/>
        </w:rPr>
        <w:t>constraint</w:t>
      </w:r>
      <w:r w:rsidR="00000DD9">
        <w:rPr>
          <w:rFonts w:eastAsiaTheme="minorEastAsia"/>
          <w:lang w:bidi="hi-IN"/>
        </w:rPr>
        <w:t xml:space="preserve"> </w:t>
      </w:r>
      <w:r w:rsidR="00E1623D">
        <w:rPr>
          <w:rFonts w:eastAsiaTheme="minorEastAsia"/>
          <w:lang w:bidi="hi-IN"/>
        </w:rPr>
        <w:t>that hypermutation is weaker than selection</w:t>
      </w:r>
      <w:r w:rsidR="00CD660F">
        <w:rPr>
          <w:rFonts w:eastAsiaTheme="minorEastAsia"/>
          <w:lang w:bidi="hi-IN"/>
        </w:rPr>
        <w:t xml:space="preserve"> (</w:t>
      </w:r>
      <m:oMath>
        <m:r>
          <w:rPr>
            <w:rFonts w:ascii="Cambria Math" w:eastAsiaTheme="minorEastAsia" w:hAnsi="Cambria Math" w:cs="Times New Roman"/>
            <w:lang w:bidi="hi-IN"/>
          </w:rPr>
          <m:t>τ</m:t>
        </m:r>
        <m:r>
          <w:rPr>
            <w:rFonts w:ascii="Cambria Math" w:eastAsiaTheme="minorEastAsia" w:hAnsi="Cambria Math"/>
            <w:lang w:bidi="hi-IN"/>
          </w:rPr>
          <m:t>U≪s</m:t>
        </m:r>
      </m:oMath>
      <w:r w:rsidR="00CD660F" w:rsidRPr="00CD660F">
        <w:rPr>
          <w:rFonts w:eastAsiaTheme="minorEastAsia"/>
          <w:lang w:bidi="hi-IN"/>
        </w:rPr>
        <w:t>)</w:t>
      </w:r>
      <w:r>
        <w:rPr>
          <w:rFonts w:eastAsiaTheme="minorEastAsia"/>
          <w:lang w:bidi="hi-IN"/>
        </w:rPr>
        <w:t>.</w:t>
      </w:r>
      <w:r w:rsidR="006D5802">
        <w:rPr>
          <w:rFonts w:eastAsiaTheme="minorEastAsia"/>
          <w:lang w:bidi="hi-IN"/>
        </w:rPr>
        <w:t xml:space="preserve"> </w:t>
      </w:r>
      <w:r w:rsidR="006D5802">
        <w:rPr>
          <w:lang w:bidi="hi-IN"/>
        </w:rPr>
        <w:t xml:space="preserve">Deleterious mutation rates in microbes are generally </w:t>
      </w:r>
      <w:r w:rsidR="00F124DA">
        <w:rPr>
          <w:lang w:bidi="hi-IN"/>
        </w:rPr>
        <w:t>around</w:t>
      </w:r>
      <w:r w:rsidR="006D5802">
        <w:rPr>
          <w:lang w:bidi="hi-IN"/>
        </w:rPr>
        <w:t xml:space="preserve"> 10</w:t>
      </w:r>
      <w:r w:rsidR="006D5802">
        <w:rPr>
          <w:vertAlign w:val="superscript"/>
          <w:lang w:bidi="hi-IN"/>
        </w:rPr>
        <w:t>-4</w:t>
      </w:r>
      <w:r w:rsidR="006D5802">
        <w:rPr>
          <w:lang w:bidi="hi-IN"/>
        </w:rPr>
        <w:t>-10</w:t>
      </w:r>
      <w:r w:rsidR="006D5802">
        <w:rPr>
          <w:vertAlign w:val="superscript"/>
          <w:lang w:bidi="hi-IN"/>
        </w:rPr>
        <w:t>-2</w:t>
      </w:r>
      <w:r w:rsidR="00F124DA">
        <w:rPr>
          <w:lang w:bidi="hi-IN"/>
        </w:rPr>
        <w:t xml:space="preserve"> mutations per genome per generation,</w:t>
      </w:r>
      <w:r w:rsidR="006D5802">
        <w:rPr>
          <w:lang w:bidi="hi-IN"/>
        </w:rPr>
        <w:t xml:space="preserve"> and selection coefficients are </w:t>
      </w:r>
      <w:r w:rsidR="00CD660F">
        <w:rPr>
          <w:lang w:bidi="hi-IN"/>
        </w:rPr>
        <w:t xml:space="preserve">estimated to be </w:t>
      </w:r>
      <w:r w:rsidR="006D5802">
        <w:rPr>
          <w:lang w:bidi="hi-IN"/>
        </w:rPr>
        <w:t>between 10</w:t>
      </w:r>
      <w:r w:rsidR="006D5802">
        <w:rPr>
          <w:vertAlign w:val="superscript"/>
          <w:lang w:bidi="hi-IN"/>
        </w:rPr>
        <w:t>-1</w:t>
      </w:r>
      <w:r w:rsidR="006D5802">
        <w:rPr>
          <w:lang w:bidi="hi-IN"/>
        </w:rPr>
        <w:t xml:space="preserve"> and 10</w:t>
      </w:r>
      <w:r w:rsidR="006D5802">
        <w:rPr>
          <w:vertAlign w:val="superscript"/>
          <w:lang w:bidi="hi-IN"/>
        </w:rPr>
        <w:t>-2</w:t>
      </w:r>
      <w:r w:rsidR="006D5802">
        <w:rPr>
          <w:lang w:bidi="hi-IN"/>
        </w:rPr>
        <w:t xml:space="preserve"> (see </w:t>
      </w:r>
      <w:r w:rsidR="00CA7DA9">
        <w:rPr>
          <w:lang w:bidi="hi-IN"/>
        </w:rPr>
        <w:fldChar w:fldCharType="begin"/>
      </w:r>
      <w:r w:rsidR="006D5802" w:rsidRPr="00CD660F">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7C70D4">
        <w:t xml:space="preserve">Table </w:t>
      </w:r>
      <w:r w:rsidR="007C70D4">
        <w:rPr>
          <w:noProof/>
        </w:rPr>
        <w:t>1</w:t>
      </w:r>
      <w:r w:rsidR="00CA7DA9">
        <w:rPr>
          <w:lang w:bidi="hi-IN"/>
        </w:rPr>
        <w:fldChar w:fldCharType="end"/>
      </w:r>
      <w:r w:rsidR="006D5802">
        <w:rPr>
          <w:lang w:bidi="hi-IN"/>
        </w:rPr>
        <w:t xml:space="preserve">), </w:t>
      </w:r>
      <w:r w:rsidR="006D5802" w:rsidRPr="000E60A3">
        <w:t xml:space="preserve">so the limit on </w:t>
      </w:r>
      <w:r w:rsidR="006D5802" w:rsidRPr="000E60A3">
        <w:rPr>
          <w:i/>
          <w:iCs/>
        </w:rPr>
        <w:t>τ</w:t>
      </w:r>
      <w:r w:rsidR="006D5802" w:rsidRPr="000E60A3">
        <w:t xml:space="preserve"> </w:t>
      </w:r>
      <w:r w:rsidR="006D5802">
        <w:t>is</w:t>
      </w:r>
      <w:r w:rsidR="006D5802" w:rsidRPr="000E60A3">
        <w:t xml:space="preserve"> between 1 and 1,000</w:t>
      </w:r>
      <w:r w:rsidR="006D5802">
        <w:t>.</w:t>
      </w:r>
      <w:r w:rsidR="006D5802">
        <w:rPr>
          <w:rFonts w:eastAsiaTheme="minorEastAsia"/>
          <w:lang w:bidi="hi-IN"/>
        </w:rPr>
        <w:t xml:space="preserve"> </w:t>
      </w:r>
      <w:r w:rsidR="00072D95">
        <w:fldChar w:fldCharType="begin"/>
      </w:r>
      <w:r w:rsidR="00072D95">
        <w:instrText xml:space="preserve"> REF _Ref360183592 \h  \* MERGEFORMAT </w:instrText>
      </w:r>
      <w:r w:rsidR="00072D95">
        <w:fldChar w:fldCharType="separate"/>
      </w:r>
      <w:r w:rsidR="007C70D4" w:rsidRPr="007C70D4">
        <w:t xml:space="preserve">Figure </w:t>
      </w:r>
      <w:r w:rsidR="007C70D4" w:rsidRPr="007C70D4">
        <w:lastRenderedPageBreak/>
        <w:t>2</w:t>
      </w:r>
      <w:r w:rsidR="00072D95">
        <w:fldChar w:fldCharType="end"/>
      </w:r>
      <w:r w:rsidR="006D5802">
        <w:rPr>
          <w:rFonts w:eastAsiaTheme="minorEastAsia"/>
          <w:lang w:bidi="hi-IN"/>
        </w:rPr>
        <w:t xml:space="preserve"> </w:t>
      </w:r>
      <w:r w:rsidR="00F356B7">
        <w:rPr>
          <w:rFonts w:eastAsiaTheme="minorEastAsia"/>
          <w:lang w:bidi="hi-IN"/>
        </w:rPr>
        <w:t>compares</w:t>
      </w:r>
      <w:r w:rsidR="006D5802">
        <w:rPr>
          <w:rFonts w:eastAsiaTheme="minorEastAsia"/>
          <w:lang w:bidi="hi-IN"/>
        </w:rPr>
        <w:t xml:space="preserve"> the</w:t>
      </w:r>
      <w:r w:rsidR="00CD660F">
        <w:rPr>
          <w:rFonts w:eastAsiaTheme="minorEastAsia"/>
          <w:lang w:bidi="hi-IN"/>
        </w:rPr>
        <w:t>se</w:t>
      </w:r>
      <w:r w:rsidR="006D5802">
        <w:rPr>
          <w:rFonts w:eastAsiaTheme="minorEastAsia"/>
          <w:lang w:bidi="hi-IN"/>
        </w:rPr>
        <w:t xml:space="preserve"> </w:t>
      </w:r>
      <w:r w:rsidR="00F356B7">
        <w:rPr>
          <w:rFonts w:eastAsiaTheme="minorEastAsia"/>
          <w:lang w:bidi="hi-IN"/>
        </w:rPr>
        <w:t xml:space="preserve">analytical </w:t>
      </w:r>
      <w:r w:rsidR="006D5802">
        <w:rPr>
          <w:rFonts w:eastAsiaTheme="minorEastAsia"/>
          <w:lang w:bidi="hi-IN"/>
        </w:rPr>
        <w:t xml:space="preserve">approximations and </w:t>
      </w:r>
      <w:r w:rsidR="00CD660F">
        <w:rPr>
          <w:rFonts w:eastAsiaTheme="minorEastAsia"/>
          <w:lang w:bidi="hi-IN"/>
        </w:rPr>
        <w:t xml:space="preserve">the results of </w:t>
      </w:r>
      <w:r w:rsidR="006D5802">
        <w:rPr>
          <w:rFonts w:eastAsiaTheme="minorEastAsia"/>
          <w:lang w:bidi="hi-IN"/>
        </w:rPr>
        <w:t xml:space="preserve">simulations in which we do not assume that </w:t>
      </w:r>
      <w:proofErr w:type="spellStart"/>
      <w:r w:rsidR="006D5802" w:rsidRPr="00B82D73">
        <w:rPr>
          <w:rFonts w:ascii="Times New Roman" w:eastAsiaTheme="minorEastAsia" w:hAnsi="Times New Roman" w:cs="Times New Roman"/>
          <w:i/>
          <w:iCs/>
          <w:lang w:bidi="hi-IN"/>
        </w:rPr>
        <w:t>τ</w:t>
      </w:r>
      <w:r w:rsidR="006D5802" w:rsidRPr="00B82D73">
        <w:rPr>
          <w:rFonts w:eastAsiaTheme="minorEastAsia"/>
          <w:i/>
          <w:iCs/>
          <w:lang w:bidi="hi-IN"/>
        </w:rPr>
        <w:t>U</w:t>
      </w:r>
      <w:proofErr w:type="spellEnd"/>
      <w:r w:rsidR="006D5802" w:rsidRPr="00B82D73">
        <w:rPr>
          <w:rFonts w:eastAsiaTheme="minorEastAsia"/>
          <w:i/>
          <w:iCs/>
          <w:lang w:bidi="hi-IN"/>
        </w:rPr>
        <w:t>&lt;s</w:t>
      </w:r>
      <w:r w:rsidR="006D5802">
        <w:rPr>
          <w:lang w:bidi="hi-IN"/>
        </w:rPr>
        <w:t xml:space="preserve"> or </w:t>
      </w:r>
      <w:proofErr w:type="gramStart"/>
      <w:r w:rsidR="006D5802">
        <w:rPr>
          <w:lang w:bidi="hi-IN"/>
        </w:rPr>
        <w:t>that individuals</w:t>
      </w:r>
      <w:proofErr w:type="gramEnd"/>
      <w:r w:rsidR="006D5802">
        <w:rPr>
          <w:lang w:bidi="hi-IN"/>
        </w:rPr>
        <w:t xml:space="preserve"> with deleterious mutations </w:t>
      </w:r>
      <w:r w:rsidR="00F356B7">
        <w:rPr>
          <w:lang w:bidi="hi-IN"/>
        </w:rPr>
        <w:t xml:space="preserve">don’t </w:t>
      </w:r>
      <w:r w:rsidR="006D5802">
        <w:rPr>
          <w:lang w:bidi="hi-IN"/>
        </w:rPr>
        <w:t>contribute to adaptation.</w:t>
      </w:r>
      <w:r w:rsidR="00D10D48">
        <w:rPr>
          <w:lang w:bidi="hi-IN"/>
        </w:rPr>
        <w:t xml:space="preserve"> When the mutation rate fold increas</w:t>
      </w:r>
      <w:r w:rsidR="00D10D48" w:rsidRPr="00D10D48">
        <w:rPr>
          <w:lang w:bidi="hi-IN"/>
        </w:rPr>
        <w:t xml:space="preserve">e </w:t>
      </w:r>
      <w:r w:rsidR="00D10D48" w:rsidRPr="00D10D48">
        <w:rPr>
          <w:i/>
          <w:iCs/>
        </w:rPr>
        <w:t xml:space="preserve">τ </w:t>
      </w:r>
      <w:r w:rsidR="00D10D48" w:rsidRPr="00D10D48">
        <w:t>is high</w:t>
      </w:r>
      <w:r w:rsidR="00D10D48">
        <w:rPr>
          <w:lang w:bidi="hi-IN"/>
        </w:rPr>
        <w:t xml:space="preserve">, adaptation is slightly slower in the simulations in comparison with the analytic approximations. This is because as </w:t>
      </w:r>
      <w:r w:rsidR="00D10D48" w:rsidRPr="00D10D48">
        <w:rPr>
          <w:i/>
          <w:iCs/>
        </w:rPr>
        <w:t>τ</w:t>
      </w:r>
      <w:r w:rsidR="00D10D48">
        <w:rPr>
          <w:lang w:bidi="hi-IN"/>
        </w:rPr>
        <w:t xml:space="preserve"> increases the double mutant is more likely to appear on a deleterious background (</w:t>
      </w:r>
      <w:r w:rsidR="00D10D48">
        <w:rPr>
          <w:i/>
          <w:iCs/>
          <w:lang w:bidi="hi-IN"/>
        </w:rPr>
        <w:t xml:space="preserve">AB/1 </w:t>
      </w:r>
      <w:r w:rsidR="00D10D48">
        <w:t xml:space="preserve">instead of </w:t>
      </w:r>
      <w:r w:rsidR="00D10D48">
        <w:rPr>
          <w:i/>
          <w:iCs/>
        </w:rPr>
        <w:t>AB/0</w:t>
      </w:r>
      <w:r w:rsidR="00D10D48">
        <w:t>). This deleterious background results in lower fitness and a lower fixation probability for the double mutant</w:t>
      </w:r>
      <w:r w:rsidR="002A275A">
        <w:t xml:space="preserve"> </w:t>
      </w:r>
      <w:r w:rsidR="007F101A">
        <w:fldChar w:fldCharType="begin" w:fldLock="1"/>
      </w:r>
      <w:r w:rsidR="00914F9D">
        <w:instrText>ADDIN CSL_CITATION { "citationItems" : [ { "id" : "ITEM-1", "itemData" : { "DOI" : "10.1111/j.1558-5646.2011.01311.x", "ISSN" : "1558-5646", "PMID" : "21884046", "abstract" : "When new advantageous alleles arise and spread within a population, deleterious alleles at neighboring loci can hitchhike alongside them and spread to fixation in areas of low recombination, introducing a fixed mutation load. We use branching processes and diffusion equations to calculate the probability that a deleterious allele hitchhikes and fixes alongside an advantageous mutant. As expected, the probability of fixation of a deleterious hitchhiker rises with the selective advantage of the sweeping allele and declines with the selective disadvantage of the deleterious hitchhiker. We then use computer simulations of a genome with an infinite number of loci to investigate the increase in load after an advantageous mutant is introduced. We show that the appearance of advantageous alleles on genetic backgrounds loaded with deleterious alleles has two potential effects: it can fix deleterious alleles, and it can facilitate the persistence of recombinant lineages that happen to occur. The latter is expected to reduce the signals of selection in the surrounding region. We consider these results in light of human genetic data to infer how likely it is that such deleterious hitchhikers have occurred in our recent evolutionary past.", "author" : [ { "dropping-particle" : "", "family" : "Hartfield", "given" : "Matthew", "non-dropping-particle" : "", "parse-names" : false, "suffix" : "" }, { "dropping-particle" : "", "family" : "Otto", "given" : "Sarah P.", "non-dropping-particle" : "", "parse-names" : false, "suffix" : "" } ], "container-title" : "Evolution; international journal of organic evolution", "id" : "ITEM-1", "issue" : "9", "issued" : { "date-parts" : [ [ "2011", "9", "26" ] ] }, "page" : "2421-34", "title" : "Recombination and hitchhiking of deleterious alleles.", "type" : "article-journal", "volume" : "65" }, "uris" : [ "http://www.mendeley.com/documents/?uuid=f2d130ab-9d89-4a2f-83bf-2e77c59aeaaf" ] } ], "mendeley" : { "previouslyFormattedCitation" : "(Hartfield and Otto 2011)" }, "properties" : { "noteIndex" : 0 }, "schema" : "https://github.com/citation-style-language/schema/raw/master/csl-citation.json" }</w:instrText>
      </w:r>
      <w:r w:rsidR="007F101A">
        <w:fldChar w:fldCharType="separate"/>
      </w:r>
      <w:r w:rsidR="00663378" w:rsidRPr="00663378">
        <w:rPr>
          <w:noProof/>
        </w:rPr>
        <w:t>(Hartfield and Otto 2011)</w:t>
      </w:r>
      <w:r w:rsidR="007F101A">
        <w:fldChar w:fldCharType="end"/>
      </w:r>
      <w:r w:rsidR="007F101A">
        <w:t xml:space="preserve"> </w:t>
      </w:r>
      <w:r w:rsidR="00D10D48">
        <w:t>(</w:t>
      </w:r>
      <w:r w:rsidR="00C157F4">
        <w:rPr>
          <w:lang w:bidi="hi-IN"/>
        </w:rPr>
        <w:t>Figure S2</w:t>
      </w:r>
      <w:r w:rsidR="00D10D48">
        <w:rPr>
          <w:lang w:bidi="hi-IN"/>
        </w:rPr>
        <w:t>).</w:t>
      </w:r>
    </w:p>
    <w:p w:rsidR="009F5B3A" w:rsidRDefault="009F5B3A" w:rsidP="002A0DCC">
      <w:pPr>
        <w:pStyle w:val="Heading2"/>
        <w:spacing w:line="480" w:lineRule="auto"/>
      </w:pPr>
      <w:r>
        <w:t>The trade-off between adaptability and adaptedness</w:t>
      </w:r>
    </w:p>
    <w:p w:rsidR="009F5B3A" w:rsidRDefault="009F5B3A" w:rsidP="003E0693">
      <w:pPr>
        <w:spacing w:line="480" w:lineRule="auto"/>
        <w:rPr>
          <w:lang w:bidi="hi-IN"/>
        </w:rPr>
      </w:pPr>
      <w:r w:rsidRPr="003757EA">
        <w:rPr>
          <w:lang w:bidi="hi-IN"/>
        </w:rPr>
        <w:t xml:space="preserve">We </w:t>
      </w:r>
      <w:r w:rsidR="00CE72C5" w:rsidRPr="003757EA">
        <w:rPr>
          <w:lang w:bidi="hi-IN"/>
        </w:rPr>
        <w:t>extended</w:t>
      </w:r>
      <w:r w:rsidRPr="003757EA">
        <w:rPr>
          <w:lang w:bidi="hi-IN"/>
        </w:rPr>
        <w:t xml:space="preserve"> a previous model </w:t>
      </w:r>
      <w:r w:rsidRPr="003757EA">
        <w:rPr>
          <w:lang w:bidi="hi-IN"/>
        </w:rPr>
        <w:fldChar w:fldCharType="begin" w:fldLock="1"/>
      </w:r>
      <w:r w:rsidR="00914F9D">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Pr="003757EA">
        <w:rPr>
          <w:lang w:bidi="hi-IN"/>
        </w:rPr>
        <w:fldChar w:fldCharType="separate"/>
      </w:r>
      <w:r w:rsidR="00663378" w:rsidRPr="00663378">
        <w:rPr>
          <w:noProof/>
          <w:lang w:bidi="hi-IN"/>
        </w:rPr>
        <w:t>(Ram and Hadany 2012)</w:t>
      </w:r>
      <w:r w:rsidRPr="003757EA">
        <w:rPr>
          <w:lang w:bidi="hi-IN"/>
        </w:rPr>
        <w:fldChar w:fldCharType="end"/>
      </w:r>
      <w:r w:rsidRPr="003757EA">
        <w:rPr>
          <w:lang w:bidi="hi-IN"/>
        </w:rPr>
        <w:t xml:space="preserve"> to calculate the population mean fitness at the </w:t>
      </w:r>
      <w:r w:rsidR="00CE72C5" w:rsidRPr="003757EA">
        <w:rPr>
          <w:lang w:bidi="hi-IN"/>
        </w:rPr>
        <w:t>mutation-selection balance</w:t>
      </w:r>
      <w:r w:rsidRPr="003757EA">
        <w:rPr>
          <w:lang w:bidi="hi-IN"/>
        </w:rPr>
        <w:t xml:space="preserve"> (see </w:t>
      </w:r>
      <w:r w:rsidR="006456BB" w:rsidRPr="003757EA">
        <w:rPr>
          <w:lang w:bidi="hi-IN"/>
        </w:rPr>
        <w:t>s</w:t>
      </w:r>
      <w:r w:rsidRPr="003757EA">
        <w:rPr>
          <w:lang w:bidi="hi-IN"/>
        </w:rPr>
        <w:t>upporting information) and used the model presented abov</w:t>
      </w:r>
      <w:r w:rsidR="003E0693">
        <w:rPr>
          <w:lang w:bidi="hi-IN"/>
        </w:rPr>
        <w:t xml:space="preserve">e to calculate the adaptation rate </w:t>
      </w:r>
      <w:r w:rsidR="003E0693" w:rsidRPr="003757EA">
        <w:rPr>
          <w:lang w:bidi="hi-IN"/>
        </w:rPr>
        <w:t>of populations with NM, CM and SIM</w:t>
      </w:r>
      <w:r w:rsidR="003E0693">
        <w:rPr>
          <w:lang w:bidi="hi-IN"/>
        </w:rPr>
        <w:t>.</w:t>
      </w:r>
    </w:p>
    <w:p w:rsidR="003E0693" w:rsidRPr="003E0693" w:rsidRDefault="003E0693" w:rsidP="005D511F">
      <w:pPr>
        <w:spacing w:line="480" w:lineRule="auto"/>
        <w:rPr>
          <w:lang w:bidi="hi-IN"/>
        </w:rPr>
      </w:pPr>
      <w:r>
        <w:rPr>
          <w:lang w:bidi="hi-IN"/>
        </w:rPr>
        <w:t xml:space="preserve">If the mutation rate is constant and uniform across the population, the </w:t>
      </w:r>
      <w:proofErr w:type="gramStart"/>
      <w:r w:rsidR="005D511F">
        <w:rPr>
          <w:lang w:bidi="hi-IN"/>
        </w:rPr>
        <w:t>population mean</w:t>
      </w:r>
      <w:proofErr w:type="gramEnd"/>
      <w:r>
        <w:rPr>
          <w:lang w:bidi="hi-IN"/>
        </w:rPr>
        <w:t xml:space="preserve"> fitness – the </w:t>
      </w:r>
      <w:r>
        <w:rPr>
          <w:i/>
          <w:iCs/>
          <w:lang w:bidi="hi-IN"/>
        </w:rPr>
        <w:t>adaptedness</w:t>
      </w:r>
      <w:r>
        <w:rPr>
          <w:lang w:bidi="hi-IN"/>
        </w:rPr>
        <w:t xml:space="preserve"> – </w:t>
      </w:r>
      <w:r w:rsidR="005D511F">
        <w:rPr>
          <w:lang w:bidi="hi-IN"/>
        </w:rPr>
        <w:t xml:space="preserve">only depends on the mutation rate of the fittest individuals. Therefore, the mean fitness </w:t>
      </w:r>
      <w:r>
        <w:rPr>
          <w:lang w:bidi="hi-IN"/>
        </w:rPr>
        <w:t>decreases when the mutation rate increases, due to the increases generation of deleterious mutations in the fittest individuals. However</w:t>
      </w:r>
      <w:r w:rsidR="005D511F">
        <w:rPr>
          <w:lang w:bidi="hi-IN"/>
        </w:rPr>
        <w:t xml:space="preserve">, if mutation rates are not uniform across the population, increased mutation rates in unfit individuals increase the population mean fitness, as long as beneficial (compensatory) mutations are allowed </w:t>
      </w:r>
      <w:r w:rsidR="005D511F">
        <w:rPr>
          <w:lang w:bidi="hi-IN"/>
        </w:rPr>
        <w:fldChar w:fldCharType="begin" w:fldLock="1"/>
      </w:r>
      <w:r w:rsidR="00914F9D">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5D511F">
        <w:rPr>
          <w:lang w:bidi="hi-IN"/>
        </w:rPr>
        <w:fldChar w:fldCharType="separate"/>
      </w:r>
      <w:r w:rsidR="005D511F" w:rsidRPr="005D511F">
        <w:rPr>
          <w:noProof/>
          <w:lang w:bidi="hi-IN"/>
        </w:rPr>
        <w:t>(Ram and Hadany 2012)</w:t>
      </w:r>
      <w:r w:rsidR="005D511F">
        <w:rPr>
          <w:lang w:bidi="hi-IN"/>
        </w:rPr>
        <w:fldChar w:fldCharType="end"/>
      </w:r>
      <w:r w:rsidR="005D511F">
        <w:rPr>
          <w:lang w:bidi="hi-IN"/>
        </w:rPr>
        <w:t xml:space="preserve">. </w:t>
      </w:r>
      <w:r w:rsidR="005D511F">
        <w:rPr>
          <w:lang w:bidi="hi-IN"/>
        </w:rPr>
        <w:fldChar w:fldCharType="begin"/>
      </w:r>
      <w:r w:rsidR="005D511F">
        <w:rPr>
          <w:lang w:bidi="hi-IN"/>
        </w:rPr>
        <w:instrText xml:space="preserve"> REF _Ref363979903 \h  \* MERGEFORMAT </w:instrText>
      </w:r>
      <w:r w:rsidR="005D511F">
        <w:rPr>
          <w:lang w:bidi="hi-IN"/>
        </w:rPr>
      </w:r>
      <w:r w:rsidR="005D511F">
        <w:rPr>
          <w:lang w:bidi="hi-IN"/>
        </w:rPr>
        <w:fldChar w:fldCharType="separate"/>
      </w:r>
      <w:r w:rsidR="007C70D4" w:rsidRPr="007C70D4">
        <w:rPr>
          <w:lang w:bidi="hi-IN"/>
        </w:rPr>
        <w:t>Figure 3</w:t>
      </w:r>
      <w:r w:rsidR="005D511F">
        <w:rPr>
          <w:lang w:bidi="hi-IN"/>
        </w:rPr>
        <w:fldChar w:fldCharType="end"/>
      </w:r>
      <w:r w:rsidR="005D511F">
        <w:rPr>
          <w:lang w:bidi="hi-IN"/>
        </w:rPr>
        <w:t xml:space="preserve"> shows this advantage of SIM over NM in terms of the differential population mean fitness.</w:t>
      </w:r>
    </w:p>
    <w:p w:rsidR="00AC687F" w:rsidRDefault="00072D95" w:rsidP="00F33489">
      <w:pPr>
        <w:spacing w:line="480" w:lineRule="auto"/>
      </w:pPr>
      <w:r>
        <w:lastRenderedPageBreak/>
        <w:fldChar w:fldCharType="begin"/>
      </w:r>
      <w:r>
        <w:instrText xml:space="preserve"> REF _Ref360184105 \h  \* MERGEFORMAT </w:instrText>
      </w:r>
      <w:r>
        <w:fldChar w:fldCharType="separate"/>
      </w:r>
      <w:r w:rsidR="007C70D4" w:rsidRPr="007C70D4">
        <w:t>Figure 4</w:t>
      </w:r>
      <w:r>
        <w:fldChar w:fldCharType="end"/>
      </w:r>
      <w:r w:rsidR="00961209" w:rsidRPr="00961209">
        <w:rPr>
          <w:lang w:bidi="hi-IN"/>
        </w:rPr>
        <w:t xml:space="preserve"> </w:t>
      </w:r>
      <w:r w:rsidR="009040D1">
        <w:rPr>
          <w:lang w:bidi="hi-IN"/>
        </w:rPr>
        <w:t xml:space="preserve">shows the </w:t>
      </w:r>
      <w:r w:rsidR="00CE72C5">
        <w:rPr>
          <w:i/>
          <w:iCs/>
          <w:lang w:bidi="hi-IN"/>
        </w:rPr>
        <w:t xml:space="preserve">adaptedness </w:t>
      </w:r>
      <w:r w:rsidR="00CE72C5">
        <w:rPr>
          <w:lang w:bidi="hi-IN"/>
        </w:rPr>
        <w:t xml:space="preserve">(rate of adaptation to environmental change) and </w:t>
      </w:r>
      <w:r w:rsidR="00CE72C5">
        <w:rPr>
          <w:i/>
          <w:iCs/>
          <w:lang w:bidi="hi-IN"/>
        </w:rPr>
        <w:t xml:space="preserve">adaptability </w:t>
      </w:r>
      <w:r w:rsidR="00CE72C5">
        <w:rPr>
          <w:lang w:bidi="hi-IN"/>
        </w:rPr>
        <w:t>(</w:t>
      </w:r>
      <w:r w:rsidR="005D511F">
        <w:rPr>
          <w:lang w:bidi="hi-IN"/>
        </w:rPr>
        <w:t xml:space="preserve">population </w:t>
      </w:r>
      <w:r w:rsidR="009040D1">
        <w:rPr>
          <w:lang w:bidi="hi-IN"/>
        </w:rPr>
        <w:t>mean fitness</w:t>
      </w:r>
      <w:r w:rsidR="00CE72C5">
        <w:rPr>
          <w:lang w:bidi="hi-IN"/>
        </w:rPr>
        <w:t xml:space="preserve"> in a constant environment)</w:t>
      </w:r>
      <w:r w:rsidR="009040D1">
        <w:rPr>
          <w:lang w:bidi="hi-IN"/>
        </w:rPr>
        <w:t xml:space="preserve"> of different mutational strategies</w:t>
      </w:r>
      <w:r w:rsidR="00FB4F13">
        <w:rPr>
          <w:lang w:bidi="hi-IN"/>
        </w:rPr>
        <w:t xml:space="preserve"> relative to NM</w:t>
      </w:r>
      <w:r w:rsidR="009040D1">
        <w:rPr>
          <w:lang w:bidi="hi-IN"/>
        </w:rPr>
        <w:t>.</w:t>
      </w:r>
      <w:r w:rsidR="005515F1">
        <w:rPr>
          <w:lang w:bidi="hi-IN"/>
        </w:rPr>
        <w:t xml:space="preserve"> Every </w:t>
      </w:r>
      <w:r w:rsidR="00F33489">
        <w:rPr>
          <w:lang w:bidi="hi-IN"/>
        </w:rPr>
        <w:t xml:space="preserve">realistic </w:t>
      </w:r>
      <w:r w:rsidR="005515F1">
        <w:rPr>
          <w:lang w:bidi="hi-IN"/>
        </w:rPr>
        <w:t xml:space="preserve">rate of adaptation </w:t>
      </w:r>
      <w:r w:rsidR="005515F1" w:rsidRPr="005515F1">
        <w:rPr>
          <w:i/>
          <w:iCs/>
        </w:rPr>
        <w:t>ν</w:t>
      </w:r>
      <w:r w:rsidR="005515F1">
        <w:rPr>
          <w:rFonts w:ascii="Times New Roman" w:hAnsi="Times New Roman" w:cs="Times New Roman"/>
          <w:lang w:bidi="hi-IN"/>
        </w:rPr>
        <w:t xml:space="preserve"> </w:t>
      </w:r>
      <w:r w:rsidR="005515F1">
        <w:rPr>
          <w:lang w:bidi="hi-IN"/>
        </w:rPr>
        <w:t xml:space="preserve">can be </w:t>
      </w:r>
      <w:r w:rsidR="001C5D6C">
        <w:rPr>
          <w:lang w:bidi="hi-IN"/>
        </w:rPr>
        <w:t>realized</w:t>
      </w:r>
      <w:r w:rsidR="005515F1">
        <w:rPr>
          <w:lang w:bidi="hi-IN"/>
        </w:rPr>
        <w:t xml:space="preserve"> using both CM and SIM. The highest mean fitness wi</w:t>
      </w:r>
      <w:r w:rsidR="003E0693">
        <w:rPr>
          <w:lang w:bidi="hi-IN"/>
        </w:rPr>
        <w:t xml:space="preserve">ll always be attained with SIM, </w:t>
      </w:r>
      <w:r w:rsidR="005515F1">
        <w:rPr>
          <w:lang w:bidi="hi-IN"/>
        </w:rPr>
        <w:t xml:space="preserve">which has a </w:t>
      </w:r>
      <w:r w:rsidR="00F33489">
        <w:rPr>
          <w:lang w:bidi="hi-IN"/>
        </w:rPr>
        <w:t xml:space="preserve">small </w:t>
      </w:r>
      <w:r w:rsidR="005515F1">
        <w:rPr>
          <w:lang w:bidi="hi-IN"/>
        </w:rPr>
        <w:t xml:space="preserve">advantage over NM </w:t>
      </w:r>
      <w:r w:rsidR="00F33489">
        <w:rPr>
          <w:lang w:bidi="hi-IN"/>
        </w:rPr>
        <w:t>(</w:t>
      </w:r>
      <w:r w:rsidR="00961209">
        <w:rPr>
          <w:lang w:bidi="hi-IN"/>
        </w:rPr>
        <w:t>that</w:t>
      </w:r>
      <w:r w:rsidR="005515F1">
        <w:rPr>
          <w:lang w:bidi="hi-IN"/>
        </w:rPr>
        <w:t xml:space="preserve"> cannot be seen in this figure</w:t>
      </w:r>
      <w:r w:rsidR="00F33489">
        <w:rPr>
          <w:lang w:bidi="hi-IN"/>
        </w:rPr>
        <w:t xml:space="preserve">, </w:t>
      </w:r>
      <w:r w:rsidR="00961209">
        <w:rPr>
          <w:lang w:bidi="hi-IN"/>
        </w:rPr>
        <w:t xml:space="preserve">but </w:t>
      </w:r>
      <w:r w:rsidR="00961209" w:rsidRPr="00135B27">
        <w:rPr>
          <w:lang w:bidi="hi-IN"/>
        </w:rPr>
        <w:t xml:space="preserve">see </w:t>
      </w:r>
      <w:r w:rsidR="00BB5518" w:rsidRPr="00BB5518">
        <w:rPr>
          <w:lang w:bidi="hi-IN"/>
        </w:rPr>
        <w:fldChar w:fldCharType="begin"/>
      </w:r>
      <w:r w:rsidR="00BB5518" w:rsidRPr="00BB5518">
        <w:rPr>
          <w:lang w:bidi="hi-IN"/>
        </w:rPr>
        <w:instrText xml:space="preserve"> REF _Ref363979903 \h  \* MERGEFORMAT </w:instrText>
      </w:r>
      <w:r w:rsidR="00BB5518" w:rsidRPr="00BB5518">
        <w:rPr>
          <w:lang w:bidi="hi-IN"/>
        </w:rPr>
      </w:r>
      <w:r w:rsidR="00BB5518" w:rsidRPr="00BB5518">
        <w:rPr>
          <w:lang w:bidi="hi-IN"/>
        </w:rPr>
        <w:fldChar w:fldCharType="separate"/>
      </w:r>
      <w:r w:rsidR="007C70D4" w:rsidRPr="007C70D4">
        <w:t xml:space="preserve">Figure </w:t>
      </w:r>
      <w:r w:rsidR="007C70D4" w:rsidRPr="007C70D4">
        <w:rPr>
          <w:noProof/>
        </w:rPr>
        <w:t>3</w:t>
      </w:r>
      <w:r w:rsidR="00BB5518" w:rsidRPr="00BB5518">
        <w:rPr>
          <w:lang w:bidi="hi-IN"/>
        </w:rPr>
        <w:fldChar w:fldCharType="end"/>
      </w:r>
      <w:r w:rsidR="005515F1">
        <w:rPr>
          <w:lang w:bidi="hi-IN"/>
        </w:rPr>
        <w:t>)</w:t>
      </w:r>
      <w:r w:rsidR="003E0693">
        <w:rPr>
          <w:lang w:bidi="hi-IN"/>
        </w:rPr>
        <w:t xml:space="preserve"> due to the increased generation of beneficial (compensatory) mutations in individuals with deleterious mutations</w:t>
      </w:r>
      <w:r w:rsidR="005515F1">
        <w:rPr>
          <w:lang w:bidi="hi-IN"/>
        </w:rPr>
        <w:t xml:space="preserve">. If </w:t>
      </w:r>
      <w:r w:rsidR="00F33489">
        <w:rPr>
          <w:lang w:bidi="hi-IN"/>
        </w:rPr>
        <w:t xml:space="preserve">for some rate of adaptation </w:t>
      </w:r>
      <w:r w:rsidR="005515F1">
        <w:rPr>
          <w:lang w:bidi="hi-IN"/>
        </w:rPr>
        <w:t xml:space="preserve">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proofErr w:type="spellStart"/>
      <w:r w:rsidR="005515F1" w:rsidRPr="005515F1">
        <w:rPr>
          <w:i/>
          <w:iCs/>
        </w:rPr>
        <w:t>τU</w:t>
      </w:r>
      <w:proofErr w:type="spellEnd"/>
      <w:r w:rsidR="005515F1" w:rsidRPr="001C5D6C">
        <w:t>&gt;</w:t>
      </w:r>
      <w:r w:rsidR="005515F1" w:rsidRPr="005515F1">
        <w:rPr>
          <w:i/>
          <w:iCs/>
        </w:rPr>
        <w:t>s</w:t>
      </w:r>
      <w:r w:rsidR="005515F1">
        <w:rPr>
          <w:lang w:bidi="hi-IN"/>
        </w:rPr>
        <w:t>)</w:t>
      </w:r>
      <w:r w:rsidR="00F33489">
        <w:rPr>
          <w:lang w:bidi="hi-IN"/>
        </w:rPr>
        <w:t>,</w:t>
      </w:r>
      <w:r w:rsidR="005515F1">
        <w:rPr>
          <w:lang w:bidi="hi-IN"/>
        </w:rPr>
        <w:t xml:space="preserve"> </w:t>
      </w:r>
      <w:r w:rsidR="00F33489">
        <w:rPr>
          <w:lang w:bidi="hi-IN"/>
        </w:rPr>
        <w:t xml:space="preserve">that adaptation rate could </w:t>
      </w:r>
      <w:r w:rsidR="005515F1">
        <w:rPr>
          <w:lang w:bidi="hi-IN"/>
        </w:rPr>
        <w:t xml:space="preserve">be </w:t>
      </w:r>
      <w:r w:rsidR="001C5D6C">
        <w:rPr>
          <w:lang w:bidi="hi-IN"/>
        </w:rPr>
        <w:t xml:space="preserve">realized </w:t>
      </w:r>
      <w:r w:rsidR="00CE72C5">
        <w:rPr>
          <w:lang w:bidi="hi-IN"/>
        </w:rPr>
        <w:t>by</w:t>
      </w:r>
      <w:r w:rsidR="005515F1">
        <w:rPr>
          <w:lang w:bidi="hi-IN"/>
        </w:rPr>
        <w:t xml:space="preserve"> a mixed strategy (dashed green line)</w:t>
      </w:r>
      <w:r w:rsidR="005515F1" w:rsidRPr="005515F1">
        <w:t>.</w:t>
      </w:r>
      <w:r w:rsidR="00B85CA4">
        <w:t xml:space="preserve"> For example, a </w:t>
      </w:r>
      <w:r w:rsidR="00D6393B">
        <w:t>~</w:t>
      </w:r>
      <w:r w:rsidR="00135B27">
        <w:t>10</w:t>
      </w:r>
      <w:r w:rsidR="00B85CA4">
        <w:t xml:space="preserve">0-fold increase in adaptation rate can be </w:t>
      </w:r>
      <w:r w:rsidR="005202A0">
        <w:t>achieved</w:t>
      </w:r>
      <w:r w:rsidR="00B85CA4">
        <w:t xml:space="preserve"> with CM with </w:t>
      </w:r>
      <w:r w:rsidR="00B85CA4" w:rsidRPr="00B85CA4">
        <w:rPr>
          <w:i/>
          <w:iCs/>
        </w:rPr>
        <w:t>τ</w:t>
      </w:r>
      <w:r w:rsidR="00B85CA4" w:rsidRPr="00D6393B">
        <w:t>=</w:t>
      </w:r>
      <w:r w:rsidR="00135B27" w:rsidRPr="00D6393B">
        <w:t>10</w:t>
      </w:r>
      <w:r w:rsidR="00B85CA4">
        <w:t xml:space="preserve">, </w:t>
      </w:r>
      <w:r w:rsidR="00BB5518">
        <w:t xml:space="preserve">with </w:t>
      </w:r>
      <w:r w:rsidR="00B85CA4">
        <w:t xml:space="preserve">SIM with </w:t>
      </w:r>
      <w:r w:rsidR="00B85CA4" w:rsidRPr="00B85CA4">
        <w:rPr>
          <w:i/>
          <w:iCs/>
        </w:rPr>
        <w:t>τ</w:t>
      </w:r>
      <w:r w:rsidR="00D6393B" w:rsidRPr="00D6393B">
        <w:t>=</w:t>
      </w:r>
      <w:r w:rsidR="00D6393B">
        <w:t>100</w:t>
      </w:r>
      <w:r w:rsidR="00B85CA4">
        <w:t xml:space="preserve"> or </w:t>
      </w:r>
      <w:r w:rsidR="00BB5518">
        <w:t xml:space="preserve">with </w:t>
      </w:r>
      <w:r w:rsidR="00B85CA4">
        <w:t xml:space="preserve">a mixed strategy with </w:t>
      </w:r>
      <w:proofErr w:type="spellStart"/>
      <w:r w:rsidR="00B85CA4" w:rsidRPr="00A20806">
        <w:rPr>
          <w:i/>
          <w:iCs/>
        </w:rPr>
        <w:t>τ</w:t>
      </w:r>
      <w:r w:rsidR="00135B27" w:rsidRPr="00A20806">
        <w:rPr>
          <w:i/>
          <w:iCs/>
          <w:vertAlign w:val="subscript"/>
        </w:rPr>
        <w:t>CM</w:t>
      </w:r>
      <w:proofErr w:type="spellEnd"/>
      <w:r w:rsidR="00000DD9">
        <w:t>=7</w:t>
      </w:r>
      <w:r w:rsidR="00B85CA4" w:rsidRPr="00D6393B">
        <w:rPr>
          <w:i/>
          <w:iCs/>
        </w:rPr>
        <w:t xml:space="preserve"> </w:t>
      </w:r>
      <w:r w:rsidR="00B85CA4" w:rsidRPr="00D6393B">
        <w:t>and</w:t>
      </w:r>
      <w:r w:rsidR="00B85CA4" w:rsidRPr="00D6393B">
        <w:rPr>
          <w:i/>
          <w:iCs/>
        </w:rPr>
        <w:t xml:space="preserve"> </w:t>
      </w:r>
      <w:proofErr w:type="spellStart"/>
      <w:r w:rsidR="00B85CA4" w:rsidRPr="00D6393B">
        <w:rPr>
          <w:i/>
          <w:iCs/>
        </w:rPr>
        <w:t>τ</w:t>
      </w:r>
      <w:r w:rsidR="00135B27" w:rsidRPr="00D6393B">
        <w:rPr>
          <w:i/>
          <w:iCs/>
          <w:vertAlign w:val="subscript"/>
        </w:rPr>
        <w:t>SIM</w:t>
      </w:r>
      <w:proofErr w:type="spellEnd"/>
      <w:r w:rsidR="00B85CA4" w:rsidRPr="00D6393B">
        <w:t>=</w:t>
      </w:r>
      <w:r w:rsidR="00000DD9">
        <w:t>2</w:t>
      </w:r>
      <w:r w:rsidR="00135B27">
        <w:t xml:space="preserve"> in which all individuals increase their mutation rate </w:t>
      </w:r>
      <w:r w:rsidR="00000DD9">
        <w:t>7</w:t>
      </w:r>
      <w:r w:rsidR="00135B27">
        <w:t>-fold and stressed individuals further</w:t>
      </w:r>
      <w:r w:rsidR="00D6393B">
        <w:t xml:space="preserve"> increase their mutation rate </w:t>
      </w:r>
      <w:r w:rsidR="00000DD9">
        <w:t>2</w:t>
      </w:r>
      <w:r w:rsidR="00135B27">
        <w:t>-fold</w:t>
      </w:r>
      <w:r w:rsidR="00B85CA4">
        <w:t xml:space="preserve">. </w:t>
      </w:r>
      <w:r w:rsidR="0082586B">
        <w:t>However, th</w:t>
      </w:r>
      <w:r w:rsidR="00BB5518">
        <w:t>e</w:t>
      </w:r>
      <w:r w:rsidR="0082586B">
        <w:t>s</w:t>
      </w:r>
      <w:r w:rsidR="00BB5518">
        <w:t>e</w:t>
      </w:r>
      <w:r w:rsidR="0082586B">
        <w:t xml:space="preserve"> increase</w:t>
      </w:r>
      <w:r w:rsidR="00BB5518">
        <w:t>s</w:t>
      </w:r>
      <w:r w:rsidR="0082586B">
        <w:t xml:space="preserve"> in adaptation rate</w:t>
      </w:r>
      <w:r w:rsidR="00BB5518">
        <w:t>s</w:t>
      </w:r>
      <w:r w:rsidR="0082586B">
        <w:t xml:space="preserve"> </w:t>
      </w:r>
      <w:r w:rsidR="009A0E7D">
        <w:t>ha</w:t>
      </w:r>
      <w:r w:rsidR="00BB5518">
        <w:t>ve</w:t>
      </w:r>
      <w:r w:rsidR="009A0E7D">
        <w:t xml:space="preserve"> </w:t>
      </w:r>
      <w:r w:rsidR="0082586B">
        <w:t>a price: t</w:t>
      </w:r>
      <w:r w:rsidR="00B85CA4">
        <w:t xml:space="preserve">he mutational </w:t>
      </w:r>
      <w:r w:rsidR="009A0E7D">
        <w:t>load</w:t>
      </w:r>
      <w:r w:rsidR="00B85CA4">
        <w:t xml:space="preserve">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w:t>
      </w:r>
      <w:r w:rsidR="008851DB">
        <w:t>7</w:t>
      </w:r>
      <w:r w:rsidR="0082586B" w:rsidRPr="0082586B">
        <w:t>2</w:t>
      </w:r>
      <w:r w:rsidR="0082586B">
        <w:t xml:space="preserve"> with the mixed strategy. This price in not paid </w:t>
      </w:r>
      <w:r w:rsidR="00CE72C5">
        <w:t xml:space="preserve">by populations </w:t>
      </w:r>
      <w:r w:rsidR="0082586B">
        <w:t xml:space="preserve">with </w:t>
      </w:r>
      <w:r w:rsidR="00B85CA4">
        <w:t>SIM</w:t>
      </w:r>
      <w:r w:rsidR="0082586B">
        <w:t xml:space="preserve"> because the mean fitness </w:t>
      </w:r>
      <w:r w:rsidR="00FA72C5">
        <w:t>mainly</w:t>
      </w:r>
      <w:r w:rsidR="0082586B">
        <w:t xml:space="preserve"> depends on the mutation rate of fit individuals</w:t>
      </w:r>
      <w:r w:rsidR="00B85CA4">
        <w:t>.</w:t>
      </w:r>
      <w:r w:rsidR="00B7610D">
        <w:t xml:space="preserve"> In fact, with beneficial mutations the mean fitness with SIM</w:t>
      </w:r>
      <w:r w:rsidR="00775F58">
        <w:t xml:space="preserve"> with</w:t>
      </w:r>
      <w:r w:rsidR="00B7610D">
        <w:t xml:space="preserve"> </w:t>
      </w:r>
      <w:r w:rsidR="00B7610D" w:rsidRPr="00B85CA4">
        <w:rPr>
          <w:i/>
          <w:iCs/>
        </w:rPr>
        <w:t>τ</w:t>
      </w:r>
      <w:r w:rsidR="00B7610D" w:rsidRPr="00D6393B">
        <w:t>=</w:t>
      </w:r>
      <w:r w:rsidR="00B7610D">
        <w:t>100 is higher</w:t>
      </w:r>
      <w:r w:rsidR="00A20806">
        <w:t xml:space="preserve"> than that of NM</w:t>
      </w:r>
      <w:r w:rsidR="00B7610D">
        <w:t xml:space="preserve"> by </w:t>
      </w:r>
      <w:r w:rsidR="00B7610D">
        <w:rPr>
          <w:rFonts w:ascii="Times New Roman" w:hAnsi="Times New Roman" w:cs="Times New Roman"/>
        </w:rPr>
        <w:t>~</w:t>
      </w:r>
      <w:r w:rsidR="00B7610D">
        <w:t>3</w:t>
      </w:r>
      <w:r w:rsidR="00B7610D">
        <w:sym w:font="Symbol" w:char="F0D7"/>
      </w:r>
      <w:r w:rsidR="00B7610D">
        <w:t>10</w:t>
      </w:r>
      <w:r w:rsidR="00B7610D">
        <w:rPr>
          <w:vertAlign w:val="superscript"/>
        </w:rPr>
        <w:t>-8</w:t>
      </w:r>
      <w:r w:rsidR="00B7610D">
        <w:t>.</w:t>
      </w:r>
      <w:r w:rsidR="00F33489">
        <w:t xml:space="preserve"> </w:t>
      </w:r>
    </w:p>
    <w:p w:rsidR="00B32510" w:rsidRPr="00AE0A66" w:rsidRDefault="00042973" w:rsidP="002A0DCC">
      <w:pPr>
        <w:pStyle w:val="Heading2"/>
        <w:spacing w:line="480" w:lineRule="auto"/>
      </w:pPr>
      <w:bookmarkStart w:id="11" w:name="_Ref374010899"/>
      <w:r w:rsidRPr="00AE0A66">
        <w:t>Effect of environmental stress</w:t>
      </w:r>
      <w:bookmarkEnd w:id="11"/>
    </w:p>
    <w:p w:rsidR="0081579B" w:rsidRDefault="00FA72C5" w:rsidP="006B3A9D">
      <w:pPr>
        <w:spacing w:line="480" w:lineRule="auto"/>
      </w:pPr>
      <w:r>
        <w:t>So far,</w:t>
      </w:r>
      <w:r w:rsidR="00042973">
        <w:t xml:space="preserve"> we considered </w:t>
      </w:r>
      <w:r w:rsidR="003A2920">
        <w:t>the case where the environmental change creates an opportunity for adaptation without affecting the absolute fitness of the population</w:t>
      </w:r>
      <w:r w:rsidR="0081579B">
        <w:t xml:space="preserve"> – for example, a new </w:t>
      </w:r>
      <w:r w:rsidR="006B3A9D">
        <w:t>ecological</w:t>
      </w:r>
      <w:r w:rsidR="0081579B">
        <w:t xml:space="preserve"> niche </w:t>
      </w:r>
      <w:r w:rsidR="006B3A9D">
        <w:t xml:space="preserve">can be favorable </w:t>
      </w:r>
      <w:r w:rsidR="0081579B">
        <w:t xml:space="preserve">without affecting the well-being </w:t>
      </w:r>
      <w:r w:rsidR="0081579B">
        <w:lastRenderedPageBreak/>
        <w:t>of the current population</w:t>
      </w:r>
      <w:r w:rsidR="003A2920">
        <w:t xml:space="preserve">. </w:t>
      </w:r>
      <w:r w:rsidR="0081579B">
        <w:t>In that scenario</w:t>
      </w:r>
      <w:r w:rsidR="003A2920">
        <w:t xml:space="preserve">, the wildtype </w:t>
      </w:r>
      <w:proofErr w:type="spellStart"/>
      <w:r w:rsidR="003A2920">
        <w:rPr>
          <w:i/>
          <w:iCs/>
        </w:rPr>
        <w:t>ab</w:t>
      </w:r>
      <w:proofErr w:type="spellEnd"/>
      <w:r w:rsidR="003A2920">
        <w:t xml:space="preserve"> wasn't stressed and </w:t>
      </w:r>
      <w:r w:rsidR="004E7076">
        <w:t>did</w:t>
      </w:r>
      <w:r w:rsidR="003A2920">
        <w:t xml:space="preserve"> not </w:t>
      </w:r>
      <w:proofErr w:type="spellStart"/>
      <w:r w:rsidR="003A2920">
        <w:t>hypermutat</w:t>
      </w:r>
      <w:r w:rsidR="004E7076">
        <w:t>e</w:t>
      </w:r>
      <w:proofErr w:type="spellEnd"/>
      <w:r w:rsidR="00042973">
        <w:t>.</w:t>
      </w:r>
      <w:r w:rsidR="003A2920">
        <w:t xml:space="preserve"> </w:t>
      </w:r>
      <w:r w:rsidR="00042973">
        <w:t xml:space="preserve"> </w:t>
      </w:r>
    </w:p>
    <w:p w:rsidR="00F91E4B" w:rsidRDefault="003A2920" w:rsidP="007C70D4">
      <w:pPr>
        <w:spacing w:line="480" w:lineRule="auto"/>
      </w:pPr>
      <w:r>
        <w:t xml:space="preserve">Next, we consider a different scenario in which the environmental change </w:t>
      </w:r>
      <w:r w:rsidR="00042973">
        <w:t xml:space="preserve">reduces the </w:t>
      </w:r>
      <w:r>
        <w:t xml:space="preserve">absolute </w:t>
      </w:r>
      <w:r w:rsidR="00042973">
        <w:t xml:space="preserve">fitness of </w:t>
      </w:r>
      <w:r>
        <w:t>the entire population</w:t>
      </w:r>
      <w:r w:rsidR="0081579B">
        <w:t xml:space="preserve"> -</w:t>
      </w:r>
      <w:r>
        <w:t xml:space="preserve"> for example,</w:t>
      </w:r>
      <w:r w:rsidR="00042973">
        <w:t xml:space="preserve"> </w:t>
      </w:r>
      <w:r w:rsidR="006B3A9D">
        <w:t xml:space="preserve">exposure to </w:t>
      </w:r>
      <w:r>
        <w:t xml:space="preserve">an </w:t>
      </w:r>
      <w:r w:rsidR="00042973">
        <w:t>antibiotic drug</w:t>
      </w:r>
      <w:r w:rsidR="006B3A9D">
        <w:t xml:space="preserve"> or host's immune response - </w:t>
      </w:r>
      <w:r w:rsidR="0081579B">
        <w:t xml:space="preserve">which not only creates an opportunity for adaptation but also </w:t>
      </w:r>
      <w:r w:rsidR="006B3A9D">
        <w:t>reduces</w:t>
      </w:r>
      <w:r w:rsidR="0081579B">
        <w:t xml:space="preserve"> the well-being of the current population</w:t>
      </w:r>
      <w:r w:rsidR="00FA72C5">
        <w:t>.</w:t>
      </w:r>
      <w:r w:rsidR="00683B42">
        <w:t xml:space="preserve"> </w:t>
      </w:r>
      <w:r w:rsidR="00F91E4B">
        <w:t>As before</w:t>
      </w:r>
      <w:r w:rsidR="006B3A9D">
        <w:t xml:space="preserve"> </w:t>
      </w:r>
      <w:r w:rsidR="00683B42">
        <w:t xml:space="preserve">the double mutant </w:t>
      </w:r>
      <w:r w:rsidR="00683B42">
        <w:rPr>
          <w:i/>
          <w:iCs/>
        </w:rPr>
        <w:t>AB</w:t>
      </w:r>
      <w:r w:rsidR="00683B42">
        <w:t xml:space="preserve"> is resistant to the stress (</w:t>
      </w:r>
      <w:r w:rsidR="00683B42">
        <w:rPr>
          <w:i/>
          <w:iCs/>
        </w:rPr>
        <w:t xml:space="preserve">i.e. </w:t>
      </w:r>
      <w:r w:rsidR="00683B42">
        <w:t>the drug</w:t>
      </w:r>
      <w:r w:rsidR="006B3A9D">
        <w:t xml:space="preserve"> or immune response</w:t>
      </w:r>
      <w:r w:rsidR="00683B42">
        <w:t xml:space="preserve">) and therefore has a higher fitness than </w:t>
      </w:r>
      <w:r w:rsidR="0038712A">
        <w:t xml:space="preserve">either </w:t>
      </w:r>
      <w:r w:rsidR="00683B42">
        <w:t xml:space="preserve">the wildtype </w:t>
      </w:r>
      <w:proofErr w:type="spellStart"/>
      <w:r w:rsidR="00683B42">
        <w:rPr>
          <w:i/>
          <w:iCs/>
        </w:rPr>
        <w:t>ab</w:t>
      </w:r>
      <w:proofErr w:type="spellEnd"/>
      <w:r w:rsidR="0038712A">
        <w:t xml:space="preserve"> or the non-resistant single mutant </w:t>
      </w:r>
      <w:proofErr w:type="spellStart"/>
      <w:r w:rsidR="0038712A">
        <w:rPr>
          <w:i/>
          <w:iCs/>
        </w:rPr>
        <w:t>Ab</w:t>
      </w:r>
      <w:proofErr w:type="spellEnd"/>
      <w:r w:rsidR="0038712A">
        <w:t xml:space="preserve"> and </w:t>
      </w:r>
      <w:proofErr w:type="spellStart"/>
      <w:r w:rsidR="0038712A">
        <w:rPr>
          <w:i/>
          <w:iCs/>
        </w:rPr>
        <w:t>aB</w:t>
      </w:r>
      <w:r w:rsidR="00683B42">
        <w:t>.</w:t>
      </w:r>
      <w:proofErr w:type="spellEnd"/>
      <w:r w:rsidR="00683B42">
        <w:t xml:space="preserve"> </w:t>
      </w:r>
      <w:r w:rsidR="006B3A9D">
        <w:t>However</w:t>
      </w:r>
      <w:r w:rsidR="00683B42">
        <w:t>, in this scenario the wildtype</w:t>
      </w:r>
      <w:r w:rsidR="006B3A9D">
        <w:t xml:space="preserve"> </w:t>
      </w:r>
      <w:proofErr w:type="spellStart"/>
      <w:r w:rsidR="006B3A9D">
        <w:rPr>
          <w:i/>
          <w:iCs/>
        </w:rPr>
        <w:t>ab</w:t>
      </w:r>
      <w:proofErr w:type="spellEnd"/>
      <w:r w:rsidR="00683B42">
        <w:t xml:space="preserve"> is also under stress</w:t>
      </w:r>
      <w:r w:rsidR="00F91E4B">
        <w:t xml:space="preserve"> and therefore </w:t>
      </w:r>
      <w:proofErr w:type="spellStart"/>
      <w:r w:rsidR="00F91E4B">
        <w:t>hypermutates</w:t>
      </w:r>
      <w:proofErr w:type="spellEnd"/>
      <w:r w:rsidR="00F91E4B">
        <w:t xml:space="preserve"> – compare with</w:t>
      </w:r>
      <w:r w:rsidR="007C70D4">
        <w:t xml:space="preserve"> eq. </w:t>
      </w:r>
      <w:r w:rsidR="007C70D4">
        <w:fldChar w:fldCharType="begin"/>
      </w:r>
      <w:r w:rsidR="007C70D4">
        <w:instrText xml:space="preserve"> REF _Ref374443384 \h </w:instrText>
      </w:r>
      <w:r w:rsidR="007C70D4">
        <w:fldChar w:fldCharType="separate"/>
      </w:r>
      <w:r w:rsidR="007C70D4">
        <w:rPr>
          <w:noProof/>
        </w:rPr>
        <w:t>1</w:t>
      </w:r>
      <w:r w:rsidR="007C70D4">
        <w:fldChar w:fldCharType="end"/>
      </w:r>
      <w:r w:rsidR="00F91E4B">
        <w:t>:</w:t>
      </w:r>
    </w:p>
    <w:tbl>
      <w:tblPr>
        <w:tblStyle w:val="TableGrid"/>
        <w:tblW w:w="5000" w:type="pct"/>
        <w:tblInd w:w="340" w:type="dxa"/>
        <w:tblLook w:val="04A0" w:firstRow="1" w:lastRow="0" w:firstColumn="1" w:lastColumn="0" w:noHBand="0" w:noVBand="1"/>
      </w:tblPr>
      <w:tblGrid>
        <w:gridCol w:w="7675"/>
        <w:gridCol w:w="853"/>
      </w:tblGrid>
      <w:tr w:rsidR="00FD7E05" w:rsidTr="00B53E4A">
        <w:tc>
          <w:tcPr>
            <w:tcW w:w="4500" w:type="pct"/>
            <w:tcBorders>
              <w:top w:val="nil"/>
              <w:left w:val="nil"/>
              <w:bottom w:val="nil"/>
              <w:right w:val="nil"/>
            </w:tcBorders>
          </w:tcPr>
          <w:p w:rsidR="00FD7E05" w:rsidRPr="00CB2F61" w:rsidRDefault="00FD7E05" w:rsidP="00B53E4A">
            <w:pPr>
              <w:spacing w:line="480" w:lineRule="auto"/>
              <w:jc w:val="cente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e</m:t>
                  </m:r>
                </m:sub>
              </m:sSub>
              <m:d>
                <m:dPr>
                  <m:ctrlPr>
                    <w:rPr>
                      <w:rFonts w:ascii="Cambria Math" w:hAnsi="Cambria Math"/>
                      <w:i/>
                    </w:rPr>
                  </m:ctrlPr>
                </m:dPr>
                <m:e>
                  <m:r>
                    <w:rPr>
                      <w:rFonts w:ascii="Cambria Math" w:hAnsi="Cambria Math"/>
                    </w:rPr>
                    <m:t>ω</m:t>
                  </m:r>
                </m:e>
              </m:d>
              <m:r>
                <w:rPr>
                  <w:rFonts w:ascii="Cambria Math" w:hAnsi="Cambria Math"/>
                </w:rPr>
                <m:t>=</m:t>
              </m:r>
              <m:d>
                <m:dPr>
                  <m:begChr m:val="{"/>
                  <m:endChr m:val=""/>
                  <m:ctrlPr>
                    <w:rPr>
                      <w:rFonts w:ascii="Cambria Math" w:eastAsiaTheme="minorHAnsi" w:hAnsi="Cambria Math" w:cstheme="minorBidi"/>
                      <w:i/>
                      <w:sz w:val="22"/>
                      <w:szCs w:val="22"/>
                    </w:rPr>
                  </m:ctrlPr>
                </m:dPr>
                <m:e>
                  <m:eqArr>
                    <m:eqArrPr>
                      <m:ctrlPr>
                        <w:rPr>
                          <w:rFonts w:ascii="Cambria Math" w:eastAsiaTheme="minorHAnsi" w:hAnsi="Cambria Math" w:cstheme="minorBidi"/>
                          <w:i/>
                          <w:sz w:val="22"/>
                          <w:szCs w:val="22"/>
                        </w:rPr>
                      </m:ctrlPr>
                    </m:eqArrPr>
                    <m:e>
                      <m:r>
                        <w:rPr>
                          <w:rFonts w:ascii="Cambria Math" w:hAnsi="Cambria Math"/>
                        </w:rPr>
                        <m:t>U,   ω≤1</m:t>
                      </m:r>
                    </m:e>
                    <m:e>
                      <m:r>
                        <w:rPr>
                          <w:rFonts w:ascii="Cambria Math" w:hAnsi="Cambria Math"/>
                        </w:rPr>
                        <m:t>τU,   ω&gt;1</m:t>
                      </m:r>
                    </m:e>
                  </m:eqArr>
                </m:e>
              </m:d>
            </m:oMath>
            <w:r>
              <w:rPr>
                <w:rFonts w:eastAsiaTheme="minorEastAsia"/>
              </w:rPr>
              <w:t>.</w:t>
            </w:r>
          </w:p>
        </w:tc>
        <w:tc>
          <w:tcPr>
            <w:tcW w:w="500" w:type="pct"/>
            <w:tcBorders>
              <w:top w:val="nil"/>
              <w:left w:val="nil"/>
              <w:bottom w:val="nil"/>
              <w:right w:val="nil"/>
            </w:tcBorders>
          </w:tcPr>
          <w:p w:rsidR="00FD7E05" w:rsidRDefault="00FD7E05" w:rsidP="00B53E4A">
            <w:pPr>
              <w:spacing w:line="480" w:lineRule="auto"/>
            </w:pPr>
            <w:r>
              <w:t>(</w:t>
            </w:r>
            <w:r>
              <w:fldChar w:fldCharType="begin"/>
            </w:r>
            <w:r w:rsidRPr="0095303A">
              <w:instrText xml:space="preserve"> SEQ Equation </w:instrText>
            </w:r>
            <w:r>
              <w:fldChar w:fldCharType="separate"/>
            </w:r>
            <w:r w:rsidR="007C70D4">
              <w:rPr>
                <w:noProof/>
              </w:rPr>
              <w:t>9</w:t>
            </w:r>
            <w:r>
              <w:rPr>
                <w:noProof/>
              </w:rPr>
              <w:fldChar w:fldCharType="end"/>
            </w:r>
            <w:r>
              <w:t>)</w:t>
            </w:r>
          </w:p>
        </w:tc>
      </w:tr>
    </w:tbl>
    <w:p w:rsidR="006B781F" w:rsidRPr="006B3A9D" w:rsidRDefault="00F91E4B" w:rsidP="00F91E4B">
      <w:pPr>
        <w:spacing w:line="480" w:lineRule="auto"/>
      </w:pPr>
      <w:r>
        <w:t xml:space="preserve">We use </w:t>
      </w:r>
      <w:r>
        <w:t xml:space="preserve">subscript </w:t>
      </w:r>
      <w:r>
        <w:rPr>
          <w:i/>
          <w:iCs/>
        </w:rPr>
        <w:t>e</w:t>
      </w:r>
      <w:r>
        <w:t xml:space="preserve"> </w:t>
      </w:r>
      <w:r>
        <w:t xml:space="preserve">to </w:t>
      </w:r>
      <w:r w:rsidR="00683B42">
        <w:t>denote quantities related with this scenario</w:t>
      </w:r>
      <w:r w:rsidR="006B3A9D">
        <w:t>.</w:t>
      </w:r>
    </w:p>
    <w:p w:rsidR="00042973" w:rsidRPr="006B781F" w:rsidRDefault="002C54C0" w:rsidP="00F91E4B">
      <w:pPr>
        <w:spacing w:line="480" w:lineRule="auto"/>
        <w:rPr>
          <w:vertAlign w:val="subscript"/>
        </w:rPr>
      </w:pPr>
      <w:r>
        <w:t xml:space="preserve">This scenario has an important biological relevance, as SIM has been implicated in the evolution of drug resistance in bacteria and yeast </w:t>
      </w:r>
      <w:r>
        <w:fldChar w:fldCharType="begin" w:fldLock="1"/>
      </w:r>
      <w:r w:rsidR="00914F9D">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"http://www.mendeley.com/documents/?uuid=ee885076-a0a9-4197-852b-6bce7cb04326" ] }, { "id" : "ITEM-3", "itemData" : { "DOI" : "10.1371/journal.pgen.1003680", "ISSN" : "1553-7404",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"editor" : [ { "dropping-particle" : "", "family" : "Jinks-Robertson", "given" : "Sue", "non-dropping-particle" : "", "parse-names" : false, "suffix" : "" } ],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"(Cirz and Romesberg 2007; Obolski and Hadany 2012; Shor et al. 2013)" }, "properties" : { "noteIndex" : 0 }, "schema" : "https://github.com/citation-style-language/schema/raw/master/csl-citation.json" }</w:instrText>
      </w:r>
      <w:r>
        <w:fldChar w:fldCharType="separate"/>
      </w:r>
      <w:r w:rsidR="00663378" w:rsidRPr="00663378">
        <w:rPr>
          <w:noProof/>
        </w:rPr>
        <w:t>(Cirz and Romesberg 2007; Obolski and Hadany 2012; Shor et al. 2013)</w:t>
      </w:r>
      <w:r>
        <w:fldChar w:fldCharType="end"/>
      </w:r>
      <w:r>
        <w:t>.</w:t>
      </w:r>
      <w:r w:rsidR="00042973">
        <w:t xml:space="preserve"> </w:t>
      </w:r>
    </w:p>
    <w:p w:rsidR="00042973" w:rsidRPr="00042973" w:rsidRDefault="00042973" w:rsidP="00814BE5">
      <w:pPr>
        <w:spacing w:line="480" w:lineRule="auto"/>
        <w:rPr>
          <w:lang w:bidi="hi-IN"/>
        </w:rPr>
      </w:pPr>
      <w:r>
        <w:t>The adaptation rate</w:t>
      </w:r>
      <w:r w:rsidR="00CE72C5">
        <w:t xml:space="preserve"> with SIM</w:t>
      </w:r>
      <w:r w:rsidR="00814BE5">
        <w:t xml:space="preserve"> in this scenario is (see Appendix 3):</w:t>
      </w:r>
    </w:p>
    <w:tbl>
      <w:tblPr>
        <w:tblStyle w:val="TableGrid"/>
        <w:tblW w:w="5000" w:type="pct"/>
        <w:tblInd w:w="340" w:type="dxa"/>
        <w:tblLook w:val="04A0" w:firstRow="1" w:lastRow="0" w:firstColumn="1" w:lastColumn="0" w:noHBand="0" w:noVBand="1"/>
      </w:tblPr>
      <w:tblGrid>
        <w:gridCol w:w="7675"/>
        <w:gridCol w:w="853"/>
      </w:tblGrid>
      <w:tr w:rsidR="00B32510" w:rsidTr="00000DD9">
        <w:tc>
          <w:tcPr>
            <w:tcW w:w="4500" w:type="pct"/>
            <w:tcBorders>
              <w:top w:val="nil"/>
              <w:left w:val="nil"/>
              <w:bottom w:val="nil"/>
              <w:right w:val="nil"/>
            </w:tcBorders>
          </w:tcPr>
          <w:p w:rsidR="00B32510" w:rsidRPr="00CB2F61" w:rsidRDefault="00BD0663" w:rsidP="00B2675D">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B2675D">
              <w:rPr>
                <w:rFonts w:eastAsiaTheme="minorEastAsia"/>
                <w:lang w:bidi="hi-IN"/>
              </w:rPr>
              <w:t>.</w:t>
            </w:r>
            <w:bookmarkStart w:id="12" w:name="_GoBack"/>
            <w:bookmarkEnd w:id="12"/>
          </w:p>
        </w:tc>
        <w:tc>
          <w:tcPr>
            <w:tcW w:w="500" w:type="pct"/>
            <w:tcBorders>
              <w:top w:val="nil"/>
              <w:left w:val="nil"/>
              <w:bottom w:val="nil"/>
              <w:right w:val="nil"/>
            </w:tcBorders>
          </w:tcPr>
          <w:p w:rsidR="00B32510" w:rsidRDefault="00B32510" w:rsidP="002A0DCC">
            <w:pPr>
              <w:spacing w:line="480" w:lineRule="auto"/>
            </w:pPr>
            <w:bookmarkStart w:id="13" w:name="_Ref360621538"/>
            <w:r>
              <w:t>(</w:t>
            </w:r>
            <w:r w:rsidR="00CA7DA9">
              <w:fldChar w:fldCharType="begin"/>
            </w:r>
            <w:r w:rsidR="009850ED" w:rsidRPr="0095303A">
              <w:instrText xml:space="preserve"> SEQ Equation </w:instrText>
            </w:r>
            <w:r w:rsidR="00CA7DA9">
              <w:fldChar w:fldCharType="separate"/>
            </w:r>
            <w:r w:rsidR="007C70D4">
              <w:rPr>
                <w:noProof/>
              </w:rPr>
              <w:t>10</w:t>
            </w:r>
            <w:r w:rsidR="00CA7DA9">
              <w:rPr>
                <w:noProof/>
              </w:rPr>
              <w:fldChar w:fldCharType="end"/>
            </w:r>
            <w:r>
              <w:t>)</w:t>
            </w:r>
            <w:bookmarkEnd w:id="13"/>
          </w:p>
        </w:tc>
      </w:tr>
    </w:tbl>
    <w:p w:rsidR="00290173" w:rsidRDefault="00290173" w:rsidP="0008011F">
      <w:pPr>
        <w:spacing w:line="480" w:lineRule="auto"/>
      </w:pPr>
      <w:r>
        <w:t>T</w:t>
      </w:r>
      <w:r w:rsidR="00042973">
        <w:t>hat</w:t>
      </w:r>
      <w:r>
        <w:t xml:space="preserve"> is,</w:t>
      </w:r>
      <w:r w:rsidR="00042973">
        <w:t xml:space="preserve"> a</w:t>
      </w:r>
      <w:r w:rsidR="00B32510">
        <w:t xml:space="preserve">daptation with </w:t>
      </w:r>
      <w:proofErr w:type="spellStart"/>
      <w:r w:rsidR="00587E54">
        <w:rPr>
          <w:lang w:bidi="hi-IN"/>
        </w:rPr>
        <w:t>SIM</w:t>
      </w:r>
      <w:r w:rsidR="0095303A">
        <w:rPr>
          <w:vertAlign w:val="subscript"/>
          <w:lang w:bidi="hi-IN"/>
        </w:rPr>
        <w:t>e</w:t>
      </w:r>
      <w:proofErr w:type="spellEnd"/>
      <w:r w:rsidR="00B32510">
        <w:t xml:space="preserve"> is </w:t>
      </w:r>
      <w:r w:rsidR="00042973">
        <w:t>faster than with CM</w:t>
      </w:r>
      <w:r>
        <w:t>. This is</w:t>
      </w:r>
      <w:r w:rsidR="00042973">
        <w:t xml:space="preserve"> </w:t>
      </w:r>
      <w:r w:rsidR="00B32510">
        <w:t xml:space="preserve">because </w:t>
      </w:r>
      <w:r w:rsidR="00042973">
        <w:t>(</w:t>
      </w:r>
      <w:proofErr w:type="spellStart"/>
      <w:r w:rsidR="00042973">
        <w:t>i</w:t>
      </w:r>
      <w:proofErr w:type="spellEnd"/>
      <w:r w:rsidR="00042973">
        <w:t xml:space="preserve">) </w:t>
      </w:r>
      <w:r w:rsidR="00B32510">
        <w:t>the appearance of double mutants is the same as with CM</w:t>
      </w:r>
      <w:r w:rsidR="00042973">
        <w:t xml:space="preserve">, and (ii) the </w:t>
      </w:r>
      <w:r w:rsidR="00B32510">
        <w:t xml:space="preserve">fixation </w:t>
      </w:r>
      <w:r w:rsidR="00CE72C5">
        <w:t xml:space="preserve">probability </w:t>
      </w:r>
      <w:r w:rsidR="00042973">
        <w:t xml:space="preserve">of double mutants </w:t>
      </w:r>
      <w:r w:rsidR="00B32510">
        <w:t xml:space="preserve">is </w:t>
      </w:r>
      <w:r w:rsidR="00CE72C5">
        <w:t xml:space="preserve">higher </w:t>
      </w:r>
      <w:r w:rsidR="00042973">
        <w:t xml:space="preserve">with </w:t>
      </w:r>
      <w:proofErr w:type="spellStart"/>
      <w:r w:rsidR="00042973">
        <w:t>SIM</w:t>
      </w:r>
      <w:r w:rsidR="0095303A">
        <w:rPr>
          <w:vertAlign w:val="subscript"/>
        </w:rPr>
        <w:t>e</w:t>
      </w:r>
      <w:proofErr w:type="spellEnd"/>
      <w:r w:rsidR="0008011F">
        <w:t xml:space="preserve"> than with CM,</w:t>
      </w:r>
      <w:r w:rsidR="0095303A">
        <w:t xml:space="preserve"> because the mutation rate of double mutants is lower than that of the rest of the population, </w:t>
      </w:r>
      <w:r w:rsidR="0095303A">
        <w:lastRenderedPageBreak/>
        <w:t>which confers an additional selective advantage to the double mutants</w:t>
      </w:r>
      <w:r w:rsidR="0008011F" w:rsidRPr="0008011F">
        <w:t xml:space="preserve"> </w:t>
      </w:r>
      <w:r w:rsidR="0008011F">
        <w:t>(see Appendix 3):</w:t>
      </w:r>
    </w:p>
    <w:tbl>
      <w:tblPr>
        <w:tblStyle w:val="TableGrid"/>
        <w:tblW w:w="5000" w:type="pct"/>
        <w:tblInd w:w="340" w:type="dxa"/>
        <w:tblLook w:val="04A0" w:firstRow="1" w:lastRow="0" w:firstColumn="1" w:lastColumn="0" w:noHBand="0" w:noVBand="1"/>
      </w:tblPr>
      <w:tblGrid>
        <w:gridCol w:w="7675"/>
        <w:gridCol w:w="853"/>
      </w:tblGrid>
      <w:tr w:rsidR="00290173" w:rsidTr="001C5D6C">
        <w:tc>
          <w:tcPr>
            <w:tcW w:w="4500" w:type="pct"/>
            <w:tcBorders>
              <w:top w:val="nil"/>
              <w:left w:val="nil"/>
              <w:bottom w:val="nil"/>
              <w:right w:val="nil"/>
            </w:tcBorders>
          </w:tcPr>
          <w:p w:rsidR="00290173" w:rsidRPr="00CB2F61" w:rsidRDefault="00BD0663"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95303A">
              <w:rPr>
                <w:rFonts w:eastAsiaTheme="minorEastAsia"/>
                <w:lang w:bidi="hi-IN"/>
              </w:rPr>
              <w:t>.</w:t>
            </w:r>
          </w:p>
        </w:tc>
        <w:tc>
          <w:tcPr>
            <w:tcW w:w="500" w:type="pct"/>
            <w:tcBorders>
              <w:top w:val="nil"/>
              <w:left w:val="nil"/>
              <w:bottom w:val="nil"/>
              <w:right w:val="nil"/>
            </w:tcBorders>
          </w:tcPr>
          <w:p w:rsidR="00290173" w:rsidRDefault="00290173" w:rsidP="002A0DCC">
            <w:pPr>
              <w:spacing w:line="480" w:lineRule="auto"/>
            </w:pPr>
            <w:bookmarkStart w:id="14" w:name="_Ref361310097"/>
            <w:r>
              <w:t>(</w:t>
            </w:r>
            <w:r w:rsidR="00CA7DA9">
              <w:fldChar w:fldCharType="begin"/>
            </w:r>
            <w:r w:rsidR="00C64915" w:rsidRPr="0095303A">
              <w:instrText xml:space="preserve"> SEQ Equation </w:instrText>
            </w:r>
            <w:r w:rsidR="00CA7DA9">
              <w:fldChar w:fldCharType="separate"/>
            </w:r>
            <w:r w:rsidR="007C70D4">
              <w:rPr>
                <w:noProof/>
              </w:rPr>
              <w:t>11</w:t>
            </w:r>
            <w:r w:rsidR="00CA7DA9">
              <w:rPr>
                <w:noProof/>
              </w:rPr>
              <w:fldChar w:fldCharType="end"/>
            </w:r>
            <w:r>
              <w:t>)</w:t>
            </w:r>
            <w:bookmarkEnd w:id="14"/>
          </w:p>
        </w:tc>
      </w:tr>
    </w:tbl>
    <w:p w:rsidR="00B32510" w:rsidRDefault="00042973" w:rsidP="0008011F">
      <w:pPr>
        <w:spacing w:line="480" w:lineRule="auto"/>
        <w:rPr>
          <w:rFonts w:eastAsiaTheme="minorEastAsia"/>
          <w:lang w:bidi="hi-IN"/>
        </w:rPr>
      </w:pPr>
      <w:r>
        <w:t xml:space="preserve">This </w:t>
      </w:r>
      <w:r w:rsidR="00CE72C5">
        <w:t xml:space="preserve">additive </w:t>
      </w:r>
      <w:r w:rsidR="00B32510">
        <w:t>advantage</w:t>
      </w:r>
      <w:r w:rsidR="00B32510">
        <w:rPr>
          <w:rFonts w:eastAsiaTheme="minorEastAsia"/>
          <w:lang w:bidi="hi-IN"/>
        </w:rPr>
        <w:t xml:space="preserve"> increases linearly with </w:t>
      </w:r>
      <w:r w:rsidR="00B32510" w:rsidRPr="00DE1C4B">
        <w:rPr>
          <w:i/>
          <w:iCs/>
        </w:rPr>
        <w:t>τ</w:t>
      </w:r>
      <w:r w:rsidR="00B32510">
        <w:rPr>
          <w:rFonts w:eastAsiaTheme="minorEastAsia"/>
          <w:lang w:bidi="hi-IN"/>
        </w:rPr>
        <w:t xml:space="preserve"> with a slope </w:t>
      </w:r>
      <w:proofErr w:type="gramStart"/>
      <w:r w:rsidR="00B32510">
        <w:rPr>
          <w:rFonts w:eastAsiaTheme="minorEastAsia"/>
          <w:lang w:bidi="hi-IN"/>
        </w:rPr>
        <w:t xml:space="preserve">of </w:t>
      </w:r>
      <w:proofErr w:type="gramEnd"/>
      <m:oMath>
        <m:r>
          <w:rPr>
            <w:rFonts w:ascii="Cambria Math" w:eastAsiaTheme="minorEastAsia" w:hAnsi="Cambria Math"/>
            <w:lang w:bidi="hi-IN"/>
          </w:rPr>
          <m:t>2U/(1+sH)</m:t>
        </m:r>
      </m:oMath>
      <w:r w:rsidR="00B32510">
        <w:rPr>
          <w:rFonts w:eastAsiaTheme="minorEastAsia"/>
          <w:lang w:bidi="hi-IN"/>
        </w:rPr>
        <w:t>, which can be quite small (</w:t>
      </w:r>
      <w:r w:rsidR="00175D8E" w:rsidRPr="00175D8E">
        <w:rPr>
          <w:rFonts w:ascii="Times New Roman" w:hAnsi="Times New Roman" w:cs="Times New Roman"/>
          <w:i/>
          <w:iCs/>
        </w:rPr>
        <w:t>≈</w:t>
      </w:r>
      <w:r w:rsidR="00295B91">
        <w:t>7</w:t>
      </w:r>
      <w:r w:rsidR="00295B91">
        <w:sym w:font="Symbol" w:char="F0D7"/>
      </w:r>
      <w:r w:rsidR="00295B91">
        <w:t>1</w:t>
      </w:r>
      <w:r w:rsidR="00175D8E">
        <w:t>0</w:t>
      </w:r>
      <w:r w:rsidR="00295B91">
        <w:rPr>
          <w:vertAlign w:val="superscript"/>
        </w:rPr>
        <w:t>-4</w:t>
      </w:r>
      <w:r w:rsidR="00175D8E">
        <w:t xml:space="preserve"> </w:t>
      </w:r>
      <w:r w:rsidR="00B32510">
        <w:rPr>
          <w:rFonts w:eastAsiaTheme="minorEastAsia"/>
          <w:lang w:bidi="hi-IN"/>
        </w:rPr>
        <w:t xml:space="preserve">for typical values, see </w:t>
      </w:r>
      <w:r w:rsidR="00CA7DA9">
        <w:rPr>
          <w:lang w:bidi="hi-IN"/>
        </w:rPr>
        <w:fldChar w:fldCharType="begin"/>
      </w:r>
      <w:r w:rsidR="00B32510">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7C70D4">
        <w:t xml:space="preserve">Table </w:t>
      </w:r>
      <w:r w:rsidR="007C70D4">
        <w:rPr>
          <w:noProof/>
        </w:rPr>
        <w:t>1</w:t>
      </w:r>
      <w:r w:rsidR="00CA7DA9">
        <w:rPr>
          <w:lang w:bidi="hi-IN"/>
        </w:rPr>
        <w:fldChar w:fldCharType="end"/>
      </w:r>
      <w:r w:rsidR="00B32510">
        <w:rPr>
          <w:rFonts w:eastAsiaTheme="minorEastAsia"/>
          <w:lang w:bidi="hi-IN"/>
        </w:rPr>
        <w:t xml:space="preserve">). This </w:t>
      </w:r>
      <w:r w:rsidR="00B04D05">
        <w:rPr>
          <w:rFonts w:eastAsiaTheme="minorEastAsia"/>
          <w:lang w:bidi="hi-IN"/>
        </w:rPr>
        <w:t>increase in fixation probability</w:t>
      </w:r>
      <w:r>
        <w:rPr>
          <w:rFonts w:eastAsiaTheme="minorEastAsia"/>
          <w:lang w:bidi="hi-IN"/>
        </w:rPr>
        <w:t xml:space="preserve"> </w:t>
      </w:r>
      <w:r w:rsidR="00B32510">
        <w:rPr>
          <w:rFonts w:eastAsiaTheme="minorEastAsia"/>
          <w:lang w:bidi="hi-IN"/>
        </w:rPr>
        <w:t xml:space="preserve">was verified </w:t>
      </w:r>
      <w:r>
        <w:rPr>
          <w:rFonts w:eastAsiaTheme="minorEastAsia"/>
          <w:lang w:bidi="hi-IN"/>
        </w:rPr>
        <w:t xml:space="preserve">by </w:t>
      </w:r>
      <w:r w:rsidR="00B32510">
        <w:rPr>
          <w:rFonts w:eastAsiaTheme="minorEastAsia"/>
          <w:lang w:bidi="hi-IN"/>
        </w:rPr>
        <w:t>simulation</w:t>
      </w:r>
      <w:r>
        <w:rPr>
          <w:rFonts w:eastAsiaTheme="minorEastAsia"/>
          <w:lang w:bidi="hi-IN"/>
        </w:rPr>
        <w:t>s</w:t>
      </w:r>
      <w:r w:rsidR="00B32510">
        <w:rPr>
          <w:rFonts w:eastAsiaTheme="minorEastAsia"/>
          <w:lang w:bidi="hi-IN"/>
        </w:rPr>
        <w:t xml:space="preserve"> (</w:t>
      </w:r>
      <w:r w:rsidR="00E87B67">
        <w:t>Figure S2</w:t>
      </w:r>
      <w:r w:rsidR="00B32510">
        <w:rPr>
          <w:rFonts w:eastAsiaTheme="minorEastAsia"/>
          <w:lang w:bidi="hi-IN"/>
        </w:rPr>
        <w:t>).</w:t>
      </w:r>
    </w:p>
    <w:p w:rsidR="00FD35E1" w:rsidRDefault="00FD35E1" w:rsidP="003E68BE">
      <w:pPr>
        <w:pStyle w:val="Heading2"/>
        <w:spacing w:line="480" w:lineRule="auto"/>
      </w:pPr>
      <w:bookmarkStart w:id="15" w:name="_Ref374377810"/>
      <w:r>
        <w:t>Relationship</w:t>
      </w:r>
      <w:r w:rsidR="003E68BE">
        <w:t>s</w:t>
      </w:r>
      <w:r>
        <w:t xml:space="preserve"> between stress and mutation</w:t>
      </w:r>
      <w:bookmarkEnd w:id="15"/>
      <w:r>
        <w:t xml:space="preserve"> </w:t>
      </w:r>
    </w:p>
    <w:p w:rsidR="00FD35E1" w:rsidRPr="00FD35E1" w:rsidRDefault="00FD35E1" w:rsidP="003E68BE">
      <w:pPr>
        <w:spacing w:line="480" w:lineRule="auto"/>
        <w:rPr>
          <w:lang w:bidi="hi-IN"/>
        </w:rPr>
      </w:pPr>
      <w:r>
        <w:rPr>
          <w:lang w:bidi="hi-IN"/>
        </w:rPr>
        <w:t>So far we used a very simple relationship between stress and mutation</w:t>
      </w:r>
      <w:r w:rsidR="003E68BE">
        <w:rPr>
          <w:lang w:bidi="hi-IN"/>
        </w:rPr>
        <w:t>:</w:t>
      </w:r>
      <w:r>
        <w:rPr>
          <w:lang w:bidi="hi-IN"/>
        </w:rPr>
        <w:t xml:space="preserve"> </w:t>
      </w:r>
      <w:r w:rsidR="003E68BE">
        <w:rPr>
          <w:lang w:bidi="hi-IN"/>
        </w:rPr>
        <w:t xml:space="preserve">if </w:t>
      </w:r>
      <w:r>
        <w:rPr>
          <w:lang w:bidi="hi-IN"/>
        </w:rPr>
        <w:t xml:space="preserve">fitness deeps below a threshold (&lt;1 for SIM, </w:t>
      </w:r>
      <w:r>
        <w:rPr>
          <w:rFonts w:ascii="Times New Roman" w:hAnsi="Times New Roman" w:cs="Times New Roman"/>
          <w:lang w:bidi="hi-IN"/>
        </w:rPr>
        <w:t>≤</w:t>
      </w:r>
      <w:r>
        <w:rPr>
          <w:lang w:bidi="hi-IN"/>
        </w:rPr>
        <w:t xml:space="preserve">1 for </w:t>
      </w:r>
      <w:proofErr w:type="spellStart"/>
      <w:r>
        <w:rPr>
          <w:lang w:bidi="hi-IN"/>
        </w:rPr>
        <w:t>SIM</w:t>
      </w:r>
      <w:r>
        <w:rPr>
          <w:vertAlign w:val="subscript"/>
          <w:lang w:bidi="hi-IN"/>
        </w:rPr>
        <w:t>e</w:t>
      </w:r>
      <w:proofErr w:type="spellEnd"/>
      <w:r>
        <w:rPr>
          <w:lang w:bidi="hi-IN"/>
        </w:rPr>
        <w:t xml:space="preserve">), the mutation rate increases </w:t>
      </w:r>
      <w:r w:rsidRPr="00FD35E1">
        <w:rPr>
          <w:rFonts w:ascii="Times New Roman" w:hAnsi="Times New Roman" w:cs="Times New Roman"/>
          <w:i/>
          <w:iCs/>
          <w:lang w:bidi="hi-IN"/>
        </w:rPr>
        <w:t>τ</w:t>
      </w:r>
      <w:r>
        <w:rPr>
          <w:lang w:bidi="hi-IN"/>
        </w:rPr>
        <w:t xml:space="preserve">-fold. But the relationship between stress and mutation can be more complex. For example, Agrawal </w:t>
      </w:r>
      <w:r>
        <w:rPr>
          <w:lang w:bidi="hi-IN"/>
        </w:rPr>
        <w:fldChar w:fldCharType="begin" w:fldLock="1"/>
      </w:r>
      <w:r w:rsidR="00914F9D">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rPr>
          <w:lang w:bidi="hi-IN"/>
        </w:rPr>
        <w:fldChar w:fldCharType="separate"/>
      </w:r>
      <w:r w:rsidRPr="00FD35E1">
        <w:rPr>
          <w:noProof/>
          <w:lang w:bidi="hi-IN"/>
        </w:rPr>
        <w:t>(2002)</w:t>
      </w:r>
      <w:r>
        <w:rPr>
          <w:lang w:bidi="hi-IN"/>
        </w:rPr>
        <w:fldChar w:fldCharType="end"/>
      </w:r>
      <w:r>
        <w:rPr>
          <w:lang w:bidi="hi-IN"/>
        </w:rPr>
        <w:t xml:space="preserve"> used a continuous relationship defined by a curvature parameter </w:t>
      </w:r>
      <w:r w:rsidRPr="00FD35E1">
        <w:rPr>
          <w:i/>
          <w:iCs/>
          <w:lang w:bidi="hi-IN"/>
        </w:rPr>
        <w:t>k</w:t>
      </w:r>
      <w:r>
        <w:rPr>
          <w:lang w:bidi="hi-IN"/>
        </w:rPr>
        <w:t xml:space="preserve">, which </w:t>
      </w:r>
      <w:r w:rsidR="003E68BE">
        <w:rPr>
          <w:lang w:bidi="hi-IN"/>
        </w:rPr>
        <w:t>determined</w:t>
      </w:r>
      <w:r>
        <w:rPr>
          <w:lang w:bidi="hi-IN"/>
        </w:rPr>
        <w:t xml:space="preserve"> the mutation rate for an individual with fitness </w:t>
      </w:r>
      <w:r w:rsidRPr="00FD35E1">
        <w:rPr>
          <w:i/>
          <w:iCs/>
          <w:lang w:bidi="hi-IN"/>
        </w:rPr>
        <w:t>ω</w:t>
      </w:r>
      <w:r w:rsidRPr="00FD35E1">
        <w:rPr>
          <w:lang w:bidi="hi-IN"/>
        </w:rPr>
        <w:t xml:space="preserve">, baseline mutation rate </w:t>
      </w:r>
      <w:r w:rsidRPr="00FD35E1">
        <w:rPr>
          <w:i/>
          <w:iCs/>
          <w:lang w:bidi="hi-IN"/>
        </w:rPr>
        <w:t>U</w:t>
      </w:r>
      <w:r w:rsidR="003E68BE">
        <w:rPr>
          <w:lang w:bidi="hi-IN"/>
        </w:rPr>
        <w:t>,</w:t>
      </w:r>
      <w:r w:rsidRPr="00FD35E1">
        <w:rPr>
          <w:lang w:bidi="hi-IN"/>
        </w:rPr>
        <w:t xml:space="preserve"> and a maximal mutation rate increase </w:t>
      </w:r>
      <w:r w:rsidRPr="00FD35E1">
        <w:rPr>
          <w:i/>
          <w:iCs/>
          <w:lang w:bidi="hi-IN"/>
        </w:rPr>
        <w:t>τ</w:t>
      </w:r>
      <w:r w:rsidR="003E68BE">
        <w:rPr>
          <w:lang w:bidi="hi-IN"/>
        </w:rPr>
        <w:t xml:space="preserve"> as</w:t>
      </w:r>
      <w:r w:rsidRPr="00FD35E1">
        <w:rPr>
          <w:lang w:bidi="hi-IN"/>
        </w:rPr>
        <w:t>:</w:t>
      </w:r>
    </w:p>
    <w:tbl>
      <w:tblPr>
        <w:tblStyle w:val="TableGrid"/>
        <w:tblW w:w="5000" w:type="pct"/>
        <w:tblInd w:w="340" w:type="dxa"/>
        <w:tblLook w:val="04A0" w:firstRow="1" w:lastRow="0" w:firstColumn="1" w:lastColumn="0" w:noHBand="0" w:noVBand="1"/>
      </w:tblPr>
      <w:tblGrid>
        <w:gridCol w:w="7675"/>
        <w:gridCol w:w="853"/>
      </w:tblGrid>
      <w:tr w:rsidR="00FD35E1" w:rsidTr="00343645">
        <w:tc>
          <w:tcPr>
            <w:tcW w:w="4500" w:type="pct"/>
            <w:tcBorders>
              <w:top w:val="nil"/>
              <w:left w:val="nil"/>
              <w:bottom w:val="nil"/>
              <w:right w:val="nil"/>
            </w:tcBorders>
          </w:tcPr>
          <w:p w:rsidR="00FD35E1" w:rsidRPr="00CB2F61" w:rsidRDefault="00BC43DA" w:rsidP="00BC43DA">
            <w:pPr>
              <w:spacing w:line="480" w:lineRule="auto"/>
              <w:jc w:val="center"/>
              <w:rPr>
                <w:rFonts w:eastAsiaTheme="minorEastAsia"/>
                <w:lang w:bidi="hi-IN"/>
              </w:rPr>
            </w:pPr>
            <m:oMath>
              <m:r>
                <w:rPr>
                  <w:rFonts w:ascii="Cambria Math" w:hAnsi="Cambria Math"/>
                  <w:lang w:bidi="hi-IN"/>
                </w:rPr>
                <m:t>U(</m:t>
              </m:r>
              <m:r>
                <w:rPr>
                  <w:rFonts w:ascii="Cambria Math" w:hAnsi="Cambria Math"/>
                  <w:lang w:bidi="hi-IN"/>
                </w:rPr>
                <m:t>ω</m:t>
              </m:r>
              <m:r>
                <w:rPr>
                  <w:rFonts w:ascii="Cambria Math" w:hAnsi="Cambria Math"/>
                  <w:lang w:bidi="hi-IN"/>
                </w:rPr>
                <m:t>)</m:t>
              </m:r>
              <m:r>
                <w:rPr>
                  <w:rFonts w:ascii="Cambria Math" w:hAnsi="Cambria Math"/>
                  <w:lang w:bidi="hi-IN"/>
                </w:rPr>
                <m:t>=τU-</m:t>
              </m:r>
              <m:d>
                <m:dPr>
                  <m:ctrlPr>
                    <w:rPr>
                      <w:rFonts w:ascii="Cambria Math" w:hAnsi="Cambria Math"/>
                      <w:i/>
                      <w:lang w:bidi="hi-IN"/>
                    </w:rPr>
                  </m:ctrlPr>
                </m:dPr>
                <m:e>
                  <m:r>
                    <w:rPr>
                      <w:rFonts w:ascii="Cambria Math" w:hAnsi="Cambria Math"/>
                      <w:lang w:bidi="hi-IN"/>
                    </w:rPr>
                    <m:t>τ-1</m:t>
                  </m:r>
                </m:e>
              </m:d>
              <m:r>
                <w:rPr>
                  <w:rFonts w:ascii="Cambria Math" w:hAnsi="Cambria Math"/>
                  <w:lang w:bidi="hi-IN"/>
                </w:rPr>
                <m:t>U</m:t>
              </m:r>
              <m:sSup>
                <m:sSupPr>
                  <m:ctrlPr>
                    <w:rPr>
                      <w:rFonts w:ascii="Cambria Math" w:hAnsi="Cambria Math"/>
                      <w:i/>
                      <w:lang w:bidi="hi-IN"/>
                    </w:rPr>
                  </m:ctrlPr>
                </m:sSupPr>
                <m:e>
                  <m:r>
                    <w:rPr>
                      <w:rFonts w:ascii="Cambria Math" w:hAnsi="Cambria Math"/>
                      <w:lang w:bidi="hi-IN"/>
                    </w:rPr>
                    <m:t>ω</m:t>
                  </m:r>
                </m:e>
                <m:sup>
                  <m:r>
                    <w:rPr>
                      <w:rFonts w:ascii="Cambria Math" w:hAnsi="Cambria Math"/>
                      <w:lang w:bidi="hi-IN"/>
                    </w:rPr>
                    <m:t>k</m:t>
                  </m:r>
                </m:sup>
              </m:sSup>
            </m:oMath>
            <w:r w:rsidR="00FD35E1">
              <w:rPr>
                <w:rFonts w:eastAsiaTheme="minorEastAsia"/>
                <w:lang w:bidi="hi-IN"/>
              </w:rPr>
              <w:t>.</w:t>
            </w:r>
          </w:p>
        </w:tc>
        <w:tc>
          <w:tcPr>
            <w:tcW w:w="500" w:type="pct"/>
            <w:tcBorders>
              <w:top w:val="nil"/>
              <w:left w:val="nil"/>
              <w:bottom w:val="nil"/>
              <w:right w:val="nil"/>
            </w:tcBorders>
          </w:tcPr>
          <w:p w:rsidR="00FD35E1" w:rsidRDefault="00FD35E1" w:rsidP="00343645">
            <w:pPr>
              <w:spacing w:line="480" w:lineRule="auto"/>
            </w:pPr>
            <w:r>
              <w:t>(</w:t>
            </w:r>
            <w:r>
              <w:fldChar w:fldCharType="begin"/>
            </w:r>
            <w:r w:rsidRPr="0095303A">
              <w:instrText xml:space="preserve"> SEQ Equation </w:instrText>
            </w:r>
            <w:r>
              <w:fldChar w:fldCharType="separate"/>
            </w:r>
            <w:r w:rsidR="007C70D4">
              <w:rPr>
                <w:noProof/>
              </w:rPr>
              <w:t>12</w:t>
            </w:r>
            <w:r>
              <w:rPr>
                <w:noProof/>
              </w:rPr>
              <w:fldChar w:fldCharType="end"/>
            </w:r>
            <w:r>
              <w:t>)</w:t>
            </w:r>
          </w:p>
        </w:tc>
      </w:tr>
    </w:tbl>
    <w:p w:rsidR="002825FD" w:rsidRPr="002825FD" w:rsidRDefault="002825FD" w:rsidP="0066767E">
      <w:pPr>
        <w:spacing w:line="480" w:lineRule="auto"/>
      </w:pPr>
      <w:r>
        <w:rPr>
          <w:lang w:bidi="hi-IN"/>
        </w:rPr>
        <w:t xml:space="preserve">When </w:t>
      </w:r>
      <w:r>
        <w:rPr>
          <w:i/>
          <w:iCs/>
          <w:lang w:bidi="hi-IN"/>
        </w:rPr>
        <w:t>k</w:t>
      </w:r>
      <w:r>
        <w:rPr>
          <w:lang w:bidi="hi-IN"/>
        </w:rPr>
        <w:t xml:space="preserve"> approaches 0</w:t>
      </w:r>
      <w:r w:rsidR="0066767E">
        <w:rPr>
          <w:lang w:bidi="hi-IN"/>
        </w:rPr>
        <w:t xml:space="preserve"> </w:t>
      </w:r>
      <w:r>
        <w:rPr>
          <w:lang w:bidi="hi-IN"/>
        </w:rPr>
        <w:t xml:space="preserve">this strategy </w:t>
      </w:r>
      <w:r w:rsidR="003E68BE">
        <w:rPr>
          <w:lang w:bidi="hi-IN"/>
        </w:rPr>
        <w:t>approaches the</w:t>
      </w:r>
      <w:r>
        <w:rPr>
          <w:lang w:bidi="hi-IN"/>
        </w:rPr>
        <w:t xml:space="preserve"> normal mutagenesis (NM) strategy</w:t>
      </w:r>
      <w:r w:rsidR="003E68BE">
        <w:rPr>
          <w:lang w:bidi="hi-IN"/>
        </w:rPr>
        <w:t>.</w:t>
      </w:r>
      <w:r>
        <w:rPr>
          <w:lang w:bidi="hi-IN"/>
        </w:rPr>
        <w:t xml:space="preserve"> </w:t>
      </w:r>
      <w:r w:rsidR="003E68BE">
        <w:rPr>
          <w:lang w:bidi="hi-IN"/>
        </w:rPr>
        <w:t>W</w:t>
      </w:r>
      <w:r>
        <w:rPr>
          <w:lang w:bidi="hi-IN"/>
        </w:rPr>
        <w:t xml:space="preserve">hen </w:t>
      </w:r>
      <w:r>
        <w:rPr>
          <w:i/>
          <w:iCs/>
          <w:lang w:bidi="hi-IN"/>
        </w:rPr>
        <w:t xml:space="preserve">k </w:t>
      </w:r>
      <w:r>
        <w:t xml:space="preserve">approaches infinity this </w:t>
      </w:r>
      <w:r w:rsidR="003E68BE">
        <w:t xml:space="preserve">strategy approaches the </w:t>
      </w:r>
      <w:r>
        <w:t xml:space="preserve">SIM </w:t>
      </w:r>
      <w:r w:rsidR="003E68BE">
        <w:t xml:space="preserve">"threshold" </w:t>
      </w:r>
      <w:r>
        <w:t xml:space="preserve">strategy </w:t>
      </w:r>
      <w:r w:rsidR="003E68BE">
        <w:t xml:space="preserve">we </w:t>
      </w:r>
      <w:r>
        <w:t>used in previous sections. See Figure S3 for a visualization of these continuous relationships.</w:t>
      </w:r>
    </w:p>
    <w:p w:rsidR="002825FD" w:rsidRDefault="002825FD" w:rsidP="0066767E">
      <w:pPr>
        <w:spacing w:line="480" w:lineRule="auto"/>
        <w:rPr>
          <w:lang w:bidi="hi-IN"/>
        </w:rPr>
      </w:pPr>
      <w:r w:rsidRPr="002825FD">
        <w:rPr>
          <w:lang w:bidi="hi-IN"/>
        </w:rPr>
        <w:fldChar w:fldCharType="begin"/>
      </w:r>
      <w:r w:rsidRPr="002825FD">
        <w:rPr>
          <w:lang w:bidi="hi-IN"/>
        </w:rPr>
        <w:instrText xml:space="preserve"> REF _Ref360183592 \h  \* MERGEFORMAT </w:instrText>
      </w:r>
      <w:r w:rsidRPr="002825FD">
        <w:rPr>
          <w:lang w:bidi="hi-IN"/>
        </w:rPr>
      </w:r>
      <w:r w:rsidRPr="002825FD">
        <w:rPr>
          <w:lang w:bidi="hi-IN"/>
        </w:rPr>
        <w:fldChar w:fldCharType="separate"/>
      </w:r>
      <w:r w:rsidR="007C70D4" w:rsidRPr="007C70D4">
        <w:t xml:space="preserve">Figure </w:t>
      </w:r>
      <w:r w:rsidR="007C70D4" w:rsidRPr="007C70D4">
        <w:rPr>
          <w:noProof/>
        </w:rPr>
        <w:t>2</w:t>
      </w:r>
      <w:r w:rsidRPr="002825FD">
        <w:rPr>
          <w:lang w:bidi="hi-IN"/>
        </w:rPr>
        <w:fldChar w:fldCharType="end"/>
      </w:r>
      <w:r>
        <w:rPr>
          <w:lang w:bidi="hi-IN"/>
        </w:rPr>
        <w:t xml:space="preserve">B shows </w:t>
      </w:r>
      <w:r w:rsidR="0066767E">
        <w:rPr>
          <w:lang w:bidi="hi-IN"/>
        </w:rPr>
        <w:t xml:space="preserve">the adaptation time for four </w:t>
      </w:r>
      <w:r>
        <w:rPr>
          <w:lang w:bidi="hi-IN"/>
        </w:rPr>
        <w:t>"continuous" strategies</w:t>
      </w:r>
      <w:r w:rsidR="0066767E">
        <w:rPr>
          <w:lang w:bidi="hi-IN"/>
        </w:rPr>
        <w:t xml:space="preserve"> defined by</w:t>
      </w:r>
      <w:r>
        <w:rPr>
          <w:lang w:bidi="hi-IN"/>
        </w:rPr>
        <w:t xml:space="preserve"> </w:t>
      </w:r>
      <w:r w:rsidRPr="0066767E">
        <w:rPr>
          <w:i/>
          <w:iCs/>
          <w:lang w:bidi="hi-IN"/>
        </w:rPr>
        <w:t>k</w:t>
      </w:r>
      <w:r>
        <w:rPr>
          <w:lang w:bidi="hi-IN"/>
        </w:rPr>
        <w:t xml:space="preserve">=1/10, 1, 10, and 100. </w:t>
      </w:r>
      <w:r w:rsidR="006E04FA">
        <w:rPr>
          <w:lang w:bidi="hi-IN"/>
        </w:rPr>
        <w:t xml:space="preserve"> Remarkably, the adaptation time with a "continuous" strategy </w:t>
      </w:r>
      <w:r w:rsidR="00463A01">
        <w:rPr>
          <w:lang w:bidi="hi-IN"/>
        </w:rPr>
        <w:t>can be approximated by a "threshold" strategy in which single</w:t>
      </w:r>
      <w:r w:rsidR="006E04FA">
        <w:rPr>
          <w:lang w:bidi="hi-IN"/>
        </w:rPr>
        <w:t xml:space="preserve"> </w:t>
      </w:r>
      <w:r w:rsidR="00463A01">
        <w:rPr>
          <w:lang w:bidi="hi-IN"/>
        </w:rPr>
        <w:t xml:space="preserve">mutants </w:t>
      </w:r>
      <w:proofErr w:type="spellStart"/>
      <w:r w:rsidR="00463A01">
        <w:rPr>
          <w:i/>
          <w:iCs/>
          <w:lang w:bidi="hi-IN"/>
        </w:rPr>
        <w:t>Ab</w:t>
      </w:r>
      <w:proofErr w:type="spellEnd"/>
      <w:r w:rsidR="00463A01">
        <w:rPr>
          <w:lang w:bidi="hi-IN"/>
        </w:rPr>
        <w:t xml:space="preserve"> and </w:t>
      </w:r>
      <w:proofErr w:type="spellStart"/>
      <w:r w:rsidR="00463A01">
        <w:rPr>
          <w:i/>
          <w:iCs/>
          <w:lang w:bidi="hi-IN"/>
        </w:rPr>
        <w:t>aB</w:t>
      </w:r>
      <w:proofErr w:type="spellEnd"/>
      <w:r w:rsidR="00463A01">
        <w:rPr>
          <w:lang w:bidi="hi-IN"/>
        </w:rPr>
        <w:t xml:space="preserve"> have the same mutation rate as those with a "continuous" strategy</w:t>
      </w:r>
      <w:r w:rsidR="0066767E">
        <w:rPr>
          <w:lang w:bidi="hi-IN"/>
        </w:rPr>
        <w:t xml:space="preserve"> (where the </w:t>
      </w:r>
      <w:r w:rsidR="0066767E">
        <w:rPr>
          <w:lang w:bidi="hi-IN"/>
        </w:rPr>
        <w:lastRenderedPageBreak/>
        <w:t xml:space="preserve">mutation rate increase of individuals with fitness &lt;1 is </w:t>
      </w:r>
      <m:oMath>
        <m:r>
          <w:rPr>
            <w:rFonts w:ascii="Cambria Math" w:hAnsi="Cambria Math"/>
            <w:lang w:bidi="hi-IN"/>
          </w:rPr>
          <m:t>τ-</m:t>
        </m:r>
        <m:d>
          <m:dPr>
            <m:ctrlPr>
              <w:rPr>
                <w:rFonts w:ascii="Cambria Math" w:hAnsi="Cambria Math"/>
                <w:i/>
                <w:lang w:bidi="hi-IN"/>
              </w:rPr>
            </m:ctrlPr>
          </m:dPr>
          <m:e>
            <m:r>
              <w:rPr>
                <w:rFonts w:ascii="Cambria Math" w:hAnsi="Cambria Math"/>
                <w:lang w:bidi="hi-IN"/>
              </w:rPr>
              <m:t>τ-1</m:t>
            </m:r>
          </m:e>
        </m:d>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k</m:t>
            </m:r>
          </m:sup>
        </m:sSup>
      </m:oMath>
      <w:r w:rsidR="0066767E">
        <w:rPr>
          <w:rFonts w:eastAsiaTheme="minorEastAsia"/>
          <w:lang w:bidi="hi-IN"/>
        </w:rPr>
        <w:t>)</w:t>
      </w:r>
      <w:r w:rsidR="00463A01">
        <w:rPr>
          <w:lang w:bidi="hi-IN"/>
        </w:rPr>
        <w:t xml:space="preserve">. For example, the adaptation rate with "continuous" strategies with </w:t>
      </w:r>
      <w:r w:rsidR="00463A01">
        <w:rPr>
          <w:i/>
          <w:iCs/>
          <w:lang w:bidi="hi-IN"/>
        </w:rPr>
        <w:t>k</w:t>
      </w:r>
      <w:r w:rsidR="00463A01">
        <w:rPr>
          <w:lang w:bidi="hi-IN"/>
        </w:rPr>
        <w:t xml:space="preserve">=1/10, 1, 10, and 100 and </w:t>
      </w:r>
      <w:r w:rsidR="00463A01" w:rsidRPr="00463A01">
        <w:rPr>
          <w:rFonts w:ascii="Times New Roman" w:hAnsi="Times New Roman" w:cs="Times New Roman"/>
          <w:i/>
          <w:iCs/>
          <w:lang w:bidi="hi-IN"/>
        </w:rPr>
        <w:t>τ</w:t>
      </w:r>
      <w:r w:rsidR="00463A01">
        <w:rPr>
          <w:lang w:bidi="hi-IN"/>
        </w:rPr>
        <w:t>=</w:t>
      </w:r>
      <w:r w:rsidR="0066767E">
        <w:rPr>
          <w:lang w:bidi="hi-IN"/>
        </w:rPr>
        <w:t>10 are</w:t>
      </w:r>
      <w:r w:rsidR="00463A01">
        <w:rPr>
          <w:lang w:bidi="hi-IN"/>
        </w:rPr>
        <w:t xml:space="preserve"> approximated by "threshold" strategies with </w:t>
      </w:r>
      <w:r w:rsidR="00463A01">
        <w:rPr>
          <w:rFonts w:ascii="Times New Roman" w:hAnsi="Times New Roman" w:cs="Times New Roman"/>
          <w:lang w:bidi="hi-IN"/>
        </w:rPr>
        <w:t>τ</w:t>
      </w:r>
      <w:r w:rsidR="00463A01">
        <w:rPr>
          <w:lang w:bidi="hi-IN"/>
        </w:rPr>
        <w:t>=1.05, 1.45, 4.61, and 9.95, respectively (</w:t>
      </w:r>
      <w:r w:rsidR="00463A01" w:rsidRPr="002825FD">
        <w:rPr>
          <w:lang w:bidi="hi-IN"/>
        </w:rPr>
        <w:fldChar w:fldCharType="begin"/>
      </w:r>
      <w:r w:rsidR="00463A01" w:rsidRPr="002825FD">
        <w:rPr>
          <w:lang w:bidi="hi-IN"/>
        </w:rPr>
        <w:instrText xml:space="preserve"> REF _Ref360183592 \h  \* MERGEFORMAT </w:instrText>
      </w:r>
      <w:r w:rsidR="00463A01" w:rsidRPr="002825FD">
        <w:rPr>
          <w:lang w:bidi="hi-IN"/>
        </w:rPr>
      </w:r>
      <w:r w:rsidR="00463A01" w:rsidRPr="002825FD">
        <w:rPr>
          <w:lang w:bidi="hi-IN"/>
        </w:rPr>
        <w:fldChar w:fldCharType="separate"/>
      </w:r>
      <w:r w:rsidR="007C70D4" w:rsidRPr="007C70D4">
        <w:t xml:space="preserve">Figure </w:t>
      </w:r>
      <w:r w:rsidR="007C70D4" w:rsidRPr="007C70D4">
        <w:rPr>
          <w:noProof/>
        </w:rPr>
        <w:t>2</w:t>
      </w:r>
      <w:r w:rsidR="00463A01" w:rsidRPr="002825FD">
        <w:rPr>
          <w:lang w:bidi="hi-IN"/>
        </w:rPr>
        <w:fldChar w:fldCharType="end"/>
      </w:r>
      <w:r w:rsidR="00463A01">
        <w:rPr>
          <w:lang w:bidi="hi-IN"/>
        </w:rPr>
        <w:t>B; see Figure S3 for a comparison these strategies). The "continuous" strategies can be approximated by "threshold" st</w:t>
      </w:r>
      <w:r w:rsidR="0066767E">
        <w:rPr>
          <w:lang w:bidi="hi-IN"/>
        </w:rPr>
        <w:t xml:space="preserve">rategies because the primary factor determining the adaptation rate is the </w:t>
      </w:r>
      <w:r w:rsidR="00463A01">
        <w:rPr>
          <w:lang w:bidi="hi-IN"/>
        </w:rPr>
        <w:t xml:space="preserve">mutation rate increase of </w:t>
      </w:r>
      <w:proofErr w:type="spellStart"/>
      <w:r w:rsidR="0066767E" w:rsidRPr="0066767E">
        <w:rPr>
          <w:i/>
          <w:iCs/>
          <w:lang w:bidi="hi-IN"/>
        </w:rPr>
        <w:t>ab</w:t>
      </w:r>
      <w:proofErr w:type="spellEnd"/>
      <w:r w:rsidR="0066767E">
        <w:rPr>
          <w:lang w:bidi="hi-IN"/>
        </w:rPr>
        <w:t xml:space="preserve">, </w:t>
      </w:r>
      <w:proofErr w:type="spellStart"/>
      <w:r w:rsidR="0066767E" w:rsidRPr="0066767E">
        <w:rPr>
          <w:i/>
          <w:iCs/>
          <w:lang w:bidi="hi-IN"/>
        </w:rPr>
        <w:t>aB</w:t>
      </w:r>
      <w:proofErr w:type="spellEnd"/>
      <w:r w:rsidR="0066767E">
        <w:rPr>
          <w:lang w:bidi="hi-IN"/>
        </w:rPr>
        <w:t xml:space="preserve">, and </w:t>
      </w:r>
      <w:r w:rsidR="0066767E" w:rsidRPr="0066767E">
        <w:rPr>
          <w:i/>
          <w:iCs/>
          <w:lang w:bidi="hi-IN"/>
        </w:rPr>
        <w:t>Ab</w:t>
      </w:r>
      <w:r w:rsidR="0066767E">
        <w:rPr>
          <w:lang w:bidi="hi-IN"/>
        </w:rPr>
        <w:t>. This is</w:t>
      </w:r>
      <w:r w:rsidR="00463A01">
        <w:rPr>
          <w:lang w:bidi="hi-IN"/>
        </w:rPr>
        <w:t xml:space="preserve"> because individuals with more than a single mutation do not have a significant contribution to adaptation.</w:t>
      </w:r>
    </w:p>
    <w:p w:rsidR="00343645" w:rsidRDefault="00343645" w:rsidP="00F60029">
      <w:pPr>
        <w:pStyle w:val="Heading2"/>
        <w:spacing w:line="480" w:lineRule="auto"/>
      </w:pPr>
      <w:r>
        <w:t>Competitions between mutational strategies</w:t>
      </w:r>
    </w:p>
    <w:p w:rsidR="00F60029" w:rsidRDefault="00343645" w:rsidP="00B41C05">
      <w:pPr>
        <w:spacing w:line="480" w:lineRule="auto"/>
        <w:rPr>
          <w:lang w:bidi="hi-IN"/>
        </w:rPr>
      </w:pPr>
      <w:r>
        <w:rPr>
          <w:lang w:bidi="hi-IN"/>
        </w:rPr>
        <w:t>We simulated direct competitions between the different mutational strategies to determine which is more advantageous at the individual</w:t>
      </w:r>
      <w:r w:rsidR="00B41C05">
        <w:rPr>
          <w:lang w:bidi="hi-IN"/>
        </w:rPr>
        <w:t>-</w:t>
      </w:r>
      <w:r>
        <w:rPr>
          <w:lang w:bidi="hi-IN"/>
        </w:rPr>
        <w:t xml:space="preserve">level. </w:t>
      </w:r>
      <w:r w:rsidR="00F60029">
        <w:rPr>
          <w:lang w:bidi="hi-IN"/>
        </w:rPr>
        <w:fldChar w:fldCharType="begin"/>
      </w:r>
      <w:r w:rsidR="00F60029">
        <w:rPr>
          <w:lang w:bidi="hi-IN"/>
        </w:rPr>
        <w:instrText xml:space="preserve"> REF _Ref374366687 \h  \* MERGEFORMAT </w:instrText>
      </w:r>
      <w:r w:rsidR="00F60029">
        <w:rPr>
          <w:lang w:bidi="hi-IN"/>
        </w:rPr>
      </w:r>
      <w:r w:rsidR="00F60029">
        <w:rPr>
          <w:lang w:bidi="hi-IN"/>
        </w:rPr>
        <w:fldChar w:fldCharType="separate"/>
      </w:r>
      <w:r w:rsidR="007C70D4" w:rsidRPr="007C70D4">
        <w:rPr>
          <w:lang w:bidi="hi-IN"/>
        </w:rPr>
        <w:t>Figure 5</w:t>
      </w:r>
      <w:r w:rsidR="00F60029">
        <w:rPr>
          <w:lang w:bidi="hi-IN"/>
        </w:rPr>
        <w:fldChar w:fldCharType="end"/>
      </w:r>
      <w:r w:rsidR="00F60029">
        <w:rPr>
          <w:lang w:bidi="hi-IN"/>
        </w:rPr>
        <w:t xml:space="preserve"> summarizes these competitions. CM clearly loses to both SIM and NM (first and second panels from the right). SIM is slightly but significantly advantageous over NM when the mutation rate increase is large enough (</w:t>
      </w:r>
      <w:r w:rsidR="00F60029" w:rsidRPr="00F60029">
        <w:rPr>
          <w:rFonts w:ascii="Times New Roman" w:hAnsi="Times New Roman" w:cs="Times New Roman"/>
          <w:i/>
          <w:iCs/>
          <w:lang w:bidi="hi-IN"/>
        </w:rPr>
        <w:t>τ</w:t>
      </w:r>
      <w:r w:rsidR="00F60029">
        <w:rPr>
          <w:lang w:bidi="hi-IN"/>
        </w:rPr>
        <w:t xml:space="preserve">&gt;2; two-tail t-test, P&lt;0.0015). </w:t>
      </w:r>
    </w:p>
    <w:p w:rsidR="00343645" w:rsidRPr="00343645" w:rsidRDefault="00F60029" w:rsidP="00F60029">
      <w:pPr>
        <w:spacing w:line="480" w:lineRule="auto"/>
        <w:rPr>
          <w:lang w:bidi="hi-IN"/>
        </w:rPr>
      </w:pPr>
      <w:r>
        <w:rPr>
          <w:lang w:bidi="hi-IN"/>
        </w:rPr>
        <w:t>These results show that the evolutionary advantage of SIM at the population level can translate into an individual level advantage and lead to the evolution of stress-induced mutagenesis by natural selection, even when constitutive mutagenesis is strongly disfavored.</w:t>
      </w:r>
    </w:p>
    <w:p w:rsidR="00004B35" w:rsidRDefault="00004B35" w:rsidP="002A0DCC">
      <w:pPr>
        <w:pStyle w:val="Heading1"/>
        <w:spacing w:line="480" w:lineRule="auto"/>
        <w:rPr>
          <w:lang w:bidi="hi-IN"/>
        </w:rPr>
      </w:pPr>
      <w:r>
        <w:rPr>
          <w:lang w:bidi="hi-IN"/>
        </w:rPr>
        <w:t>Discussion</w:t>
      </w:r>
    </w:p>
    <w:p w:rsidR="00004B35" w:rsidRDefault="00004B35" w:rsidP="002A0DCC">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 xml:space="preserve">on both </w:t>
      </w:r>
      <w:r w:rsidRPr="00360699">
        <w:rPr>
          <w:i/>
          <w:iCs/>
          <w:lang w:bidi="hi-IN"/>
        </w:rPr>
        <w:t>adaptability</w:t>
      </w:r>
      <w:r>
        <w:rPr>
          <w:lang w:bidi="hi-IN"/>
        </w:rPr>
        <w:t xml:space="preserve"> – the capacity of populations to adapt to new conditions – and on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CA7DA9">
        <w:rPr>
          <w:lang w:bidi="hi-IN"/>
        </w:rPr>
        <w:fldChar w:fldCharType="begin" w:fldLock="1"/>
      </w:r>
      <w:r w:rsidR="00914F9D">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CA7DA9">
        <w:rPr>
          <w:lang w:bidi="hi-IN"/>
        </w:rPr>
        <w:fldChar w:fldCharType="separate"/>
      </w:r>
      <w:r w:rsidR="00663378" w:rsidRPr="00663378">
        <w:rPr>
          <w:noProof/>
          <w:lang w:bidi="hi-IN"/>
        </w:rPr>
        <w:t>(Leigh 1970)</w:t>
      </w:r>
      <w:r w:rsidR="00CA7DA9">
        <w:rPr>
          <w:lang w:bidi="hi-IN"/>
        </w:rPr>
        <w:fldChar w:fldCharType="end"/>
      </w:r>
      <w:r>
        <w:rPr>
          <w:lang w:bidi="hi-IN"/>
        </w:rPr>
        <w:t xml:space="preserve">. We showed that </w:t>
      </w:r>
      <w:r w:rsidR="002C54C0">
        <w:rPr>
          <w:lang w:bidi="hi-IN"/>
        </w:rPr>
        <w:lastRenderedPageBreak/>
        <w:t xml:space="preserve">stress-induced mutagenesis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t>
      </w:r>
      <w:r w:rsidR="00C023C7">
        <w:rPr>
          <w:lang w:bidi="hi-IN"/>
        </w:rPr>
        <w:t xml:space="preserve">to complex environmental changes </w:t>
      </w:r>
      <w:r>
        <w:rPr>
          <w:lang w:bidi="hi-IN"/>
        </w:rPr>
        <w:t xml:space="preserve">without compromising the population </w:t>
      </w:r>
      <w:proofErr w:type="gramStart"/>
      <w:r>
        <w:rPr>
          <w:lang w:bidi="hi-IN"/>
        </w:rPr>
        <w:t>mean</w:t>
      </w:r>
      <w:proofErr w:type="gramEnd"/>
      <w:r>
        <w:rPr>
          <w:lang w:bidi="hi-IN"/>
        </w:rPr>
        <w:t xml:space="preserve"> fitness</w:t>
      </w:r>
      <w:r w:rsidR="00C023C7">
        <w:rPr>
          <w:lang w:bidi="hi-IN"/>
        </w:rPr>
        <w:t xml:space="preserve"> in a constant environment</w:t>
      </w:r>
      <w:r>
        <w:rPr>
          <w:lang w:bidi="hi-IN"/>
        </w:rPr>
        <w:t xml:space="preserve">. </w:t>
      </w:r>
    </w:p>
    <w:p w:rsidR="00A67023" w:rsidRDefault="00C023C7" w:rsidP="00663378">
      <w:pPr>
        <w:spacing w:line="480" w:lineRule="auto"/>
        <w:rPr>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in the </w:t>
      </w:r>
      <w:r>
        <w:rPr>
          <w:lang w:bidi="hi-IN"/>
        </w:rPr>
        <w:t>stress-</w:t>
      </w:r>
      <w:r w:rsidR="00CE78D0">
        <w:rPr>
          <w:lang w:bidi="hi-IN"/>
        </w:rPr>
        <w:t>induction of mutagenesis</w:t>
      </w:r>
      <w:r w:rsidR="00360699">
        <w:rPr>
          <w:lang w:bidi="hi-IN"/>
        </w:rPr>
        <w:t xml:space="preserve"> -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 xml:space="preserve">Pseudomonas </w:t>
      </w:r>
      <w:proofErr w:type="spellStart"/>
      <w:r w:rsidR="0094207C" w:rsidRPr="007F656F">
        <w:rPr>
          <w:i/>
          <w:iCs/>
          <w:lang w:bidi="hi-IN"/>
        </w:rPr>
        <w:t>aeruginosa</w:t>
      </w:r>
      <w:proofErr w:type="spellEnd"/>
      <w:r w:rsidR="0094207C" w:rsidRPr="007F656F">
        <w:rPr>
          <w:lang w:bidi="hi-IN"/>
        </w:rPr>
        <w:t xml:space="preserve"> found that although the </w:t>
      </w:r>
      <w:proofErr w:type="spellStart"/>
      <w:r w:rsidR="0094207C" w:rsidRPr="007F656F">
        <w:rPr>
          <w:i/>
          <w:iCs/>
          <w:lang w:bidi="hi-IN"/>
        </w:rPr>
        <w:t>mutS</w:t>
      </w:r>
      <w:proofErr w:type="spellEnd"/>
      <w:r w:rsidR="0094207C" w:rsidRPr="007F656F">
        <w:rPr>
          <w:lang w:bidi="hi-IN"/>
        </w:rPr>
        <w:t xml:space="preserve">, </w:t>
      </w:r>
      <w:proofErr w:type="spellStart"/>
      <w:r w:rsidR="0094207C" w:rsidRPr="007F656F">
        <w:rPr>
          <w:i/>
          <w:iCs/>
          <w:lang w:bidi="hi-IN"/>
        </w:rPr>
        <w:t>mutY</w:t>
      </w:r>
      <w:proofErr w:type="spellEnd"/>
      <w:r w:rsidR="0094207C" w:rsidRPr="007F656F">
        <w:rPr>
          <w:lang w:bidi="hi-IN"/>
        </w:rPr>
        <w:t xml:space="preserve"> and </w:t>
      </w:r>
      <w:proofErr w:type="spellStart"/>
      <w:r w:rsidR="0094207C" w:rsidRPr="007F656F">
        <w:rPr>
          <w:i/>
          <w:iCs/>
          <w:lang w:bidi="hi-IN"/>
        </w:rPr>
        <w:t>mutM</w:t>
      </w:r>
      <w:proofErr w:type="spellEnd"/>
      <w:r w:rsidR="0094207C" w:rsidRPr="007F656F">
        <w:rPr>
          <w:lang w:bidi="hi-IN"/>
        </w:rPr>
        <w:t xml:space="preserve"> mutator 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wildtype</w:t>
      </w:r>
      <w:r w:rsidR="0094207C" w:rsidRPr="007F656F">
        <w:rPr>
          <w:lang w:bidi="hi-IN"/>
        </w:rPr>
        <w:t xml:space="preserve">, the level of this increase depends on the level of stress the cell </w:t>
      </w:r>
      <w:r w:rsidR="00360699" w:rsidRPr="007F656F">
        <w:rPr>
          <w:lang w:bidi="hi-IN"/>
        </w:rPr>
        <w:t xml:space="preserve">experiences </w:t>
      </w:r>
      <w:r w:rsidR="00CA7DA9" w:rsidRPr="007F656F">
        <w:rPr>
          <w:lang w:bidi="hi-IN"/>
        </w:rPr>
        <w:fldChar w:fldCharType="begin" w:fldLock="1"/>
      </w:r>
      <w:r w:rsidR="00914F9D">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CA7DA9" w:rsidRPr="007F656F">
        <w:rPr>
          <w:lang w:bidi="hi-IN"/>
        </w:rPr>
        <w:fldChar w:fldCharType="separate"/>
      </w:r>
      <w:r w:rsidR="00663378" w:rsidRPr="00663378">
        <w:rPr>
          <w:noProof/>
          <w:lang w:bidi="hi-IN"/>
        </w:rPr>
        <w:t>(Torres-Barceló et al. 2013)</w:t>
      </w:r>
      <w:r w:rsidR="00CA7DA9" w:rsidRPr="007F656F">
        <w:rPr>
          <w:lang w:bidi="hi-IN"/>
        </w:rPr>
        <w:fldChar w:fldCharType="end"/>
      </w:r>
      <w:r w:rsidR="00CE78D0" w:rsidRPr="007F656F">
        <w:rPr>
          <w:lang w:bidi="hi-IN"/>
        </w:rPr>
        <w:t>.</w:t>
      </w:r>
    </w:p>
    <w:p w:rsidR="00D84632" w:rsidRDefault="00A67023" w:rsidP="00ED111F">
      <w:pPr>
        <w:spacing w:line="480" w:lineRule="auto"/>
        <w:rPr>
          <w:lang w:bidi="hi-IN"/>
        </w:rPr>
      </w:pPr>
      <w:r>
        <w:rPr>
          <w:lang w:bidi="hi-IN"/>
        </w:rPr>
        <w:t xml:space="preserve">Our model does not assume direct </w:t>
      </w:r>
      <w:r w:rsidR="00ED111F">
        <w:rPr>
          <w:lang w:bidi="hi-IN"/>
        </w:rPr>
        <w:t xml:space="preserve">fitness </w:t>
      </w:r>
      <w:r>
        <w:rPr>
          <w:lang w:bidi="hi-IN"/>
        </w:rPr>
        <w:t>cost</w:t>
      </w:r>
      <w:r w:rsidR="00ED111F">
        <w:rPr>
          <w:lang w:bidi="hi-IN"/>
        </w:rPr>
        <w:t>s</w:t>
      </w:r>
      <w:r>
        <w:rPr>
          <w:lang w:bidi="hi-IN"/>
        </w:rPr>
        <w:t xml:space="preserve"> for </w:t>
      </w:r>
      <w:r w:rsidR="00ED111F">
        <w:rPr>
          <w:lang w:bidi="hi-IN"/>
        </w:rPr>
        <w:t>any of the mutational strategies</w:t>
      </w:r>
      <w:r>
        <w:rPr>
          <w:lang w:bidi="hi-IN"/>
        </w:rPr>
        <w:t xml:space="preserve">. The "cost of DNA replication fidelity" </w:t>
      </w:r>
      <w:r>
        <w:rPr>
          <w:lang w:bidi="hi-IN"/>
        </w:rPr>
        <w:fldChar w:fldCharType="begin" w:fldLock="1"/>
      </w:r>
      <w:r w:rsidR="00914F9D">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Pr>
          <w:lang w:bidi="hi-IN"/>
        </w:rPr>
        <w:fldChar w:fldCharType="separate"/>
      </w:r>
      <w:r w:rsidRPr="00A67023">
        <w:rPr>
          <w:noProof/>
          <w:lang w:bidi="hi-IN"/>
        </w:rPr>
        <w:t>(Dawson 1998)</w:t>
      </w:r>
      <w:r>
        <w:rPr>
          <w:lang w:bidi="hi-IN"/>
        </w:rPr>
        <w:fldChar w:fldCharType="end"/>
      </w:r>
      <w:r>
        <w:rPr>
          <w:lang w:bidi="hi-IN"/>
        </w:rPr>
        <w:t xml:space="preserve"> – the energy and time expended in order to maintain a low mutation rate – could make both CM and SIM more successful. This might require further study, but empirical evidence suggest that this "cost of fidelity" doesn't play an important role in the evolution of </w:t>
      </w:r>
      <w:r w:rsidR="00ED111F">
        <w:rPr>
          <w:lang w:bidi="hi-IN"/>
        </w:rPr>
        <w:t xml:space="preserve">the mutation rate </w:t>
      </w:r>
      <w:r>
        <w:rPr>
          <w:lang w:bidi="hi-IN"/>
        </w:rPr>
        <w:fldChar w:fldCharType="begin" w:fldLock="1"/>
      </w:r>
      <w:r w:rsidR="00914F9D">
        <w:rPr>
          <w:lang w:bidi="hi-IN"/>
        </w:rPr>
        <w:instrText>ADDIN CSL_CITATION { "citationItems" : [ { "id" : "ITEM-1", "itemData" : { "DOI" : "10.1126/science.1056421", "ISSN" : "0036-8075", "PMID" : "11283373", "abstract" : "We have shown that bacterial mutation rates change during the experimental colonization of the mouse gut. A high mutation rate was initially beneficial because it allowed faster adaptation, but this benefit disappeared once adaptation was achieved. Mutator bacteria accumulated mutations that, although neutral in the mouse gut, are often deleterious in secondary environments. Consistently, the competitiveness of mutator bacteria is reduced during transmission to and re-colonization of similar hosts. The short-term advantages and long-term disadvantages of mutator bacteria could account for their frequency in nature.", "author" : [ { "dropping-particle" : "", "family" : "Giraud", "given" : "Antoine", "non-dropping-particle" : "", "parse-names" : false, "suffix" : "" }, { "dropping-particle" : "", "family" : "Matic", "given" : "Ivan", "non-dropping-particle" : "", "parse-names" : false, "suffix" : "" }, { "dropping-particle" : "", "family" : "Tenaillon", "given" : "Olivier", "non-dropping-particle" : "", "parse-names" : false, "suffix" : "" }, { "dropping-particle" : "", "family" : "Clara", "given" : "Antonio", "non-dropping-particle" : "", "parse-names" : false, "suffix" : "" }, { "dropping-particle" : "", "family" : "Radman", "given" : "Miroslav", "non-dropping-particle" : "", "parse-names" : false, "suffix" : "" }, { "dropping-particle" : "", "family" : "Fons", "given" : "Michel", "non-dropping-particle" : "", "parse-names" : false, "suffix" : "" }, { "dropping-particle" : "", "family" : "Taddei", "given" : "Fran\u00e7ois", "non-dropping-particle" : "", "parse-names" : false, "suffix" : "" } ], "container-title" : "Science", "id" : "ITEM-1", "issue" : "5513", "issued" : { "date-parts" : [ [ "2001", "3" ] ] }, "note" : "\"The mouse model showed that the advan-tage of mutator bacteria when colonizing new host is due to their capacity to generate adap- tive mutations rapidly, allowing them to ex- ploit the ecosystem resources more quickly than wild-type bacteria. This advantage is reduced to little or nothing once adaptation is achieved. Moreover, if the mutation rate is not reduced [as observed in some subpopula- tions (Fig. 1A)], it leads progressively to loss of functions that are dispensable in the cur- rent environment but compromise the long- term survival of mutator clones.\"", "page" : "2606-8", "title" : "Costs and benefits of high mutation rates: adaptive evolution of bacteria in the mouse gut.", "type" : "article-journal", "volume" : "291" }, "uris" : [ "http://www.mendeley.com/documents/?uuid=93511e5a-86f9-4974-b663-4701201a2328" ] }, { "id" : "ITEM-2", "itemData" : { "DOI" : "10.1073/pnas.0912451107", "ISSN" : "1091-6490", "PMID" : "20080608", "abstract" : "Mutation rate is an important determinant of evolvability. The optimal mutation rate for different organisms during evolution has been modeled in silico and tested in vivo, predominantly through pairwise comparisons. To characterize the fitness landscape across a broad range of mutation rates, we generated a panel of 66 DNA polymerase I mutants in Escherichia coli with comparable growth properties, yet with differing DNA replication fidelities, spanning 10(3)-fold higher and lower than that of wild type. These strains were competed for 350 generations in six replicate cultures in two different environments. A narrow range of mutation rates, 10- to 47-fold greater than that of wild type, predominated after serial passage. Mutants exhibiting higher mutation rates were not detected, nor were wild-type or antimutator strains. Winning clones exhibited shorter doubling times, greater maximum culture densities, and a growth advantages in pairwise competition relative to their precompetition ancestors, indicating the acquisition of adaptive phenotypes. To investigate the basis for mutator selection, we undertook a large series of pairwise competitions between mutator and wild-type strains under conditions where, in most cases, one strain completely overtook the culture within 18 days. Mutators were the most frequent winners but wild-type strains were also observed winning, suggesting that the competitive advantage of mutators is due to a greater probability of developing selectably advantageous mutations rather than from an initial growth advantage conferred by the polymerase variant itself. Our results indicate that under conditions where organism fitness is not yet maximized for a particular environment, competitive adaptation may be facilitated by enhanced mutagenesis.", "author" : [ { "dropping-particle" : "", "family" : "Loh", "given" : "Ern", "non-dropping-particle" : "", "parse-names" : false, "suffix" : "" }, { "dropping-particle" : "", "family" : "Salk", "given" : "Jesse J", "non-dropping-particle" : "", "parse-names" : false, "suffix" : "" }, { "dropping-particle" : "", "family" : "Loeb", "given" : "Lawrence A", "non-dropping-particle" : "", "parse-names" : false, "suffix" : "" } ], "container-title" : "Proceedings of the National Academy of Sciences", "id" : "ITEM-2", "issue" : "3", "issued" : { "date-parts" : [ [ "2010", "1", "19" ] ] }, "note" : "        mutators evolve due to second order selection and not cost of fidelity        \n        \n\"the competitive advantage of mutators is due to a greater probability of developing selectably advanta- geous mutations rather than from an initial growth advantage con- ferred by the polymerase variant itself. Our results indicate that under conditions where organism fitness is not yet maximized for a particular environment, competitive adaptationmay be facilitated by enhanced mutagenesis.\"", "page" : "1154-9", "title" : "Optimization of DNA polymerase mutation rates during bacterial evolution.", "type" : "article-journal", "volume" : "107" }, "uris" : [ "http://www.mendeley.com/documents/?uuid=873aac54-c0a4-46fe-810b-39cd52c5bdd9" ] }, { "id" : "ITEM-3", "itemData" : { "DOI" : "10.1098/rsbl.2010.1036", "ISSN" : "1744-957X", "PMID" : "21227974", "abstract" : "Experimental studies have shown that a mutator allele can readily hitchhike to fixation with beneficial mutations in an asexual population having a low, wild-type mutation rate. Here, we show that a genotype bearing two mutator alleles can supplant a population already fixed for one mutator allele. Our results provide experimental support for recent theory predicting that mutator alleles will tend to accumulate in asexual populations by hitchhiking with beneficial mutations, causing an ever-higher genomic mutation rate.", "author" : [ { "dropping-particle" : "", "family" : "Gentile", "given" : "Christopher F", "non-dropping-particle" : "", "parse-names" : false, "suffix" : "" }, { "dropping-particle" : "", "family" : "Yu", "given" : "Szi-Chieh", "non-dropping-particle" : "", "parse-names" : false, "suffix" : "" }, { "dropping-particle" : "", "family" : "Serrano", "given" : "Sebastian Akle", "non-dropping-particle" : "", "parse-names" : false, "suffix" : "" }, { "dropping-particle" : "", "family" : "Gerrish", "given" : "Philip J.", "non-dropping-particle" : "", "parse-names" : false, "suffix" : "" }, { "dropping-particle" : "", "family" : "Sniegowski", "given" : "Paul D.", "non-dropping-particle" : "", "parse-names" : false, "suffix" : "" } ], "container-title" : "Biology letters", "id" : "ITEM-3", "issue" : "3", "issued" : { "date-parts" : [ [ "2011", "6", "23" ] ] }, "page" : "422-4", "title" : "Competition between high- and higher-mutating strains of Escherichia coli.", "type" : "article-journal", "volume" : "7" }, "uris" : [ "http://www.mendeley.com/documents/?uuid=16dc79b8-8358-4a45-b9e2-203be1d10072" ] }, { "id" : "ITEM-4", "itemData" : { "DOI" : "10.1073/pnas.1104681108", "ISSN" : "1091-6490", "PMID" : "21808005", "abstract" : "Basic ideas about the constancy and randomness of mutagenesis that drives evolution were challenged by the discovery of mutation pathways activated by stress responses. These pathways could promote evolution specifically when cells are maladapted to their environment (i.e., are stressed). However, the clearest example-a general stress-response-controlled switch to error-prone DNA break (double-strand break, DSB) repair-was suggested to be peculiar to an Escherichia coli F' conjugative plasmid, not generally significant, and to occur by an alternative stress-independent mechanism. Moreover, mechanisms of spontaneous mutation in E. coli remain obscure. First, we demonstrate that this same mechanism occurs in chromosomes of starving F(-) E. coli. I-SceI endonuclease-induced chromosomal DSBs increase mutation 50-fold, dependent upon general/starvation- and DNA-damage-stress responses, DinB error-prone DNA polymerase, and DSB-repair proteins. Second, DSB repair is also mutagenic if the RpoS general-stress-response activator is expressed in unstressed cells, illustrating a stress-response-controlled switch to mutagenic repair. Third, DSB survival is not improved by RpoS or DinB, indicating that mutagenesis is not an inescapable byproduct of repair. Importantly, fourth, fully half of spontaneous frame-shift and base-substitution mutation during starvation also requires the same stress-response, DSB-repair, and DinB proteins. These data indicate that DSB-repair-dependent stress-induced mutation, driven by spontaneous DNA breaks, is a pathway that cells usually use and a major source of spontaneous mutation. These data also rule out major alternative models for the mechanism. Mechanisms that couple mutagenesis to stress responses can allow cells to evolve rapidly and responsively to their environment.", "author" : [ { "dropping-particle" : "", "family" : "Shee", "given" : "Chandan", "non-dropping-particle" : "", "parse-names" : false, "suffix" : "" }, { "dropping-particle" : "", "family" : "Gibson", "given" : "Janet L.", "non-dropping-particle" : "", "parse-names" : false, "suffix" : "" }, { "dropping-particle" : "", "family" : "Darrow", "given" : "Michele C.", "non-dropping-particle" : "", "parse-names" : false, "suffix" : "" }, { "dropping-particle" : "", "family" : "Gonzalez", "given" : "Caleb", "non-dropping-particle" : "", "parse-names" : false, "suffix" : "" }, { "dropping-particle" : "", "family" : "Rosenberg", "given" : "Susan M.", "non-dropping-particle" : "", "parse-names" : false, "suffix" : "" } ], "container-title" : "Proceedings of the National Academy of Sciences", "id" : "ITEM-4", "issue" : "33", "issued" : { "date-parts" : [ [ "2011", "8", "1" ] ] }, "page" : "13659-13664", "title" : "Impact of a stress-inducible switch to mutagenic repair of DNA breaks on mutation in Escherichia coli.", "type" : "article-journal", "volume" : "108" }, "uris" : [ "http://www.mendeley.com/documents/?uuid=db21f833-9b20-4e46-9118-dda5c7aae7ae" ] } ], "mendeley" : { "previouslyFormattedCitation" : "(Giraud et al. 2001; Loh et al. 2010; Gentile et al. 2011; Shee et al. 2011)" }, "properties" : { "noteIndex" : 0 }, "schema" : "https://github.com/citation-style-language/schema/raw/master/csl-citation.json" }</w:instrText>
      </w:r>
      <w:r>
        <w:rPr>
          <w:lang w:bidi="hi-IN"/>
        </w:rPr>
        <w:fldChar w:fldCharType="separate"/>
      </w:r>
      <w:r w:rsidRPr="00A67023">
        <w:rPr>
          <w:noProof/>
          <w:lang w:bidi="hi-IN"/>
        </w:rPr>
        <w:t>(Giraud et al. 2001; Loh et al. 2010; Gentile et al. 2011; Shee et al. 2011)</w:t>
      </w:r>
      <w:r>
        <w:rPr>
          <w:lang w:bidi="hi-IN"/>
        </w:rPr>
        <w:fldChar w:fldCharType="end"/>
      </w:r>
      <w:r>
        <w:rPr>
          <w:lang w:bidi="hi-IN"/>
        </w:rPr>
        <w:t>.</w:t>
      </w:r>
      <w:r w:rsidR="00915B29">
        <w:rPr>
          <w:lang w:bidi="hi-IN"/>
        </w:rPr>
        <w:t xml:space="preserve"> Another </w:t>
      </w:r>
      <w:r w:rsidR="00ED111F">
        <w:rPr>
          <w:lang w:bidi="hi-IN"/>
        </w:rPr>
        <w:t xml:space="preserve">fitness </w:t>
      </w:r>
      <w:r w:rsidR="00915B29">
        <w:rPr>
          <w:lang w:bidi="hi-IN"/>
        </w:rPr>
        <w:t xml:space="preserve">cost might be associated with the regulation of the mutation rate: for individuals to determine if their condition </w:t>
      </w:r>
      <w:r w:rsidR="00ED111F">
        <w:rPr>
          <w:lang w:bidi="hi-IN"/>
        </w:rPr>
        <w:t>calls for</w:t>
      </w:r>
      <w:r w:rsidR="00915B29">
        <w:rPr>
          <w:lang w:bidi="hi-IN"/>
        </w:rPr>
        <w:t xml:space="preserve"> the induction of mutagenesis, </w:t>
      </w:r>
      <w:r w:rsidR="00915B29">
        <w:rPr>
          <w:lang w:bidi="hi-IN"/>
        </w:rPr>
        <w:lastRenderedPageBreak/>
        <w:t xml:space="preserve">they must invest resources and energy in </w:t>
      </w:r>
      <w:r w:rsidR="00ED111F">
        <w:rPr>
          <w:lang w:bidi="hi-IN"/>
        </w:rPr>
        <w:t>costly</w:t>
      </w:r>
      <w:r w:rsidR="00915B29">
        <w:rPr>
          <w:lang w:bidi="hi-IN"/>
        </w:rPr>
        <w:t xml:space="preserve"> </w:t>
      </w:r>
      <w:r w:rsidR="00ED111F">
        <w:rPr>
          <w:lang w:bidi="hi-IN"/>
        </w:rPr>
        <w:t xml:space="preserve">sensory mechanisms. However, such mechanisms already exist for various unrelated purposes, such as the maintenance of cell cycle and homeostasis. Therefore, we consider these mechanisms are "free" in terms of fitness costs. Moreover, in </w:t>
      </w:r>
      <w:r w:rsidR="00ED111F">
        <w:rPr>
          <w:i/>
          <w:iCs/>
          <w:lang w:bidi="hi-IN"/>
        </w:rPr>
        <w:t>E. coli</w:t>
      </w:r>
      <w:r w:rsidR="00ED111F">
        <w:rPr>
          <w:lang w:bidi="hi-IN"/>
        </w:rPr>
        <w:t xml:space="preserve"> stress is induced by several stress responses that serve several other functions </w:t>
      </w:r>
      <w:r w:rsidR="00ED111F">
        <w:rPr>
          <w:lang w:bidi="hi-IN"/>
        </w:rPr>
        <w:fldChar w:fldCharType="begin" w:fldLock="1"/>
      </w:r>
      <w:r w:rsidR="00914F9D">
        <w:rPr>
          <w:lang w:bidi="hi-IN"/>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"ITEM-2",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"(Foster 2007; Al Mamun et al. 2012)" }, "properties" : { "noteIndex" : 0 }, "schema" : "https://github.com/citation-style-language/schema/raw/master/csl-citation.json" }</w:instrText>
      </w:r>
      <w:r w:rsidR="00ED111F">
        <w:rPr>
          <w:lang w:bidi="hi-IN"/>
        </w:rPr>
        <w:fldChar w:fldCharType="separate"/>
      </w:r>
      <w:r w:rsidR="00ED111F" w:rsidRPr="00ED111F">
        <w:rPr>
          <w:noProof/>
          <w:lang w:bidi="hi-IN"/>
        </w:rPr>
        <w:t>(Foster 2007; Al Mamun et al. 2012)</w:t>
      </w:r>
      <w:r w:rsidR="00ED111F">
        <w:rPr>
          <w:lang w:bidi="hi-IN"/>
        </w:rPr>
        <w:fldChar w:fldCharType="end"/>
      </w:r>
      <w:r w:rsidR="00ED111F">
        <w:rPr>
          <w:lang w:bidi="hi-IN"/>
        </w:rPr>
        <w:t xml:space="preserve">, and this is probably the </w:t>
      </w:r>
      <w:r w:rsidR="00D84632">
        <w:rPr>
          <w:lang w:bidi="hi-IN"/>
        </w:rPr>
        <w:t>case is other organisms as well</w:t>
      </w:r>
      <w:r w:rsidR="00ED111F">
        <w:rPr>
          <w:lang w:bidi="hi-IN"/>
        </w:rPr>
        <w:t>.</w:t>
      </w:r>
    </w:p>
    <w:p w:rsidR="00134FEB" w:rsidRDefault="00D84632" w:rsidP="00134FEB">
      <w:pPr>
        <w:spacing w:line="480" w:lineRule="auto"/>
        <w:rPr>
          <w:lang w:bidi="hi-IN"/>
        </w:rPr>
      </w:pPr>
      <w:r>
        <w:rPr>
          <w:lang w:bidi="hi-IN"/>
        </w:rPr>
        <w:t xml:space="preserve">Our model focuses on asexual populations, disregarding recombination, segregation, and sexual reproduction. These mechanisms are important for adaptation on a rugged fitness landscape both because they help to cope with deleterious accumulated mutations and because they allow two </w:t>
      </w:r>
      <w:r w:rsidR="008A6B5D">
        <w:rPr>
          <w:lang w:bidi="hi-IN"/>
        </w:rPr>
        <w:t xml:space="preserve">separate </w:t>
      </w:r>
      <w:r>
        <w:rPr>
          <w:lang w:bidi="hi-IN"/>
        </w:rPr>
        <w:t>single mutant</w:t>
      </w:r>
      <w:r w:rsidR="008A6B5D">
        <w:rPr>
          <w:lang w:bidi="hi-IN"/>
        </w:rPr>
        <w:t>s</w:t>
      </w:r>
      <w:r>
        <w:rPr>
          <w:lang w:bidi="hi-IN"/>
        </w:rPr>
        <w:t xml:space="preserve"> to </w:t>
      </w:r>
      <w:r w:rsidR="008A6B5D">
        <w:rPr>
          <w:lang w:bidi="hi-IN"/>
        </w:rPr>
        <w:t xml:space="preserve">rapidly </w:t>
      </w:r>
      <w:r>
        <w:rPr>
          <w:lang w:bidi="hi-IN"/>
        </w:rPr>
        <w:t xml:space="preserve">produce a double mutant without </w:t>
      </w:r>
      <w:r w:rsidR="008A6B5D">
        <w:rPr>
          <w:lang w:bidi="hi-IN"/>
        </w:rPr>
        <w:t>an increased mutation rate</w:t>
      </w:r>
      <w:r>
        <w:rPr>
          <w:lang w:bidi="hi-IN"/>
        </w:rPr>
        <w:t xml:space="preserve">. </w:t>
      </w:r>
      <w:r w:rsidR="00134FEB">
        <w:rPr>
          <w:lang w:bidi="hi-IN"/>
        </w:rPr>
        <w:t xml:space="preserve">We expect that recombination will reduce the advantage of SIM in population mean fitness </w:t>
      </w:r>
      <w:r w:rsidR="00134FEB">
        <w:rPr>
          <w:lang w:bidi="hi-IN"/>
        </w:rPr>
        <w:fldChar w:fldCharType="begin" w:fldLock="1"/>
      </w:r>
      <w:r w:rsidR="00914F9D">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134FEB">
        <w:rPr>
          <w:lang w:bidi="hi-IN"/>
        </w:rPr>
        <w:fldChar w:fldCharType="separate"/>
      </w:r>
      <w:r w:rsidR="00134FEB" w:rsidRPr="00134FEB">
        <w:rPr>
          <w:noProof/>
          <w:lang w:bidi="hi-IN"/>
        </w:rPr>
        <w:t>(Agrawal 2002)</w:t>
      </w:r>
      <w:r w:rsidR="00134FEB">
        <w:rPr>
          <w:lang w:bidi="hi-IN"/>
        </w:rPr>
        <w:fldChar w:fldCharType="end"/>
      </w:r>
      <w:r w:rsidR="00134FEB">
        <w:rPr>
          <w:lang w:bidi="hi-IN"/>
        </w:rPr>
        <w:t xml:space="preserve">, direct competitions </w:t>
      </w:r>
      <w:r w:rsidR="00134FEB">
        <w:rPr>
          <w:lang w:bidi="hi-IN"/>
        </w:rPr>
        <w:fldChar w:fldCharType="begin" w:fldLock="1"/>
      </w:r>
      <w:r w:rsidR="00914F9D">
        <w:rPr>
          <w:lang w:bidi="hi-IN"/>
        </w:rPr>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"publisher" : "National Acad Sciences", "title" : "Mutators and sex in bacteria: conflict between adaptive strategies.", "type" : "article-journal", "volume" : "97" }, "uris" : [ "http://www.mendeley.com/documents/?uuid=33563246-d9e8-4549-9252-211f653aa72a" ] } ], "mendeley" : { "previouslyFormattedCitation" : "(Tenaillon et al. 2000)" }, "properties" : { "noteIndex" : 0 }, "schema" : "https://github.com/citation-style-language/schema/raw/master/csl-citation.json" }</w:instrText>
      </w:r>
      <w:r w:rsidR="00134FEB">
        <w:rPr>
          <w:lang w:bidi="hi-IN"/>
        </w:rPr>
        <w:fldChar w:fldCharType="separate"/>
      </w:r>
      <w:r w:rsidR="00134FEB" w:rsidRPr="00134FEB">
        <w:rPr>
          <w:noProof/>
          <w:lang w:bidi="hi-IN"/>
        </w:rPr>
        <w:t>(Tenaillon et al. 2000)</w:t>
      </w:r>
      <w:r w:rsidR="00134FEB">
        <w:rPr>
          <w:lang w:bidi="hi-IN"/>
        </w:rPr>
        <w:fldChar w:fldCharType="end"/>
      </w:r>
      <w:r w:rsidR="00134FEB">
        <w:rPr>
          <w:lang w:bidi="hi-IN"/>
        </w:rPr>
        <w:t>, and adaptation rate (due to the Fisher-Muller effect).</w:t>
      </w:r>
    </w:p>
    <w:p w:rsidR="0007409B" w:rsidRPr="008A3174" w:rsidRDefault="00514DED" w:rsidP="00B41C05">
      <w:pPr>
        <w:spacing w:line="480" w:lineRule="auto"/>
        <w:rPr>
          <w:lang w:bidi="hi-IN"/>
        </w:rPr>
      </w:pPr>
      <w:r>
        <w:rPr>
          <w:lang w:bidi="hi-IN"/>
        </w:rPr>
        <w:t>M</w:t>
      </w:r>
      <w:r w:rsidR="0007409B">
        <w:rPr>
          <w:lang w:bidi="hi-IN"/>
        </w:rPr>
        <w:t xml:space="preserve">ean fitness and adaptation rate are </w:t>
      </w:r>
      <w:r w:rsidR="001A6C18">
        <w:rPr>
          <w:lang w:bidi="hi-IN"/>
        </w:rPr>
        <w:t xml:space="preserve">both </w:t>
      </w:r>
      <w:r w:rsidR="0007409B">
        <w:rPr>
          <w:lang w:bidi="hi-IN"/>
        </w:rPr>
        <w:t xml:space="preserve">population-level traits. </w:t>
      </w:r>
      <w:r w:rsidR="00B41C05">
        <w:rPr>
          <w:lang w:bidi="hi-IN"/>
        </w:rPr>
        <w:t>But just because</w:t>
      </w:r>
      <w:r w:rsidR="0007409B">
        <w:rPr>
          <w:lang w:bidi="hi-IN"/>
        </w:rPr>
        <w:t xml:space="preserve"> SIM </w:t>
      </w:r>
      <w:r>
        <w:rPr>
          <w:lang w:bidi="hi-IN"/>
        </w:rPr>
        <w:t>has</w:t>
      </w:r>
      <w:r w:rsidR="0007409B">
        <w:rPr>
          <w:lang w:bidi="hi-IN"/>
        </w:rPr>
        <w:t xml:space="preserve"> the </w:t>
      </w:r>
      <w:r w:rsidR="00360699">
        <w:rPr>
          <w:lang w:bidi="hi-IN"/>
        </w:rPr>
        <w:t>most efficient</w:t>
      </w:r>
      <w:r>
        <w:rPr>
          <w:lang w:bidi="hi-IN"/>
        </w:rPr>
        <w:t xml:space="preserve"> balance between these traits</w:t>
      </w:r>
      <w:r w:rsidR="00B41C05">
        <w:rPr>
          <w:lang w:bidi="hi-IN"/>
        </w:rPr>
        <w:t xml:space="preserve"> doesn't mean it will </w:t>
      </w:r>
      <w:r>
        <w:rPr>
          <w:lang w:bidi="hi-IN"/>
        </w:rPr>
        <w:t xml:space="preserve">necessarily </w:t>
      </w:r>
      <w:r w:rsidR="0007409B">
        <w:rPr>
          <w:lang w:bidi="hi-IN"/>
        </w:rPr>
        <w:t xml:space="preserve">evolve, because individual-level selection can </w:t>
      </w:r>
      <w:r w:rsidR="00C023C7">
        <w:rPr>
          <w:lang w:bidi="hi-IN"/>
        </w:rPr>
        <w:t>act</w:t>
      </w:r>
      <w:r w:rsidR="0007409B">
        <w:rPr>
          <w:lang w:bidi="hi-IN"/>
        </w:rPr>
        <w:t xml:space="preserve"> in </w:t>
      </w:r>
      <w:r>
        <w:rPr>
          <w:lang w:bidi="hi-IN"/>
        </w:rPr>
        <w:t xml:space="preserve">a </w:t>
      </w:r>
      <w:r w:rsidR="0007409B">
        <w:rPr>
          <w:lang w:bidi="hi-IN"/>
        </w:rPr>
        <w:t xml:space="preserve">different </w:t>
      </w:r>
      <w:r>
        <w:rPr>
          <w:lang w:bidi="hi-IN"/>
        </w:rPr>
        <w:t>direction</w:t>
      </w:r>
      <w:r w:rsidR="0007409B">
        <w:rPr>
          <w:lang w:bidi="hi-IN"/>
        </w:rPr>
        <w:t xml:space="preserve"> than population-level selection. Moreover, even if SIM does evolve, it </w:t>
      </w:r>
      <w:r w:rsidR="00360699">
        <w:rPr>
          <w:lang w:bidi="hi-IN"/>
        </w:rPr>
        <w:t xml:space="preserve">may be </w:t>
      </w:r>
      <w:r w:rsidR="0007409B">
        <w:rPr>
          <w:lang w:bidi="hi-IN"/>
        </w:rPr>
        <w:t xml:space="preserve">the result of selection on </w:t>
      </w:r>
      <w:r w:rsidR="0007409B" w:rsidRPr="00360699">
        <w:rPr>
          <w:i/>
          <w:iCs/>
          <w:lang w:bidi="hi-IN"/>
        </w:rPr>
        <w:t>adaptability</w:t>
      </w:r>
      <w:r w:rsidR="0007409B">
        <w:rPr>
          <w:lang w:bidi="hi-IN"/>
        </w:rPr>
        <w:t xml:space="preserve"> and </w:t>
      </w:r>
      <w:r w:rsidR="0007409B" w:rsidRPr="00360699">
        <w:rPr>
          <w:i/>
          <w:iCs/>
          <w:lang w:bidi="hi-IN"/>
        </w:rPr>
        <w:t>adaptedness</w:t>
      </w:r>
      <w:r w:rsidR="0007409B">
        <w:rPr>
          <w:lang w:bidi="hi-IN"/>
        </w:rPr>
        <w:t xml:space="preserve"> (2</w:t>
      </w:r>
      <w:r w:rsidR="0007409B" w:rsidRPr="0007409B">
        <w:rPr>
          <w:vertAlign w:val="superscript"/>
          <w:lang w:bidi="hi-IN"/>
        </w:rPr>
        <w:t>nd</w:t>
      </w:r>
      <w:r w:rsidR="0007409B">
        <w:rPr>
          <w:lang w:bidi="hi-IN"/>
        </w:rPr>
        <w:t xml:space="preserve"> order selection </w:t>
      </w:r>
      <w:r w:rsidR="00CA7DA9">
        <w:rPr>
          <w:lang w:bidi="hi-IN"/>
        </w:rPr>
        <w:fldChar w:fldCharType="begin" w:fldLock="1"/>
      </w:r>
      <w:r w:rsidR="00914F9D">
        <w:rPr>
          <w:lang w:bidi="hi-IN"/>
        </w:rPr>
        <w:instrText>ADDIN CSL_CITATION { "citationItems" : [ { "id" : "ITEM-1", "itemData" : { "ISSN" : "0923-2508", "PMID" : "11281320",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sidR="00CA7DA9">
        <w:rPr>
          <w:lang w:bidi="hi-IN"/>
        </w:rPr>
        <w:fldChar w:fldCharType="separate"/>
      </w:r>
      <w:r w:rsidR="00663378" w:rsidRPr="00663378">
        <w:rPr>
          <w:noProof/>
          <w:lang w:bidi="hi-IN"/>
        </w:rPr>
        <w:t>(Tenaillon et al. 2001)</w:t>
      </w:r>
      <w:r w:rsidR="00CA7DA9">
        <w:rPr>
          <w:lang w:bidi="hi-IN"/>
        </w:rPr>
        <w:fldChar w:fldCharType="end"/>
      </w:r>
      <w:r w:rsidR="0007409B">
        <w:rPr>
          <w:lang w:bidi="hi-IN"/>
        </w:rPr>
        <w:t>)</w:t>
      </w:r>
      <w:r w:rsidR="00360699">
        <w:rPr>
          <w:lang w:bidi="hi-IN"/>
        </w:rPr>
        <w:t>,</w:t>
      </w:r>
      <w:r w:rsidR="0007409B">
        <w:rPr>
          <w:lang w:bidi="hi-IN"/>
        </w:rPr>
        <w:t xml:space="preserve"> or a result of other factors, such as </w:t>
      </w:r>
      <w:r w:rsidR="00B37F95">
        <w:rPr>
          <w:lang w:bidi="hi-IN"/>
        </w:rPr>
        <w:t>pleiotropic</w:t>
      </w:r>
      <w:r w:rsidR="0007409B">
        <w:rPr>
          <w:lang w:bidi="hi-IN"/>
        </w:rPr>
        <w:t xml:space="preserve"> effects of mutator alleles </w:t>
      </w:r>
      <w:r w:rsidR="00CA7DA9">
        <w:rPr>
          <w:lang w:bidi="hi-IN"/>
        </w:rPr>
        <w:fldChar w:fldCharType="begin" w:fldLock="1"/>
      </w:r>
      <w:r w:rsidR="00914F9D">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"id" : "ITEM-2", "itemData" : { "DOI" : "10.1371/journal.pone.0072963", "ISSN" : "1932-6203", "author" : [ { "dropping-particle" : "", "family" : "Turrientes", "given" : "Mar\u00eda-Carmen", "non-dropping-particle" : "", "parse-names" : false, "suffix" : "" }, { "dropping-particle" : "", "family" : "Baquero", "given" : "Fernando", "non-dropping-particle" : "", "parse-names" : false, "suffix" : "" }, { "dropping-particle" : "", "family" : "Levin", "given" : "Bruce R.", "non-dropping-particle" : "", "parse-names" : false, "suffix" : "" }, { "dropping-particle" : "", "family" : "Mart\u00ednez", "given" : "Jos\u00e9-Luis", "non-dropping-particle" : "", "parse-names" : false, "suffix" : "" }, { "dropping-particle" : "", "family" : "Ripoll", "given" : "Aida", "non-dropping-particle" : "", "parse-names" : false, "suffix" : "" }, { "dropping-particle" : "", "family" : "Gonz\u00e1lez-Alba", "given" : "Jos\u00e9-Mar\u00eda", "non-dropping-particle" : "", "parse-names" : false, "suffix" : "" }, { "dropping-particle" : "", "family" : "Tobes", "given" : "Raquel", "non-dropping-particle" : "", "parse-names" : false, "suffix" : "" }, { "dropping-particle" : "", "family" : "Manrique", "given" : "Marina", "non-dropping-particle" : "", "parse-names" : false, "suffix" : "" }, { "dropping-particle" : "", "family" : "Baquero", "given" : "Maria-Rosario", "non-dropping-particle" : "", "parse-names" : false, "suffix" : "" }, { "dropping-particle" : "", "family" : "Rodr\u00edguez-Dom\u00ednguez", "given" : "Mario-Jos\u00e9", "non-dropping-particle" : "", "parse-names" : false, "suffix" : "" }, { "dropping-particle" : "", "family" : "Cant\u00f3n", "given" : "Rafael", "non-dropping-particle" : "", "parse-names" : false, "suffix" : "" }, { "dropping-particle" : "", "family" : "Gal\u00e1n", "given" : "Juan-Carlos", "non-dropping-particle" : "", "parse-names" : false, "suffix" : "" } ], "container-title" : "PLoS ONE", "editor" : [ { "dropping-particle" : "", "family" : "Marinus", "given" : "Martin G.", "non-dropping-particle" : "", "parse-names" : false, "suffix" : "" } ], "id" : "ITEM-2", "issue" : "9", "issued" : { "date-parts" : [ [ "2013", "9", "12" ] ] }, "note" : "experimental evolution of clinical MutS mutator (36-fold increase in mutation rate) under lab conditions with serial delutions.\nnon-mutators appear via compensatory mutations (not back-mutations) after ~400 generations.\n        \nfitness of mutators increase then decreases, non-mutators' fitness does not decrease.\n        \nevolved strains  had higher expression of ROS detox genes. putting these genes in the ancestor led to lower mutation rates and higher fitness - &gt; PLEOTROPIC effect of anti-mutator genes.\n        \n      ", "page" : "e72963", "title" : "Normal Mutation Rate Variants Arise in a Mutator (Mut S) Escherichia coli Population", "type" : "article-journal", "volume" : "8" }, "uris" : [ "http://www.mendeley.com/documents/?uuid=246808ad-2a98-42a3-9b27-ca58ac40d0c9" ] } ], "mendeley" : { "previouslyFormattedCitation" : "(Torres-Barcel\u00f3 et al. 2013; Turrientes et al. 2013)" }, "properties" : { "noteIndex" : 0 }, "schema" : "https://github.com/citation-style-language/schema/raw/master/csl-citation.json" }</w:instrText>
      </w:r>
      <w:r w:rsidR="00CA7DA9">
        <w:rPr>
          <w:lang w:bidi="hi-IN"/>
        </w:rPr>
        <w:fldChar w:fldCharType="separate"/>
      </w:r>
      <w:r w:rsidR="00663378" w:rsidRPr="00663378">
        <w:rPr>
          <w:noProof/>
          <w:lang w:bidi="hi-IN"/>
        </w:rPr>
        <w:t>(Torres-Barceló et al. 2013; Turrientes et al. 2013)</w:t>
      </w:r>
      <w:r w:rsidR="00CA7DA9">
        <w:rPr>
          <w:lang w:bidi="hi-IN"/>
        </w:rPr>
        <w:fldChar w:fldCharType="end"/>
      </w:r>
      <w:r w:rsidR="0007409B">
        <w:rPr>
          <w:lang w:bidi="hi-IN"/>
        </w:rPr>
        <w:t xml:space="preserve">, the cost of DNA replication fidelity </w:t>
      </w:r>
      <w:r w:rsidR="00CA7DA9">
        <w:rPr>
          <w:lang w:bidi="hi-IN"/>
        </w:rPr>
        <w:fldChar w:fldCharType="begin" w:fldLock="1"/>
      </w:r>
      <w:r w:rsidR="00914F9D">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CA7DA9">
        <w:rPr>
          <w:lang w:bidi="hi-IN"/>
        </w:rPr>
        <w:fldChar w:fldCharType="separate"/>
      </w:r>
      <w:r w:rsidR="00663378" w:rsidRPr="00663378">
        <w:rPr>
          <w:noProof/>
          <w:lang w:bidi="hi-IN"/>
        </w:rPr>
        <w:t>(Dawson 1998)</w:t>
      </w:r>
      <w:r w:rsidR="00CA7DA9">
        <w:rPr>
          <w:lang w:bidi="hi-IN"/>
        </w:rPr>
        <w:fldChar w:fldCharType="end"/>
      </w:r>
      <w:r w:rsidR="0007409B">
        <w:rPr>
          <w:lang w:bidi="hi-IN"/>
        </w:rPr>
        <w:t>,</w:t>
      </w:r>
      <w:r w:rsidR="00B37F95">
        <w:rPr>
          <w:lang w:bidi="hi-IN"/>
        </w:rPr>
        <w:t xml:space="preserve"> and</w:t>
      </w:r>
      <w:r w:rsidR="0007409B">
        <w:rPr>
          <w:lang w:bidi="hi-IN"/>
        </w:rPr>
        <w:t xml:space="preserve"> the effect of drift on </w:t>
      </w:r>
      <w:r w:rsidR="00575BB5">
        <w:rPr>
          <w:lang w:bidi="hi-IN"/>
        </w:rPr>
        <w:t xml:space="preserve">the </w:t>
      </w:r>
      <w:r w:rsidR="00B37F95">
        <w:rPr>
          <w:lang w:bidi="hi-IN"/>
        </w:rPr>
        <w:t xml:space="preserve">fidelity of rarely expressed </w:t>
      </w:r>
      <w:r w:rsidR="00030BE1">
        <w:rPr>
          <w:lang w:bidi="hi-IN"/>
        </w:rPr>
        <w:t>proteins</w:t>
      </w:r>
      <w:r w:rsidR="00C023C7">
        <w:rPr>
          <w:lang w:bidi="hi-IN"/>
        </w:rPr>
        <w:t xml:space="preserve"> - </w:t>
      </w:r>
      <w:r w:rsidR="00B37F95">
        <w:rPr>
          <w:lang w:bidi="hi-IN"/>
        </w:rPr>
        <w:t xml:space="preserve">the "drift barrier hypothesis" </w:t>
      </w:r>
      <w:r w:rsidR="00CA7DA9">
        <w:rPr>
          <w:lang w:bidi="hi-IN"/>
        </w:rPr>
        <w:fldChar w:fldCharType="begin" w:fldLock="1"/>
      </w:r>
      <w:r w:rsidR="00914F9D">
        <w:rPr>
          <w:lang w:bidi="hi-IN"/>
        </w:rPr>
        <w:instrText>ADDIN CSL_CITATION { "citationItems" : [ { "id" : "ITEM-1", "itemData" : { "DOI" : "10.1073/pnas.1216223109", "ISSN" : "0027-8424", "author" : [ { "dropping-particle" : "", "family" : "Sung", "given" : "Way", "non-dropping-particle" : "", "parse-names" : false, "suffix" : "" }, { "dropping-particle" : "", "family" : "Ackerman", "given" : "M. S.", "non-dropping-particle" : "", "parse-names" : false, "suffix" : "" }, { "dropping-particle" : "", "family" : "Miller", "given" : "S. F.", "non-dropping-particle" : "", "parse-names" : false, "suffix" : "" }, { "dropping-particle" : "", "family" : "Doak", "given" : "T. G.", "non-dropping-particle" : "", "parse-names" : false, "suffix" : "" }, { "dropping-particle" : "", "family" : "Lynch", "given" : "Michael", "non-dropping-particle" : "", "parse-names" : false, "suffix" : "" } ], "container-title" : "Proceedings of the National Academy of Sciences", "id" : "ITEM-1", "issued" : { "date-parts" : [ [ "2012", "10", "17" ] ] }, "title" : "Drift-barrier hypothesis and mutation-rate evolution", "type" : "article-journal" }, "uris" : [ "http://www.mendeley.com/documents/?uuid=83789a38-b254-4f4a-b3eb-71f6ac0dbb25" ] } ], "mendeley" : { "previouslyFormattedCitation" : "(Sung et al. 2012)" }, "properties" : { "noteIndex" : 0 }, "schema" : "https://github.com/citation-style-language/schema/raw/master/csl-citation.json" }</w:instrText>
      </w:r>
      <w:r w:rsidR="00CA7DA9">
        <w:rPr>
          <w:lang w:bidi="hi-IN"/>
        </w:rPr>
        <w:fldChar w:fldCharType="separate"/>
      </w:r>
      <w:r w:rsidR="00663378" w:rsidRPr="00663378">
        <w:rPr>
          <w:noProof/>
          <w:lang w:bidi="hi-IN"/>
        </w:rPr>
        <w:t>(Sung et al. 2012)</w:t>
      </w:r>
      <w:r w:rsidR="00CA7DA9">
        <w:rPr>
          <w:lang w:bidi="hi-IN"/>
        </w:rPr>
        <w:fldChar w:fldCharType="end"/>
      </w:r>
      <w:r w:rsidR="00B37F95">
        <w:rPr>
          <w:lang w:bidi="hi-IN"/>
        </w:rPr>
        <w:t>.</w:t>
      </w:r>
      <w:r w:rsidR="008A3174">
        <w:rPr>
          <w:lang w:bidi="hi-IN"/>
        </w:rPr>
        <w:t xml:space="preserve"> I</w:t>
      </w:r>
      <w:r w:rsidR="00B37F95">
        <w:rPr>
          <w:lang w:bidi="hi-IN"/>
        </w:rPr>
        <w:t xml:space="preserve">n a previous work we demonstrated that </w:t>
      </w:r>
      <w:r w:rsidR="00C023C7">
        <w:rPr>
          <w:lang w:bidi="hi-IN"/>
        </w:rPr>
        <w:lastRenderedPageBreak/>
        <w:t>2</w:t>
      </w:r>
      <w:r w:rsidR="00C023C7" w:rsidRPr="00C023C7">
        <w:rPr>
          <w:vertAlign w:val="superscript"/>
          <w:lang w:bidi="hi-IN"/>
        </w:rPr>
        <w:t>nd</w:t>
      </w:r>
      <w:r w:rsidR="00C023C7">
        <w:rPr>
          <w:lang w:bidi="hi-IN"/>
        </w:rPr>
        <w:t xml:space="preserve"> order </w:t>
      </w:r>
      <w:r w:rsidR="00B37F95">
        <w:rPr>
          <w:lang w:bidi="hi-IN"/>
        </w:rPr>
        <w:t xml:space="preserve">selection </w:t>
      </w:r>
      <w:r w:rsidR="00C023C7">
        <w:rPr>
          <w:lang w:bidi="hi-IN"/>
        </w:rPr>
        <w:t xml:space="preserve">can </w:t>
      </w:r>
      <w:r w:rsidR="00B37F95">
        <w:rPr>
          <w:lang w:bidi="hi-IN"/>
        </w:rPr>
        <w:t>lead</w:t>
      </w:r>
      <w:r w:rsidR="00C023C7">
        <w:rPr>
          <w:lang w:bidi="hi-IN"/>
        </w:rPr>
        <w:t xml:space="preserve"> </w:t>
      </w:r>
      <w:r w:rsidR="00B37F95">
        <w:rPr>
          <w:lang w:bidi="hi-IN"/>
        </w:rPr>
        <w:t xml:space="preserve">to the evolution </w:t>
      </w:r>
      <w:r w:rsidR="007F656F">
        <w:rPr>
          <w:lang w:bidi="hi-IN"/>
        </w:rPr>
        <w:t>of SIM</w:t>
      </w:r>
      <w:r w:rsidR="00B37F95">
        <w:rPr>
          <w:lang w:bidi="hi-IN"/>
        </w:rPr>
        <w:t xml:space="preserve"> </w:t>
      </w:r>
      <w:r w:rsidR="00CA7DA9">
        <w:rPr>
          <w:lang w:bidi="hi-IN"/>
        </w:rPr>
        <w:fldChar w:fldCharType="begin" w:fldLock="1"/>
      </w:r>
      <w:r w:rsidR="00914F9D">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rPr>
          <w:lang w:bidi="hi-IN"/>
        </w:rPr>
        <w:fldChar w:fldCharType="separate"/>
      </w:r>
      <w:r w:rsidR="00663378" w:rsidRPr="00663378">
        <w:rPr>
          <w:noProof/>
          <w:lang w:bidi="hi-IN"/>
        </w:rPr>
        <w:t>(Ram and Hadany 2012)</w:t>
      </w:r>
      <w:r w:rsidR="00CA7DA9">
        <w:rPr>
          <w:lang w:bidi="hi-IN"/>
        </w:rPr>
        <w:fldChar w:fldCharType="end"/>
      </w:r>
      <w:r w:rsidR="008A3174">
        <w:rPr>
          <w:lang w:bidi="hi-IN"/>
        </w:rPr>
        <w:t xml:space="preserve">: we showed that in an asexual population evolving in a changing environment </w:t>
      </w:r>
      <w:r w:rsidR="00FB2DA2">
        <w:rPr>
          <w:lang w:bidi="hi-IN"/>
        </w:rPr>
        <w:t xml:space="preserve">or in a stable one, </w:t>
      </w:r>
      <w:r w:rsidR="008A3174">
        <w:rPr>
          <w:lang w:bidi="hi-IN"/>
        </w:rPr>
        <w:t xml:space="preserve">SIM is favored by selection over both NM and CM. SIM was favored in a changing environment </w:t>
      </w:r>
      <w:r w:rsidR="00FB2DA2">
        <w:rPr>
          <w:lang w:bidi="hi-IN"/>
        </w:rPr>
        <w:t xml:space="preserve">because </w:t>
      </w:r>
      <w:r w:rsidR="008A3174">
        <w:rPr>
          <w:lang w:bidi="hi-IN"/>
        </w:rPr>
        <w:t xml:space="preserve">it balances between </w:t>
      </w:r>
      <w:r w:rsidR="008A3174">
        <w:rPr>
          <w:i/>
          <w:iCs/>
          <w:lang w:bidi="hi-IN"/>
        </w:rPr>
        <w:t>adaptability</w:t>
      </w:r>
      <w:r w:rsidR="008A3174">
        <w:rPr>
          <w:lang w:bidi="hi-IN"/>
        </w:rPr>
        <w:t xml:space="preserve"> and </w:t>
      </w:r>
      <w:r w:rsidR="008A3174">
        <w:rPr>
          <w:i/>
          <w:iCs/>
          <w:lang w:bidi="hi-IN"/>
        </w:rPr>
        <w:t>adaptedness</w:t>
      </w:r>
      <w:r w:rsidR="008A3174">
        <w:rPr>
          <w:lang w:bidi="hi-IN"/>
        </w:rPr>
        <w:t xml:space="preserve"> far better than mutational strategies that use a consta</w:t>
      </w:r>
      <w:r w:rsidR="00FB2DA2">
        <w:rPr>
          <w:lang w:bidi="hi-IN"/>
        </w:rPr>
        <w:t>nt uniform mutation rate; in a stable environment it was favored because the population mean fitness is slightly higher than with NM and significantly higher than that with CM</w:t>
      </w:r>
      <w:r w:rsidR="00D76319">
        <w:rPr>
          <w:lang w:bidi="hi-IN"/>
        </w:rPr>
        <w:t>. In this work we showed that th</w:t>
      </w:r>
      <w:r w:rsidR="00B41C05">
        <w:rPr>
          <w:lang w:bidi="hi-IN"/>
        </w:rPr>
        <w:t>is</w:t>
      </w:r>
      <w:r w:rsidR="00D76319">
        <w:rPr>
          <w:lang w:bidi="hi-IN"/>
        </w:rPr>
        <w:t xml:space="preserve"> trend continues: SIM is favored</w:t>
      </w:r>
      <w:r w:rsidR="00B41C05" w:rsidRPr="00B41C05">
        <w:rPr>
          <w:lang w:bidi="hi-IN"/>
        </w:rPr>
        <w:t xml:space="preserve"> </w:t>
      </w:r>
      <w:r w:rsidR="00B41C05">
        <w:rPr>
          <w:lang w:bidi="hi-IN"/>
        </w:rPr>
        <w:t>by selection</w:t>
      </w:r>
      <w:r w:rsidR="00D76319">
        <w:rPr>
          <w:lang w:bidi="hi-IN"/>
        </w:rPr>
        <w:t xml:space="preserve"> over both CM and NM</w:t>
      </w:r>
      <w:r w:rsidR="008B7326">
        <w:rPr>
          <w:lang w:bidi="hi-IN"/>
        </w:rPr>
        <w:t xml:space="preserve"> (</w:t>
      </w:r>
      <w:r w:rsidR="008B7326">
        <w:rPr>
          <w:lang w:bidi="hi-IN"/>
        </w:rPr>
        <w:fldChar w:fldCharType="begin"/>
      </w:r>
      <w:r w:rsidR="008B7326">
        <w:rPr>
          <w:lang w:bidi="hi-IN"/>
        </w:rPr>
        <w:instrText xml:space="preserve"> REF _Ref374366687 \h  \* MERGEFORMAT </w:instrText>
      </w:r>
      <w:r w:rsidR="008B7326">
        <w:rPr>
          <w:lang w:bidi="hi-IN"/>
        </w:rPr>
      </w:r>
      <w:r w:rsidR="008B7326">
        <w:rPr>
          <w:lang w:bidi="hi-IN"/>
        </w:rPr>
        <w:fldChar w:fldCharType="separate"/>
      </w:r>
      <w:r w:rsidR="007C70D4" w:rsidRPr="007C70D4">
        <w:rPr>
          <w:lang w:bidi="hi-IN"/>
        </w:rPr>
        <w:t>Figure 5</w:t>
      </w:r>
      <w:r w:rsidR="008B7326">
        <w:rPr>
          <w:lang w:bidi="hi-IN"/>
        </w:rPr>
        <w:fldChar w:fldCharType="end"/>
      </w:r>
      <w:r w:rsidR="008B7326">
        <w:rPr>
          <w:lang w:bidi="hi-IN"/>
        </w:rPr>
        <w:t>)</w:t>
      </w:r>
      <w:r w:rsidR="00D76319">
        <w:rPr>
          <w:lang w:bidi="hi-IN"/>
        </w:rPr>
        <w:t>.</w:t>
      </w:r>
    </w:p>
    <w:p w:rsidR="00DF6C0E" w:rsidRDefault="00B37F95" w:rsidP="00185C6A">
      <w:pPr>
        <w:spacing w:line="480" w:lineRule="auto"/>
      </w:pPr>
      <w:r w:rsidRPr="00B37F95">
        <w:rPr>
          <w:lang w:bidi="hi-IN"/>
        </w:rPr>
        <w:t xml:space="preserve">Complex traits, coded by multiple genes, present an open evolutionary </w:t>
      </w:r>
      <w:r w:rsidR="00611840">
        <w:rPr>
          <w:lang w:bidi="hi-IN"/>
        </w:rPr>
        <w:t>problem</w:t>
      </w:r>
      <w:r w:rsidRPr="00B37F95">
        <w:rPr>
          <w:lang w:bidi="hi-IN"/>
        </w:rPr>
        <w:t>, first desc</w:t>
      </w:r>
      <w:r>
        <w:rPr>
          <w:lang w:bidi="hi-IN"/>
        </w:rPr>
        <w:t xml:space="preserve">ribed by Sewall Wright in 1931 </w:t>
      </w:r>
      <w:r w:rsidR="00CA7DA9">
        <w:rPr>
          <w:lang w:bidi="hi-IN"/>
        </w:rPr>
        <w:fldChar w:fldCharType="begin" w:fldLock="1"/>
      </w:r>
      <w:r w:rsidR="00914F9D">
        <w:rPr>
          <w:lang w:bidi="hi-IN"/>
        </w:rPr>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sidR="00CA7DA9">
        <w:rPr>
          <w:lang w:bidi="hi-IN"/>
        </w:rPr>
        <w:fldChar w:fldCharType="separate"/>
      </w:r>
      <w:r w:rsidR="00663378" w:rsidRPr="00663378">
        <w:rPr>
          <w:noProof/>
          <w:lang w:bidi="hi-IN"/>
        </w:rPr>
        <w:t>(Wright 1931)</w:t>
      </w:r>
      <w:r w:rsidR="00CA7DA9">
        <w:rPr>
          <w:lang w:bidi="hi-IN"/>
        </w:rPr>
        <w:fldChar w:fldCharType="end"/>
      </w:r>
      <w:r w:rsidRPr="00B37F95">
        <w:rPr>
          <w:lang w:bidi="hi-IN"/>
        </w:rPr>
        <w:t xml:space="preserve">: if different alleles are separately deleterious but jointly advantageous, how can a population evolve from one co-adapted gene complex to a </w:t>
      </w:r>
      <w:r w:rsidR="00CA3636">
        <w:rPr>
          <w:lang w:bidi="hi-IN"/>
        </w:rPr>
        <w:t>fitter</w:t>
      </w:r>
      <w:r w:rsidRPr="00B37F95">
        <w:rPr>
          <w:lang w:bidi="hi-IN"/>
        </w:rPr>
        <w:t xml:space="preserve"> one? Wright suggested the "shiftin</w:t>
      </w:r>
      <w:r>
        <w:rPr>
          <w:lang w:bidi="hi-IN"/>
        </w:rPr>
        <w:t xml:space="preserve">g-balance theory of evolution" </w:t>
      </w:r>
      <w:r w:rsidR="00CA7DA9">
        <w:rPr>
          <w:lang w:bidi="hi-IN"/>
        </w:rPr>
        <w:fldChar w:fldCharType="begin" w:fldLock="1"/>
      </w:r>
      <w:r w:rsidR="00914F9D">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sidR="00CA7DA9">
        <w:rPr>
          <w:lang w:bidi="hi-IN"/>
        </w:rPr>
        <w:fldChar w:fldCharType="separate"/>
      </w:r>
      <w:r w:rsidR="00663378" w:rsidRPr="00663378">
        <w:rPr>
          <w:noProof/>
          <w:lang w:bidi="hi-IN"/>
        </w:rPr>
        <w:t>(Wright 1988)</w:t>
      </w:r>
      <w:r w:rsidR="00CA7DA9">
        <w:rPr>
          <w:lang w:bidi="hi-IN"/>
        </w:rPr>
        <w:fldChar w:fldCharType="end"/>
      </w:r>
      <w:r w:rsidRPr="00B37F95">
        <w:rPr>
          <w:lang w:bidi="hi-IN"/>
        </w:rPr>
        <w:t xml:space="preserve">. His solution is valid </w:t>
      </w:r>
      <w:r w:rsidR="00CA7DA9">
        <w:rPr>
          <w:lang w:bidi="hi-IN"/>
        </w:rPr>
        <w:fldChar w:fldCharType="begin" w:fldLock="1"/>
      </w:r>
      <w:r w:rsidR="00914F9D">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"Michael", "non-dropping-particle" : "", "parse-names" : false, "suffix" : "" }, { "dropping-particle" : "", "family" : "Goodnight", "given" : "Charles", "non-dropping-particle" : "", "parse-names" : false, "suffix" : "" } ], "container-title" : "Science", "id" : "ITEM-2", "issue" : "5023", "issued" : { "date-parts" : [ [ "1991", "8", "30" ] ] }, "page" : "1015-1018",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sidR="00CA7DA9">
        <w:rPr>
          <w:lang w:bidi="hi-IN"/>
        </w:rPr>
        <w:fldChar w:fldCharType="separate"/>
      </w:r>
      <w:r w:rsidR="00663378" w:rsidRPr="00663378">
        <w:rPr>
          <w:noProof/>
          <w:lang w:bidi="hi-IN"/>
        </w:rPr>
        <w:t>(Crow et al. 1990; Wade and Goodnight 1991; Peck et al. 2000)</w:t>
      </w:r>
      <w:r w:rsidR="00CA7DA9">
        <w:rPr>
          <w:lang w:bidi="hi-IN"/>
        </w:rPr>
        <w:fldChar w:fldCharType="end"/>
      </w:r>
      <w:r>
        <w:rPr>
          <w:lang w:bidi="hi-IN"/>
        </w:rPr>
        <w:t xml:space="preserve"> </w:t>
      </w:r>
      <w:r w:rsidRPr="00B37F95">
        <w:rPr>
          <w:lang w:bidi="hi-IN"/>
        </w:rPr>
        <w:t>but is possibly limited to specific parameter ranges</w:t>
      </w:r>
      <w:r>
        <w:rPr>
          <w:lang w:bidi="hi-IN"/>
        </w:rPr>
        <w:t xml:space="preserve"> </w:t>
      </w:r>
      <w:r w:rsidR="00CA7DA9">
        <w:rPr>
          <w:lang w:bidi="hi-IN"/>
        </w:rPr>
        <w:fldChar w:fldCharType="begin" w:fldLock="1"/>
      </w:r>
      <w:r w:rsidR="00914F9D">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 "non-dropping-particle" : "", "parse-names" : false, "suffix" : "" } ], "container-title" : "Evolution", "id" : "ITEM-2", "issue" : "3", "issued" : { "date-parts" : [ [ "1996" ] ] }, "page" : "1034-1041", "publisher" : "JSTOR",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sidR="00CA7DA9">
        <w:rPr>
          <w:lang w:bidi="hi-IN"/>
        </w:rPr>
        <w:fldChar w:fldCharType="separate"/>
      </w:r>
      <w:r w:rsidR="00663378" w:rsidRPr="00663378">
        <w:rPr>
          <w:noProof/>
          <w:lang w:bidi="hi-IN"/>
        </w:rPr>
        <w:t>(Moore and Tonsor 1994; Gavrilets 1996; Coyne et al. 2000; Whitlock and Phillips 2000)</w:t>
      </w:r>
      <w:r w:rsidR="00CA7DA9">
        <w:rPr>
          <w:lang w:bidi="hi-IN"/>
        </w:rPr>
        <w:fldChar w:fldCharType="end"/>
      </w:r>
      <w:r w:rsidRPr="00B37F95">
        <w:rPr>
          <w:lang w:bidi="hi-IN"/>
        </w:rPr>
        <w:t xml:space="preserve">. As a result, other mechanisms were </w:t>
      </w:r>
      <w:r>
        <w:rPr>
          <w:lang w:bidi="hi-IN"/>
        </w:rPr>
        <w:t>proposed</w:t>
      </w:r>
      <w:r w:rsidR="008A7A0A">
        <w:rPr>
          <w:lang w:bidi="hi-IN"/>
        </w:rPr>
        <w:t>: increased phenotypic variance</w:t>
      </w:r>
      <w:r>
        <w:rPr>
          <w:lang w:bidi="hi-IN"/>
        </w:rPr>
        <w:t xml:space="preserve"> </w:t>
      </w:r>
      <w:r w:rsidR="008A7A0A">
        <w:rPr>
          <w:lang w:bidi="hi-IN"/>
        </w:rPr>
        <w:t xml:space="preserve">after population bottlenecks </w:t>
      </w:r>
      <w:r w:rsidR="008A7A0A">
        <w:rPr>
          <w:lang w:bidi="hi-IN"/>
        </w:rPr>
        <w:fldChar w:fldCharType="begin" w:fldLock="1"/>
      </w:r>
      <w:r w:rsidR="00914F9D">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"mendeley" : { "previouslyFormattedCitation" : "(Whitlock 1995)" }, "properties" : { "noteIndex" : 0 }, "schema" : "https://github.com/citation-style-language/schema/raw/master/csl-citation.json" }</w:instrText>
      </w:r>
      <w:r w:rsidR="008A7A0A">
        <w:rPr>
          <w:lang w:bidi="hi-IN"/>
        </w:rPr>
        <w:fldChar w:fldCharType="separate"/>
      </w:r>
      <w:r w:rsidR="008A7A0A" w:rsidRPr="008A7A0A">
        <w:rPr>
          <w:noProof/>
          <w:lang w:bidi="hi-IN"/>
        </w:rPr>
        <w:t>(Whitlock 1995)</w:t>
      </w:r>
      <w:r w:rsidR="008A7A0A">
        <w:rPr>
          <w:lang w:bidi="hi-IN"/>
        </w:rPr>
        <w:fldChar w:fldCharType="end"/>
      </w:r>
      <w:r w:rsidR="008A7A0A">
        <w:rPr>
          <w:lang w:bidi="hi-IN"/>
        </w:rPr>
        <w:t xml:space="preserve">; environmental fluctuations </w:t>
      </w:r>
      <w:r w:rsidR="008A7A0A">
        <w:rPr>
          <w:lang w:bidi="hi-IN"/>
        </w:rPr>
        <w:fldChar w:fldCharType="begin" w:fldLock="1"/>
      </w:r>
      <w:r w:rsidR="00914F9D">
        <w:rPr>
          <w:lang w:bidi="hi-IN"/>
        </w:rPr>
        <w:instrText>ADDIN CSL_CITATION { "citationItems" : [ { "id" : "ITEM-1",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"ITEM-1",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"mendeley" : { "previouslyFormattedCitation" : "(Whitlock 1997)" }, "properties" : { "noteIndex" : 0 }, "schema" : "https://github.com/citation-style-language/schema/raw/master/csl-citation.json" }</w:instrText>
      </w:r>
      <w:r w:rsidR="008A7A0A">
        <w:rPr>
          <w:lang w:bidi="hi-IN"/>
        </w:rPr>
        <w:fldChar w:fldCharType="separate"/>
      </w:r>
      <w:r w:rsidR="008A7A0A" w:rsidRPr="008A7A0A">
        <w:rPr>
          <w:noProof/>
          <w:lang w:bidi="hi-IN"/>
        </w:rPr>
        <w:t>(Whitlock 1997)</w:t>
      </w:r>
      <w:r w:rsidR="008A7A0A">
        <w:rPr>
          <w:lang w:bidi="hi-IN"/>
        </w:rPr>
        <w:fldChar w:fldCharType="end"/>
      </w:r>
      <w:r w:rsidR="008A7A0A">
        <w:rPr>
          <w:lang w:bidi="hi-IN"/>
        </w:rPr>
        <w:t xml:space="preserve">; environmental heterogeneity </w:t>
      </w:r>
      <w:r w:rsidR="008A7A0A">
        <w:rPr>
          <w:lang w:bidi="hi-IN"/>
        </w:rPr>
        <w:fldChar w:fldCharType="begin" w:fldLock="1"/>
      </w:r>
      <w:r w:rsidR="00914F9D">
        <w:rPr>
          <w:lang w:bidi="hi-IN"/>
        </w:rPr>
        <w:instrText>ADDIN CSL_CITATION { "citationItems" : [ { "id" : "ITEM-1",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"ITEM-1", "issue" : "1", "issued" : { "date-parts" : [ [ "2003", "2" ] ] }, "page" : "41-51", "title" : "Adaptive peak shifts in a heterogenous environment", "type" : "article-journal", "volume" : "63" }, "uris" : [ "http://www.mendeley.com/documents/?uuid=e48413a3-7f71-4094-aced-178c92e4447f" ] } ], "mendeley" : { "previouslyFormattedCitation" : "(Hadany 2003)" }, "properties" : { "noteIndex" : 0 }, "schema" : "https://github.com/citation-style-language/schema/raw/master/csl-citation.json" }</w:instrText>
      </w:r>
      <w:r w:rsidR="008A7A0A">
        <w:rPr>
          <w:lang w:bidi="hi-IN"/>
        </w:rPr>
        <w:fldChar w:fldCharType="separate"/>
      </w:r>
      <w:r w:rsidR="008A7A0A" w:rsidRPr="008A7A0A">
        <w:rPr>
          <w:noProof/>
          <w:lang w:bidi="hi-IN"/>
        </w:rPr>
        <w:t>(Hadany 2003)</w:t>
      </w:r>
      <w:r w:rsidR="008A7A0A">
        <w:rPr>
          <w:lang w:bidi="hi-IN"/>
        </w:rPr>
        <w:fldChar w:fldCharType="end"/>
      </w:r>
      <w:r w:rsidR="008A7A0A">
        <w:rPr>
          <w:lang w:bidi="hi-IN"/>
        </w:rPr>
        <w:t xml:space="preserve">; fitness-associated recombination </w:t>
      </w:r>
      <w:r w:rsidR="008A7A0A">
        <w:rPr>
          <w:lang w:bidi="hi-IN"/>
        </w:rPr>
        <w:fldChar w:fldCharType="begin" w:fldLock="1"/>
      </w:r>
      <w:r w:rsidR="00914F9D">
        <w:rPr>
          <w:lang w:bidi="hi-IN"/>
        </w:rPr>
        <w:instrText>ADDIN CSL_CITATION { "citationItems" : [ { "id" : "ITEM-1",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"ITEM-1", "issue" : "5", "issued" : { "date-parts" : [ [ "2003", "9" ] ] }, "page" : "862-870", "title" : "Fitness-associated recombination on rugged adaptive landscapes", "type" : "article-journal", "volume" : "16" }, "uris" : [ "http://www.mendeley.com/documents/?uuid=a73c2de4-f081-4ce5-b626-a1c3730364a0" ] } ], "mendeley" : { "previouslyFormattedCitation" : "(Hadany and Beker 2003)" }, "properties" : { "noteIndex" : 0 }, "schema" : "https://github.com/citation-style-language/schema/raw/master/csl-citation.json" }</w:instrText>
      </w:r>
      <w:r w:rsidR="008A7A0A">
        <w:rPr>
          <w:lang w:bidi="hi-IN"/>
        </w:rPr>
        <w:fldChar w:fldCharType="separate"/>
      </w:r>
      <w:r w:rsidR="008A7A0A" w:rsidRPr="008A7A0A">
        <w:rPr>
          <w:noProof/>
          <w:lang w:bidi="hi-IN"/>
        </w:rPr>
        <w:t>(Hadany and Beker 2003)</w:t>
      </w:r>
      <w:r w:rsidR="008A7A0A">
        <w:rPr>
          <w:lang w:bidi="hi-IN"/>
        </w:rPr>
        <w:fldChar w:fldCharType="end"/>
      </w:r>
      <w:r w:rsidR="008A7A0A">
        <w:rPr>
          <w:lang w:bidi="hi-IN"/>
        </w:rPr>
        <w:t xml:space="preserve">; and intermediate recombination rates </w:t>
      </w:r>
      <w:r w:rsidR="008A7A0A">
        <w:rPr>
          <w:lang w:bidi="hi-IN"/>
        </w:rPr>
        <w:fldChar w:fldCharType="begin" w:fldLock="1"/>
      </w:r>
      <w:r w:rsidR="00914F9D">
        <w:rPr>
          <w:lang w:bidi="hi-IN"/>
        </w:rPr>
        <w:instrText>ADDIN CSL_CITATION { "citationItems" : [ { "id" : "ITEM-1", "itemData" : { "DOI" : "10.1534/genetics.110.123240", "ISSN" : "1943-2631", "PMID" : "20923976", "abstract" : "Biological traits result in part from interactions between different genetic loci. This can lead to sign epistasis, in which a beneficial adaptation involves a combination of individually deleterious or neutral mutations; in this case, a population must cross a \"fitness valley\" to adapt. Recombination can assist this process by combining mutations from different individuals or retard it by breaking up the adaptive combination. Here, we analyze the simplest fitness valley, in which an adaptation requires one mutation at each of two loci to provide a fitness benefit. We present a theoretical analysis of the effect of recombination on the valley-crossing process across the full spectrum of possible parameter regimes. We find that low recombination rates can speed up valley crossing relative to the asexual case, while higher recombination rates slow down valley crossing, with the transition between the two regimes occurring when the recombination rate between the loci is approximately equal to the selective advantage provided by the adaptation. In large populations, if the recombination rate is high and selection against single mutants is substantial, the time to cross the valley grows exponentially with population size, effectively meaning that the population cannot acquire the adaptation. Recombination at the optimal (low) rate can reduce the valley-crossing time by up to several orders of magnitude relative to that in an asexual population.", "author" : [ { "dropping-particle" : "", "family" : "Weissman", "given" : "Daniel B.", "non-dropping-particle" : "", "parse-names" : false, "suffix" : "" }, { "dropping-particle" : "", "family" : "Feldman", "given" : "Marcus W.", "non-dropping-particle" : "", "parse-names" : false, "suffix" : "" }, { "dropping-particle" : "", "family" : "Fisher", "given" : "Daniel S.", "non-dropping-particle" : "", "parse-names" : false, "suffix" : "" } ], "container-title" : "Genetics", "id" : "ITEM-1", "issue" : "4", "issued" : { "date-parts" : [ [ "2010", "12" ] ] }, "page" : "1389-410", "title" : "The rate of fitness-valley crossing in sexual populations.", "type" : "article-journal", "volume" : "186" }, "uris" : [ "http://www.mendeley.com/documents/?uuid=8ad392bb-4cb8-4104-b0fd-f4d56789bc3e" ] } ], "mendeley" : { "previouslyFormattedCitation" : "(Weissman et al. 2010)" }, "properties" : { "noteIndex" : 0 }, "schema" : "https://github.com/citation-style-language/schema/raw/master/csl-citation.json" }</w:instrText>
      </w:r>
      <w:r w:rsidR="008A7A0A">
        <w:rPr>
          <w:lang w:bidi="hi-IN"/>
        </w:rPr>
        <w:fldChar w:fldCharType="separate"/>
      </w:r>
      <w:r w:rsidR="008A7A0A" w:rsidRPr="008A7A0A">
        <w:rPr>
          <w:noProof/>
          <w:lang w:bidi="hi-IN"/>
        </w:rPr>
        <w:t>(Weissman et al. 2010)</w:t>
      </w:r>
      <w:r w:rsidR="008A7A0A">
        <w:rPr>
          <w:lang w:bidi="hi-IN"/>
        </w:rPr>
        <w:fldChar w:fldCharType="end"/>
      </w:r>
      <w:r w:rsidR="00514DED">
        <w:rPr>
          <w:lang w:bidi="hi-IN"/>
        </w:rPr>
        <w:t xml:space="preserve">. </w:t>
      </w:r>
      <w:r w:rsidR="00914F9D">
        <w:rPr>
          <w:lang w:bidi="hi-IN"/>
        </w:rPr>
        <w:t xml:space="preserve">Our approach is similar to that of </w:t>
      </w:r>
      <w:proofErr w:type="spellStart"/>
      <w:r w:rsidR="00914F9D">
        <w:rPr>
          <w:lang w:bidi="hi-IN"/>
        </w:rPr>
        <w:t>Winreich</w:t>
      </w:r>
      <w:proofErr w:type="spellEnd"/>
      <w:r w:rsidR="00914F9D">
        <w:rPr>
          <w:lang w:bidi="hi-IN"/>
        </w:rPr>
        <w:t xml:space="preserve"> &amp; Chao </w:t>
      </w:r>
      <w:r w:rsidR="00914F9D">
        <w:rPr>
          <w:lang w:bidi="hi-IN"/>
        </w:rPr>
        <w:fldChar w:fldCharType="begin" w:fldLock="1"/>
      </w:r>
      <w:r w:rsidR="00914F9D">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international journal of organic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"(2005)" }, "properties" : { "noteIndex" : 0 }, "schema" : "https://github.com/citation-style-language/schema/raw/master/csl-citation.json" }</w:instrText>
      </w:r>
      <w:r w:rsidR="00914F9D">
        <w:rPr>
          <w:lang w:bidi="hi-IN"/>
        </w:rPr>
        <w:fldChar w:fldCharType="separate"/>
      </w:r>
      <w:r w:rsidR="00914F9D" w:rsidRPr="00914F9D">
        <w:rPr>
          <w:noProof/>
          <w:lang w:bidi="hi-IN"/>
        </w:rPr>
        <w:t>(2005)</w:t>
      </w:r>
      <w:r w:rsidR="00914F9D">
        <w:rPr>
          <w:lang w:bidi="hi-IN"/>
        </w:rPr>
        <w:fldChar w:fldCharType="end"/>
      </w:r>
      <w:r w:rsidR="00914F9D">
        <w:rPr>
          <w:lang w:bidi="hi-IN"/>
        </w:rPr>
        <w:t>, but our model includes different mutational strategies and the effect of deleterious mutations.</w:t>
      </w:r>
      <w:r w:rsidR="00DF6C0E">
        <w:rPr>
          <w:lang w:bidi="hi-IN"/>
        </w:rPr>
        <w:t xml:space="preserve"> Our </w:t>
      </w:r>
      <w:r w:rsidR="00DF6C0E">
        <w:rPr>
          <w:lang w:bidi="hi-IN"/>
        </w:rPr>
        <w:lastRenderedPageBreak/>
        <w:t xml:space="preserve">results </w:t>
      </w:r>
      <w:r w:rsidR="00914F9D" w:rsidRPr="00514DED">
        <w:rPr>
          <w:lang w:bidi="hi-IN"/>
        </w:rPr>
        <w:t>(</w:t>
      </w:r>
      <w:r w:rsidR="00914F9D">
        <w:fldChar w:fldCharType="begin"/>
      </w:r>
      <w:r w:rsidR="00914F9D">
        <w:instrText xml:space="preserve"> REF _Ref360183592 \h  \* MERGEFORMAT </w:instrText>
      </w:r>
      <w:r w:rsidR="00914F9D">
        <w:fldChar w:fldCharType="separate"/>
      </w:r>
      <w:r w:rsidR="007C70D4" w:rsidRPr="007C70D4">
        <w:t>Figure 2</w:t>
      </w:r>
      <w:r w:rsidR="00914F9D">
        <w:fldChar w:fldCharType="end"/>
      </w:r>
      <w:r w:rsidR="00914F9D">
        <w:rPr>
          <w:lang w:bidi="hi-IN"/>
        </w:rPr>
        <w:t>)</w:t>
      </w:r>
      <w:r w:rsidR="00914F9D">
        <w:rPr>
          <w:lang w:bidi="hi-IN"/>
        </w:rPr>
        <w:t xml:space="preserve"> </w:t>
      </w:r>
      <w:r w:rsidR="00DF6C0E">
        <w:rPr>
          <w:lang w:bidi="hi-IN"/>
        </w:rPr>
        <w:t xml:space="preserve">suggest that </w:t>
      </w:r>
      <w:r w:rsidR="00DF6C0E">
        <w:t xml:space="preserve">SIM can help resolve </w:t>
      </w:r>
      <w:r w:rsidR="00E47165">
        <w:t>the</w:t>
      </w:r>
      <w:r w:rsidR="00DF6C0E">
        <w:t xml:space="preserve"> problem</w:t>
      </w:r>
      <w:r w:rsidR="00E47165">
        <w:t xml:space="preserve"> of fitness valley crossing or adaptive peak shifts</w:t>
      </w:r>
      <w:r w:rsidR="00DF6C0E">
        <w:t>.</w:t>
      </w:r>
    </w:p>
    <w:p w:rsidR="00DF6C0E" w:rsidRDefault="00CA3636" w:rsidP="002A0DCC">
      <w:pPr>
        <w:spacing w:line="480" w:lineRule="auto"/>
      </w:pPr>
      <w:r>
        <w:t xml:space="preserve">Our results provide </w:t>
      </w:r>
      <w:r w:rsidR="00DF6C0E">
        <w:t xml:space="preserve">theoretical basis to the conjecture that SIM facilitates adaptation. </w:t>
      </w:r>
      <w:r w:rsidRPr="003757EA">
        <w:t xml:space="preserve">This conjecture can be tested experimentally </w:t>
      </w:r>
      <w:r w:rsidR="00DF6C0E" w:rsidRPr="003757EA">
        <w:t>with</w:t>
      </w:r>
      <w:r w:rsidRPr="003757EA">
        <w:t xml:space="preserve">, for example, </w:t>
      </w:r>
      <w:r w:rsidR="00DF6C0E" w:rsidRPr="003757EA">
        <w:rPr>
          <w:i/>
          <w:iCs/>
        </w:rPr>
        <w:t>E. coli</w:t>
      </w:r>
      <w:r w:rsidR="00DF6C0E" w:rsidRPr="003757EA">
        <w:t xml:space="preserve">, in which </w:t>
      </w:r>
      <w:r w:rsidRPr="003757EA">
        <w:t xml:space="preserve">it is possible to </w:t>
      </w:r>
      <w:r w:rsidR="00DF6C0E" w:rsidRPr="003757EA">
        <w:t xml:space="preserve">interfere with the regulation of </w:t>
      </w:r>
      <w:r w:rsidRPr="003757EA">
        <w:t xml:space="preserve">mutagenesis </w:t>
      </w:r>
      <w:r w:rsidR="00CA7DA9" w:rsidRPr="003757EA">
        <w:fldChar w:fldCharType="begin" w:fldLock="1"/>
      </w:r>
      <w:r w:rsidR="00914F9D">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rsidR="00CA7DA9" w:rsidRPr="003757EA">
        <w:fldChar w:fldCharType="separate"/>
      </w:r>
      <w:r w:rsidR="00663378" w:rsidRPr="00663378">
        <w:rPr>
          <w:noProof/>
        </w:rPr>
        <w:t>(Cirz and Romesberg 2007)</w:t>
      </w:r>
      <w:r w:rsidR="00CA7DA9" w:rsidRPr="003757EA">
        <w:fldChar w:fldCharType="end"/>
      </w:r>
      <w:r w:rsidR="00DF6C0E" w:rsidRPr="003757EA">
        <w:t xml:space="preserve">. </w:t>
      </w:r>
      <w:r w:rsidRPr="003757EA">
        <w:t xml:space="preserve">The adaptation time with and without SIM can be measured in </w:t>
      </w:r>
      <w:r w:rsidR="00DF6C0E" w:rsidRPr="003757EA">
        <w:t xml:space="preserve">an experimental population </w:t>
      </w:r>
      <w:r w:rsidR="004F5395" w:rsidRPr="003757EA">
        <w:t>adapting to</w:t>
      </w:r>
      <w:r w:rsidRPr="003757EA">
        <w:t xml:space="preserve"> a two-peak fitness landscape. These measurements can then be compared to our analytic approximation</w:t>
      </w:r>
      <w:r w:rsidR="004F5395" w:rsidRPr="003757EA">
        <w:t>s</w:t>
      </w:r>
      <w:r w:rsidRPr="003757EA">
        <w:t xml:space="preserve"> </w:t>
      </w:r>
      <w:r w:rsidR="00DF6C0E" w:rsidRPr="003757EA">
        <w:t>to determine the relative advantage and disadvantage of the different mutational strategies.</w:t>
      </w:r>
    </w:p>
    <w:p w:rsidR="00DF6C0E" w:rsidRDefault="00DF6C0E" w:rsidP="002A0DCC">
      <w:pPr>
        <w:pStyle w:val="Heading2"/>
        <w:numPr>
          <w:ilvl w:val="0"/>
          <w:numId w:val="0"/>
        </w:numPr>
        <w:spacing w:line="480" w:lineRule="auto"/>
        <w:ind w:left="357" w:hanging="357"/>
      </w:pPr>
      <w:r>
        <w:t>Conclusions</w:t>
      </w:r>
    </w:p>
    <w:p w:rsidR="00DF6C0E" w:rsidRDefault="00DF6C0E" w:rsidP="00663378">
      <w:pPr>
        <w:spacing w:line="480" w:lineRule="auto"/>
        <w:rPr>
          <w:lang w:bidi="hi-IN"/>
        </w:rPr>
      </w:pPr>
      <w:r>
        <w:rPr>
          <w:lang w:bidi="hi-IN"/>
        </w:rPr>
        <w:t xml:space="preserve">Stress-induced mutagenesis has been implicated as a driver of adaptive evolution for several decades </w:t>
      </w:r>
      <w:r w:rsidR="00CA7DA9">
        <w:rPr>
          <w:lang w:bidi="hi-IN"/>
        </w:rPr>
        <w:fldChar w:fldCharType="begin" w:fldLock="1"/>
      </w:r>
      <w:r w:rsidR="00914F9D">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"mendeley" : { "previouslyFormattedCitation" : "(Cairns et al. 1988; Tenaillon et al. 2004)" }, "properties" : { "noteIndex" : 0 }, "schema" : "https://github.com/citation-style-language/schema/raw/master/csl-citation.json" }</w:instrText>
      </w:r>
      <w:r w:rsidR="00CA7DA9">
        <w:rPr>
          <w:lang w:bidi="hi-IN"/>
        </w:rPr>
        <w:fldChar w:fldCharType="separate"/>
      </w:r>
      <w:r w:rsidR="00663378" w:rsidRPr="00663378">
        <w:rPr>
          <w:noProof/>
          <w:lang w:bidi="hi-IN"/>
        </w:rPr>
        <w:t>(Cairns et al. 1988; Tenaillon et al. 2004)</w:t>
      </w:r>
      <w:r w:rsidR="00CA7DA9">
        <w:rPr>
          <w:lang w:bidi="hi-IN"/>
        </w:rPr>
        <w:fldChar w:fldCharType="end"/>
      </w:r>
      <w:r>
        <w:rPr>
          <w:lang w:bidi="hi-IN"/>
        </w:rPr>
        <w:t xml:space="preserve">. </w:t>
      </w:r>
      <w:r w:rsidR="00A30A19">
        <w:rPr>
          <w:lang w:bidi="hi-IN"/>
        </w:rPr>
        <w:t>Here w</w:t>
      </w:r>
      <w:r w:rsidR="00575BB5">
        <w:rPr>
          <w:lang w:bidi="hi-IN"/>
        </w:rPr>
        <w:t>e provide</w:t>
      </w:r>
      <w:r w:rsidR="007F656F">
        <w:rPr>
          <w:lang w:bidi="hi-IN"/>
        </w:rPr>
        <w:t>d</w:t>
      </w:r>
      <w:r>
        <w:rPr>
          <w:lang w:bidi="hi-IN"/>
        </w:rPr>
        <w:t xml:space="preserve"> theoretical treatment of this </w:t>
      </w:r>
      <w:r w:rsidR="007F656F">
        <w:rPr>
          <w:lang w:bidi="hi-IN"/>
        </w:rPr>
        <w:t>concept</w:t>
      </w:r>
      <w:r>
        <w:rPr>
          <w:lang w:bidi="hi-IN"/>
        </w:rPr>
        <w:t>. We show</w:t>
      </w:r>
      <w:r w:rsidR="00A30A19">
        <w:rPr>
          <w:lang w:bidi="hi-IN"/>
        </w:rPr>
        <w:t>ed</w:t>
      </w:r>
      <w:r>
        <w:rPr>
          <w:lang w:bidi="hi-IN"/>
        </w:rPr>
        <w:t xml:space="preserve">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a fundamental </w:t>
      </w:r>
      <w:r w:rsidR="000C3573">
        <w:rPr>
          <w:lang w:bidi="hi-IN"/>
        </w:rPr>
        <w:t>element</w:t>
      </w:r>
      <w:r w:rsidR="00FB30D0">
        <w:rPr>
          <w:lang w:bidi="hi-IN"/>
        </w:rPr>
        <w:t xml:space="preserve"> in every biological </w:t>
      </w:r>
      <w:r w:rsidR="000C3573">
        <w:rPr>
          <w:lang w:bidi="hi-IN"/>
        </w:rPr>
        <w:t>system</w:t>
      </w:r>
      <w:r w:rsidR="00FB30D0">
        <w:rPr>
          <w:lang w:bidi="hi-IN"/>
        </w:rPr>
        <w:t>, these results have important implication</w:t>
      </w:r>
      <w:r w:rsidR="00A40A47">
        <w:rPr>
          <w:lang w:bidi="hi-IN"/>
        </w:rPr>
        <w:t>s</w:t>
      </w:r>
      <w:r w:rsidR="00FB30D0">
        <w:rPr>
          <w:lang w:bidi="hi-IN"/>
        </w:rPr>
        <w:t xml:space="preserve"> on many fields in the </w:t>
      </w:r>
      <w:r w:rsidR="00446BDA">
        <w:rPr>
          <w:lang w:bidi="hi-IN"/>
        </w:rPr>
        <w:t xml:space="preserve">medical and </w:t>
      </w:r>
      <w:r w:rsidR="00FB30D0">
        <w:rPr>
          <w:lang w:bidi="hi-IN"/>
        </w:rPr>
        <w:t xml:space="preserve">life </w:t>
      </w:r>
      <w:r w:rsidR="00A40A47">
        <w:rPr>
          <w:lang w:bidi="hi-IN"/>
        </w:rPr>
        <w:t>sciences, including epidemiology</w:t>
      </w:r>
      <w:r w:rsidR="00FB30D0">
        <w:rPr>
          <w:lang w:bidi="hi-IN"/>
        </w:rPr>
        <w:t>, ecology and evolutionary biology</w:t>
      </w:r>
      <w:r w:rsidR="00F441B1">
        <w:rPr>
          <w:lang w:bidi="hi-IN"/>
        </w:rPr>
        <w:t>.</w:t>
      </w:r>
    </w:p>
    <w:p w:rsidR="00F441B1" w:rsidRDefault="00F441B1" w:rsidP="002A0DCC">
      <w:pPr>
        <w:pStyle w:val="Heading1"/>
        <w:spacing w:line="480" w:lineRule="auto"/>
      </w:pPr>
      <w:r>
        <w:t>Acknowledgments</w:t>
      </w:r>
    </w:p>
    <w:p w:rsidR="00F441B1" w:rsidRDefault="00F441B1" w:rsidP="004703D4">
      <w:pPr>
        <w:spacing w:line="480" w:lineRule="auto"/>
      </w:pPr>
      <w:r w:rsidRPr="00EF44A6">
        <w:t>We thank the</w:t>
      </w:r>
      <w:r w:rsidR="00E4716C">
        <w:t xml:space="preserve"> organizers of the</w:t>
      </w:r>
      <w:r w:rsidRPr="00EF44A6">
        <w:t xml:space="preserve"> SIDEER 2013 Symposium (</w:t>
      </w:r>
      <w:hyperlink r:id="rId11" w:history="1">
        <w:r w:rsidR="003B4B81" w:rsidRPr="00EF44A6">
          <w:rPr>
            <w:rStyle w:val="Hyperlink"/>
          </w:rPr>
          <w:t>http://www.bgu.ac.il/BIDR/conf/sideergrads/SIDEER_symposium/</w:t>
        </w:r>
      </w:hyperlink>
      <w:r w:rsidRPr="00EF44A6">
        <w:t>)</w:t>
      </w:r>
      <w:r w:rsidR="00B25D55" w:rsidRPr="00EF44A6">
        <w:t xml:space="preserve"> for initial motivation for this project</w:t>
      </w:r>
      <w:r w:rsidR="009D54F1">
        <w:t>,</w:t>
      </w:r>
      <w:r w:rsidR="00B25D55" w:rsidRPr="00EF44A6">
        <w:t xml:space="preserve"> U</w:t>
      </w:r>
      <w:r w:rsidR="009D54F1">
        <w:t>.</w:t>
      </w:r>
      <w:r w:rsidR="00B25D55" w:rsidRPr="00EF44A6">
        <w:t xml:space="preserve"> </w:t>
      </w:r>
      <w:proofErr w:type="spellStart"/>
      <w:r w:rsidR="00B25D55" w:rsidRPr="00EF44A6">
        <w:t>Obolski</w:t>
      </w:r>
      <w:proofErr w:type="spellEnd"/>
      <w:r w:rsidR="00B25D55" w:rsidRPr="00EF44A6">
        <w:t xml:space="preserve"> for help with statistical analysis</w:t>
      </w:r>
      <w:r w:rsidR="004703D4">
        <w:t xml:space="preserve">. We are </w:t>
      </w:r>
      <w:r w:rsidR="004703D4">
        <w:lastRenderedPageBreak/>
        <w:t>grateful to</w:t>
      </w:r>
      <w:r w:rsidR="009D54F1">
        <w:t xml:space="preserve"> A.F. Agrawal and two anonymous reviewers for </w:t>
      </w:r>
      <w:r w:rsidR="004703D4">
        <w:t xml:space="preserve">their </w:t>
      </w:r>
      <w:r w:rsidR="009D54F1">
        <w:t xml:space="preserve">comments on </w:t>
      </w:r>
      <w:r w:rsidR="004703D4">
        <w:t xml:space="preserve">earlier version of this </w:t>
      </w:r>
      <w:r w:rsidR="009D54F1">
        <w:t>manuscript</w:t>
      </w:r>
      <w:r w:rsidR="00B25D55" w:rsidRPr="00EF44A6">
        <w:t>.</w:t>
      </w:r>
      <w:r w:rsidR="009D54F1">
        <w:t xml:space="preserve"> </w:t>
      </w:r>
      <w:r w:rsidR="00B25D55" w:rsidRPr="00EF44A6">
        <w:t>This research has been supported in part by the Israeli Science Foundation</w:t>
      </w:r>
      <w:r w:rsidR="00A0028F">
        <w:t xml:space="preserve"> </w:t>
      </w:r>
      <w:r w:rsidR="00A0028F" w:rsidRPr="00A0028F">
        <w:t>1568/13</w:t>
      </w:r>
      <w:r w:rsidR="00A0028F">
        <w:t xml:space="preserve"> (LH)</w:t>
      </w:r>
      <w:r w:rsidR="00B25D55" w:rsidRPr="00EF44A6">
        <w:t xml:space="preserve"> </w:t>
      </w:r>
      <w:r w:rsidR="00EF44A6" w:rsidRPr="00EF44A6">
        <w:t>and by Marie Curie reintegration grant 2007–224866 (LH)</w:t>
      </w:r>
      <w:r w:rsidR="003D306F" w:rsidRPr="00EF44A6">
        <w:t>.</w:t>
      </w:r>
      <w:r>
        <w:t xml:space="preserve"> </w:t>
      </w:r>
    </w:p>
    <w:p w:rsidR="00347C94" w:rsidRDefault="005B46B9" w:rsidP="00347C94">
      <w:pPr>
        <w:pStyle w:val="Heading1"/>
        <w:spacing w:line="480" w:lineRule="auto"/>
      </w:pPr>
      <w:r>
        <w:t>Literature cited</w:t>
      </w:r>
    </w:p>
    <w:p w:rsidR="00914F9D" w:rsidRPr="00914F9D" w:rsidRDefault="007F0A97">
      <w:pPr>
        <w:pStyle w:val="NormalWeb"/>
        <w:divId w:val="612516001"/>
        <w:rPr>
          <w:rFonts w:ascii="Palatino Linotype" w:hAnsi="Palatino Linotype"/>
          <w:noProof/>
          <w:sz w:val="22"/>
        </w:rPr>
      </w:pPr>
      <w:r>
        <w:fldChar w:fldCharType="begin" w:fldLock="1"/>
      </w:r>
      <w:r>
        <w:instrText xml:space="preserve">ADDIN Mendeley Bibliography CSL_BIBLIOGRAPHY </w:instrText>
      </w:r>
      <w:r>
        <w:fldChar w:fldCharType="separate"/>
      </w:r>
      <w:r w:rsidR="00914F9D" w:rsidRPr="00914F9D">
        <w:rPr>
          <w:rFonts w:ascii="Palatino Linotype" w:hAnsi="Palatino Linotype"/>
          <w:noProof/>
          <w:sz w:val="22"/>
        </w:rPr>
        <w:t>Agrawal, A. F. 2002. Genetic loads under fitness-dependent mutation rates. J. Evol. Biol. 15:1004–1010. Wiley Online Library.</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Al Mamun, A. A. M., M.-J. Lombardo, C. Shee, A. M. Lisewski, C. Gonzalez, D. Lin, R. B. Nehring, C. Saint-Ruf, J. L. Gibson, R. L. Frisch, O. Lichtarge, P. J. Hastings, and S. M. Rosenberg. 2012. Identity and function of a large gene network underlying mutagenic repair of DNA breaks. Science (80-. ). 338:1344–8.</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Berg, O. G. 1996. Selection intensity for codon bias and the effective population size of Escherichia coli. Genetics 142:1379–82.</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Bjedov, I., O. Tenaillon, B. Gérard, V. Souza, E. Denamur, M. Radman, F. Taddei, and I. Matic. 2003. Stress-induced mutagenesis in bacteria. Science (80-. ). 300:1404–9.</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Bristow, R. G., and R. P. Hill. 2008. Hypoxia and metabolism: Hypoxia, DNA repair and genetic instability. Nat. Rev. Cancer 8:180–92. Nature Publishing Group.</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Cairns, J., J. Overbaugh, and S. Miller. 1988. The origin of mutants. Nature 335:142–5.</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Cirz, R. T., and F. E. Romesberg. 2007. Controlling mutation: intervening in evolution as a therapeutic strategy. Crit. Rev. Biochem. Mol. Biol. 42:341–54.</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Coyne, J. A., N. H. Barton, and M. Turelli. 2000. Is Wright’s shifting balance process important in evolution? Evolution (N. Y). 54:306–317.</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Crow, J. F., W. R. Engels, and C. Denniston. 1990. Phase Three of Wright’s Shifting-Balance Theory. Evolution (N. Y). 44:233.</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Dawson, K. J. 1998. Evolutionarily stable mutation rates. J. Theor. Biol. 194:143–57.</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De Visser, J. A. G. M. 2002. The fate of microbial mutators. Microbiology 148:1247–52.</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lastRenderedPageBreak/>
        <w:t>Debora, B. N., L. E. Vidales, R. Ramírez, M. Ramírez, E. A. Robleto, R. E. Yasbin, and M. Pedraza-Reyes. 2010. Mismatch Repair Modulation of MutY Activity Drives Bacillus subtilis Stationary-Phase Mutagenesis. J. Bacteriol. 193:236–45.</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Denamur, E., and I. Matic. 2006. Evolution of mutation rates in bacteria. Mol. Microbiol. 60:820–7.</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Drake, J. W., B. Charlesworth, D. Charlesworth, and J. F. Crow. 1998. Rates of spontaneous mutation. Genetics 148:1667–86. Genetics Soc America.</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Eshel, I. 1981. On the survival probability of a slightly advantageous mutant gene with a general distribution of progeny size - a branching process model. J. Math. Biol. 12:355–362.</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Fisher, R. A. 1930. The Genetical Theory of Natural Selection. Clarendon Press, Oxford.</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Foster, P. L. 2007. Stress-induced mutagenesis in bacteria. Crit. Rev. Biochem. Mol. Biol. 42:373–97.</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Galhardo, R. S., P. J. Hastings, and S. M. Rosenberg. 2007. Mutation as a stress response and the regulation of evolvability. Crit. Rev. Biochem. Mol. Biol. 42:399–435.</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Gavrilets, S. 1996. On phase three of the shifting-balance theory. Evolution (N. Y). 50:1034–1041. JSTOR.</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Gentile, C. F., S.-C. Yu, S. A. Serrano, P. J. Gerrish, and P. D. Sniegowski. 2011. Competition between high- and higher-mutating strains of Escherichia coli. Biol. Lett. 7:422–4.</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Giraud, A., I. Matic, O. Tenaillon, A. Clara, M. Radman, M. Fons, and F. Taddei. 2001. Costs and benefits of high mutation rates: adaptive evolution of bacteria in the mouse gut. Science (80-. ). 291:2606–8.</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Goho, S., and G. Bell. 2000. Mild environmental stress elicits mutations affecting fitness in Chlamydomonas. Proc. R. Soc. B Biol. Sci. 267:123–9.</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Gordo, I., and F. Dionisio. 2005. Nonequilibrium model for estimating parameters of deleterious mutations. Phys. Rev. E 71:18–21.</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Gordo, I., L. Perfeito, and A. Sousa. 2011. Fitness effects of mutations in bacteria. J. Mol. Microbiol. Biotechnol. 21:20–35.</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Hadany, L. 2003. Adaptive peak shifts in a heterogenous environment. Theor. Popul. Biol. 63:41–51.</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lastRenderedPageBreak/>
        <w:t>Hadany, L., and T. Beker. 2003. Fitness-associated recombination on rugged adaptive landscapes. J. Evol. Biol. 16:862–870.</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Haigh, J. 1978. The accumulation of deleterious genes in a population - Muller’s Ratchet. Theor. Popul. Biol. 14:251–267.</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Hall, L. M. C., and S. K. Henderson-Begg. 2006. Hypermutable bacteria isolated from humans--a critical analysis. Microbiology 152:2505–14.</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Hartfield, M., and S. P. Otto. 2011. Recombination and hitchhiking of deleterious alleles. Evolution 65:2421–34.</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Heidenreich, E. 2007. Adaptive mutation in Saccharomyces cerevisiae. Crit. Rev. Biochem. Mol. Biol. 42:285–311.</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Henderson-Begg, S. K., D. M. Livermore, and L. M. C. Hall. 2006. Effect of subinhibitory concentrations of antibiotics on mutation frequency in Streptococcus pneumoniae. J. Antimicrob. Chemother. 57:849–54.</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Kang, J. M., N. M. Iovine, and M. J. Blaser. 2006. A paradigm for direct stress-induced mutation in prokaryotes. FASEB J. 20:2476–85.</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Kessler, D. A., and H. Levine. 1998. Mutator Dynamics on a Smooth Evolutionary Landscape. Phys. Rev. Lett. 80:2012–2015.</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Kibota, T. T., and M. Lynch. 1996. Estimate of the genomic mutation rate deleterious to overall fitness in E. coli. Nature 381:694–6.</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Kivisaar, M. 2010. Mechanisms of stationary-phase mutagenesis in bacteria: mutational processes in pseudomonads. FEMS Microbiol. Lett. 312:1–14.</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Leigh, E. G. J. 1970. Natural Selection and Mutability. Am. Nat. 104:301–305.</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Loh, E., J. J. Salk, and L. A. Loeb. 2010. Optimization of DNA polymerase mutation rates during bacterial evolution. Proc. Natl. Acad. Sci. 107:1154–9.</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Matsuba, C., D. G. Ostrow, M. P. Salomon, A. Tolani, and C. F. Baer. 2012. Temperature, stress and spontaneous mutation in Caenorhabditis briggsae and Caenorhabditis elegans. Biol. Lett. 8–12.</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Moore, F. B.-G., and S. J. Tonsor. 1994. A Simulation of Wright’s Shifting-Balance Process: Migration and the Three Phases. Evolution (N. Y). 48:69.</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Obolski, U., and L. Hadany. 2012. Implications of stress-induced genetic variation for minimizing multidrug resistance in bacteria. BMC Med. 10:1–30.</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lastRenderedPageBreak/>
        <w:t>Peck, S. L., S. P. Ellner, and F. Gould. 2000. Varying migration and deme size and the feasibility of the shifting balance. Evolution 54:324–7.</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Ponder, R. G., N. C. Fonville, and S. M. Rosenberg. 2005. A switch from high-fidelity to error-prone DNA double-strand break repair underlies stress-induced mutation. Mol. Cell 19:791–804.</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Pupo, G. M., and B. J. Richardson. 1995. Biochemical genetics of a natural population of Escherichia coli: seasonal changes in alleles and haplotypes. Microbiology 141:1037–44.</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Ram, Y., and L. Hadany. 2012. The evolution of stress-induced hypermutation in asexual populations. Evolution (N. Y). 66:2315–28.</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Rodriguez, G. P., N. V Romanova, G. Bao, N. C. Rouf, Y. W. Kow, and G. F. Crouse. 2012. Mismatch repair-dependent mutagenesis in nondividing cells. Proc. Natl. Acad. Sci. 109:6153–8.</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Rosenberg, S. M., C. Shee, R. L. Frisch, and P. J. Hastings. 2012. Stress-induced mutation via DNA breaks in Escherichia coli: A molecular mechanism with implications for evolution and medicine. BioEssays 1–8.</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Sharp, N. P., and A. F. Agrawal. 2012. Evidence for elevated mutation rates in low-quality genotypes. Proc. Natl. Acad. Sci. 109:6142–6.</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Shaw, F. H., and C. F. Baer. 2011. Fitness-dependent mutation rates in finite populations. J. Evol. Biol. 24:1677–84.</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Shee, C., J. L. Gibson, M. C. Darrow, C. Gonzalez, and S. M. Rosenberg. 2011. Impact of a stress-inducible switch to mutagenic repair of DNA breaks on mutation in Escherichia coli. Proc. Natl. Acad. Sci. 108:13659–13664.</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Shor, E., C. a. Fox, and J. R. Broach. 2013. The Yeast Environmental Stress Response Regulates Mutagenesis Induced by Proteotoxic Stress. PLoS Genet. 9:e1003680.</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Sniegowski, P. D., P. J. Gerrish, T. Johnson, and A. Shaver. 2000. The evolution of mutation rates: separating causes from consequences. BioEssays 22:1057–66.</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Sniegowski, P. D., P. J. Gerrish, and R. E. Lenski. 1997. Evolution of high mutation rates in experimental populations of E. coli. Nature 387:703–5. Nature Publishing Group.</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Sung, W., M. S. Ackerman, S. F. Miller, T. G. Doak, and M. Lynch. 2012. Drift-barrier hypothesis and mutation-rate evolution. Proc. Natl. Acad. Sci., doi: 10.1073/pnas.1216223109.</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lastRenderedPageBreak/>
        <w:t>Taddei, F., M. Radman, J. Maynard Smith, B. Toupance, P.-H. Gouyon, and B. Godelle. 1997. Role of mutator alleles in adaptive evolution. Nature 387:700–2.</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Tenaillon, O., E. Denamur, and I. Matic. 2004. Evolutionary significance of stress-induced mutagenesis in bacteria. Trends Microbiol. 12:264–70.</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Tenaillon, O., H. Le Nagard, B. Godelle, and F. Taddei. 2000. Mutators and sex in bacteria: conflict between adaptive strategies. Proc. Natl. Acad. Sci. 97:10465–70. National Acad Sciences.</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Tenaillon, O., F. Taddei, M. Radman, and I. Matic. 2001. Second-order selection in bacterial evolution: selection acting on mutation and recombination rates in the course of adaptation. Res. Microbiol. 152:11–6.</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Tenaillon, O., B. Toupance, H. Le Nagard, F. Taddei, and B. Godelle. 1999. Mutators, Population Size, Adaptive Landscape and the Adaptation of Asexual Populations of Bacteria. Genetics 152:485–493.</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Torres-Barceló, C., G. Cabot, A. Oliver, A. Buckling, and R. C. Maclean. 2013. A trade-off between oxidative stress resistance and DNA repair plays a role in the evolution of elevated mutation rates in bacteria. Proc. Biol. Sci. 280:20130007.</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Turrientes, M.-C., F. Baquero, B. R. Levin, J.-L. Martínez, A. Ripoll, J.-M. González-Alba, R. Tobes, M. Manrique, M.-R. Baquero, M.-J. Rodríguez-Domínguez, R. Cantón, and J.-C. Galán. 2013. Normal Mutation Rate Variants Arise in a Mutator (Mut S) Escherichia coli Population. PLoS One 8:e72963.</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Wade, M., and C. Goodnight. 1991. Wright’s shifting balance theory: an experimental study. Science (80-. ). 253:1015–1018.</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Weinreich, D. M., and L. Chao. 2005. Rapid evolutionary escape by large populations from local fitness peaks is likely in nature. Evolution 59:1175–82.</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Weissman, D. B., M. W. Feldman, and D. S. Fisher. 2010. The rate of fitness-valley crossing in sexual populations. Genetics 186:1389–410.</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Whitlock, M. C. 1997. Founder Effects and Peak Shifts Without Genetic Drift: Adaptive Peak Shifts Occur Easily When Environments Fluctuate Slightly. Evolution (N. Y). 51:1044.</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Whitlock, M. C. 1995. Variance-Induced Peak Shifts. Evolution (N. Y). 49:252.</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Whitlock, M. C., and P. C. Phillips. 2000. The exquisite corpse: a shifting view of the shifting balance. Trends Ecol. Evol. 15:347–348.</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 xml:space="preserve">Wielgoss, S., J. E. Barrick, O. Tenaillon, S. Cruveiller, B. Chane-Woon-Ming, C. Médigue, R. E. Lenski, and D. Schneider. 2011. Mutation Rate Inferred From </w:t>
      </w:r>
      <w:r w:rsidRPr="00914F9D">
        <w:rPr>
          <w:rFonts w:ascii="Palatino Linotype" w:hAnsi="Palatino Linotype"/>
          <w:noProof/>
          <w:sz w:val="22"/>
        </w:rPr>
        <w:lastRenderedPageBreak/>
        <w:t>Synonymous Substitutions in a Long-Term Evolution Experiment With Escherichia coli. G3 Genes, Genomes, Genet. 1:183. Genetics Society of America.</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Wielgoss, S., J. E. Barrick, O. Tenaillon, M. J. Wiser, W. J. Dittmar, S. Cruveiller, B. Chane-Woon-Ming, C. Medigue, R. E. Lenski, and D. Schneider. 2012. Mutation rate dynamics in a bacterial population reflect tension between adaptation and genetic load. Proc. Natl. Acad. Sci. 110:222–227.</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Wright, S. 1931. Evolution in Mendelian Populations. Genetics 16:97–159.</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 xml:space="preserve">Wright, S. 1988. Surfaces of selective value revisited. Am. Nat. 131:115–123. </w:t>
      </w:r>
    </w:p>
    <w:p w:rsidR="00347C94" w:rsidRPr="00347C94" w:rsidRDefault="007F0A97" w:rsidP="00914F9D">
      <w:pPr>
        <w:pStyle w:val="NormalWeb"/>
        <w:divId w:val="617611515"/>
      </w:pPr>
      <w:r>
        <w:fldChar w:fldCharType="end"/>
      </w:r>
    </w:p>
    <w:p w:rsidR="00096116" w:rsidRDefault="00096116" w:rsidP="002A0DCC">
      <w:pPr>
        <w:pStyle w:val="Heading1"/>
        <w:spacing w:line="480" w:lineRule="auto"/>
      </w:pPr>
      <w:r>
        <w:t>Appendi</w:t>
      </w:r>
      <w:r w:rsidR="004747BD">
        <w:t>ces</w:t>
      </w:r>
    </w:p>
    <w:p w:rsidR="00096116" w:rsidRDefault="0002786D" w:rsidP="002A0DCC">
      <w:pPr>
        <w:pStyle w:val="Heading2"/>
        <w:numPr>
          <w:ilvl w:val="0"/>
          <w:numId w:val="0"/>
        </w:numPr>
        <w:spacing w:line="480" w:lineRule="auto"/>
        <w:ind w:left="357" w:hanging="357"/>
      </w:pPr>
      <w:bookmarkStart w:id="16" w:name="_Ref360530640"/>
      <w:bookmarkStart w:id="17" w:name="_Ref363980873"/>
      <w:r>
        <w:t xml:space="preserve">Appendix </w:t>
      </w:r>
      <w:bookmarkEnd w:id="16"/>
      <w:r w:rsidR="000F7D03">
        <w:t>1</w:t>
      </w:r>
      <w:bookmarkEnd w:id="17"/>
    </w:p>
    <w:p w:rsidR="0002786D" w:rsidRDefault="00044F35" w:rsidP="00E628F4">
      <w:pPr>
        <w:spacing w:line="480" w:lineRule="auto"/>
      </w:pPr>
      <w:r>
        <w:t xml:space="preserve">In the following analysis we assume that </w:t>
      </w:r>
      <m:oMath>
        <m:r>
          <w:rPr>
            <w:rFonts w:ascii="Cambria Math" w:hAnsi="Cambria Math"/>
          </w:rPr>
          <m:t>μ≪U≪s</m:t>
        </m:r>
      </m:oMath>
      <w:r>
        <w:rPr>
          <w:rFonts w:eastAsiaTheme="minorEastAsia"/>
        </w:rPr>
        <w:t xml:space="preserve"> </w:t>
      </w:r>
      <m:oMath>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Pr>
          <w:rFonts w:eastAsiaTheme="minorEastAsia"/>
        </w:rPr>
        <w:t xml:space="preserve"> – see model overview for details</w:t>
      </w:r>
      <w:r w:rsidR="00E628F4">
        <w:rPr>
          <w:rFonts w:eastAsiaTheme="minorEastAsia"/>
        </w:rPr>
        <w:t xml:space="preserve"> – which also means </w:t>
      </w:r>
      <w:proofErr w:type="gramStart"/>
      <w:r w:rsidR="00E628F4">
        <w:rPr>
          <w:rFonts w:eastAsiaTheme="minorEastAsia"/>
        </w:rPr>
        <w:t xml:space="preserve">that </w:t>
      </w:r>
      <w:proofErr w:type="gramEnd"/>
      <m:oMath>
        <m:r>
          <w:rPr>
            <w:rFonts w:ascii="Cambria Math" w:eastAsiaTheme="minorEastAsia" w:hAnsi="Cambria Math"/>
          </w:rPr>
          <m:t>U+2μ</m:t>
        </m:r>
        <m:r>
          <w:rPr>
            <w:rFonts w:ascii="Cambria Math" w:hAnsi="Cambria Math"/>
          </w:rPr>
          <m:t>≈U</m:t>
        </m:r>
      </m:oMath>
      <w:r>
        <w:rPr>
          <w:rFonts w:eastAsiaTheme="minorEastAsia"/>
        </w:rPr>
        <w:t>.</w:t>
      </w:r>
      <w:r>
        <w:t xml:space="preserve"> </w:t>
      </w:r>
      <w:r w:rsidR="0002786D">
        <w:t xml:space="preserve">The </w:t>
      </w:r>
      <w:r w:rsidR="008E7880">
        <w:t>probability</w:t>
      </w:r>
      <w:r w:rsidR="008E7880">
        <w:rPr>
          <w:i/>
          <w:iCs/>
        </w:rPr>
        <w:t xml:space="preserve"> q</w:t>
      </w:r>
      <w:r w:rsidR="008E7880">
        <w:t xml:space="preserve"> that a random individual in the next generation is </w:t>
      </w:r>
      <w:r w:rsidR="008E7880">
        <w:rPr>
          <w:i/>
          <w:iCs/>
        </w:rPr>
        <w:t>AB</w:t>
      </w:r>
      <w:r w:rsidR="008E7880">
        <w:t xml:space="preserve"> given there are no </w:t>
      </w:r>
      <w:r w:rsidR="008E7880">
        <w:rPr>
          <w:i/>
          <w:iCs/>
        </w:rPr>
        <w:t>AB</w:t>
      </w:r>
      <w:r w:rsidR="008E7880">
        <w:t xml:space="preserve"> in the current generation</w:t>
      </w:r>
      <w:r w:rsidR="00F8069F">
        <w:t xml:space="preserve"> can be approximated by</w:t>
      </w:r>
      <w:r w:rsidR="0002786D">
        <w:t>:</w:t>
      </w:r>
    </w:p>
    <w:p w:rsidR="0002786D" w:rsidRPr="00AD20B2" w:rsidRDefault="0002786D" w:rsidP="00ED26AF">
      <w:pPr>
        <w:spacing w:line="480" w:lineRule="auto"/>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-U-U/s</m:t>
            </m:r>
          </m:sup>
        </m:sSup>
        <m:d>
          <m:dPr>
            <m:ctrlPr>
              <w:rPr>
                <w:rFonts w:ascii="Cambria Math" w:hAnsi="Cambria Math"/>
                <w:i/>
              </w:rPr>
            </m:ctrlPr>
          </m:dPr>
          <m:e>
            <m:r>
              <w:rPr>
                <w:rFonts w:ascii="Cambria Math" w:hAnsi="Cambria Math"/>
              </w:rPr>
              <m:t>2+s</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2+s</m:t>
            </m:r>
          </m:e>
        </m:d>
      </m:oMath>
      <w:r w:rsidR="00C36DFD">
        <w:rPr>
          <w:rFonts w:eastAsiaTheme="minorEastAsia"/>
        </w:rPr>
        <w:t>.</w:t>
      </w:r>
    </w:p>
    <w:p w:rsidR="0002786D" w:rsidRDefault="00C36DFD" w:rsidP="00ED26AF">
      <w:pPr>
        <w:spacing w:line="480" w:lineRule="auto"/>
      </w:pPr>
      <w:r w:rsidRPr="00C36DFD">
        <w:t>Now, we assume</w:t>
      </w:r>
      <w:r w:rsidR="0002786D" w:rsidRPr="00C36DFD">
        <w:t xml:space="preserve"> that </w:t>
      </w:r>
      <m:oMath>
        <m:r>
          <w:rPr>
            <w:rFonts w:ascii="Cambria Math" w:hAnsi="Cambria Math"/>
          </w:rPr>
          <m:t>U≪</m:t>
        </m:r>
        <m:f>
          <m:fPr>
            <m:type m:val="lin"/>
            <m:ctrlPr>
              <w:rPr>
                <w:rFonts w:ascii="Cambria Math" w:hAnsi="Cambria Math"/>
                <w:i/>
                <w:iCs/>
              </w:rPr>
            </m:ctrlPr>
          </m:fPr>
          <m:num>
            <m:r>
              <w:rPr>
                <w:rFonts w:ascii="Cambria Math" w:hAnsi="Cambria Math"/>
              </w:rPr>
              <m:t>U</m:t>
            </m:r>
          </m:num>
          <m:den>
            <m:r>
              <w:rPr>
                <w:rFonts w:ascii="Cambria Math" w:hAnsi="Cambria Math"/>
              </w:rPr>
              <m:t>s</m:t>
            </m:r>
          </m:den>
        </m:f>
      </m:oMath>
      <w:r w:rsidR="00ED26AF">
        <w:rPr>
          <w:rFonts w:eastAsiaTheme="minorEastAsia"/>
          <w:iCs/>
        </w:rPr>
        <w:t xml:space="preserve"> </w:t>
      </w:r>
      <w:proofErr w:type="gramStart"/>
      <w:r w:rsidR="00ED26AF">
        <w:rPr>
          <w:rFonts w:eastAsiaTheme="minorEastAsia"/>
          <w:iCs/>
        </w:rPr>
        <w:t xml:space="preserve">and </w:t>
      </w:r>
      <w:proofErr w:type="gramEnd"/>
      <m:oMath>
        <m:r>
          <w:rPr>
            <w:rFonts w:ascii="Cambria Math" w:hAnsi="Cambria Math"/>
          </w:rPr>
          <m:t>s≪2</m:t>
        </m:r>
      </m:oMath>
      <w:r w:rsidR="0002786D" w:rsidRPr="00C36DFD">
        <w:t xml:space="preserve">. </w:t>
      </w:r>
      <w:r>
        <w:t>This gives us:</w:t>
      </w:r>
      <w:r w:rsidR="0002786D">
        <w:t xml:space="preserve"> </w:t>
      </w:r>
    </w:p>
    <w:p w:rsidR="00946A45" w:rsidRDefault="00946A45" w:rsidP="004C763B">
      <w:pPr>
        <w:spacing w:line="480" w:lineRule="auto"/>
        <w:jc w:val="center"/>
      </w:pPr>
      <m:oMath>
        <m:r>
          <w:rPr>
            <w:rFonts w:ascii="Cambria Math" w:hAnsi="Cambria Math"/>
          </w:rPr>
          <m:t>q≈2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t>.</w:t>
      </w:r>
    </w:p>
    <w:p w:rsidR="00560C54" w:rsidRDefault="00560C54" w:rsidP="00560C54">
      <w:pPr>
        <w:spacing w:line="480" w:lineRule="auto"/>
      </w:pPr>
      <w:r>
        <w:t xml:space="preserve">Taking the derivative w.r.t </w:t>
      </w:r>
      <w:r>
        <w:rPr>
          <w:i/>
          <w:iCs/>
        </w:rPr>
        <w:t>U</w:t>
      </w:r>
      <w:r>
        <w:t xml:space="preserve">, assuming </w:t>
      </w:r>
      <m:oMath>
        <m:r>
          <w:rPr>
            <w:rFonts w:ascii="Cambria Math" w:hAnsi="Cambria Math" w:cs="Times New Roman"/>
          </w:rPr>
          <m:t>µ</m:t>
        </m:r>
        <m:r>
          <w:rPr>
            <w:rFonts w:ascii="Cambria Math" w:hAnsi="Cambria Math"/>
          </w:rPr>
          <m:t>=</m:t>
        </m:r>
        <m:f>
          <m:fPr>
            <m:type m:val="lin"/>
            <m:ctrlPr>
              <w:rPr>
                <w:rFonts w:ascii="Cambria Math" w:hAnsi="Cambria Math"/>
                <w:i/>
                <w:iCs/>
              </w:rPr>
            </m:ctrlPr>
          </m:fPr>
          <m:num>
            <m:r>
              <w:rPr>
                <w:rFonts w:ascii="Cambria Math" w:hAnsi="Cambria Math"/>
              </w:rPr>
              <m:t>U</m:t>
            </m:r>
          </m:num>
          <m:den>
            <m:r>
              <w:rPr>
                <w:rFonts w:ascii="Cambria Math" w:hAnsi="Cambria Math"/>
              </w:rPr>
              <m:t>g</m:t>
            </m:r>
          </m:den>
        </m:f>
      </m:oMath>
      <w:r w:rsidR="00866ADE">
        <w:rPr>
          <w:rFonts w:eastAsiaTheme="minorEastAsia"/>
          <w:iCs/>
        </w:rPr>
        <w:t xml:space="preserve"> for some </w:t>
      </w:r>
      <w:r w:rsidR="00866ADE">
        <w:rPr>
          <w:rFonts w:eastAsiaTheme="minorEastAsia"/>
          <w:i/>
        </w:rPr>
        <w:t>g&gt;1</w:t>
      </w:r>
      <w:r>
        <w:t>:</w:t>
      </w:r>
    </w:p>
    <w:p w:rsidR="00560C54" w:rsidRPr="00560C54" w:rsidRDefault="00BD0663" w:rsidP="00560C54">
      <w:pPr>
        <w:spacing w:line="480" w:lineRule="auto"/>
        <w:jc w:val="center"/>
        <w:rPr>
          <w:rFonts w:eastAsiaTheme="minorEastAsia"/>
        </w:rPr>
      </w:pPr>
      <m:oMath>
        <m:f>
          <m:fPr>
            <m:ctrlPr>
              <w:rPr>
                <w:rFonts w:ascii="Cambria Math" w:hAnsi="Cambria Math"/>
                <w:i/>
              </w:rPr>
            </m:ctrlPr>
          </m:fPr>
          <m:num>
            <m:r>
              <w:rPr>
                <w:rFonts w:ascii="Cambria Math" w:hAnsi="Cambria Math"/>
              </w:rPr>
              <m:t>dq</m:t>
            </m:r>
          </m:num>
          <m:den>
            <m:r>
              <w:rPr>
                <w:rFonts w:ascii="Cambria Math" w:hAnsi="Cambria Math"/>
              </w:rPr>
              <m:t>dU</m:t>
            </m:r>
          </m:den>
        </m:f>
        <m:r>
          <w:rPr>
            <w:rFonts w:ascii="Cambria Math" w:hAnsi="Cambria Math"/>
          </w:rPr>
          <m:t>=</m:t>
        </m:r>
        <m:f>
          <m:fPr>
            <m:ctrlPr>
              <w:rPr>
                <w:rFonts w:ascii="Cambria Math" w:hAnsi="Cambria Math"/>
                <w:i/>
              </w:rPr>
            </m:ctrlPr>
          </m:fPr>
          <m:num>
            <m:r>
              <w:rPr>
                <w:rFonts w:ascii="Cambria Math" w:hAnsi="Cambria Math"/>
              </w:rPr>
              <m:t>2U</m:t>
            </m:r>
            <m:d>
              <m:dPr>
                <m:ctrlPr>
                  <w:rPr>
                    <w:rFonts w:ascii="Cambria Math" w:hAnsi="Cambria Math"/>
                    <w:i/>
                  </w:rPr>
                </m:ctrlPr>
              </m:dPr>
              <m:e>
                <m:r>
                  <w:rPr>
                    <w:rFonts w:ascii="Cambria Math" w:hAnsi="Cambria Math"/>
                  </w:rPr>
                  <m:t>2s-3U</m:t>
                </m:r>
              </m:e>
            </m:d>
          </m:num>
          <m:den>
            <m:sSup>
              <m:sSupPr>
                <m:ctrlPr>
                  <w:rPr>
                    <w:rFonts w:ascii="Cambria Math" w:hAnsi="Cambria Math"/>
                    <w:i/>
                  </w:rPr>
                </m:ctrlPr>
              </m:sSupPr>
              <m:e>
                <m:r>
                  <w:rPr>
                    <w:rFonts w:ascii="Cambria Math" w:hAnsi="Cambria Math"/>
                  </w:rPr>
                  <m:t>g</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den>
        </m:f>
      </m:oMath>
      <w:r w:rsidR="00560C54">
        <w:rPr>
          <w:rFonts w:eastAsiaTheme="minorEastAsia"/>
        </w:rPr>
        <w:t>.</w:t>
      </w:r>
    </w:p>
    <w:p w:rsidR="00560C54" w:rsidRPr="00560C54" w:rsidRDefault="00560C54" w:rsidP="00373E6D">
      <w:pPr>
        <w:spacing w:line="480" w:lineRule="auto"/>
      </w:pPr>
      <w:r>
        <w:t xml:space="preserve">This expression is positive </w:t>
      </w:r>
      <w:proofErr w:type="gramStart"/>
      <w:r>
        <w:t xml:space="preserve">when </w:t>
      </w:r>
      <w:proofErr w:type="gramEnd"/>
      <m:oMath>
        <m:r>
          <w:rPr>
            <w:rFonts w:ascii="Cambria Math" w:hAnsi="Cambria Math"/>
          </w:rPr>
          <m:t>U&lt;</m:t>
        </m:r>
        <m:f>
          <m:fPr>
            <m:ctrlPr>
              <w:rPr>
                <w:rFonts w:ascii="Cambria Math" w:hAnsi="Cambria Math"/>
                <w:i/>
                <w:iCs/>
              </w:rPr>
            </m:ctrlPr>
          </m:fPr>
          <m:num>
            <m:r>
              <w:rPr>
                <w:rFonts w:ascii="Cambria Math" w:hAnsi="Cambria Math"/>
              </w:rPr>
              <m:t>2</m:t>
            </m:r>
          </m:num>
          <m:den>
            <m:r>
              <w:rPr>
                <w:rFonts w:ascii="Cambria Math" w:hAnsi="Cambria Math"/>
              </w:rPr>
              <m:t>3</m:t>
            </m:r>
          </m:den>
        </m:f>
        <m:r>
          <w:rPr>
            <w:rFonts w:ascii="Cambria Math" w:hAnsi="Cambria Math"/>
          </w:rPr>
          <m:t>s</m:t>
        </m:r>
      </m:oMath>
      <w:r w:rsidR="00373E6D">
        <w:rPr>
          <w:rFonts w:eastAsiaTheme="minorEastAsia"/>
          <w:iCs/>
        </w:rPr>
        <w:t>,</w:t>
      </w:r>
      <w:r>
        <w:t xml:space="preserve"> which is guaranteed by </w:t>
      </w:r>
      <w:r w:rsidR="00373E6D">
        <w:t xml:space="preserve">the </w:t>
      </w:r>
      <w:r>
        <w:t xml:space="preserve">assumption </w:t>
      </w:r>
      <m:oMath>
        <m:r>
          <w:rPr>
            <w:rFonts w:ascii="Cambria Math" w:hAnsi="Cambria Math"/>
          </w:rPr>
          <m:t>U≪s</m:t>
        </m:r>
      </m:oMath>
      <w:r>
        <w:t>.</w:t>
      </w:r>
    </w:p>
    <w:p w:rsidR="0002786D" w:rsidRDefault="00C36DFD" w:rsidP="002A0DCC">
      <w:pPr>
        <w:spacing w:line="480" w:lineRule="auto"/>
      </w:pPr>
      <w:r>
        <w:lastRenderedPageBreak/>
        <w:t xml:space="preserve">For a population with </w:t>
      </w:r>
      <w:r w:rsidR="00CB2260">
        <w:t>SIM</w:t>
      </w:r>
      <w:r w:rsidR="0002786D">
        <w:t>:</w:t>
      </w:r>
    </w:p>
    <w:p w:rsidR="0002786D" w:rsidRPr="005579CA" w:rsidRDefault="00BD0663" w:rsidP="005B2FE1">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d>
              <m:dPr>
                <m:ctrlPr>
                  <w:rPr>
                    <w:rFonts w:ascii="Cambria Math" w:hAnsi="Cambria Math"/>
                    <w:i/>
                  </w:rPr>
                </m:ctrlPr>
              </m:dPr>
              <m:e>
                <m:r>
                  <w:rPr>
                    <w:rFonts w:ascii="Cambria Math" w:hAnsi="Cambria Math"/>
                  </w:rPr>
                  <m:t>s+2τ</m:t>
                </m:r>
              </m:e>
            </m:d>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ctrlPr>
              <w:rPr>
                <w:rFonts w:ascii="Cambria Math" w:eastAsiaTheme="minorEastAsia" w:hAnsi="Cambria Math"/>
                <w:i/>
              </w:rPr>
            </m:ctrlP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e>
        </m:d>
      </m:oMath>
      <w:r w:rsidR="004C763B">
        <w:rPr>
          <w:rFonts w:eastAsiaTheme="minorEastAsia"/>
        </w:rPr>
        <w:t>.</w:t>
      </w:r>
    </w:p>
    <w:p w:rsidR="0002786D" w:rsidRDefault="0002786D" w:rsidP="005B2FE1">
      <w:pPr>
        <w:spacing w:line="480" w:lineRule="auto"/>
      </w:pPr>
      <w:r>
        <w:t xml:space="preserve">The last approximation assumes </w:t>
      </w:r>
      <w:proofErr w:type="gramStart"/>
      <w:r>
        <w:t xml:space="preserve">that </w:t>
      </w:r>
      <w:proofErr w:type="gramEnd"/>
      <m:oMath>
        <m:r>
          <w:rPr>
            <w:rFonts w:ascii="Cambria Math" w:hAnsi="Cambria Math"/>
          </w:rPr>
          <m:t>s≪2τ</m:t>
        </m:r>
      </m:oMath>
      <w:r>
        <w:rPr>
          <w:i/>
          <w:iCs/>
        </w:rPr>
        <w:t>.</w:t>
      </w:r>
      <w:r>
        <w:t xml:space="preserve"> </w:t>
      </w:r>
      <w:r w:rsidR="005B2FE1">
        <w:t xml:space="preserve">Rearranging the last result, we find </w:t>
      </w:r>
      <w:r w:rsidR="00BB0FCA">
        <w:t>that the</w:t>
      </w:r>
      <w:r>
        <w:t xml:space="preserve"> first order approximation for populations with SIM</w:t>
      </w:r>
      <w:r w:rsidR="00073161">
        <w:t xml:space="preserve"> is</w:t>
      </w:r>
      <w:r>
        <w:t>:</w:t>
      </w:r>
    </w:p>
    <w:tbl>
      <w:tblPr>
        <w:tblStyle w:val="TableGrid"/>
        <w:tblW w:w="5000" w:type="pct"/>
        <w:tblInd w:w="340" w:type="dxa"/>
        <w:tblLook w:val="04A0" w:firstRow="1" w:lastRow="0" w:firstColumn="1" w:lastColumn="0" w:noHBand="0" w:noVBand="1"/>
      </w:tblPr>
      <w:tblGrid>
        <w:gridCol w:w="7675"/>
        <w:gridCol w:w="853"/>
      </w:tblGrid>
      <w:tr w:rsidR="0002786D" w:rsidTr="00000DD9">
        <w:tc>
          <w:tcPr>
            <w:tcW w:w="4500" w:type="pct"/>
            <w:tcBorders>
              <w:top w:val="nil"/>
              <w:left w:val="nil"/>
              <w:bottom w:val="nil"/>
              <w:right w:val="nil"/>
            </w:tcBorders>
            <w:vAlign w:val="center"/>
          </w:tcPr>
          <w:p w:rsidR="0002786D" w:rsidRDefault="00BD0663" w:rsidP="002A0DCC">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r>
                <w:rPr>
                  <w:rFonts w:ascii="Cambria Math" w:eastAsiaTheme="minorEastAsia" w:hAnsi="Cambria Math"/>
                </w:rPr>
                <m:t>2τ</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num>
                <m:den>
                  <m:r>
                    <w:rPr>
                      <w:rFonts w:ascii="Cambria Math" w:eastAsiaTheme="minorEastAsia" w:hAnsi="Cambria Math"/>
                    </w:rPr>
                    <m:t>s</m:t>
                  </m:r>
                </m:den>
              </m:f>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e>
              </m:d>
              <m:d>
                <m:dPr>
                  <m:ctrlPr>
                    <w:rPr>
                      <w:rFonts w:ascii="Cambria Math" w:eastAsiaTheme="minorEastAsia" w:hAnsi="Cambria Math"/>
                      <w:i/>
                    </w:rPr>
                  </m:ctrlPr>
                </m:dPr>
                <m:e>
                  <m:r>
                    <w:rPr>
                      <w:rFonts w:ascii="Cambria Math" w:eastAsiaTheme="minorEastAsia" w:hAnsi="Cambria Math"/>
                    </w:rPr>
                    <m:t>1-τU</m:t>
                  </m:r>
                </m:e>
              </m:d>
              <m:r>
                <w:rPr>
                  <w:rFonts w:ascii="Cambria Math" w:eastAsiaTheme="minorEastAsia" w:hAnsi="Cambria Math"/>
                </w:rPr>
                <m:t>=τ(1-τU)</m:t>
              </m:r>
              <m:r>
                <w:rPr>
                  <w:rFonts w:ascii="Cambria Math" w:hAnsi="Cambria Math"/>
                </w:rPr>
                <m:t>q</m:t>
              </m:r>
            </m:oMath>
            <w:r w:rsidR="0002786D">
              <w:t>.</w:t>
            </w:r>
          </w:p>
        </w:tc>
        <w:tc>
          <w:tcPr>
            <w:tcW w:w="500" w:type="pct"/>
            <w:tcBorders>
              <w:top w:val="nil"/>
              <w:left w:val="nil"/>
              <w:bottom w:val="nil"/>
              <w:right w:val="nil"/>
            </w:tcBorders>
            <w:vAlign w:val="center"/>
          </w:tcPr>
          <w:p w:rsidR="0002786D" w:rsidRDefault="0002786D" w:rsidP="002A0DCC">
            <w:pPr>
              <w:spacing w:line="480" w:lineRule="auto"/>
            </w:pPr>
          </w:p>
        </w:tc>
      </w:tr>
    </w:tbl>
    <w:p w:rsidR="005B2FE1" w:rsidRDefault="0008315C" w:rsidP="00073161">
      <w:pPr>
        <w:spacing w:line="480" w:lineRule="auto"/>
        <w:rPr>
          <w:rFonts w:eastAsiaTheme="minorEastAsia"/>
        </w:rPr>
      </w:pPr>
      <w:r>
        <w:rPr>
          <w:rFonts w:eastAsiaTheme="minorEastAsia"/>
        </w:rPr>
        <w:t xml:space="preserve">Taking the derivative w.r.t </w:t>
      </w:r>
      <w:r w:rsidRPr="0008315C">
        <w:rPr>
          <w:rFonts w:ascii="Times New Roman" w:eastAsiaTheme="minorEastAsia" w:hAnsi="Times New Roman" w:cs="Times New Roman"/>
          <w:i/>
          <w:iCs/>
        </w:rPr>
        <w:t>τ</w:t>
      </w:r>
      <w:r>
        <w:rPr>
          <w:rFonts w:eastAsiaTheme="minorEastAsia"/>
        </w:rPr>
        <w:t>:</w:t>
      </w:r>
    </w:p>
    <w:p w:rsidR="005B2FE1" w:rsidRDefault="00BD0663" w:rsidP="00373E6D">
      <w:pPr>
        <w:spacing w:line="480" w:lineRule="auto"/>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num>
          <m:den>
            <m:r>
              <w:rPr>
                <w:rFonts w:ascii="Cambria Math" w:eastAsiaTheme="minorEastAsia" w:hAnsi="Cambria Math"/>
              </w:rPr>
              <m:t>dτ</m:t>
            </m:r>
          </m:den>
        </m:f>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1-2τU</m:t>
            </m:r>
          </m:e>
        </m:d>
      </m:oMath>
      <w:r w:rsidR="00373E6D">
        <w:rPr>
          <w:rFonts w:eastAsiaTheme="minorEastAsia"/>
        </w:rPr>
        <w:t>.</w:t>
      </w:r>
    </w:p>
    <w:p w:rsidR="00373E6D" w:rsidRDefault="00373E6D" w:rsidP="00373E6D">
      <w:pPr>
        <w:spacing w:line="480" w:lineRule="auto"/>
        <w:rPr>
          <w:rFonts w:eastAsiaTheme="minorEastAsia"/>
        </w:rPr>
      </w:pPr>
      <w:r>
        <w:rPr>
          <w:rFonts w:eastAsiaTheme="minorEastAsia"/>
        </w:rPr>
        <w:t xml:space="preserve">Because </w:t>
      </w:r>
      <w:r>
        <w:rPr>
          <w:rFonts w:eastAsiaTheme="minorEastAsia"/>
          <w:i/>
          <w:iCs/>
        </w:rPr>
        <w:t>q</w:t>
      </w:r>
      <w:r>
        <w:rPr>
          <w:rFonts w:eastAsiaTheme="minorEastAsia"/>
        </w:rPr>
        <w:t xml:space="preserve">, </w:t>
      </w:r>
      <w:r w:rsidRPr="00373E6D">
        <w:rPr>
          <w:rFonts w:eastAsiaTheme="minorEastAsia"/>
          <w:i/>
          <w:iCs/>
        </w:rPr>
        <w:t>U</w:t>
      </w:r>
      <w:r>
        <w:rPr>
          <w:rFonts w:eastAsiaTheme="minorEastAsia"/>
        </w:rPr>
        <w:t xml:space="preserve">, and </w:t>
      </w:r>
      <w:r w:rsidRPr="00373E6D">
        <w:rPr>
          <w:rFonts w:ascii="Times New Roman" w:eastAsiaTheme="minorEastAsia" w:hAnsi="Times New Roman" w:cs="Times New Roman"/>
          <w:i/>
          <w:iCs/>
        </w:rPr>
        <w:t>τ</w:t>
      </w:r>
      <w:r>
        <w:rPr>
          <w:rFonts w:eastAsiaTheme="minorEastAsia"/>
        </w:rPr>
        <w:t xml:space="preserve"> are all positive:</w:t>
      </w:r>
    </w:p>
    <w:p w:rsidR="00373E6D" w:rsidRPr="00373E6D" w:rsidRDefault="00BD0663" w:rsidP="00373E6D">
      <w:pPr>
        <w:spacing w:line="480" w:lineRule="auto"/>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num>
          <m:den>
            <m:r>
              <w:rPr>
                <w:rFonts w:ascii="Cambria Math" w:eastAsiaTheme="minorEastAsia" w:hAnsi="Cambria Math"/>
              </w:rPr>
              <m:t>dτ</m:t>
            </m:r>
          </m:den>
        </m:f>
        <m:r>
          <w:rPr>
            <w:rFonts w:ascii="Cambria Math" w:eastAsiaTheme="minorEastAsia" w:hAnsi="Cambria Math"/>
          </w:rPr>
          <m:t>&gt;0⇔τU&lt;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373E6D">
        <w:rPr>
          <w:rFonts w:eastAsiaTheme="minorEastAsia"/>
        </w:rPr>
        <w:t>.</w:t>
      </w:r>
    </w:p>
    <w:p w:rsidR="005B2FE1" w:rsidRPr="00866ADE" w:rsidRDefault="00373E6D" w:rsidP="00866ADE">
      <w:pPr>
        <w:spacing w:line="480" w:lineRule="auto"/>
        <w:rPr>
          <w:rFonts w:eastAsiaTheme="minorEastAsia"/>
        </w:rPr>
      </w:pPr>
      <w:r>
        <w:rPr>
          <w:rFonts w:eastAsiaTheme="minorEastAsia"/>
        </w:rPr>
        <w:t xml:space="preserve">This </w:t>
      </w:r>
      <w:r w:rsidR="005B2FE1">
        <w:rPr>
          <w:rFonts w:eastAsiaTheme="minorEastAsia"/>
        </w:rPr>
        <w:t xml:space="preserve">condition is also sufficient </w:t>
      </w:r>
      <w:proofErr w:type="gramStart"/>
      <w:r w:rsidR="005B2FE1">
        <w:rPr>
          <w:rFonts w:eastAsiaTheme="minorEastAsia"/>
        </w:rPr>
        <w:t xml:space="preserve">for </w:t>
      </w:r>
      <w:proofErr w:type="gramEnd"/>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r>
          <w:rPr>
            <w:rFonts w:ascii="Cambria Math" w:eastAsiaTheme="minorEastAsia" w:hAnsi="Cambria Math"/>
          </w:rPr>
          <m:t>&gt;q</m:t>
        </m:r>
      </m:oMath>
      <w:r w:rsidR="00560C54">
        <w:rPr>
          <w:rFonts w:eastAsiaTheme="minorEastAsia"/>
        </w:rPr>
        <w:t xml:space="preserve">, and is guaranteed by </w:t>
      </w:r>
      <w:r>
        <w:rPr>
          <w:rFonts w:eastAsiaTheme="minorEastAsia"/>
        </w:rPr>
        <w:t xml:space="preserve">the </w:t>
      </w:r>
      <w:r w:rsidR="00560C54">
        <w:rPr>
          <w:rFonts w:eastAsiaTheme="minorEastAsia"/>
        </w:rPr>
        <w:t xml:space="preserve">assumption </w:t>
      </w:r>
      <m:oMath>
        <m:r>
          <w:rPr>
            <w:rFonts w:ascii="Cambria Math" w:eastAsiaTheme="minorEastAsia" w:hAnsi="Cambria Math" w:cs="Times New Roman"/>
          </w:rPr>
          <m:t>τ</m:t>
        </m:r>
        <m:r>
          <w:rPr>
            <w:rFonts w:ascii="Cambria Math" w:eastAsiaTheme="minorEastAsia" w:hAnsi="Cambria Math"/>
          </w:rPr>
          <m:t>U≪s≪1</m:t>
        </m:r>
      </m:oMath>
      <w:r w:rsidR="00560C54" w:rsidRPr="006D6585">
        <w:rPr>
          <w:rFonts w:eastAsiaTheme="minorEastAsia"/>
        </w:rPr>
        <w:t>.</w:t>
      </w:r>
      <w:r w:rsidR="00866ADE">
        <w:rPr>
          <w:rFonts w:eastAsiaTheme="minorEastAsia"/>
        </w:rPr>
        <w:t xml:space="preserve"> </w:t>
      </w:r>
    </w:p>
    <w:p w:rsidR="0002786D" w:rsidRDefault="005447DA" w:rsidP="002A0DCC">
      <w:pPr>
        <w:pStyle w:val="Heading2"/>
        <w:numPr>
          <w:ilvl w:val="0"/>
          <w:numId w:val="0"/>
        </w:numPr>
        <w:spacing w:line="480" w:lineRule="auto"/>
        <w:ind w:left="357" w:hanging="357"/>
      </w:pPr>
      <w:bookmarkStart w:id="18" w:name="_Ref360530760"/>
      <w:bookmarkStart w:id="19" w:name="_Ref363980888"/>
      <w:r>
        <w:t>Appendix</w:t>
      </w:r>
      <w:bookmarkEnd w:id="18"/>
      <w:r w:rsidR="000F7D03">
        <w:t xml:space="preserve"> 2</w:t>
      </w:r>
      <w:bookmarkEnd w:id="19"/>
    </w:p>
    <w:p w:rsidR="00946A45" w:rsidRDefault="005447DA" w:rsidP="002A0DCC">
      <w:pPr>
        <w:spacing w:line="480" w:lineRule="auto"/>
        <w:rPr>
          <w:lang w:bidi="hi-IN"/>
        </w:rPr>
      </w:pPr>
      <w:r>
        <w:t xml:space="preserve">Following </w:t>
      </w:r>
      <w:proofErr w:type="spellStart"/>
      <w:r>
        <w:t>Eshel</w:t>
      </w:r>
      <w:proofErr w:type="spellEnd"/>
      <w:r>
        <w:t xml:space="preserve"> </w:t>
      </w:r>
      <w:r w:rsidR="00CA7DA9">
        <w:fldChar w:fldCharType="begin" w:fldLock="1"/>
      </w:r>
      <w:r w:rsidR="00914F9D">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663378" w:rsidRPr="00663378">
        <w:rPr>
          <w:noProof/>
        </w:rPr>
        <w:t>(1981)</w:t>
      </w:r>
      <w:r w:rsidR="00CA7DA9">
        <w:fldChar w:fldCharType="end"/>
      </w:r>
      <w:r>
        <w:t xml:space="preserve">, the fixation probability </w:t>
      </w:r>
      <w:r w:rsidRPr="00946A45">
        <w:rPr>
          <w:i/>
          <w:iCs/>
        </w:rPr>
        <w:t>ρ</w:t>
      </w:r>
      <w:r>
        <w:t xml:space="preserve"> of the double mutant is</w:t>
      </w:r>
      <w:r>
        <w:rPr>
          <w:lang w:bidi="hi-IN"/>
        </w:rPr>
        <w:t>:</w:t>
      </w:r>
    </w:p>
    <w:p w:rsidR="00946A45" w:rsidRDefault="00946A45" w:rsidP="002A0DCC">
      <w:pPr>
        <w:spacing w:line="480" w:lineRule="auto"/>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2A0DCC">
      <w:pPr>
        <w:spacing w:line="480" w:lineRule="auto"/>
      </w:pPr>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p w:rsidR="00946A45" w:rsidRDefault="00946A45" w:rsidP="002A0DCC">
      <w:pPr>
        <w:spacing w:line="480" w:lineRule="auto"/>
        <w:jc w:val="center"/>
      </w:pPr>
      <m:oMath>
        <m:r>
          <w:rPr>
            <w:rFonts w:ascii="Cambria Math" w:hAnsi="Cambria Math"/>
          </w:rPr>
          <w:lastRenderedPageBreak/>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5447DA" w:rsidRDefault="005447DA" w:rsidP="002A0DCC">
      <w:pPr>
        <w:spacing w:line="480" w:lineRule="auto"/>
      </w:pPr>
      <w:r>
        <w:t xml:space="preserve">Here, we only </w:t>
      </w:r>
      <w:r w:rsidR="00CB2260">
        <w:t xml:space="preserve">consider progeny without </w:t>
      </w:r>
      <w:r>
        <w:t>deleterious mutations</w:t>
      </w:r>
      <w:r w:rsidR="00946A45">
        <w:t xml:space="preserve"> </w:t>
      </w:r>
      <w:r w:rsidR="00CB2260">
        <w:t xml:space="preserve">– their fraction is </w:t>
      </w:r>
      <w:r w:rsidR="00946A45" w:rsidRPr="00946A45">
        <w:rPr>
          <w:i/>
          <w:iCs/>
        </w:rPr>
        <w:t>e</w:t>
      </w:r>
      <w:r w:rsidR="00946A45" w:rsidRPr="00946A45">
        <w:rPr>
          <w:i/>
          <w:iCs/>
          <w:vertAlign w:val="superscript"/>
        </w:rPr>
        <w:t>-U</w:t>
      </w:r>
      <w:r w:rsidR="00946A45" w:rsidRPr="00946A45">
        <w:t>.</w:t>
      </w:r>
      <w:r w:rsidR="00946A45">
        <w:t xml:space="preserve"> </w:t>
      </w:r>
      <w:r w:rsidRPr="00946A45">
        <w:t>This</w:t>
      </w:r>
      <w:r>
        <w:t xml:space="preserve"> factor cannot be ignored because there is variation in mutation rates in the population.</w:t>
      </w:r>
      <w:r w:rsidR="00CB2260">
        <w:t xml:space="preserve"> </w:t>
      </w:r>
      <w:r>
        <w:t>At this stage, double mutants are still very ra</w:t>
      </w:r>
      <w:r w:rsidR="00946A45">
        <w:t>r</w:t>
      </w:r>
      <w:r>
        <w:t xml:space="preserve">e, so we can use the population mean fitness at the MSB. </w:t>
      </w:r>
    </w:p>
    <w:p w:rsidR="00946A45" w:rsidRDefault="005447DA" w:rsidP="00F23504">
      <w:pPr>
        <w:spacing w:line="480" w:lineRule="auto"/>
      </w:pPr>
      <w:r>
        <w:t xml:space="preserve">Without </w:t>
      </w:r>
      <w:r w:rsidR="004C5F1B">
        <w:t>SIM</w:t>
      </w:r>
      <w:r>
        <w:t xml:space="preserve"> and neglecting beneficial mutations, </w:t>
      </w:r>
      <w:r w:rsidR="004C5F1B">
        <w:t xml:space="preserve">the mean fitness </w:t>
      </w:r>
      <w:r>
        <w:t xml:space="preserve">evaluates to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proofErr w:type="gramStart"/>
      <w:r w:rsidR="000F7D03">
        <w:t>Supporting</w:t>
      </w:r>
      <w:proofErr w:type="gramEnd"/>
      <w:r w:rsidR="000F7D03">
        <w:t xml:space="preserve"> information</w:t>
      </w:r>
      <w:r>
        <w:t xml:space="preserve">). </w:t>
      </w:r>
      <w:r w:rsidR="004C5F1B">
        <w:t>Therefore</w:t>
      </w:r>
      <w:r>
        <w:t>:</w:t>
      </w:r>
      <w:r w:rsidR="00946A45">
        <w:t xml:space="preserve"> </w:t>
      </w:r>
    </w:p>
    <w:p w:rsidR="00946A45" w:rsidRDefault="00946A45" w:rsidP="002A0DCC">
      <w:pPr>
        <w:spacing w:line="480" w:lineRule="auto"/>
      </w:pPr>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C362E9">
      <w:pPr>
        <w:spacing w:line="480" w:lineRule="auto"/>
      </w:pPr>
      <w:r>
        <w:t xml:space="preserve">Assuming </w:t>
      </w:r>
      <w:proofErr w:type="spellStart"/>
      <w:r w:rsidRPr="00544FA2">
        <w:rPr>
          <w:i/>
          <w:iCs/>
        </w:rPr>
        <w:t>sH</w:t>
      </w:r>
      <w:proofErr w:type="spellEnd"/>
      <w:r>
        <w:t xml:space="preserve"> </w:t>
      </w:r>
      <w:r w:rsidRPr="00544FA2">
        <w:t>is</w:t>
      </w:r>
      <w:bookmarkStart w:id="20" w:name="_Ref360534049"/>
      <w:r w:rsidR="004C5F1B">
        <w:t xml:space="preserve"> small</w:t>
      </w:r>
      <w:r w:rsidR="00C362E9">
        <w:t xml:space="preserve"> (</w:t>
      </w:r>
      <m:oMath>
        <m:r>
          <w:rPr>
            <w:rFonts w:ascii="Cambria Math" w:hAnsi="Cambria Math"/>
          </w:rPr>
          <m:t>sH≪1</m:t>
        </m:r>
      </m:oMath>
      <w:r w:rsidR="00C362E9">
        <w:rPr>
          <w:rFonts w:eastAsiaTheme="minorEastAsia"/>
        </w:rPr>
        <w:t>)</w:t>
      </w:r>
      <w:r w:rsidR="004C5F1B">
        <w:t xml:space="preserve"> we can simplify this to:</w:t>
      </w:r>
    </w:p>
    <w:p w:rsidR="004C5F1B" w:rsidRDefault="004C5F1B" w:rsidP="002A0DCC">
      <w:pPr>
        <w:spacing w:line="480" w:lineRule="auto"/>
        <w:jc w:val="center"/>
      </w:pPr>
      <m:oMath>
        <m:r>
          <w:rPr>
            <w:rFonts w:ascii="Cambria Math" w:hAnsi="Cambria Math"/>
          </w:rPr>
          <m:t>ρ≈2sH</m:t>
        </m:r>
      </m:oMath>
      <w:r>
        <w:t>.</w:t>
      </w:r>
    </w:p>
    <w:p w:rsidR="005447DA" w:rsidRDefault="005447DA" w:rsidP="002A0DCC">
      <w:pPr>
        <w:pStyle w:val="Heading2"/>
        <w:numPr>
          <w:ilvl w:val="0"/>
          <w:numId w:val="0"/>
        </w:numPr>
        <w:spacing w:line="480" w:lineRule="auto"/>
        <w:ind w:left="357" w:hanging="357"/>
      </w:pPr>
      <w:bookmarkStart w:id="21" w:name="_Ref363980903"/>
      <w:r>
        <w:t xml:space="preserve">Appendix </w:t>
      </w:r>
      <w:bookmarkEnd w:id="20"/>
      <w:r w:rsidR="000F7D03">
        <w:t>3</w:t>
      </w:r>
      <w:bookmarkEnd w:id="21"/>
    </w:p>
    <w:p w:rsidR="00335E62" w:rsidRPr="00335E62" w:rsidRDefault="005447DA" w:rsidP="003C66D8">
      <w:pPr>
        <w:spacing w:line="480" w:lineRule="auto"/>
        <w:rPr>
          <w:lang w:bidi="hi-IN"/>
        </w:rPr>
      </w:pPr>
      <w:r>
        <w:rPr>
          <w:lang w:bidi="hi-IN"/>
        </w:rPr>
        <w:t xml:space="preserve">With </w:t>
      </w:r>
      <w:proofErr w:type="spellStart"/>
      <w:r>
        <w:rPr>
          <w:lang w:bidi="hi-IN"/>
        </w:rPr>
        <w:t>SIM</w:t>
      </w:r>
      <w:r w:rsidR="00CB2260">
        <w:rPr>
          <w:vertAlign w:val="subscript"/>
          <w:lang w:bidi="hi-IN"/>
        </w:rPr>
        <w:t>e</w:t>
      </w:r>
      <w:proofErr w:type="spellEnd"/>
      <w:r>
        <w:rPr>
          <w:lang w:bidi="hi-IN"/>
        </w:rPr>
        <w:t xml:space="preserve"> the mutation rate of </w:t>
      </w:r>
      <w:proofErr w:type="spellStart"/>
      <w:r>
        <w:rPr>
          <w:i/>
          <w:iCs/>
          <w:lang w:bidi="hi-IN"/>
        </w:rPr>
        <w:t>ab</w:t>
      </w:r>
      <w:proofErr w:type="spellEnd"/>
      <w:r>
        <w:rPr>
          <w:lang w:bidi="hi-IN"/>
        </w:rPr>
        <w:t xml:space="preserve"> is </w:t>
      </w:r>
      <w:proofErr w:type="spellStart"/>
      <w:r w:rsidR="00335E62" w:rsidRPr="00335E62">
        <w:rPr>
          <w:i/>
          <w:iCs/>
        </w:rPr>
        <w:t>τU</w:t>
      </w:r>
      <w:proofErr w:type="spellEnd"/>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after the environmental change because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CA7DA9">
        <w:rPr>
          <w:lang w:bidi="hi-IN"/>
        </w:rPr>
        <w:fldChar w:fldCharType="begin" w:fldLock="1"/>
      </w:r>
      <w:r w:rsidR="00914F9D">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CA7DA9">
        <w:rPr>
          <w:lang w:bidi="hi-IN"/>
        </w:rPr>
        <w:fldChar w:fldCharType="separate"/>
      </w:r>
      <w:r w:rsidR="00663378" w:rsidRPr="00663378">
        <w:rPr>
          <w:noProof/>
          <w:lang w:bidi="hi-IN"/>
        </w:rPr>
        <w:t>(Gordo and Dionisio 2005)</w:t>
      </w:r>
      <w:r w:rsidR="00CA7DA9">
        <w:rPr>
          <w:lang w:bidi="hi-IN"/>
        </w:rPr>
        <w:fldChar w:fldCharType="end"/>
      </w:r>
      <w:r w:rsidR="00335E62">
        <w:rPr>
          <w:lang w:bidi="hi-IN"/>
        </w:rPr>
        <w:t>. Following the derivation in</w:t>
      </w:r>
      <w:r w:rsidR="000F7D03">
        <w:rPr>
          <w:lang w:bidi="hi-IN"/>
        </w:rPr>
        <w:t xml:space="preserve"> </w:t>
      </w:r>
      <w:r w:rsidR="003C66D8">
        <w:rPr>
          <w:lang w:bidi="hi-IN"/>
        </w:rPr>
        <w:t>Appendix 2</w:t>
      </w:r>
      <w:r w:rsidR="00335E62">
        <w:rPr>
          <w:lang w:bidi="hi-IN"/>
        </w:rPr>
        <w:t xml:space="preserve">, we derive the relative fitness of </w:t>
      </w:r>
      <w:proofErr w:type="spellStart"/>
      <w:r w:rsidR="00335E62">
        <w:rPr>
          <w:lang w:bidi="hi-IN"/>
        </w:rPr>
        <w:t>SIM</w:t>
      </w:r>
      <w:r w:rsidR="00CB2260">
        <w:rPr>
          <w:vertAlign w:val="subscript"/>
          <w:lang w:bidi="hi-IN"/>
        </w:rPr>
        <w:t>e</w:t>
      </w:r>
      <w:proofErr w:type="spellEnd"/>
      <w:r w:rsidR="00335E62">
        <w:rPr>
          <w:lang w:bidi="hi-IN"/>
        </w:rPr>
        <w:t xml:space="preserve"> by:</w:t>
      </w:r>
    </w:p>
    <w:p w:rsidR="005447DA" w:rsidRDefault="00BD0663"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2A0DCC">
      <w:pPr>
        <w:spacing w:line="480" w:lineRule="auto"/>
        <w:rPr>
          <w:rFonts w:eastAsiaTheme="minorEastAsia"/>
          <w:lang w:bidi="hi-IN"/>
        </w:rPr>
      </w:pPr>
      <w:r>
        <w:rPr>
          <w:rFonts w:eastAsiaTheme="minorEastAsia"/>
          <w:lang w:bidi="hi-IN"/>
        </w:rPr>
        <w:t>Plugging that in the fixation probability:</w:t>
      </w:r>
    </w:p>
    <w:p w:rsidR="00335E62" w:rsidRDefault="00BD0663"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2A0DCC">
      <w:pPr>
        <w:spacing w:line="480" w:lineRule="auto"/>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proofErr w:type="gramStart"/>
      <w:r w:rsidR="00986F1F">
        <w:rPr>
          <w:rFonts w:eastAsiaTheme="minorEastAsia"/>
          <w:lang w:bidi="hi-IN"/>
        </w:rPr>
        <w:t xml:space="preserve">for </w:t>
      </w:r>
      <w:proofErr w:type="gramEnd"/>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BD0663"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2A0DCC">
      <w:pPr>
        <w:spacing w:line="480" w:lineRule="auto"/>
        <w:rPr>
          <w:rFonts w:eastAsiaTheme="minorEastAsia"/>
          <w:lang w:bidi="hi-IN"/>
        </w:rPr>
      </w:pPr>
      <w:proofErr w:type="gramStart"/>
      <w:r>
        <w:rPr>
          <w:rFonts w:eastAsiaTheme="minorEastAsia"/>
          <w:lang w:bidi="hi-IN"/>
        </w:rPr>
        <w:t>Because</w:t>
      </w:r>
      <w:r w:rsidR="00335E62">
        <w:rPr>
          <w:rFonts w:eastAsiaTheme="minorEastAsia"/>
          <w:lang w:bidi="hi-IN"/>
        </w:rPr>
        <w:t xml:space="preserve"> </w:t>
      </w:r>
      <w:proofErr w:type="gramEnd"/>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335E62">
        <w:rPr>
          <w:rFonts w:eastAsiaTheme="minorEastAsia"/>
          <w:lang w:bidi="hi-IN"/>
        </w:rPr>
        <w:t xml:space="preserve"> and therefore:</w:t>
      </w:r>
    </w:p>
    <w:p w:rsidR="00335E62" w:rsidRDefault="00BD0663"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2A0DCC">
      <w:pPr>
        <w:spacing w:line="480" w:lineRule="auto"/>
        <w:rPr>
          <w:rFonts w:eastAsiaTheme="minorEastAsia"/>
          <w:lang w:bidi="hi-IN"/>
        </w:rPr>
      </w:pPr>
      <w:r>
        <w:rPr>
          <w:rFonts w:eastAsiaTheme="minorEastAsia"/>
          <w:lang w:bidi="hi-IN"/>
        </w:rPr>
        <w:t xml:space="preserve">Because the appearance with </w:t>
      </w:r>
      <w:proofErr w:type="spellStart"/>
      <w:r>
        <w:rPr>
          <w:rFonts w:eastAsiaTheme="minorEastAsia"/>
          <w:lang w:bidi="hi-IN"/>
        </w:rPr>
        <w:t>SIM</w:t>
      </w:r>
      <w:r w:rsidR="00CB2260">
        <w:rPr>
          <w:rFonts w:eastAsiaTheme="minorEastAsia"/>
          <w:vertAlign w:val="subscript"/>
          <w:lang w:bidi="hi-IN"/>
        </w:rPr>
        <w:t>e</w:t>
      </w:r>
      <w:proofErr w:type="spellEnd"/>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w:t>
      </w:r>
      <w:proofErr w:type="spellStart"/>
      <w:r>
        <w:rPr>
          <w:rFonts w:eastAsiaTheme="minorEastAsia"/>
          <w:lang w:bidi="hi-IN"/>
        </w:rPr>
        <w:t>SIM</w:t>
      </w:r>
      <w:r w:rsidR="00CB2260">
        <w:rPr>
          <w:rFonts w:eastAsiaTheme="minorEastAsia"/>
          <w:vertAlign w:val="subscript"/>
          <w:lang w:bidi="hi-IN"/>
        </w:rPr>
        <w:t>e</w:t>
      </w:r>
      <w:proofErr w:type="spellEnd"/>
      <w:r w:rsidR="003B3D00">
        <w:rPr>
          <w:rFonts w:eastAsiaTheme="minorEastAsia"/>
          <w:lang w:bidi="hi-IN"/>
        </w:rPr>
        <w:t xml:space="preserve"> can now be written as:</w:t>
      </w:r>
    </w:p>
    <w:p w:rsidR="003B3D00" w:rsidRPr="00DE1C4B" w:rsidRDefault="00BD0663"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q=Nq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3C4248" w:rsidRDefault="003C4248" w:rsidP="002A0DCC">
      <w:pPr>
        <w:pStyle w:val="Heading1"/>
        <w:spacing w:line="480" w:lineRule="auto"/>
      </w:pPr>
      <w:r>
        <w:t>Figures</w:t>
      </w:r>
    </w:p>
    <w:p w:rsidR="003C4248" w:rsidRDefault="004E782E" w:rsidP="002A0DCC">
      <w:pPr>
        <w:keepNext/>
        <w:spacing w:line="480" w:lineRule="auto"/>
        <w:jc w:val="center"/>
      </w:pPr>
      <w:r>
        <w:rPr>
          <w:noProof/>
        </w:rPr>
        <w:drawing>
          <wp:inline distT="0" distB="0" distL="0" distR="0" wp14:anchorId="01648139" wp14:editId="07BE1797">
            <wp:extent cx="5266690" cy="3759835"/>
            <wp:effectExtent l="0" t="0" r="0" b="0"/>
            <wp:docPr id="1" name="Picture 1" descr="D:\workspace\ruggedsim\manuscript\ram_f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1.ti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6690" cy="3759835"/>
                    </a:xfrm>
                    <a:prstGeom prst="rect">
                      <a:avLst/>
                    </a:prstGeom>
                    <a:noFill/>
                    <a:ln>
                      <a:noFill/>
                    </a:ln>
                  </pic:spPr>
                </pic:pic>
              </a:graphicData>
            </a:graphic>
          </wp:inline>
        </w:drawing>
      </w:r>
    </w:p>
    <w:p w:rsidR="003C4248" w:rsidRPr="000D56CE" w:rsidRDefault="003C4248" w:rsidP="002A0DCC">
      <w:pPr>
        <w:pStyle w:val="FigureLegend"/>
        <w:spacing w:line="480" w:lineRule="auto"/>
        <w:rPr>
          <w:lang w:bidi="hi-IN"/>
        </w:rPr>
      </w:pPr>
      <w:bookmarkStart w:id="22" w:name="_Ref354316371"/>
      <w:r w:rsidRPr="000D56CE">
        <w:rPr>
          <w:b/>
          <w:bCs/>
        </w:rPr>
        <w:t xml:space="preserve">Figure </w:t>
      </w:r>
      <w:r>
        <w:rPr>
          <w:b/>
          <w:bCs/>
        </w:rPr>
        <w:fldChar w:fldCharType="begin"/>
      </w:r>
      <w:r>
        <w:rPr>
          <w:b/>
          <w:bCs/>
        </w:rPr>
        <w:instrText xml:space="preserve"> SEQ Figure \* ARABIC </w:instrText>
      </w:r>
      <w:r>
        <w:rPr>
          <w:b/>
          <w:bCs/>
        </w:rPr>
        <w:fldChar w:fldCharType="separate"/>
      </w:r>
      <w:r w:rsidR="007C70D4">
        <w:rPr>
          <w:b/>
          <w:bCs/>
          <w:noProof/>
        </w:rPr>
        <w:t>1</w:t>
      </w:r>
      <w:r>
        <w:rPr>
          <w:b/>
          <w:bCs/>
        </w:rPr>
        <w:fldChar w:fldCharType="end"/>
      </w:r>
      <w:bookmarkEnd w:id="22"/>
      <w:r w:rsidRPr="000D56CE">
        <w:rPr>
          <w:b/>
          <w:bCs/>
        </w:rPr>
        <w:t xml:space="preserve"> – </w:t>
      </w:r>
      <w:r>
        <w:rPr>
          <w:b/>
          <w:bCs/>
        </w:rPr>
        <w:t>Adaptation</w:t>
      </w:r>
      <w:r w:rsidRPr="000D56CE">
        <w:rPr>
          <w:b/>
          <w:bCs/>
        </w:rPr>
        <w:t xml:space="preserve"> </w:t>
      </w:r>
      <w:r>
        <w:rPr>
          <w:b/>
          <w:bCs/>
        </w:rPr>
        <w:t>of a complex trait</w:t>
      </w:r>
      <w:r w:rsidRPr="000D56CE">
        <w:rPr>
          <w:b/>
          <w:bCs/>
        </w:rPr>
        <w:t>.</w:t>
      </w:r>
      <w:r w:rsidRPr="000D56CE">
        <w:t xml:space="preserve"> Nodes represent genotypes: the alleles </w:t>
      </w:r>
      <w:proofErr w:type="gramStart"/>
      <w:r w:rsidRPr="00607B56">
        <w:rPr>
          <w:i/>
          <w:iCs/>
        </w:rPr>
        <w:t>a</w:t>
      </w:r>
      <w:r w:rsidRPr="000D56CE">
        <w:t xml:space="preserve"> or</w:t>
      </w:r>
      <w:proofErr w:type="gramEnd"/>
      <w:r w:rsidRPr="000D56CE">
        <w:t xml:space="preserve"> </w:t>
      </w:r>
      <w:r w:rsidRPr="00607B56">
        <w:rPr>
          <w:i/>
          <w:iCs/>
        </w:rPr>
        <w:t>A</w:t>
      </w:r>
      <w:r w:rsidRPr="000D56CE">
        <w:t xml:space="preserve"> and </w:t>
      </w:r>
      <w:r w:rsidRPr="00607B56">
        <w:rPr>
          <w:i/>
          <w:iCs/>
        </w:rPr>
        <w:t>b</w:t>
      </w:r>
      <w:r w:rsidRPr="000D56CE">
        <w:t xml:space="preserve"> or </w:t>
      </w:r>
      <w:r w:rsidRPr="00607B56">
        <w:rPr>
          <w:i/>
          <w:iCs/>
        </w:rPr>
        <w:t>B</w:t>
      </w:r>
      <w:r>
        <w:t>. P</w:t>
      </w:r>
      <w:r w:rsidRPr="000D56CE">
        <w:t>anel b</w:t>
      </w:r>
      <w:r>
        <w:t xml:space="preserve"> also</w:t>
      </w:r>
      <w:r w:rsidRPr="000D56CE">
        <w:t xml:space="preserve"> </w:t>
      </w:r>
      <w:r>
        <w:t xml:space="preserve">includes </w:t>
      </w:r>
      <w:r w:rsidRPr="000D56CE">
        <w:t>the number of deleterious alleles across the genome</w:t>
      </w:r>
      <w:r>
        <w:t xml:space="preserve"> after the forward-slash</w:t>
      </w:r>
      <w:r w:rsidRPr="000D56CE">
        <w:t xml:space="preserve">. Mutagenesis is induced in stressed genotypes (fitness </w:t>
      </w:r>
      <w:r w:rsidRPr="008752E9">
        <w:t>&lt;1</w:t>
      </w:r>
      <w:r>
        <w:t xml:space="preserve">, </w:t>
      </w:r>
      <w:r w:rsidRPr="000D56CE">
        <w:t xml:space="preserve">ellipses), </w:t>
      </w:r>
      <w:r>
        <w:t>and</w:t>
      </w:r>
      <w:r w:rsidRPr="000D56CE">
        <w:t xml:space="preserve"> </w:t>
      </w:r>
      <w:r>
        <w:t xml:space="preserve">fit </w:t>
      </w:r>
      <w:r w:rsidRPr="000D56CE">
        <w:t xml:space="preserve">genotypes (fitness </w:t>
      </w:r>
      <w:r>
        <w:rPr>
          <w:rFonts w:ascii="Times New Roman" w:hAnsi="Times New Roman" w:cs="Times New Roman"/>
        </w:rPr>
        <w:t>≥</w:t>
      </w:r>
      <w:r w:rsidRPr="008752E9">
        <w:t>1</w:t>
      </w:r>
      <w:r>
        <w:t>, squares</w:t>
      </w:r>
      <w:r w:rsidRPr="000D56CE">
        <w:t xml:space="preserve">) do not </w:t>
      </w:r>
      <w:proofErr w:type="spellStart"/>
      <w:r w:rsidRPr="000D56CE">
        <w:t>hypermutate</w:t>
      </w:r>
      <w:proofErr w:type="spellEnd"/>
      <w:r w:rsidRPr="000D56CE">
        <w:t xml:space="preserve">. Solid arrows represent mutations at the </w:t>
      </w:r>
      <w:r w:rsidRPr="000D56CE">
        <w:rPr>
          <w:i/>
          <w:iCs/>
        </w:rPr>
        <w:t>a/A</w:t>
      </w:r>
      <w:r w:rsidRPr="000D56CE">
        <w:t xml:space="preserve"> and </w:t>
      </w:r>
      <w:r w:rsidRPr="000D56CE">
        <w:rPr>
          <w:i/>
          <w:iCs/>
        </w:rPr>
        <w:t>b/B</w:t>
      </w:r>
      <w:r w:rsidRPr="000D56CE">
        <w:t xml:space="preserve"> loci. Dashed arrows represent deleterious mutations across the genome.</w:t>
      </w:r>
      <w:r>
        <w:t xml:space="preserve"> </w:t>
      </w:r>
      <w:r>
        <w:lastRenderedPageBreak/>
        <w:t>Arrow labels denote the rates.</w:t>
      </w:r>
      <w:r w:rsidRPr="000D56CE">
        <w:t xml:space="preserve"> Node </w:t>
      </w:r>
      <w:r>
        <w:t xml:space="preserve">brightness </w:t>
      </w:r>
      <w:r w:rsidRPr="000D56CE">
        <w:t>represents fitness (see color</w:t>
      </w:r>
      <w:r>
        <w:t xml:space="preserve"> </w:t>
      </w:r>
      <w:r w:rsidRPr="000D56CE">
        <w:t>bar)</w:t>
      </w:r>
      <w:r>
        <w:t>:</w:t>
      </w:r>
      <w:r w:rsidRPr="000D56CE">
        <w:t xml:space="preserve"> </w:t>
      </w:r>
      <w:r>
        <w:t xml:space="preserve">from white for the </w:t>
      </w:r>
      <w:r w:rsidRPr="000D56CE">
        <w:t>fittest genotype (</w:t>
      </w:r>
      <w:r w:rsidRPr="008752E9">
        <w:t>1+</w:t>
      </w:r>
      <w:r w:rsidRPr="000D56CE">
        <w:rPr>
          <w:i/>
          <w:iCs/>
        </w:rPr>
        <w:t>sH</w:t>
      </w:r>
      <w:r w:rsidRPr="000D56CE">
        <w:t xml:space="preserve">, where </w:t>
      </w:r>
      <w:r w:rsidRPr="000D56CE">
        <w:rPr>
          <w:i/>
          <w:iCs/>
        </w:rPr>
        <w:t>s</w:t>
      </w:r>
      <w:r w:rsidRPr="008752E9">
        <w:t>=0.05</w:t>
      </w:r>
      <w:r w:rsidRPr="000D56CE">
        <w:t xml:space="preserve"> is the selection coefficient and </w:t>
      </w:r>
      <w:r w:rsidRPr="000D56CE">
        <w:rPr>
          <w:i/>
          <w:iCs/>
        </w:rPr>
        <w:t>H</w:t>
      </w:r>
      <w:r w:rsidRPr="008752E9">
        <w:t>=2</w:t>
      </w:r>
      <w:r w:rsidRPr="000D56CE">
        <w:t xml:space="preserve"> is the double mutant advantage) to dark brown for genotypes </w:t>
      </w:r>
      <w:r>
        <w:t>w</w:t>
      </w:r>
      <w:r w:rsidRPr="000D56CE">
        <w:t xml:space="preserve">ith deleterious </w:t>
      </w:r>
      <w:r>
        <w:t xml:space="preserve">mutations </w:t>
      </w:r>
      <w:r w:rsidRPr="008752E9">
        <w:t>((1-</w:t>
      </w:r>
      <w:r w:rsidRPr="008752E9">
        <w:rPr>
          <w:i/>
          <w:iCs/>
        </w:rPr>
        <w:t>s</w:t>
      </w:r>
      <w:proofErr w:type="gramStart"/>
      <w:r w:rsidRPr="008752E9">
        <w:t>)</w:t>
      </w:r>
      <w:r w:rsidRPr="008752E9">
        <w:rPr>
          <w:i/>
          <w:iCs/>
          <w:vertAlign w:val="superscript"/>
        </w:rPr>
        <w:t>x</w:t>
      </w:r>
      <w:proofErr w:type="gramEnd"/>
      <w:r w:rsidRPr="008752E9">
        <w:t>,</w:t>
      </w:r>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w:t>
      </w:r>
      <w:r>
        <w:t xml:space="preserve">marked with </w:t>
      </w:r>
      <w:r w:rsidRPr="000D56CE">
        <w:t xml:space="preserve">RIP) and do not contribute to adaptation. (b) In the stochastic model individuals can accumulate up to 25 deleterious mutations (the figure only shows as much as three). Multiple mutations can occur </w:t>
      </w:r>
      <w:r>
        <w:t>simultaneously</w:t>
      </w:r>
      <w:r w:rsidRPr="000D56CE">
        <w:t xml:space="preserve"> but are not shown for simplicity of the illustration.</w:t>
      </w:r>
    </w:p>
    <w:p w:rsidR="003C4248" w:rsidRDefault="00510E20" w:rsidP="002A0DCC">
      <w:pPr>
        <w:keepNext/>
        <w:spacing w:line="480" w:lineRule="auto"/>
        <w:jc w:val="center"/>
      </w:pPr>
      <w:r>
        <w:rPr>
          <w:noProof/>
        </w:rPr>
        <w:drawing>
          <wp:inline distT="0" distB="0" distL="0" distR="0" wp14:anchorId="229BB1F5" wp14:editId="4A06C887">
            <wp:extent cx="2880000" cy="3747600"/>
            <wp:effectExtent l="0" t="0" r="0" b="5715"/>
            <wp:docPr id="16" name="Picture 16" descr="D:\workspace\ruggedsim\manuscript\ram_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workspace\ruggedsim\manuscript\ram_f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0000" cy="3747600"/>
                    </a:xfrm>
                    <a:prstGeom prst="rect">
                      <a:avLst/>
                    </a:prstGeom>
                    <a:noFill/>
                    <a:ln>
                      <a:noFill/>
                    </a:ln>
                  </pic:spPr>
                </pic:pic>
              </a:graphicData>
            </a:graphic>
          </wp:inline>
        </w:drawing>
      </w:r>
    </w:p>
    <w:p w:rsidR="003C4248" w:rsidRPr="00815102" w:rsidRDefault="003C4248" w:rsidP="00450026">
      <w:pPr>
        <w:pStyle w:val="FigureLegend"/>
        <w:spacing w:line="480" w:lineRule="auto"/>
      </w:pPr>
      <w:bookmarkStart w:id="23" w:name="_Ref360183592"/>
      <w:r w:rsidRPr="00C11B88">
        <w:rPr>
          <w:b/>
          <w:bCs/>
        </w:rPr>
        <w:t xml:space="preserve">Figure </w:t>
      </w:r>
      <w:r>
        <w:rPr>
          <w:b/>
          <w:bCs/>
        </w:rPr>
        <w:fldChar w:fldCharType="begin"/>
      </w:r>
      <w:r>
        <w:rPr>
          <w:b/>
          <w:bCs/>
        </w:rPr>
        <w:instrText xml:space="preserve"> SEQ Figure \* ARABIC </w:instrText>
      </w:r>
      <w:r>
        <w:rPr>
          <w:b/>
          <w:bCs/>
        </w:rPr>
        <w:fldChar w:fldCharType="separate"/>
      </w:r>
      <w:r w:rsidR="007C70D4">
        <w:rPr>
          <w:b/>
          <w:bCs/>
          <w:noProof/>
        </w:rPr>
        <w:t>2</w:t>
      </w:r>
      <w:r>
        <w:rPr>
          <w:b/>
          <w:bCs/>
        </w:rPr>
        <w:fldChar w:fldCharType="end"/>
      </w:r>
      <w:bookmarkEnd w:id="23"/>
      <w:r w:rsidRPr="00C11B88">
        <w:rPr>
          <w:b/>
          <w:bCs/>
        </w:rPr>
        <w:t xml:space="preserve"> – </w:t>
      </w:r>
      <w:r>
        <w:rPr>
          <w:b/>
          <w:bCs/>
        </w:rPr>
        <w:t xml:space="preserve">Complex adaptation with </w:t>
      </w:r>
      <w:r w:rsidR="00510E20">
        <w:rPr>
          <w:b/>
          <w:bCs/>
        </w:rPr>
        <w:t>different</w:t>
      </w:r>
      <w:r w:rsidRPr="00C11B88">
        <w:rPr>
          <w:b/>
          <w:bCs/>
        </w:rPr>
        <w:t xml:space="preserve"> mutational strategies.</w:t>
      </w:r>
      <w:r>
        <w:t xml:space="preserve"> The figure shows the adaptation rate </w:t>
      </w:r>
      <w:r w:rsidRPr="00C11B88">
        <w:rPr>
          <w:i/>
          <w:iCs/>
        </w:rPr>
        <w:t>ν</w:t>
      </w:r>
      <w:r>
        <w:t xml:space="preserve"> as a function of the mutation rate increase </w:t>
      </w:r>
      <w:r w:rsidRPr="00E4303E">
        <w:rPr>
          <w:i/>
          <w:iCs/>
        </w:rPr>
        <w:t>τ</w:t>
      </w:r>
      <w:r>
        <w:t xml:space="preserve">. </w:t>
      </w:r>
      <w:r w:rsidR="00510E20" w:rsidRPr="00510E20">
        <w:rPr>
          <w:b/>
          <w:bCs/>
        </w:rPr>
        <w:t>(A)</w:t>
      </w:r>
      <w:r w:rsidR="00510E20">
        <w:t xml:space="preserve"> </w:t>
      </w:r>
      <w:r>
        <w:t xml:space="preserve">NM (represented by </w:t>
      </w:r>
      <w:r w:rsidRPr="00E4303E">
        <w:rPr>
          <w:i/>
          <w:iCs/>
        </w:rPr>
        <w:t>τ</w:t>
      </w:r>
      <w:r>
        <w:t xml:space="preserve">=1) is normal mutagenesis; CM (red with circles) is constitutive mutagenesis; SIM (solid blue with squares) is stress-induced mutagenesis; </w:t>
      </w:r>
      <w:proofErr w:type="spellStart"/>
      <w:r>
        <w:t>SIMe</w:t>
      </w:r>
      <w:proofErr w:type="spellEnd"/>
      <w:r>
        <w:t xml:space="preserve"> (dashed green with triangles) is stress-induced mutagenesis with environmental stress</w:t>
      </w:r>
      <w:r w:rsidR="00671C1A">
        <w:t xml:space="preserve"> (see section </w:t>
      </w:r>
      <w:r w:rsidR="00671C1A">
        <w:fldChar w:fldCharType="begin"/>
      </w:r>
      <w:r w:rsidR="00671C1A">
        <w:instrText xml:space="preserve"> REF _Ref374010899 \r \h </w:instrText>
      </w:r>
      <w:r w:rsidR="00671C1A">
        <w:fldChar w:fldCharType="separate"/>
      </w:r>
      <w:r w:rsidR="007C70D4">
        <w:rPr>
          <w:rFonts w:hint="cs"/>
          <w:cs/>
        </w:rPr>
        <w:t>‎</w:t>
      </w:r>
      <w:r w:rsidR="007C70D4">
        <w:t>3.3</w:t>
      </w:r>
      <w:r w:rsidR="00671C1A">
        <w:fldChar w:fldCharType="end"/>
      </w:r>
      <w:r w:rsidR="00671C1A">
        <w:t>)</w:t>
      </w:r>
      <w:r>
        <w:t>. Lines are analytic approximations; markers are the means of stochastic simulations results; error bars re</w:t>
      </w:r>
      <w:r w:rsidR="00292861">
        <w:t>present 95% confidence interval</w:t>
      </w:r>
      <w:r>
        <w:t xml:space="preserve"> of the mean (at least 1,000 replicates per point</w:t>
      </w:r>
      <w:r w:rsidR="00292861">
        <w:t>; computed with bootstrap with 1,000 samples per point</w:t>
      </w:r>
      <w:r>
        <w:t xml:space="preserve">). Both axes are in log scale. Parameters (see </w:t>
      </w:r>
      <w:r>
        <w:fldChar w:fldCharType="begin"/>
      </w:r>
      <w:r w:rsidRPr="006733DF">
        <w:instrText xml:space="preserve"> REF _Ref358791100 \h </w:instrText>
      </w:r>
      <w:r w:rsidR="002A0DCC">
        <w:instrText xml:space="preserve"> \* MERGEFORMAT </w:instrText>
      </w:r>
      <w:r>
        <w:fldChar w:fldCharType="separate"/>
      </w:r>
      <w:r w:rsidR="007C70D4">
        <w:t xml:space="preserve">Table </w:t>
      </w:r>
      <w:r w:rsidR="007C70D4">
        <w:rPr>
          <w:noProof/>
        </w:rPr>
        <w:t>1</w:t>
      </w:r>
      <w:r>
        <w:fldChar w:fldCharType="end"/>
      </w:r>
      <w:r>
        <w:t xml:space="preserve">): </w:t>
      </w:r>
      <w:r>
        <w:rPr>
          <w:i/>
          <w:iCs/>
        </w:rPr>
        <w:t>U</w:t>
      </w:r>
      <w:r>
        <w:t xml:space="preserve">=0.0004, </w:t>
      </w:r>
      <w:r>
        <w:rPr>
          <w:i/>
          <w:iCs/>
        </w:rPr>
        <w:t>s</w:t>
      </w:r>
      <w:r>
        <w:t xml:space="preserve">=0.05, </w:t>
      </w:r>
      <w:r w:rsidRPr="00E4303E">
        <w:rPr>
          <w:rFonts w:ascii="Times New Roman" w:hAnsi="Times New Roman" w:cs="Times New Roman"/>
          <w:i/>
          <w:iCs/>
        </w:rPr>
        <w:t>β</w:t>
      </w:r>
      <w:r>
        <w:t>=0.00</w:t>
      </w:r>
      <w:r w:rsidR="00851EBB">
        <w:t>0</w:t>
      </w:r>
      <w:r>
        <w:t xml:space="preserve">2, </w:t>
      </w:r>
      <w:r w:rsidRPr="00E4303E">
        <w:rPr>
          <w:i/>
          <w:iCs/>
        </w:rPr>
        <w:t>H</w:t>
      </w:r>
      <w:r>
        <w:t xml:space="preserve">=2, </w:t>
      </w:r>
      <w:r w:rsidRPr="00E4303E">
        <w:rPr>
          <w:i/>
          <w:iCs/>
        </w:rPr>
        <w:t>N</w:t>
      </w:r>
      <w:r>
        <w:t>=10</w:t>
      </w:r>
      <w:r>
        <w:rPr>
          <w:vertAlign w:val="superscript"/>
        </w:rPr>
        <w:t>6</w:t>
      </w:r>
      <w:r>
        <w:t xml:space="preserve">. </w:t>
      </w:r>
      <w:r w:rsidR="00510E20" w:rsidRPr="00510E20">
        <w:rPr>
          <w:b/>
          <w:bCs/>
        </w:rPr>
        <w:t>(B)</w:t>
      </w:r>
      <w:r w:rsidR="00510E20">
        <w:t xml:space="preserve"> </w:t>
      </w:r>
      <w:r w:rsidR="00671C1A">
        <w:t>Markers are the</w:t>
      </w:r>
      <w:r w:rsidR="00510E20">
        <w:t xml:space="preserve"> results of adaptation with SIM with a continuous relationship between fitness and mutation rate</w:t>
      </w:r>
      <w:r w:rsidR="00671C1A">
        <w:t>,</w:t>
      </w:r>
      <w:r w:rsidR="00815102">
        <w:t xml:space="preserve"> defined by a curvature parameter </w:t>
      </w:r>
      <w:r w:rsidR="00815102">
        <w:rPr>
          <w:i/>
          <w:iCs/>
        </w:rPr>
        <w:t>k</w:t>
      </w:r>
      <w:r w:rsidR="00510E20">
        <w:t xml:space="preserve"> (see section </w:t>
      </w:r>
      <w:r w:rsidR="00450026">
        <w:fldChar w:fldCharType="begin"/>
      </w:r>
      <w:r w:rsidR="00450026">
        <w:instrText xml:space="preserve"> REF _Ref374377810 \r \h </w:instrText>
      </w:r>
      <w:r w:rsidR="00450026">
        <w:fldChar w:fldCharType="separate"/>
      </w:r>
      <w:r w:rsidR="007C70D4">
        <w:rPr>
          <w:rFonts w:hint="cs"/>
          <w:cs/>
        </w:rPr>
        <w:t>‎</w:t>
      </w:r>
      <w:r w:rsidR="007C70D4">
        <w:t>3.4</w:t>
      </w:r>
      <w:r w:rsidR="00450026">
        <w:fldChar w:fldCharType="end"/>
      </w:r>
      <w:r w:rsidR="00510E20">
        <w:t xml:space="preserve"> and Fig. S3)</w:t>
      </w:r>
      <w:r w:rsidR="00510E20">
        <w:rPr>
          <w:b/>
          <w:bCs/>
        </w:rPr>
        <w:t>.</w:t>
      </w:r>
      <w:r w:rsidR="00815102">
        <w:rPr>
          <w:b/>
          <w:bCs/>
        </w:rPr>
        <w:t xml:space="preserve"> </w:t>
      </w:r>
      <w:r w:rsidR="00671C1A">
        <w:t>T</w:t>
      </w:r>
      <w:r w:rsidR="00815102">
        <w:t xml:space="preserve">he dashed lines are analytical approximations of SIM with a threshold relationship (Eq. </w:t>
      </w:r>
      <w:r w:rsidR="00815102">
        <w:fldChar w:fldCharType="begin"/>
      </w:r>
      <w:r w:rsidR="00815102">
        <w:instrText xml:space="preserve"> REF _Ref374094156 \h </w:instrText>
      </w:r>
      <w:r w:rsidR="00815102">
        <w:fldChar w:fldCharType="separate"/>
      </w:r>
      <w:r w:rsidR="007C70D4">
        <w:t>(</w:t>
      </w:r>
      <w:r w:rsidR="007C70D4">
        <w:rPr>
          <w:noProof/>
        </w:rPr>
        <w:t>8</w:t>
      </w:r>
      <w:r w:rsidR="00815102">
        <w:fldChar w:fldCharType="end"/>
      </w:r>
      <w:r w:rsidR="00815102">
        <w:t xml:space="preserve">) with </w:t>
      </w:r>
      <w:r w:rsidR="00815102" w:rsidRPr="00815102">
        <w:rPr>
          <w:rFonts w:ascii="Times New Roman" w:hAnsi="Times New Roman" w:cs="Times New Roman"/>
          <w:i/>
          <w:iCs/>
        </w:rPr>
        <w:t>τ</w:t>
      </w:r>
      <w:r w:rsidR="00815102">
        <w:rPr>
          <w:i/>
          <w:iCs/>
        </w:rPr>
        <w:t xml:space="preserve"> </w:t>
      </w:r>
      <w:r w:rsidR="00815102">
        <w:t xml:space="preserve">chosen so that single mutants will have the same mutation rate as </w:t>
      </w:r>
      <w:r w:rsidR="00671C1A">
        <w:t xml:space="preserve">"continuous" </w:t>
      </w:r>
      <w:r w:rsidR="00815102">
        <w:t>SIM.</w:t>
      </w:r>
    </w:p>
    <w:p w:rsidR="003C4248" w:rsidRPr="003C4248" w:rsidRDefault="00AD0C7A" w:rsidP="002A0DCC">
      <w:pPr>
        <w:pStyle w:val="FigureLegend"/>
        <w:spacing w:line="480" w:lineRule="auto"/>
        <w:rPr>
          <w:b/>
          <w:bCs/>
        </w:rPr>
      </w:pPr>
      <w:r>
        <w:rPr>
          <w:b/>
          <w:bCs/>
          <w:noProof/>
        </w:rPr>
        <w:lastRenderedPageBreak/>
        <w:drawing>
          <wp:inline distT="0" distB="0" distL="0" distR="0" wp14:anchorId="0147ADF0" wp14:editId="35E8859D">
            <wp:extent cx="2877820" cy="23044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7820" cy="2304415"/>
                    </a:xfrm>
                    <a:prstGeom prst="rect">
                      <a:avLst/>
                    </a:prstGeom>
                    <a:noFill/>
                  </pic:spPr>
                </pic:pic>
              </a:graphicData>
            </a:graphic>
          </wp:inline>
        </w:drawing>
      </w:r>
    </w:p>
    <w:p w:rsidR="003C4248" w:rsidRPr="003C4248" w:rsidRDefault="003C4248" w:rsidP="00450026">
      <w:pPr>
        <w:spacing w:line="480" w:lineRule="auto"/>
        <w:jc w:val="center"/>
        <w:rPr>
          <w:sz w:val="16"/>
          <w:szCs w:val="16"/>
        </w:rPr>
      </w:pPr>
      <w:bookmarkStart w:id="24" w:name="_Ref363979903"/>
      <w:r w:rsidRPr="003C4248">
        <w:rPr>
          <w:b/>
          <w:bCs/>
          <w:sz w:val="16"/>
          <w:szCs w:val="16"/>
        </w:rPr>
        <w:t xml:space="preserve">Figure </w:t>
      </w:r>
      <w:r w:rsidRPr="003C4248">
        <w:rPr>
          <w:b/>
          <w:bCs/>
          <w:sz w:val="16"/>
          <w:szCs w:val="16"/>
        </w:rPr>
        <w:fldChar w:fldCharType="begin"/>
      </w:r>
      <w:r w:rsidRPr="003C4248">
        <w:rPr>
          <w:b/>
          <w:bCs/>
          <w:sz w:val="16"/>
          <w:szCs w:val="16"/>
        </w:rPr>
        <w:instrText xml:space="preserve"> SEQ Figure \* ARABIC </w:instrText>
      </w:r>
      <w:r w:rsidRPr="003C4248">
        <w:rPr>
          <w:b/>
          <w:bCs/>
          <w:sz w:val="16"/>
          <w:szCs w:val="16"/>
        </w:rPr>
        <w:fldChar w:fldCharType="separate"/>
      </w:r>
      <w:r w:rsidR="007C70D4">
        <w:rPr>
          <w:b/>
          <w:bCs/>
          <w:noProof/>
          <w:sz w:val="16"/>
          <w:szCs w:val="16"/>
        </w:rPr>
        <w:t>3</w:t>
      </w:r>
      <w:r w:rsidRPr="003C4248">
        <w:rPr>
          <w:b/>
          <w:bCs/>
          <w:sz w:val="16"/>
          <w:szCs w:val="16"/>
        </w:rPr>
        <w:fldChar w:fldCharType="end"/>
      </w:r>
      <w:bookmarkEnd w:id="24"/>
      <w:r w:rsidRPr="003C4248">
        <w:rPr>
          <w:b/>
          <w:bCs/>
          <w:sz w:val="16"/>
          <w:szCs w:val="16"/>
        </w:rPr>
        <w:t xml:space="preserve"> – Mean fitness at the mutation-selection balance with stress-induced mutagenesis. </w:t>
      </w:r>
      <w:r w:rsidRPr="003C4248">
        <w:rPr>
          <w:sz w:val="16"/>
          <w:szCs w:val="16"/>
        </w:rPr>
        <w:t xml:space="preserve">The figure shows the relative fitness advantage of SIM in comparison to NM </w:t>
      </w:r>
      <m:oMath>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SIM</m:t>
                    </m:r>
                  </m:sub>
                </m:sSub>
                <m:r>
                  <w:rPr>
                    <w:rFonts w:ascii="Cambria Math" w:hAnsi="Cambria Math"/>
                    <w:sz w:val="16"/>
                    <w:szCs w:val="16"/>
                  </w:rPr>
                  <m:t>-</m:t>
                </m:r>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num>
              <m:den>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den>
            </m:f>
            <m:ctrlPr>
              <w:rPr>
                <w:rFonts w:ascii="Cambria Math" w:eastAsiaTheme="minorEastAsia" w:hAnsi="Cambria Math"/>
                <w:i/>
                <w:sz w:val="16"/>
                <w:szCs w:val="16"/>
              </w:rPr>
            </m:ctrlPr>
          </m:e>
        </m:d>
      </m:oMath>
      <w:r w:rsidRPr="003C4248">
        <w:rPr>
          <w:rFonts w:eastAsiaTheme="minorEastAsia"/>
          <w:sz w:val="16"/>
          <w:szCs w:val="16"/>
        </w:rPr>
        <w:t xml:space="preserve"> at the mutation-selection balance</w:t>
      </w:r>
      <w:r w:rsidR="00450026">
        <w:rPr>
          <w:sz w:val="16"/>
          <w:szCs w:val="16"/>
        </w:rPr>
        <w:t xml:space="preserve"> (s</w:t>
      </w:r>
      <w:r w:rsidR="001C3DA4">
        <w:rPr>
          <w:sz w:val="16"/>
          <w:szCs w:val="16"/>
        </w:rPr>
        <w:t xml:space="preserve">ee </w:t>
      </w:r>
      <w:r w:rsidR="00450026">
        <w:rPr>
          <w:sz w:val="16"/>
          <w:szCs w:val="16"/>
        </w:rPr>
        <w:t>SI).</w:t>
      </w:r>
      <w:r w:rsidRPr="003C4248">
        <w:rPr>
          <w:sz w:val="16"/>
          <w:szCs w:val="16"/>
        </w:rPr>
        <w:t xml:space="preserve"> The x-axis is </w:t>
      </w:r>
      <w:r w:rsidRPr="003C4248">
        <w:rPr>
          <w:i/>
          <w:iCs/>
          <w:sz w:val="16"/>
          <w:szCs w:val="16"/>
        </w:rPr>
        <w:t>β,</w:t>
      </w:r>
      <w:r w:rsidRPr="003C4248">
        <w:rPr>
          <w:sz w:val="16"/>
          <w:szCs w:val="16"/>
        </w:rPr>
        <w:t xml:space="preserve"> the fraction of mutations that are beneficial and the y-axis is </w:t>
      </w:r>
      <w:r w:rsidRPr="003C4248">
        <w:rPr>
          <w:i/>
          <w:iCs/>
          <w:sz w:val="16"/>
          <w:szCs w:val="16"/>
        </w:rPr>
        <w:t>τ</w:t>
      </w:r>
      <w:r w:rsidRPr="003C4248">
        <w:rPr>
          <w:sz w:val="16"/>
          <w:szCs w:val="16"/>
        </w:rPr>
        <w:t xml:space="preserve">, the mutation rate fold increase under stress. "X" marks the point </w:t>
      </w:r>
      <w:r w:rsidRPr="003C4248">
        <w:rPr>
          <w:i/>
          <w:iCs/>
          <w:sz w:val="16"/>
          <w:szCs w:val="16"/>
        </w:rPr>
        <w:t>β</w:t>
      </w:r>
      <w:r w:rsidRPr="003C4248">
        <w:rPr>
          <w:sz w:val="16"/>
          <w:szCs w:val="16"/>
        </w:rPr>
        <w:t xml:space="preserve">=1/5000, </w:t>
      </w:r>
      <w:r w:rsidRPr="003C4248">
        <w:rPr>
          <w:i/>
          <w:iCs/>
          <w:sz w:val="16"/>
          <w:szCs w:val="16"/>
        </w:rPr>
        <w:t>τ</w:t>
      </w:r>
      <w:r w:rsidR="00450026">
        <w:rPr>
          <w:sz w:val="16"/>
          <w:szCs w:val="16"/>
        </w:rPr>
        <w:t>=10</w:t>
      </w:r>
      <w:r w:rsidRPr="003C4248">
        <w:rPr>
          <w:sz w:val="16"/>
          <w:szCs w:val="16"/>
        </w:rPr>
        <w:t xml:space="preserve"> in which the fitness advantage of SIM is ~5</w:t>
      </w:r>
      <w:r w:rsidRPr="003C4248">
        <w:rPr>
          <w:sz w:val="16"/>
          <w:szCs w:val="16"/>
        </w:rPr>
        <w:sym w:font="Symbol" w:char="F0D7"/>
      </w:r>
      <w:r w:rsidRPr="003C4248">
        <w:rPr>
          <w:sz w:val="16"/>
          <w:szCs w:val="16"/>
        </w:rPr>
        <w:t>10</w:t>
      </w:r>
      <w:r w:rsidRPr="003C4248">
        <w:rPr>
          <w:sz w:val="16"/>
          <w:szCs w:val="16"/>
          <w:vertAlign w:val="superscript"/>
        </w:rPr>
        <w:t>-9</w:t>
      </w:r>
      <w:r w:rsidRPr="003C4248">
        <w:rPr>
          <w:sz w:val="16"/>
          <w:szCs w:val="16"/>
        </w:rPr>
        <w:t>.</w:t>
      </w:r>
    </w:p>
    <w:p w:rsidR="003C4248" w:rsidRDefault="00AD0C7A" w:rsidP="002A0DCC">
      <w:pPr>
        <w:keepNext/>
        <w:spacing w:line="480" w:lineRule="auto"/>
        <w:jc w:val="center"/>
      </w:pPr>
      <w:r>
        <w:rPr>
          <w:noProof/>
        </w:rPr>
        <w:drawing>
          <wp:inline distT="0" distB="0" distL="0" distR="0" wp14:anchorId="345A9F12" wp14:editId="13953BFA">
            <wp:extent cx="2877820" cy="23044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7820" cy="2304415"/>
                    </a:xfrm>
                    <a:prstGeom prst="rect">
                      <a:avLst/>
                    </a:prstGeom>
                    <a:noFill/>
                  </pic:spPr>
                </pic:pic>
              </a:graphicData>
            </a:graphic>
          </wp:inline>
        </w:drawing>
      </w:r>
    </w:p>
    <w:p w:rsidR="003C4248" w:rsidRDefault="003C4248" w:rsidP="00450026">
      <w:pPr>
        <w:pStyle w:val="FigureLegend"/>
        <w:spacing w:line="480" w:lineRule="auto"/>
        <w:rPr>
          <w:rFonts w:eastAsiaTheme="minorEastAsia"/>
          <w:lang w:bidi="hi-IN"/>
        </w:rPr>
      </w:pPr>
      <w:bookmarkStart w:id="25" w:name="_Ref360184105"/>
      <w:r w:rsidRPr="009040D1">
        <w:rPr>
          <w:b/>
          <w:bCs/>
        </w:rPr>
        <w:t xml:space="preserve">Figure </w:t>
      </w:r>
      <w:r>
        <w:rPr>
          <w:b/>
          <w:bCs/>
        </w:rPr>
        <w:fldChar w:fldCharType="begin"/>
      </w:r>
      <w:r>
        <w:rPr>
          <w:b/>
          <w:bCs/>
        </w:rPr>
        <w:instrText xml:space="preserve"> SEQ Figure \* ARABIC </w:instrText>
      </w:r>
      <w:r>
        <w:rPr>
          <w:b/>
          <w:bCs/>
        </w:rPr>
        <w:fldChar w:fldCharType="separate"/>
      </w:r>
      <w:r w:rsidR="007C70D4">
        <w:rPr>
          <w:b/>
          <w:bCs/>
          <w:noProof/>
        </w:rPr>
        <w:t>4</w:t>
      </w:r>
      <w:r>
        <w:rPr>
          <w:b/>
          <w:bCs/>
        </w:rPr>
        <w:fldChar w:fldCharType="end"/>
      </w:r>
      <w:bookmarkEnd w:id="25"/>
      <w:r w:rsidRPr="009040D1">
        <w:rPr>
          <w:b/>
          <w:bCs/>
          <w:noProof/>
        </w:rPr>
        <w:t xml:space="preserve"> </w:t>
      </w:r>
      <w:r>
        <w:rPr>
          <w:b/>
          <w:bCs/>
          <w:noProof/>
        </w:rPr>
        <w:t>–</w:t>
      </w:r>
      <w:r w:rsidRPr="009040D1">
        <w:rPr>
          <w:b/>
          <w:bCs/>
          <w:noProof/>
        </w:rPr>
        <w:t xml:space="preserve"> </w:t>
      </w:r>
      <w:r>
        <w:rPr>
          <w:b/>
          <w:bCs/>
          <w:noProof/>
        </w:rPr>
        <w:t xml:space="preserve">The trade-off between </w:t>
      </w:r>
      <w:r w:rsidRPr="00CE72C5">
        <w:rPr>
          <w:b/>
          <w:bCs/>
          <w:i/>
          <w:iCs/>
          <w:noProof/>
        </w:rPr>
        <w:t>adaptedness</w:t>
      </w:r>
      <w:r w:rsidRPr="009040D1">
        <w:rPr>
          <w:b/>
          <w:bCs/>
          <w:noProof/>
        </w:rPr>
        <w:t xml:space="preserve"> and </w:t>
      </w:r>
      <w:r w:rsidRPr="00CE72C5">
        <w:rPr>
          <w:b/>
          <w:bCs/>
          <w:i/>
          <w:iCs/>
          <w:noProof/>
        </w:rPr>
        <w:t>adaptability</w:t>
      </w:r>
      <w:r w:rsidRPr="009040D1">
        <w:rPr>
          <w:b/>
          <w:bCs/>
          <w:noProof/>
        </w:rPr>
        <w:t>.</w:t>
      </w:r>
      <w:r>
        <w:rPr>
          <w:b/>
          <w:bCs/>
          <w:noProof/>
        </w:rPr>
        <w:t xml:space="preserve"> </w:t>
      </w:r>
      <w:r>
        <w:rPr>
          <w:noProof/>
        </w:rPr>
        <w:t>The figure shows the</w:t>
      </w:r>
      <w:r w:rsidR="00FB4F13">
        <w:rPr>
          <w:noProof/>
        </w:rPr>
        <w:t xml:space="preserve"> relative</w:t>
      </w:r>
      <w:r>
        <w:rPr>
          <w:noProof/>
        </w:rPr>
        <w:t xml:space="preserve"> </w:t>
      </w:r>
      <w:r>
        <w:rPr>
          <w:i/>
          <w:iCs/>
          <w:noProof/>
        </w:rPr>
        <w:t xml:space="preserve">adaptedness </w:t>
      </w:r>
      <w:r>
        <w:rPr>
          <w:noProof/>
        </w:rPr>
        <w:t>(population mean fitness at the MSB</w:t>
      </w:r>
      <w:r w:rsidR="00785EDE">
        <w:rPr>
          <w:noProof/>
        </w:rPr>
        <w:t xml:space="preserve">, </w:t>
      </w:r>
      <m:oMath>
        <m:acc>
          <m:accPr>
            <m:chr m:val="̅"/>
            <m:ctrlPr>
              <w:rPr>
                <w:rFonts w:ascii="Cambria Math" w:hAnsi="Cambria Math"/>
                <w:i/>
                <w:noProof/>
              </w:rPr>
            </m:ctrlPr>
          </m:accPr>
          <m:e>
            <m:r>
              <w:rPr>
                <w:rFonts w:ascii="Cambria Math" w:hAnsi="Cambria Math"/>
                <w:noProof/>
              </w:rPr>
              <m:t>ω</m:t>
            </m:r>
          </m:e>
        </m:acc>
      </m:oMath>
      <w:r w:rsidR="00785EDE">
        <w:rPr>
          <w:rFonts w:eastAsiaTheme="minorEastAsia"/>
          <w:noProof/>
        </w:rPr>
        <w:t xml:space="preserve"> [see SI</w:t>
      </w:r>
      <w:r w:rsidR="00785EDE">
        <w:rPr>
          <w:noProof/>
        </w:rPr>
        <w:t>]</w:t>
      </w:r>
      <w:r>
        <w:rPr>
          <w:noProof/>
        </w:rPr>
        <w:t>; x-axis) and the</w:t>
      </w:r>
      <w:r w:rsidR="00FB4F13">
        <w:rPr>
          <w:noProof/>
        </w:rPr>
        <w:t xml:space="preserve"> relative</w:t>
      </w:r>
      <w:r>
        <w:rPr>
          <w:noProof/>
        </w:rPr>
        <w:t xml:space="preserve"> </w:t>
      </w:r>
      <w:r w:rsidRPr="009F5B3A">
        <w:rPr>
          <w:i/>
          <w:iCs/>
          <w:noProof/>
        </w:rPr>
        <w:t>adaptability</w:t>
      </w:r>
      <w:r>
        <w:rPr>
          <w:noProof/>
        </w:rPr>
        <w:t xml:space="preserve"> (</w:t>
      </w:r>
      <w:r w:rsidRPr="009F5B3A">
        <w:rPr>
          <w:noProof/>
        </w:rPr>
        <w:t>adaptation</w:t>
      </w:r>
      <w:r>
        <w:rPr>
          <w:noProof/>
        </w:rPr>
        <w:t xml:space="preserve"> rate</w:t>
      </w:r>
      <w:r w:rsidR="00785EDE">
        <w:rPr>
          <w:noProof/>
        </w:rPr>
        <w:t xml:space="preserve">, </w:t>
      </w:r>
      <m:oMath>
        <m:r>
          <w:rPr>
            <w:rFonts w:ascii="Cambria Math" w:hAnsi="Cambria Math"/>
            <w:noProof/>
          </w:rPr>
          <m:t>ν</m:t>
        </m:r>
      </m:oMath>
      <w:r w:rsidR="00785EDE">
        <w:rPr>
          <w:rFonts w:eastAsiaTheme="minorEastAsia"/>
          <w:noProof/>
        </w:rPr>
        <w:t xml:space="preserve"> [see Eq. 5-7] </w:t>
      </w:r>
      <w:r>
        <w:rPr>
          <w:noProof/>
        </w:rPr>
        <w:t xml:space="preserve">; y-axis) of different mutational strategies </w:t>
      </w:r>
      <w:r w:rsidR="00FB4F13">
        <w:rPr>
          <w:noProof/>
        </w:rPr>
        <w:t>in comparison</w:t>
      </w:r>
      <w:r>
        <w:rPr>
          <w:noProof/>
        </w:rPr>
        <w:t xml:space="preserve"> to normal mutagenesis (NM)</w:t>
      </w:r>
      <w:r w:rsidR="00450026">
        <w:rPr>
          <w:lang w:bidi="hi-IN"/>
        </w:rPr>
        <w:t>. Constitutive mutagenesis (CM</w:t>
      </w:r>
      <w:r>
        <w:rPr>
          <w:lang w:bidi="hi-IN"/>
        </w:rPr>
        <w:t xml:space="preserve">) increases the mutation rate of all individuals </w:t>
      </w:r>
      <w:proofErr w:type="spellStart"/>
      <w:r>
        <w:rPr>
          <w:rFonts w:ascii="Times New Roman" w:hAnsi="Times New Roman" w:cs="Times New Roman"/>
          <w:i/>
          <w:iCs/>
        </w:rPr>
        <w:t>τ</w:t>
      </w:r>
      <w:r>
        <w:rPr>
          <w:rFonts w:ascii="Times New Roman" w:hAnsi="Times New Roman" w:cs="Times New Roman"/>
          <w:i/>
          <w:iCs/>
          <w:vertAlign w:val="subscript"/>
        </w:rPr>
        <w:t>CM</w:t>
      </w:r>
      <w:proofErr w:type="spellEnd"/>
      <w:r w:rsidRPr="00514DED">
        <w:rPr>
          <w:rFonts w:ascii="Times New Roman" w:hAnsi="Times New Roman" w:cs="Times New Roman"/>
        </w:rPr>
        <w:t>-fold</w:t>
      </w:r>
      <w:r>
        <w:rPr>
          <w:lang w:bidi="hi-IN"/>
        </w:rPr>
        <w:t>; Stress-</w:t>
      </w:r>
      <w:r w:rsidR="00450026">
        <w:rPr>
          <w:lang w:bidi="hi-IN"/>
        </w:rPr>
        <w:t>induced mutagenesis (SIM</w:t>
      </w:r>
      <w:r>
        <w:rPr>
          <w:lang w:bidi="hi-IN"/>
        </w:rPr>
        <w:t xml:space="preserve">) increases the mutation rate of stressed or maladapted </w:t>
      </w:r>
      <w:proofErr w:type="gramStart"/>
      <w:r>
        <w:rPr>
          <w:lang w:bidi="hi-IN"/>
        </w:rPr>
        <w:t>individuals</w:t>
      </w:r>
      <w:proofErr w:type="gramEnd"/>
      <w:r w:rsidRPr="00514DED">
        <w:rPr>
          <w:rFonts w:ascii="Times New Roman" w:hAnsi="Times New Roman" w:cs="Times New Roman"/>
          <w:i/>
          <w:iCs/>
        </w:rPr>
        <w:t xml:space="preserve"> </w:t>
      </w:r>
      <w:proofErr w:type="spellStart"/>
      <w:r>
        <w:rPr>
          <w:rFonts w:ascii="Times New Roman" w:hAnsi="Times New Roman" w:cs="Times New Roman"/>
          <w:i/>
          <w:iCs/>
        </w:rPr>
        <w:t>τ</w:t>
      </w:r>
      <w:r>
        <w:rPr>
          <w:rFonts w:ascii="Times New Roman" w:hAnsi="Times New Roman" w:cs="Times New Roman"/>
          <w:i/>
          <w:iCs/>
          <w:vertAlign w:val="subscript"/>
        </w:rPr>
        <w:t>SIM</w:t>
      </w:r>
      <w:proofErr w:type="spellEnd"/>
      <w:r w:rsidRPr="00514DED">
        <w:rPr>
          <w:rFonts w:ascii="Times New Roman" w:hAnsi="Times New Roman" w:cs="Times New Roman"/>
        </w:rPr>
        <w:t>-fold</w:t>
      </w:r>
      <w:r>
        <w:rPr>
          <w:lang w:bidi="hi-IN"/>
        </w:rPr>
        <w:t>; Mixed strategies (in dashed green) increase the mutation rate of all individuals</w:t>
      </w:r>
      <w:r>
        <w:t xml:space="preserve"> </w:t>
      </w:r>
      <w:proofErr w:type="spellStart"/>
      <w:r>
        <w:rPr>
          <w:rFonts w:ascii="Times New Roman" w:hAnsi="Times New Roman" w:cs="Times New Roman"/>
          <w:i/>
          <w:iCs/>
        </w:rPr>
        <w:t>τ</w:t>
      </w:r>
      <w:r>
        <w:rPr>
          <w:rFonts w:ascii="Times New Roman" w:hAnsi="Times New Roman" w:cs="Times New Roman"/>
          <w:i/>
          <w:iCs/>
          <w:vertAlign w:val="subscript"/>
        </w:rPr>
        <w:t>CM</w:t>
      </w:r>
      <w:proofErr w:type="spellEnd"/>
      <w:r w:rsidRPr="00514DED">
        <w:rPr>
          <w:rFonts w:ascii="Times New Roman" w:hAnsi="Times New Roman" w:cs="Times New Roman"/>
        </w:rPr>
        <w:t xml:space="preserve">-fold and of stressed individuals </w:t>
      </w:r>
      <w:proofErr w:type="spellStart"/>
      <w:r>
        <w:rPr>
          <w:rFonts w:ascii="Times New Roman" w:hAnsi="Times New Roman" w:cs="Times New Roman"/>
          <w:i/>
          <w:iCs/>
        </w:rPr>
        <w:t>τ</w:t>
      </w:r>
      <w:r>
        <w:rPr>
          <w:rFonts w:ascii="Times New Roman" w:hAnsi="Times New Roman" w:cs="Times New Roman"/>
          <w:i/>
          <w:iCs/>
          <w:vertAlign w:val="subscript"/>
        </w:rPr>
        <w:t>SIM</w:t>
      </w:r>
      <w:proofErr w:type="spellEnd"/>
      <w:r w:rsidRPr="00514DED">
        <w:rPr>
          <w:rFonts w:ascii="Times New Roman" w:hAnsi="Times New Roman" w:cs="Times New Roman"/>
        </w:rPr>
        <w:t>-fold</w:t>
      </w:r>
      <w:r>
        <w:t xml:space="preserve">. SIM breaks off the </w:t>
      </w:r>
      <w:r w:rsidRPr="009F5B3A">
        <w:rPr>
          <w:i/>
          <w:iCs/>
        </w:rPr>
        <w:t>adaptability-adaptedness</w:t>
      </w:r>
      <w:r>
        <w:t xml:space="preserve"> trade-off of CM, increasing the </w:t>
      </w:r>
      <w:r w:rsidRPr="00031301">
        <w:rPr>
          <w:i/>
          <w:iCs/>
        </w:rPr>
        <w:t>adaptability</w:t>
      </w:r>
      <w:r>
        <w:t xml:space="preserve"> without compromising the </w:t>
      </w:r>
      <w:r>
        <w:rPr>
          <w:i/>
          <w:iCs/>
        </w:rPr>
        <w:t>adaptedness</w:t>
      </w:r>
      <w:r>
        <w:t xml:space="preserve"> of the population. </w:t>
      </w:r>
      <w:r>
        <w:rPr>
          <w:lang w:bidi="hi-IN"/>
        </w:rPr>
        <w:t xml:space="preserve">Parameters (see </w:t>
      </w:r>
      <w:r>
        <w:rPr>
          <w:lang w:bidi="hi-IN"/>
        </w:rPr>
        <w:fldChar w:fldCharType="begin"/>
      </w:r>
      <w:r w:rsidRPr="00A20806">
        <w:rPr>
          <w:lang w:bidi="hi-IN"/>
        </w:rPr>
        <w:instrText xml:space="preserve"> REF _Ref358791100 \h </w:instrText>
      </w:r>
      <w:r w:rsidR="002A0DCC">
        <w:rPr>
          <w:lang w:bidi="hi-IN"/>
        </w:rPr>
        <w:instrText xml:space="preserve"> \* MERGEFORMAT </w:instrText>
      </w:r>
      <w:r>
        <w:rPr>
          <w:lang w:bidi="hi-IN"/>
        </w:rPr>
      </w:r>
      <w:r>
        <w:rPr>
          <w:lang w:bidi="hi-IN"/>
        </w:rPr>
        <w:fldChar w:fldCharType="separate"/>
      </w:r>
      <w:r w:rsidR="007C70D4">
        <w:t xml:space="preserve">Table </w:t>
      </w:r>
      <w:r w:rsidR="007C70D4">
        <w:rPr>
          <w:noProof/>
        </w:rPr>
        <w:t>1</w:t>
      </w:r>
      <w:r>
        <w:rPr>
          <w:lang w:bidi="hi-IN"/>
        </w:rPr>
        <w:fldChar w:fldCharType="end"/>
      </w:r>
      <w:r>
        <w:rPr>
          <w:lang w:bidi="hi-IN"/>
        </w:rPr>
        <w:t xml:space="preserve">): </w:t>
      </w:r>
      <w:r>
        <w:rPr>
          <w:i/>
          <w:iCs/>
          <w:lang w:bidi="hi-IN"/>
        </w:rPr>
        <w:t>N</w:t>
      </w:r>
      <w:r w:rsidRPr="00514DED">
        <w:rPr>
          <w:lang w:bidi="hi-IN"/>
        </w:rPr>
        <w:t>=10</w:t>
      </w:r>
      <w:r w:rsidRPr="00514DED">
        <w:rPr>
          <w:vertAlign w:val="superscript"/>
          <w:lang w:bidi="hi-IN"/>
        </w:rPr>
        <w:t>6</w:t>
      </w:r>
      <w:r w:rsidRPr="00514DED">
        <w:rPr>
          <w:lang w:bidi="hi-IN"/>
        </w:rPr>
        <w:t>,</w:t>
      </w:r>
      <w:r>
        <w:rPr>
          <w:lang w:bidi="hi-IN"/>
        </w:rPr>
        <w:t xml:space="preserve"> </w:t>
      </w:r>
      <w:r>
        <w:rPr>
          <w:i/>
          <w:iCs/>
          <w:lang w:bidi="hi-IN"/>
        </w:rPr>
        <w:t>U</w:t>
      </w:r>
      <w:r w:rsidRPr="00514DED">
        <w:rPr>
          <w:lang w:bidi="hi-IN"/>
        </w:rPr>
        <w:t>=</w:t>
      </w:r>
      <w:r w:rsidRPr="00514DED">
        <w:rPr>
          <w:lang w:bidi="hi-IN"/>
        </w:rPr>
        <w:softHyphen/>
        <w:t>0.0004</w:t>
      </w:r>
      <w:r>
        <w:rPr>
          <w:lang w:bidi="hi-IN"/>
        </w:rPr>
        <w:t xml:space="preserve">, </w:t>
      </w:r>
      <w:r>
        <w:rPr>
          <w:rFonts w:ascii="Times New Roman" w:hAnsi="Times New Roman" w:cs="Times New Roman"/>
          <w:i/>
          <w:iCs/>
          <w:lang w:bidi="hi-IN"/>
        </w:rPr>
        <w:t>β</w:t>
      </w:r>
      <w:r w:rsidRPr="00514DED">
        <w:rPr>
          <w:lang w:bidi="hi-IN"/>
        </w:rPr>
        <w:t>=</w:t>
      </w:r>
      <w:r>
        <w:rPr>
          <w:lang w:bidi="hi-IN"/>
        </w:rPr>
        <w:t xml:space="preserve">0.002, </w:t>
      </w:r>
      <w:r>
        <w:rPr>
          <w:i/>
          <w:iCs/>
          <w:lang w:bidi="hi-IN"/>
        </w:rPr>
        <w:t>s</w:t>
      </w:r>
      <w:r w:rsidRPr="00514DED">
        <w:rPr>
          <w:lang w:bidi="hi-IN"/>
        </w:rPr>
        <w:t>=0.05</w:t>
      </w:r>
      <w:r>
        <w:rPr>
          <w:lang w:bidi="hi-IN"/>
        </w:rPr>
        <w:t xml:space="preserve">, </w:t>
      </w:r>
      <w:r>
        <w:rPr>
          <w:i/>
          <w:iCs/>
          <w:lang w:bidi="hi-IN"/>
        </w:rPr>
        <w:t>H</w:t>
      </w:r>
      <w:r w:rsidRPr="00514DED">
        <w:rPr>
          <w:lang w:bidi="hi-IN"/>
        </w:rPr>
        <w:t>=2</w:t>
      </w:r>
      <w:r w:rsidR="00EE776B">
        <w:rPr>
          <w:lang w:bidi="hi-IN"/>
        </w:rPr>
        <w:t xml:space="preserve">, </w:t>
      </w:r>
      <w:r w:rsidR="00EE776B" w:rsidRPr="00EE776B">
        <w:rPr>
          <w:rFonts w:ascii="Times New Roman" w:hAnsi="Times New Roman" w:cs="Times New Roman"/>
          <w:i/>
          <w:iCs/>
          <w:lang w:bidi="hi-IN"/>
        </w:rPr>
        <w:t>τ</w:t>
      </w:r>
      <w:r w:rsidR="00EE776B">
        <w:rPr>
          <w:lang w:bidi="hi-IN"/>
        </w:rPr>
        <w:t>&lt;&lt;1/</w:t>
      </w:r>
      <w:r w:rsidR="00EE776B" w:rsidRPr="00EE776B">
        <w:rPr>
          <w:i/>
          <w:iCs/>
          <w:lang w:bidi="hi-IN"/>
        </w:rPr>
        <w:t>U</w:t>
      </w:r>
      <w:r w:rsidR="00EE776B">
        <w:rPr>
          <w:rFonts w:eastAsiaTheme="minorEastAsia"/>
          <w:lang w:bidi="hi-IN"/>
        </w:rPr>
        <w:t>.</w:t>
      </w:r>
    </w:p>
    <w:p w:rsidR="00AD0C7A" w:rsidRDefault="00AD0C7A" w:rsidP="00AD0C7A">
      <w:pPr>
        <w:pStyle w:val="FigureLegend"/>
        <w:keepNext/>
        <w:spacing w:line="480" w:lineRule="auto"/>
      </w:pPr>
      <w:r>
        <w:rPr>
          <w:noProof/>
        </w:rPr>
        <w:lastRenderedPageBreak/>
        <w:drawing>
          <wp:inline distT="0" distB="0" distL="0" distR="0" wp14:anchorId="5F2A8F67" wp14:editId="7ECC5B59">
            <wp:extent cx="5267325" cy="2200910"/>
            <wp:effectExtent l="0" t="0" r="952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325" cy="2200910"/>
                    </a:xfrm>
                    <a:prstGeom prst="rect">
                      <a:avLst/>
                    </a:prstGeom>
                    <a:noFill/>
                  </pic:spPr>
                </pic:pic>
              </a:graphicData>
            </a:graphic>
          </wp:inline>
        </w:drawing>
      </w:r>
    </w:p>
    <w:p w:rsidR="00AD0C7A" w:rsidRPr="00651080" w:rsidRDefault="00AD0C7A" w:rsidP="00857502">
      <w:pPr>
        <w:pStyle w:val="Caption"/>
        <w:spacing w:line="480" w:lineRule="auto"/>
        <w:jc w:val="center"/>
        <w:rPr>
          <w:rFonts w:eastAsiaTheme="minorHAnsi"/>
          <w:b w:val="0"/>
          <w:bCs w:val="0"/>
          <w:smallCaps w:val="0"/>
          <w:noProof/>
          <w:color w:val="auto"/>
          <w:spacing w:val="0"/>
          <w:sz w:val="16"/>
          <w:szCs w:val="16"/>
          <w:lang w:bidi="he-IL"/>
        </w:rPr>
      </w:pPr>
      <w:bookmarkStart w:id="26" w:name="_Ref374366687"/>
      <w:r w:rsidRPr="00AD0C7A">
        <w:rPr>
          <w:rFonts w:eastAsiaTheme="minorHAnsi"/>
          <w:smallCaps w:val="0"/>
          <w:color w:val="auto"/>
          <w:spacing w:val="0"/>
          <w:sz w:val="16"/>
          <w:szCs w:val="16"/>
          <w:lang w:bidi="he-IL"/>
        </w:rPr>
        <w:t xml:space="preserve">Figure </w:t>
      </w:r>
      <w:r w:rsidRPr="00AD0C7A">
        <w:rPr>
          <w:rFonts w:eastAsiaTheme="minorHAnsi"/>
          <w:smallCaps w:val="0"/>
          <w:color w:val="auto"/>
          <w:spacing w:val="0"/>
          <w:sz w:val="16"/>
          <w:szCs w:val="16"/>
          <w:lang w:bidi="he-IL"/>
        </w:rPr>
        <w:fldChar w:fldCharType="begin"/>
      </w:r>
      <w:r w:rsidRPr="00AD0C7A">
        <w:rPr>
          <w:rFonts w:eastAsiaTheme="minorHAnsi"/>
          <w:smallCaps w:val="0"/>
          <w:color w:val="auto"/>
          <w:spacing w:val="0"/>
          <w:sz w:val="16"/>
          <w:szCs w:val="16"/>
          <w:lang w:bidi="he-IL"/>
        </w:rPr>
        <w:instrText xml:space="preserve"> SEQ Figure \* ARABIC </w:instrText>
      </w:r>
      <w:r w:rsidRPr="00AD0C7A">
        <w:rPr>
          <w:rFonts w:eastAsiaTheme="minorHAnsi"/>
          <w:smallCaps w:val="0"/>
          <w:color w:val="auto"/>
          <w:spacing w:val="0"/>
          <w:sz w:val="16"/>
          <w:szCs w:val="16"/>
          <w:lang w:bidi="he-IL"/>
        </w:rPr>
        <w:fldChar w:fldCharType="separate"/>
      </w:r>
      <w:r w:rsidR="007C70D4">
        <w:rPr>
          <w:rFonts w:eastAsiaTheme="minorHAnsi"/>
          <w:smallCaps w:val="0"/>
          <w:noProof/>
          <w:color w:val="auto"/>
          <w:spacing w:val="0"/>
          <w:sz w:val="16"/>
          <w:szCs w:val="16"/>
          <w:lang w:bidi="he-IL"/>
        </w:rPr>
        <w:t>5</w:t>
      </w:r>
      <w:r w:rsidRPr="00AD0C7A">
        <w:rPr>
          <w:rFonts w:eastAsiaTheme="minorHAnsi"/>
          <w:smallCaps w:val="0"/>
          <w:color w:val="auto"/>
          <w:spacing w:val="0"/>
          <w:sz w:val="16"/>
          <w:szCs w:val="16"/>
          <w:lang w:bidi="he-IL"/>
        </w:rPr>
        <w:fldChar w:fldCharType="end"/>
      </w:r>
      <w:bookmarkEnd w:id="26"/>
      <w:r>
        <w:rPr>
          <w:rFonts w:eastAsiaTheme="minorHAnsi"/>
          <w:smallCaps w:val="0"/>
          <w:color w:val="auto"/>
          <w:spacing w:val="0"/>
          <w:sz w:val="16"/>
          <w:szCs w:val="16"/>
          <w:lang w:bidi="he-IL"/>
        </w:rPr>
        <w:t xml:space="preserve"> – </w:t>
      </w:r>
      <w:r w:rsidR="00651080">
        <w:rPr>
          <w:rFonts w:eastAsiaTheme="minorHAnsi"/>
          <w:smallCaps w:val="0"/>
          <w:color w:val="auto"/>
          <w:spacing w:val="0"/>
          <w:sz w:val="16"/>
          <w:szCs w:val="16"/>
          <w:lang w:bidi="he-IL"/>
        </w:rPr>
        <w:t>D</w:t>
      </w:r>
      <w:r>
        <w:rPr>
          <w:rFonts w:eastAsiaTheme="minorHAnsi"/>
          <w:smallCaps w:val="0"/>
          <w:color w:val="auto"/>
          <w:spacing w:val="0"/>
          <w:sz w:val="16"/>
          <w:szCs w:val="16"/>
          <w:lang w:bidi="he-IL"/>
        </w:rPr>
        <w:t xml:space="preserve">irect competitions </w:t>
      </w:r>
      <w:r w:rsidR="00651080">
        <w:rPr>
          <w:rFonts w:eastAsiaTheme="minorHAnsi"/>
          <w:smallCaps w:val="0"/>
          <w:color w:val="auto"/>
          <w:spacing w:val="0"/>
          <w:sz w:val="16"/>
          <w:szCs w:val="16"/>
          <w:lang w:bidi="he-IL"/>
        </w:rPr>
        <w:t xml:space="preserve">between three </w:t>
      </w:r>
      <w:r>
        <w:rPr>
          <w:rFonts w:eastAsiaTheme="minorHAnsi"/>
          <w:smallCaps w:val="0"/>
          <w:color w:val="auto"/>
          <w:spacing w:val="0"/>
          <w:sz w:val="16"/>
          <w:szCs w:val="16"/>
          <w:lang w:bidi="he-IL"/>
        </w:rPr>
        <w:t>mutational strategies.</w:t>
      </w:r>
      <w:r w:rsidR="00651080">
        <w:rPr>
          <w:rFonts w:eastAsiaTheme="minorHAnsi"/>
          <w:smallCaps w:val="0"/>
          <w:color w:val="auto"/>
          <w:spacing w:val="0"/>
          <w:sz w:val="16"/>
          <w:szCs w:val="16"/>
          <w:lang w:bidi="he-IL"/>
        </w:rPr>
        <w:t xml:space="preserve"> </w:t>
      </w:r>
      <w:r w:rsidR="00651080">
        <w:rPr>
          <w:rFonts w:eastAsiaTheme="minorHAnsi"/>
          <w:b w:val="0"/>
          <w:bCs w:val="0"/>
          <w:smallCaps w:val="0"/>
          <w:noProof/>
          <w:color w:val="auto"/>
          <w:spacing w:val="0"/>
          <w:sz w:val="16"/>
          <w:szCs w:val="16"/>
          <w:lang w:bidi="he-IL"/>
        </w:rPr>
        <w:t>The figure shows the average final frequency of (from right</w:t>
      </w:r>
      <w:r w:rsidR="00857502">
        <w:rPr>
          <w:rFonts w:eastAsiaTheme="minorHAnsi"/>
          <w:b w:val="0"/>
          <w:bCs w:val="0"/>
          <w:smallCaps w:val="0"/>
          <w:noProof/>
          <w:color w:val="auto"/>
          <w:spacing w:val="0"/>
          <w:sz w:val="16"/>
          <w:szCs w:val="16"/>
          <w:lang w:bidi="he-IL"/>
        </w:rPr>
        <w:t xml:space="preserve"> to left</w:t>
      </w:r>
      <w:r w:rsidR="00651080">
        <w:rPr>
          <w:rFonts w:eastAsiaTheme="minorHAnsi"/>
          <w:b w:val="0"/>
          <w:bCs w:val="0"/>
          <w:smallCaps w:val="0"/>
          <w:noProof/>
          <w:color w:val="auto"/>
          <w:spacing w:val="0"/>
          <w:sz w:val="16"/>
          <w:szCs w:val="16"/>
          <w:lang w:bidi="he-IL"/>
        </w:rPr>
        <w:t xml:space="preserve">): </w:t>
      </w:r>
      <w:r w:rsidR="00857502">
        <w:rPr>
          <w:rFonts w:eastAsiaTheme="minorHAnsi"/>
          <w:b w:val="0"/>
          <w:bCs w:val="0"/>
          <w:smallCaps w:val="0"/>
          <w:noProof/>
          <w:color w:val="auto"/>
          <w:spacing w:val="0"/>
          <w:sz w:val="16"/>
          <w:szCs w:val="16"/>
          <w:lang w:bidi="he-IL"/>
        </w:rPr>
        <w:t xml:space="preserve">stress-induced mutagenesis </w:t>
      </w:r>
      <w:r w:rsidR="00857502">
        <w:rPr>
          <w:rFonts w:eastAsiaTheme="minorHAnsi"/>
          <w:b w:val="0"/>
          <w:bCs w:val="0"/>
          <w:smallCaps w:val="0"/>
          <w:noProof/>
          <w:color w:val="auto"/>
          <w:spacing w:val="0"/>
          <w:sz w:val="16"/>
          <w:szCs w:val="16"/>
          <w:lang w:bidi="he-IL"/>
        </w:rPr>
        <w:t>(</w:t>
      </w:r>
      <w:r w:rsidR="00857502">
        <w:rPr>
          <w:rFonts w:eastAsiaTheme="minorHAnsi"/>
          <w:b w:val="0"/>
          <w:bCs w:val="0"/>
          <w:smallCaps w:val="0"/>
          <w:noProof/>
          <w:color w:val="auto"/>
          <w:spacing w:val="0"/>
          <w:sz w:val="16"/>
          <w:szCs w:val="16"/>
          <w:lang w:bidi="he-IL"/>
        </w:rPr>
        <w:t>SIM</w:t>
      </w:r>
      <w:r w:rsidR="00857502">
        <w:rPr>
          <w:rFonts w:eastAsiaTheme="minorHAnsi"/>
          <w:b w:val="0"/>
          <w:bCs w:val="0"/>
          <w:smallCaps w:val="0"/>
          <w:noProof/>
          <w:color w:val="auto"/>
          <w:spacing w:val="0"/>
          <w:sz w:val="16"/>
          <w:szCs w:val="16"/>
          <w:lang w:bidi="he-IL"/>
        </w:rPr>
        <w:t>)</w:t>
      </w:r>
      <w:r w:rsidR="00857502">
        <w:rPr>
          <w:rFonts w:eastAsiaTheme="minorHAnsi"/>
          <w:b w:val="0"/>
          <w:bCs w:val="0"/>
          <w:smallCaps w:val="0"/>
          <w:noProof/>
          <w:color w:val="auto"/>
          <w:spacing w:val="0"/>
          <w:sz w:val="16"/>
          <w:szCs w:val="16"/>
          <w:lang w:bidi="he-IL"/>
        </w:rPr>
        <w:t xml:space="preserve"> vs. </w:t>
      </w:r>
      <w:r w:rsidR="00857502">
        <w:rPr>
          <w:rFonts w:eastAsiaTheme="minorHAnsi"/>
          <w:b w:val="0"/>
          <w:bCs w:val="0"/>
          <w:smallCaps w:val="0"/>
          <w:noProof/>
          <w:color w:val="auto"/>
          <w:spacing w:val="0"/>
          <w:sz w:val="16"/>
          <w:szCs w:val="16"/>
          <w:lang w:bidi="he-IL"/>
        </w:rPr>
        <w:t>constitutive mutagenesis (</w:t>
      </w:r>
      <w:r w:rsidR="00857502">
        <w:rPr>
          <w:rFonts w:eastAsiaTheme="minorHAnsi"/>
          <w:b w:val="0"/>
          <w:bCs w:val="0"/>
          <w:smallCaps w:val="0"/>
          <w:noProof/>
          <w:color w:val="auto"/>
          <w:spacing w:val="0"/>
          <w:sz w:val="16"/>
          <w:szCs w:val="16"/>
          <w:lang w:bidi="he-IL"/>
        </w:rPr>
        <w:t>CM</w:t>
      </w:r>
      <w:r w:rsidR="00857502">
        <w:rPr>
          <w:rFonts w:eastAsiaTheme="minorHAnsi"/>
          <w:b w:val="0"/>
          <w:bCs w:val="0"/>
          <w:smallCaps w:val="0"/>
          <w:noProof/>
          <w:color w:val="auto"/>
          <w:spacing w:val="0"/>
          <w:sz w:val="16"/>
          <w:szCs w:val="16"/>
          <w:lang w:bidi="he-IL"/>
        </w:rPr>
        <w:t xml:space="preserve">); CM vs. normal mutagenesis (NM); SIM </w:t>
      </w:r>
      <w:r w:rsidR="00651080">
        <w:rPr>
          <w:rFonts w:eastAsiaTheme="minorHAnsi"/>
          <w:b w:val="0"/>
          <w:bCs w:val="0"/>
          <w:smallCaps w:val="0"/>
          <w:noProof/>
          <w:color w:val="auto"/>
          <w:spacing w:val="0"/>
          <w:sz w:val="16"/>
          <w:szCs w:val="16"/>
          <w:lang w:bidi="he-IL"/>
        </w:rPr>
        <w:t xml:space="preserve">vs. NM; </w:t>
      </w:r>
      <w:r w:rsidR="00857502">
        <w:rPr>
          <w:rFonts w:eastAsiaTheme="minorHAnsi"/>
          <w:b w:val="0"/>
          <w:bCs w:val="0"/>
          <w:smallCaps w:val="0"/>
          <w:noProof/>
          <w:color w:val="auto"/>
          <w:spacing w:val="0"/>
          <w:sz w:val="16"/>
          <w:szCs w:val="16"/>
          <w:lang w:bidi="he-IL"/>
        </w:rPr>
        <w:t xml:space="preserve">and </w:t>
      </w:r>
      <w:r w:rsidR="00857502">
        <w:rPr>
          <w:rFonts w:eastAsiaTheme="minorHAnsi"/>
          <w:b w:val="0"/>
          <w:bCs w:val="0"/>
          <w:smallCaps w:val="0"/>
          <w:noProof/>
          <w:color w:val="auto"/>
          <w:spacing w:val="0"/>
          <w:sz w:val="16"/>
          <w:szCs w:val="16"/>
          <w:lang w:bidi="he-IL"/>
        </w:rPr>
        <w:t>NM</w:t>
      </w:r>
      <w:r w:rsidR="00857502">
        <w:rPr>
          <w:rFonts w:eastAsiaTheme="minorHAnsi"/>
          <w:b w:val="0"/>
          <w:bCs w:val="0"/>
          <w:smallCaps w:val="0"/>
          <w:noProof/>
          <w:color w:val="auto"/>
          <w:spacing w:val="0"/>
          <w:sz w:val="16"/>
          <w:szCs w:val="16"/>
          <w:lang w:bidi="he-IL"/>
        </w:rPr>
        <w:t xml:space="preserve"> </w:t>
      </w:r>
      <w:r w:rsidR="00857502">
        <w:rPr>
          <w:rFonts w:eastAsiaTheme="minorHAnsi"/>
          <w:b w:val="0"/>
          <w:bCs w:val="0"/>
          <w:smallCaps w:val="0"/>
          <w:noProof/>
          <w:color w:val="auto"/>
          <w:spacing w:val="0"/>
          <w:sz w:val="16"/>
          <w:szCs w:val="16"/>
          <w:lang w:bidi="he-IL"/>
        </w:rPr>
        <w:t>vs. NM (control)</w:t>
      </w:r>
      <w:r w:rsidR="00651080">
        <w:rPr>
          <w:rFonts w:eastAsiaTheme="minorHAnsi"/>
          <w:b w:val="0"/>
          <w:bCs w:val="0"/>
          <w:smallCaps w:val="0"/>
          <w:noProof/>
          <w:color w:val="auto"/>
          <w:spacing w:val="0"/>
          <w:sz w:val="16"/>
          <w:szCs w:val="16"/>
          <w:lang w:bidi="he-IL"/>
        </w:rPr>
        <w:t xml:space="preserve">. For each mutagenesis strategy several mutation rate increases are shown on the x-axis. SIM defeats CM and is significantly advantageous over NM when </w:t>
      </w:r>
      <w:r w:rsidR="00651080" w:rsidRPr="00AF69B6">
        <w:rPr>
          <w:rFonts w:eastAsiaTheme="minorHAnsi"/>
          <w:b w:val="0"/>
          <w:bCs w:val="0"/>
          <w:smallCaps w:val="0"/>
          <w:noProof/>
          <w:color w:val="auto"/>
          <w:spacing w:val="0"/>
          <w:sz w:val="16"/>
          <w:szCs w:val="16"/>
          <w:lang w:bidi="he-IL"/>
        </w:rPr>
        <w:t>τ</w:t>
      </w:r>
      <w:r w:rsidR="00302CF7" w:rsidRPr="00AF69B6">
        <w:rPr>
          <w:rFonts w:eastAsiaTheme="minorHAnsi"/>
          <w:b w:val="0"/>
          <w:bCs w:val="0"/>
          <w:smallCaps w:val="0"/>
          <w:noProof/>
          <w:color w:val="auto"/>
          <w:spacing w:val="0"/>
          <w:sz w:val="16"/>
          <w:szCs w:val="16"/>
          <w:lang w:bidi="he-IL"/>
        </w:rPr>
        <w:t>&gt;2</w:t>
      </w:r>
      <w:r w:rsidR="00C955BB" w:rsidRPr="00AF69B6">
        <w:rPr>
          <w:rFonts w:eastAsiaTheme="minorHAnsi"/>
          <w:b w:val="0"/>
          <w:bCs w:val="0"/>
          <w:smallCaps w:val="0"/>
          <w:noProof/>
          <w:color w:val="auto"/>
          <w:spacing w:val="0"/>
          <w:sz w:val="16"/>
          <w:szCs w:val="16"/>
          <w:lang w:bidi="he-IL"/>
        </w:rPr>
        <w:t xml:space="preserve"> (2-tail t-test, P&lt;0.0015)</w:t>
      </w:r>
      <w:r w:rsidR="00857502">
        <w:rPr>
          <w:rFonts w:eastAsiaTheme="minorHAnsi"/>
          <w:b w:val="0"/>
          <w:bCs w:val="0"/>
          <w:smallCaps w:val="0"/>
          <w:noProof/>
          <w:color w:val="auto"/>
          <w:spacing w:val="0"/>
          <w:sz w:val="16"/>
          <w:szCs w:val="16"/>
          <w:lang w:bidi="he-IL"/>
        </w:rPr>
        <w:t>, while</w:t>
      </w:r>
      <w:r w:rsidR="00AF69B6">
        <w:rPr>
          <w:rFonts w:eastAsiaTheme="minorHAnsi"/>
          <w:b w:val="0"/>
          <w:bCs w:val="0"/>
          <w:smallCaps w:val="0"/>
          <w:noProof/>
          <w:color w:val="auto"/>
          <w:spacing w:val="0"/>
          <w:sz w:val="16"/>
          <w:szCs w:val="16"/>
          <w:lang w:bidi="he-IL"/>
        </w:rPr>
        <w:t xml:space="preserve"> CM losses to both NM and SIM (P</w:t>
      </w:r>
      <w:r w:rsidR="00AF69B6">
        <w:rPr>
          <w:rFonts w:ascii="Times New Roman" w:eastAsiaTheme="minorHAnsi" w:hAnsi="Times New Roman" w:cs="Times New Roman"/>
          <w:b w:val="0"/>
          <w:bCs w:val="0"/>
          <w:smallCaps w:val="0"/>
          <w:noProof/>
          <w:color w:val="auto"/>
          <w:spacing w:val="0"/>
          <w:sz w:val="16"/>
          <w:szCs w:val="16"/>
          <w:lang w:bidi="he-IL"/>
        </w:rPr>
        <w:t>≈</w:t>
      </w:r>
      <w:r w:rsidR="00857502">
        <w:rPr>
          <w:rFonts w:eastAsiaTheme="minorHAnsi"/>
          <w:b w:val="0"/>
          <w:bCs w:val="0"/>
          <w:smallCaps w:val="0"/>
          <w:noProof/>
          <w:color w:val="auto"/>
          <w:spacing w:val="0"/>
          <w:sz w:val="16"/>
          <w:szCs w:val="16"/>
          <w:lang w:bidi="he-IL"/>
        </w:rPr>
        <w:t xml:space="preserve">0), which shows that SIM is favored by selection. </w:t>
      </w:r>
      <w:r w:rsidR="00AF69B6">
        <w:rPr>
          <w:rFonts w:eastAsiaTheme="minorHAnsi"/>
          <w:b w:val="0"/>
          <w:bCs w:val="0"/>
          <w:smallCaps w:val="0"/>
          <w:noProof/>
          <w:color w:val="auto"/>
          <w:spacing w:val="0"/>
          <w:sz w:val="16"/>
          <w:szCs w:val="16"/>
          <w:lang w:bidi="he-IL"/>
        </w:rPr>
        <w:t>C</w:t>
      </w:r>
      <w:r w:rsidR="007E2D9A" w:rsidRPr="00AF69B6">
        <w:rPr>
          <w:rFonts w:eastAsiaTheme="minorHAnsi"/>
          <w:b w:val="0"/>
          <w:bCs w:val="0"/>
          <w:smallCaps w:val="0"/>
          <w:noProof/>
          <w:color w:val="auto"/>
          <w:spacing w:val="0"/>
          <w:sz w:val="16"/>
          <w:szCs w:val="16"/>
          <w:lang w:bidi="he-IL"/>
        </w:rPr>
        <w:t xml:space="preserve">ompeting strategies started with equal frequencies. Error bars represent the </w:t>
      </w:r>
      <w:r w:rsidR="002D3652">
        <w:rPr>
          <w:rFonts w:eastAsiaTheme="minorHAnsi"/>
          <w:b w:val="0"/>
          <w:bCs w:val="0"/>
          <w:smallCaps w:val="0"/>
          <w:noProof/>
          <w:color w:val="auto"/>
          <w:spacing w:val="0"/>
          <w:sz w:val="16"/>
          <w:szCs w:val="16"/>
          <w:lang w:bidi="he-IL"/>
        </w:rPr>
        <w:t>standard error of the mean</w:t>
      </w:r>
      <w:r w:rsidR="007E2D9A" w:rsidRPr="00AF69B6">
        <w:rPr>
          <w:rFonts w:eastAsiaTheme="minorHAnsi"/>
          <w:b w:val="0"/>
          <w:bCs w:val="0"/>
          <w:smallCaps w:val="0"/>
          <w:noProof/>
          <w:color w:val="auto"/>
          <w:spacing w:val="0"/>
          <w:sz w:val="16"/>
          <w:szCs w:val="16"/>
          <w:lang w:bidi="he-IL"/>
        </w:rPr>
        <w:t xml:space="preserve"> (500 replicates per points). Parameters: see</w:t>
      </w:r>
      <w:r w:rsidR="00AF69B6">
        <w:rPr>
          <w:rFonts w:eastAsiaTheme="minorHAnsi"/>
          <w:b w:val="0"/>
          <w:bCs w:val="0"/>
          <w:smallCaps w:val="0"/>
          <w:noProof/>
          <w:color w:val="auto"/>
          <w:spacing w:val="0"/>
          <w:sz w:val="16"/>
          <w:szCs w:val="16"/>
          <w:lang w:bidi="he-IL"/>
        </w:rPr>
        <w:t xml:space="preserve"> </w:t>
      </w:r>
      <w:r w:rsidR="00AF69B6">
        <w:rPr>
          <w:rFonts w:eastAsiaTheme="minorHAnsi"/>
          <w:b w:val="0"/>
          <w:bCs w:val="0"/>
          <w:smallCaps w:val="0"/>
          <w:noProof/>
          <w:color w:val="auto"/>
          <w:spacing w:val="0"/>
          <w:sz w:val="16"/>
          <w:szCs w:val="16"/>
          <w:lang w:bidi="he-IL"/>
        </w:rPr>
        <w:fldChar w:fldCharType="begin"/>
      </w:r>
      <w:r w:rsidR="00AF69B6">
        <w:rPr>
          <w:rFonts w:eastAsiaTheme="minorHAnsi"/>
          <w:b w:val="0"/>
          <w:bCs w:val="0"/>
          <w:smallCaps w:val="0"/>
          <w:noProof/>
          <w:color w:val="auto"/>
          <w:spacing w:val="0"/>
          <w:sz w:val="16"/>
          <w:szCs w:val="16"/>
          <w:lang w:bidi="he-IL"/>
        </w:rPr>
        <w:instrText xml:space="preserve"> REF _Ref360183592 \h  \* MERGEFORMAT </w:instrText>
      </w:r>
      <w:r w:rsidR="00AF69B6">
        <w:rPr>
          <w:rFonts w:eastAsiaTheme="minorHAnsi"/>
          <w:b w:val="0"/>
          <w:bCs w:val="0"/>
          <w:smallCaps w:val="0"/>
          <w:noProof/>
          <w:color w:val="auto"/>
          <w:spacing w:val="0"/>
          <w:sz w:val="16"/>
          <w:szCs w:val="16"/>
          <w:lang w:bidi="he-IL"/>
        </w:rPr>
      </w:r>
      <w:r w:rsidR="00AF69B6">
        <w:rPr>
          <w:rFonts w:eastAsiaTheme="minorHAnsi"/>
          <w:b w:val="0"/>
          <w:bCs w:val="0"/>
          <w:smallCaps w:val="0"/>
          <w:noProof/>
          <w:color w:val="auto"/>
          <w:spacing w:val="0"/>
          <w:sz w:val="16"/>
          <w:szCs w:val="16"/>
          <w:lang w:bidi="he-IL"/>
        </w:rPr>
        <w:fldChar w:fldCharType="separate"/>
      </w:r>
      <w:r w:rsidR="007C70D4" w:rsidRPr="007C70D4">
        <w:rPr>
          <w:rFonts w:eastAsiaTheme="minorHAnsi"/>
          <w:b w:val="0"/>
          <w:bCs w:val="0"/>
          <w:smallCaps w:val="0"/>
          <w:noProof/>
          <w:color w:val="auto"/>
          <w:spacing w:val="0"/>
          <w:sz w:val="16"/>
          <w:szCs w:val="16"/>
          <w:lang w:bidi="he-IL"/>
        </w:rPr>
        <w:t>Figure 2</w:t>
      </w:r>
      <w:r w:rsidR="00AF69B6">
        <w:rPr>
          <w:rFonts w:eastAsiaTheme="minorHAnsi"/>
          <w:b w:val="0"/>
          <w:bCs w:val="0"/>
          <w:smallCaps w:val="0"/>
          <w:noProof/>
          <w:color w:val="auto"/>
          <w:spacing w:val="0"/>
          <w:sz w:val="16"/>
          <w:szCs w:val="16"/>
          <w:lang w:bidi="he-IL"/>
        </w:rPr>
        <w:fldChar w:fldCharType="end"/>
      </w:r>
      <w:r w:rsidR="007E2D9A" w:rsidRPr="00AF69B6">
        <w:rPr>
          <w:rFonts w:eastAsiaTheme="minorHAnsi"/>
          <w:b w:val="0"/>
          <w:bCs w:val="0"/>
          <w:smallCaps w:val="0"/>
          <w:noProof/>
          <w:color w:val="auto"/>
          <w:spacing w:val="0"/>
          <w:sz w:val="16"/>
          <w:szCs w:val="16"/>
          <w:lang w:bidi="he-IL"/>
        </w:rPr>
        <w:t>.</w:t>
      </w:r>
    </w:p>
    <w:p w:rsidR="003C4248" w:rsidRDefault="003C4248" w:rsidP="002A0DCC">
      <w:pPr>
        <w:pStyle w:val="Heading1"/>
        <w:spacing w:line="480" w:lineRule="auto"/>
      </w:pPr>
      <w:r>
        <w:t>Tables</w:t>
      </w:r>
    </w:p>
    <w:p w:rsidR="003C4248" w:rsidRDefault="003C4248" w:rsidP="00527A49">
      <w:pPr>
        <w:pStyle w:val="FigureLegend"/>
        <w:spacing w:line="480" w:lineRule="auto"/>
      </w:pPr>
      <w:bookmarkStart w:id="27" w:name="_Ref358791100"/>
      <w:r>
        <w:t xml:space="preserve">Table </w:t>
      </w:r>
      <w:r>
        <w:fldChar w:fldCharType="begin"/>
      </w:r>
      <w:r w:rsidRPr="00E1623D">
        <w:instrText xml:space="preserve"> SEQ Table \* ARABIC </w:instrText>
      </w:r>
      <w:r>
        <w:fldChar w:fldCharType="separate"/>
      </w:r>
      <w:r w:rsidR="007C70D4">
        <w:rPr>
          <w:noProof/>
        </w:rPr>
        <w:t>1</w:t>
      </w:r>
      <w:r>
        <w:rPr>
          <w:noProof/>
        </w:rPr>
        <w:fldChar w:fldCharType="end"/>
      </w:r>
      <w:bookmarkEnd w:id="27"/>
      <w:r>
        <w:t xml:space="preserve"> </w:t>
      </w:r>
      <w:r>
        <w:rPr>
          <w:rFonts w:ascii="Arial" w:hAnsi="Arial" w:cs="Arial"/>
        </w:rPr>
        <w:t>–</w:t>
      </w:r>
      <w:r>
        <w:t xml:space="preserve"> </w:t>
      </w:r>
      <w:r w:rsidRPr="00524B4A">
        <w:t>Model parameter</w:t>
      </w:r>
      <w:r>
        <w:t xml:space="preserve">s and estimated values for </w:t>
      </w:r>
      <w:r w:rsidR="00527A49">
        <w:rPr>
          <w:i/>
          <w:iCs/>
        </w:rPr>
        <w:t>E.</w:t>
      </w:r>
      <w:r w:rsidRPr="001A482B">
        <w:rPr>
          <w:i/>
          <w:iCs/>
        </w:rPr>
        <w:t xml:space="preserve"> coli</w:t>
      </w:r>
    </w:p>
    <w:tbl>
      <w:tblPr>
        <w:tblStyle w:val="LightShading"/>
        <w:tblW w:w="0" w:type="auto"/>
        <w:tblLook w:val="04A0" w:firstRow="1" w:lastRow="0" w:firstColumn="1" w:lastColumn="0" w:noHBand="0" w:noVBand="1"/>
      </w:tblPr>
      <w:tblGrid>
        <w:gridCol w:w="865"/>
        <w:gridCol w:w="2858"/>
        <w:gridCol w:w="1150"/>
        <w:gridCol w:w="3655"/>
      </w:tblGrid>
      <w:tr w:rsidR="003C4248" w:rsidTr="006633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Default="003C4248" w:rsidP="002A0DCC">
            <w:pPr>
              <w:pStyle w:val="FigureLegend"/>
              <w:spacing w:line="480" w:lineRule="auto"/>
            </w:pPr>
            <w:r>
              <w:t>Symbol</w:t>
            </w:r>
          </w:p>
        </w:tc>
        <w:tc>
          <w:tcPr>
            <w:tcW w:w="2858" w:type="dxa"/>
          </w:tcPr>
          <w:p w:rsidR="003C4248" w:rsidRDefault="003C4248" w:rsidP="002A0DCC">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3C4248" w:rsidRDefault="003C4248" w:rsidP="002A0DCC">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3C4248" w:rsidRDefault="003C4248" w:rsidP="002A0DCC">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s</w:t>
            </w:r>
          </w:p>
        </w:tc>
        <w:tc>
          <w:tcPr>
            <w:tcW w:w="2858"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3C4248" w:rsidRDefault="003C4248" w:rsidP="006633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914F9D">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et al. 2011)" }, "properties" : { "noteIndex" : 0 }, "schema" : "https://github.com/citation-style-language/schema/raw/master/csl-citation.json" }</w:instrText>
            </w:r>
            <w:r>
              <w:fldChar w:fldCharType="separate"/>
            </w:r>
            <w:r w:rsidR="00663378" w:rsidRPr="00663378">
              <w:rPr>
                <w:noProof/>
              </w:rPr>
              <w:t>(Kibota and Lynch 1996; Gordo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H</w:t>
            </w:r>
          </w:p>
        </w:tc>
        <w:tc>
          <w:tcPr>
            <w:tcW w:w="2858"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3C4248" w:rsidRDefault="003C4248" w:rsidP="00663378">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914F9D">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U</w:t>
            </w:r>
          </w:p>
        </w:tc>
        <w:tc>
          <w:tcPr>
            <w:tcW w:w="2858"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3C4248" w:rsidRDefault="003C4248" w:rsidP="006633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914F9D">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"ISSN" : "2160-1836",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00663378" w:rsidRPr="00663378">
              <w:rPr>
                <w:noProof/>
              </w:rPr>
              <w:t>(Drake et al. 1998; Wielgoss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µ</w:t>
            </w:r>
          </w:p>
        </w:tc>
        <w:tc>
          <w:tcPr>
            <w:tcW w:w="2858"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beneficial mutation rate</w:t>
            </w:r>
          </w:p>
        </w:tc>
        <w:tc>
          <w:tcPr>
            <w:tcW w:w="1150"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U/5000</w:t>
            </w:r>
          </w:p>
        </w:tc>
        <w:tc>
          <w:tcPr>
            <w:tcW w:w="3655" w:type="dxa"/>
          </w:tcPr>
          <w:p w:rsidR="003C4248" w:rsidRDefault="003C4248" w:rsidP="00663378">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914F9D">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τ</w:t>
            </w:r>
          </w:p>
        </w:tc>
        <w:tc>
          <w:tcPr>
            <w:tcW w:w="2858"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3C4248" w:rsidRDefault="003C4248" w:rsidP="006633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914F9D">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00663378" w:rsidRPr="00663378">
              <w:rPr>
                <w:noProof/>
              </w:rPr>
              <w:t>(Bjedov et al. 2003; Hall and Henderson-Begg 2006)</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N</w:t>
            </w:r>
          </w:p>
        </w:tc>
        <w:tc>
          <w:tcPr>
            <w:tcW w:w="2858"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3C4248" w:rsidRPr="000E4EA4"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3C4248" w:rsidRPr="00EA316D"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914F9D">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Escherichia coli: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Escherichia coli.",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00663378" w:rsidRPr="00663378">
              <w:rPr>
                <w:noProof/>
              </w:rPr>
              <w:t>(Pupo and Richardson 1995; Berg 1996)</w:t>
            </w:r>
            <w:r w:rsidRPr="00EA316D">
              <w:fldChar w:fldCharType="end"/>
            </w:r>
          </w:p>
        </w:tc>
      </w:tr>
    </w:tbl>
    <w:p w:rsidR="003C4248" w:rsidRPr="003C4248" w:rsidRDefault="003C4248" w:rsidP="002A0DCC">
      <w:pPr>
        <w:spacing w:line="480" w:lineRule="auto"/>
      </w:pPr>
    </w:p>
    <w:sectPr w:rsidR="003C4248" w:rsidRPr="003C4248" w:rsidSect="00753267">
      <w:footerReference w:type="default" r:id="rId17"/>
      <w:pgSz w:w="11906" w:h="16838"/>
      <w:pgMar w:top="1440" w:right="1797" w:bottom="1440" w:left="1797"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2217" w:rsidRDefault="00432217" w:rsidP="009A122D">
      <w:pPr>
        <w:spacing w:after="0" w:line="240" w:lineRule="auto"/>
      </w:pPr>
      <w:r>
        <w:separator/>
      </w:r>
    </w:p>
  </w:endnote>
  <w:endnote w:type="continuationSeparator" w:id="0">
    <w:p w:rsidR="00432217" w:rsidRDefault="00432217"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5AF3FD97-5030-483F-9A68-78841A5D1E57}"/>
    <w:embedBold r:id="rId2" w:fontKey="{C3C76B90-F017-46E4-9594-2FA302C42891}"/>
    <w:embedItalic r:id="rId3" w:fontKey="{38E2979C-1175-40FC-AC17-300595368206}"/>
    <w:embedBoldItalic r:id="rId4" w:fontKey="{80FC7E67-5332-4CB5-A380-A03C223BEFB3}"/>
  </w:font>
  <w:font w:name="Tahoma">
    <w:panose1 w:val="020B0604030504040204"/>
    <w:charset w:val="00"/>
    <w:family w:val="swiss"/>
    <w:pitch w:val="variable"/>
    <w:sig w:usb0="E1002EFF" w:usb1="C000605B" w:usb2="00000029" w:usb3="00000000" w:csb0="000101FF" w:csb1="00000000"/>
    <w:embedRegular r:id="rId5" w:fontKey="{1B1E8686-695A-48B5-8EF9-321F692A494B}"/>
  </w:font>
  <w:font w:name="cmr10">
    <w:charset w:val="00"/>
    <w:family w:val="swiss"/>
    <w:pitch w:val="variable"/>
    <w:sig w:usb0="00000003" w:usb1="00000000" w:usb2="00000000" w:usb3="00000000" w:csb0="00000001" w:csb1="00000000"/>
    <w:embedRegular r:id="rId6" w:fontKey="{6AA4F2D5-0124-4C4B-97A4-CB1FFDB5FB5B}"/>
  </w:font>
  <w:font w:name="Cambria Math">
    <w:panose1 w:val="02040503050406030204"/>
    <w:charset w:val="00"/>
    <w:family w:val="roman"/>
    <w:pitch w:val="variable"/>
    <w:sig w:usb0="E00002FF" w:usb1="420024FF" w:usb2="00000000" w:usb3="00000000" w:csb0="0000019F" w:csb1="00000000"/>
    <w:embedItalic r:id="rId7" w:fontKey="{E18DB5C2-1663-4785-B63C-8DF116A45F98}"/>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BD0663" w:rsidRDefault="00BD0663">
        <w:pPr>
          <w:pStyle w:val="Footer"/>
          <w:jc w:val="center"/>
        </w:pPr>
        <w:r>
          <w:fldChar w:fldCharType="begin"/>
        </w:r>
        <w:r>
          <w:instrText xml:space="preserve"> PAGE   \* MERGEFORMAT </w:instrText>
        </w:r>
        <w:r>
          <w:fldChar w:fldCharType="separate"/>
        </w:r>
        <w:r w:rsidR="00B2675D">
          <w:rPr>
            <w:noProof/>
          </w:rPr>
          <w:t>14</w:t>
        </w:r>
        <w:r>
          <w:rPr>
            <w:noProof/>
          </w:rPr>
          <w:fldChar w:fldCharType="end"/>
        </w:r>
      </w:p>
    </w:sdtContent>
  </w:sdt>
  <w:p w:rsidR="00BD0663" w:rsidRDefault="00BD066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2217" w:rsidRDefault="00432217" w:rsidP="009A122D">
      <w:pPr>
        <w:spacing w:after="0" w:line="240" w:lineRule="auto"/>
      </w:pPr>
      <w:r>
        <w:separator/>
      </w:r>
    </w:p>
  </w:footnote>
  <w:footnote w:type="continuationSeparator" w:id="0">
    <w:p w:rsidR="00432217" w:rsidRDefault="00432217"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50D"/>
    <w:rsid w:val="00004B35"/>
    <w:rsid w:val="000056D9"/>
    <w:rsid w:val="00006033"/>
    <w:rsid w:val="00010EC0"/>
    <w:rsid w:val="000134C9"/>
    <w:rsid w:val="00021B61"/>
    <w:rsid w:val="00022B9D"/>
    <w:rsid w:val="000265F8"/>
    <w:rsid w:val="0002786D"/>
    <w:rsid w:val="00030BE1"/>
    <w:rsid w:val="00031301"/>
    <w:rsid w:val="00031C58"/>
    <w:rsid w:val="00033028"/>
    <w:rsid w:val="00033584"/>
    <w:rsid w:val="000339C3"/>
    <w:rsid w:val="00042973"/>
    <w:rsid w:val="00042C46"/>
    <w:rsid w:val="00044F35"/>
    <w:rsid w:val="000545AB"/>
    <w:rsid w:val="00072913"/>
    <w:rsid w:val="00072D95"/>
    <w:rsid w:val="00073161"/>
    <w:rsid w:val="0007409B"/>
    <w:rsid w:val="0008011F"/>
    <w:rsid w:val="0008315C"/>
    <w:rsid w:val="00083C4D"/>
    <w:rsid w:val="0008670D"/>
    <w:rsid w:val="00090AA3"/>
    <w:rsid w:val="00092B79"/>
    <w:rsid w:val="00095098"/>
    <w:rsid w:val="00096116"/>
    <w:rsid w:val="000A40AD"/>
    <w:rsid w:val="000B0AFE"/>
    <w:rsid w:val="000C23E4"/>
    <w:rsid w:val="000C3573"/>
    <w:rsid w:val="000C6518"/>
    <w:rsid w:val="000C745E"/>
    <w:rsid w:val="000D21BF"/>
    <w:rsid w:val="000D56CE"/>
    <w:rsid w:val="000E41BA"/>
    <w:rsid w:val="000E60A3"/>
    <w:rsid w:val="000F3C41"/>
    <w:rsid w:val="000F6261"/>
    <w:rsid w:val="000F7D03"/>
    <w:rsid w:val="00101FCD"/>
    <w:rsid w:val="001033CA"/>
    <w:rsid w:val="00125157"/>
    <w:rsid w:val="001307C7"/>
    <w:rsid w:val="001329F2"/>
    <w:rsid w:val="00132ABF"/>
    <w:rsid w:val="00134FEB"/>
    <w:rsid w:val="00135B27"/>
    <w:rsid w:val="00135E41"/>
    <w:rsid w:val="00142549"/>
    <w:rsid w:val="00153987"/>
    <w:rsid w:val="0017087D"/>
    <w:rsid w:val="00171518"/>
    <w:rsid w:val="001725A7"/>
    <w:rsid w:val="001732C8"/>
    <w:rsid w:val="00175D8E"/>
    <w:rsid w:val="00184C3E"/>
    <w:rsid w:val="00185C6A"/>
    <w:rsid w:val="001910E3"/>
    <w:rsid w:val="001968C9"/>
    <w:rsid w:val="001A151A"/>
    <w:rsid w:val="001A6C18"/>
    <w:rsid w:val="001B74CA"/>
    <w:rsid w:val="001C3DA4"/>
    <w:rsid w:val="001C455A"/>
    <w:rsid w:val="001C5D6C"/>
    <w:rsid w:val="001D4AFA"/>
    <w:rsid w:val="001E325E"/>
    <w:rsid w:val="001F1E74"/>
    <w:rsid w:val="001F51E7"/>
    <w:rsid w:val="001F5496"/>
    <w:rsid w:val="00201A26"/>
    <w:rsid w:val="002135AE"/>
    <w:rsid w:val="0021470E"/>
    <w:rsid w:val="00221C7B"/>
    <w:rsid w:val="00223D4A"/>
    <w:rsid w:val="002261F8"/>
    <w:rsid w:val="00232C71"/>
    <w:rsid w:val="0024068F"/>
    <w:rsid w:val="00241A70"/>
    <w:rsid w:val="00245A8B"/>
    <w:rsid w:val="00254610"/>
    <w:rsid w:val="002630C5"/>
    <w:rsid w:val="00271D8B"/>
    <w:rsid w:val="00275A3C"/>
    <w:rsid w:val="002825FD"/>
    <w:rsid w:val="00282DE0"/>
    <w:rsid w:val="00290173"/>
    <w:rsid w:val="0029078B"/>
    <w:rsid w:val="00292861"/>
    <w:rsid w:val="00295B91"/>
    <w:rsid w:val="00295FB4"/>
    <w:rsid w:val="002A0DCC"/>
    <w:rsid w:val="002A275A"/>
    <w:rsid w:val="002B1207"/>
    <w:rsid w:val="002B5E98"/>
    <w:rsid w:val="002C490D"/>
    <w:rsid w:val="002C54C0"/>
    <w:rsid w:val="002D3652"/>
    <w:rsid w:val="002D501F"/>
    <w:rsid w:val="002D7506"/>
    <w:rsid w:val="002E0EBF"/>
    <w:rsid w:val="002F4E2F"/>
    <w:rsid w:val="00302CF7"/>
    <w:rsid w:val="00305197"/>
    <w:rsid w:val="00305556"/>
    <w:rsid w:val="00313F54"/>
    <w:rsid w:val="00320207"/>
    <w:rsid w:val="00320610"/>
    <w:rsid w:val="003247B3"/>
    <w:rsid w:val="00325953"/>
    <w:rsid w:val="0033327A"/>
    <w:rsid w:val="00335E62"/>
    <w:rsid w:val="00343645"/>
    <w:rsid w:val="0034713C"/>
    <w:rsid w:val="00347C94"/>
    <w:rsid w:val="00354774"/>
    <w:rsid w:val="00360699"/>
    <w:rsid w:val="003657AC"/>
    <w:rsid w:val="00373875"/>
    <w:rsid w:val="00373E6D"/>
    <w:rsid w:val="003757EA"/>
    <w:rsid w:val="0038310A"/>
    <w:rsid w:val="0038712A"/>
    <w:rsid w:val="003877F5"/>
    <w:rsid w:val="00390D59"/>
    <w:rsid w:val="00391853"/>
    <w:rsid w:val="00396D80"/>
    <w:rsid w:val="003A1D28"/>
    <w:rsid w:val="003A2920"/>
    <w:rsid w:val="003B3D00"/>
    <w:rsid w:val="003B4B81"/>
    <w:rsid w:val="003C4248"/>
    <w:rsid w:val="003C66D8"/>
    <w:rsid w:val="003D306F"/>
    <w:rsid w:val="003D42F5"/>
    <w:rsid w:val="003D4900"/>
    <w:rsid w:val="003D5DA7"/>
    <w:rsid w:val="003E0693"/>
    <w:rsid w:val="003E0BDF"/>
    <w:rsid w:val="003E2958"/>
    <w:rsid w:val="003E68BE"/>
    <w:rsid w:val="003F5091"/>
    <w:rsid w:val="00401E4A"/>
    <w:rsid w:val="00405611"/>
    <w:rsid w:val="00412A85"/>
    <w:rsid w:val="00414AEF"/>
    <w:rsid w:val="004163AF"/>
    <w:rsid w:val="004178FE"/>
    <w:rsid w:val="004254C4"/>
    <w:rsid w:val="00432217"/>
    <w:rsid w:val="00435563"/>
    <w:rsid w:val="0043685D"/>
    <w:rsid w:val="00440833"/>
    <w:rsid w:val="00446BDA"/>
    <w:rsid w:val="00450026"/>
    <w:rsid w:val="00453133"/>
    <w:rsid w:val="0045618B"/>
    <w:rsid w:val="00463A01"/>
    <w:rsid w:val="0046652F"/>
    <w:rsid w:val="004703D4"/>
    <w:rsid w:val="00472787"/>
    <w:rsid w:val="004747BD"/>
    <w:rsid w:val="00475A06"/>
    <w:rsid w:val="00475C27"/>
    <w:rsid w:val="00477861"/>
    <w:rsid w:val="00482123"/>
    <w:rsid w:val="00483013"/>
    <w:rsid w:val="00483E00"/>
    <w:rsid w:val="00485B00"/>
    <w:rsid w:val="00494EDC"/>
    <w:rsid w:val="004A2989"/>
    <w:rsid w:val="004B1858"/>
    <w:rsid w:val="004B5CB1"/>
    <w:rsid w:val="004C00D1"/>
    <w:rsid w:val="004C0D2C"/>
    <w:rsid w:val="004C16E5"/>
    <w:rsid w:val="004C392E"/>
    <w:rsid w:val="004C5F1B"/>
    <w:rsid w:val="004C737E"/>
    <w:rsid w:val="004C763B"/>
    <w:rsid w:val="004D3794"/>
    <w:rsid w:val="004D5FC0"/>
    <w:rsid w:val="004D6F60"/>
    <w:rsid w:val="004E278A"/>
    <w:rsid w:val="004E7076"/>
    <w:rsid w:val="004E782E"/>
    <w:rsid w:val="004F4440"/>
    <w:rsid w:val="004F5395"/>
    <w:rsid w:val="00510E20"/>
    <w:rsid w:val="00511EA8"/>
    <w:rsid w:val="00514DED"/>
    <w:rsid w:val="005202A0"/>
    <w:rsid w:val="0052063A"/>
    <w:rsid w:val="00527A49"/>
    <w:rsid w:val="00531BD5"/>
    <w:rsid w:val="00531CC2"/>
    <w:rsid w:val="005447DA"/>
    <w:rsid w:val="00544FA2"/>
    <w:rsid w:val="005467DB"/>
    <w:rsid w:val="005515F1"/>
    <w:rsid w:val="00552B96"/>
    <w:rsid w:val="00560C54"/>
    <w:rsid w:val="00563FAB"/>
    <w:rsid w:val="00564668"/>
    <w:rsid w:val="005754EE"/>
    <w:rsid w:val="005757FF"/>
    <w:rsid w:val="00575BB5"/>
    <w:rsid w:val="005816EE"/>
    <w:rsid w:val="005821AF"/>
    <w:rsid w:val="00587E54"/>
    <w:rsid w:val="005A2F68"/>
    <w:rsid w:val="005B2FE1"/>
    <w:rsid w:val="005B46B9"/>
    <w:rsid w:val="005B487B"/>
    <w:rsid w:val="005B77E2"/>
    <w:rsid w:val="005D511F"/>
    <w:rsid w:val="005D7A01"/>
    <w:rsid w:val="005E0580"/>
    <w:rsid w:val="005E19DB"/>
    <w:rsid w:val="005E3A59"/>
    <w:rsid w:val="005E7700"/>
    <w:rsid w:val="005F1227"/>
    <w:rsid w:val="005F1B6B"/>
    <w:rsid w:val="005F620D"/>
    <w:rsid w:val="005F6245"/>
    <w:rsid w:val="005F6C08"/>
    <w:rsid w:val="00607B56"/>
    <w:rsid w:val="00611840"/>
    <w:rsid w:val="00625517"/>
    <w:rsid w:val="00630B3C"/>
    <w:rsid w:val="00630F02"/>
    <w:rsid w:val="00633ED1"/>
    <w:rsid w:val="006456BB"/>
    <w:rsid w:val="00651080"/>
    <w:rsid w:val="00651511"/>
    <w:rsid w:val="00652ABC"/>
    <w:rsid w:val="00652D72"/>
    <w:rsid w:val="00663378"/>
    <w:rsid w:val="00665310"/>
    <w:rsid w:val="0066767E"/>
    <w:rsid w:val="00667ECA"/>
    <w:rsid w:val="00671C1A"/>
    <w:rsid w:val="006733DF"/>
    <w:rsid w:val="0067436B"/>
    <w:rsid w:val="00683120"/>
    <w:rsid w:val="00683B42"/>
    <w:rsid w:val="006911A5"/>
    <w:rsid w:val="00691767"/>
    <w:rsid w:val="0069770A"/>
    <w:rsid w:val="006A278B"/>
    <w:rsid w:val="006A479B"/>
    <w:rsid w:val="006B3A9D"/>
    <w:rsid w:val="006B774C"/>
    <w:rsid w:val="006B781F"/>
    <w:rsid w:val="006C02DB"/>
    <w:rsid w:val="006D14E9"/>
    <w:rsid w:val="006D1AF4"/>
    <w:rsid w:val="006D3220"/>
    <w:rsid w:val="006D5802"/>
    <w:rsid w:val="006D6585"/>
    <w:rsid w:val="006E04FA"/>
    <w:rsid w:val="006F4747"/>
    <w:rsid w:val="00701833"/>
    <w:rsid w:val="007058D2"/>
    <w:rsid w:val="00720682"/>
    <w:rsid w:val="00723F0C"/>
    <w:rsid w:val="00733446"/>
    <w:rsid w:val="00753267"/>
    <w:rsid w:val="00754F1E"/>
    <w:rsid w:val="00760FC5"/>
    <w:rsid w:val="0077094B"/>
    <w:rsid w:val="00775F58"/>
    <w:rsid w:val="00785EDE"/>
    <w:rsid w:val="007A2944"/>
    <w:rsid w:val="007B25AD"/>
    <w:rsid w:val="007B5572"/>
    <w:rsid w:val="007C4DDB"/>
    <w:rsid w:val="007C70D4"/>
    <w:rsid w:val="007D5C6B"/>
    <w:rsid w:val="007E1D16"/>
    <w:rsid w:val="007E25F3"/>
    <w:rsid w:val="007E2D9A"/>
    <w:rsid w:val="007E4A3D"/>
    <w:rsid w:val="007E6659"/>
    <w:rsid w:val="007F0A97"/>
    <w:rsid w:val="007F101A"/>
    <w:rsid w:val="007F26D6"/>
    <w:rsid w:val="007F656F"/>
    <w:rsid w:val="008062FB"/>
    <w:rsid w:val="00806F37"/>
    <w:rsid w:val="00812097"/>
    <w:rsid w:val="00812DB3"/>
    <w:rsid w:val="00814BE5"/>
    <w:rsid w:val="00815102"/>
    <w:rsid w:val="0081579B"/>
    <w:rsid w:val="00817816"/>
    <w:rsid w:val="00817B34"/>
    <w:rsid w:val="00821FF3"/>
    <w:rsid w:val="00824294"/>
    <w:rsid w:val="0082586B"/>
    <w:rsid w:val="00825A24"/>
    <w:rsid w:val="00830F34"/>
    <w:rsid w:val="008350C0"/>
    <w:rsid w:val="008410A2"/>
    <w:rsid w:val="0085140E"/>
    <w:rsid w:val="00851EBB"/>
    <w:rsid w:val="00857502"/>
    <w:rsid w:val="008643AC"/>
    <w:rsid w:val="00866ADE"/>
    <w:rsid w:val="00870ED3"/>
    <w:rsid w:val="008752E9"/>
    <w:rsid w:val="008851DB"/>
    <w:rsid w:val="00890BB3"/>
    <w:rsid w:val="008967F9"/>
    <w:rsid w:val="008A0C66"/>
    <w:rsid w:val="008A3174"/>
    <w:rsid w:val="008A35F3"/>
    <w:rsid w:val="008A5282"/>
    <w:rsid w:val="008A6B5D"/>
    <w:rsid w:val="008A7A0A"/>
    <w:rsid w:val="008B7326"/>
    <w:rsid w:val="008E3DFA"/>
    <w:rsid w:val="008E7880"/>
    <w:rsid w:val="008F5983"/>
    <w:rsid w:val="009040D1"/>
    <w:rsid w:val="00914F9D"/>
    <w:rsid w:val="00915B29"/>
    <w:rsid w:val="00917C32"/>
    <w:rsid w:val="009207F0"/>
    <w:rsid w:val="00921CC9"/>
    <w:rsid w:val="00922611"/>
    <w:rsid w:val="00925154"/>
    <w:rsid w:val="00926DD5"/>
    <w:rsid w:val="00927B26"/>
    <w:rsid w:val="00932C9B"/>
    <w:rsid w:val="0094207C"/>
    <w:rsid w:val="0094540E"/>
    <w:rsid w:val="0094679F"/>
    <w:rsid w:val="00946A45"/>
    <w:rsid w:val="00946BF8"/>
    <w:rsid w:val="00950641"/>
    <w:rsid w:val="0095303A"/>
    <w:rsid w:val="00956C2E"/>
    <w:rsid w:val="009602F2"/>
    <w:rsid w:val="00960FAB"/>
    <w:rsid w:val="00961209"/>
    <w:rsid w:val="00961EB6"/>
    <w:rsid w:val="00963766"/>
    <w:rsid w:val="00965EA3"/>
    <w:rsid w:val="00975E44"/>
    <w:rsid w:val="009770F6"/>
    <w:rsid w:val="009850ED"/>
    <w:rsid w:val="00986F1F"/>
    <w:rsid w:val="00992B7F"/>
    <w:rsid w:val="00992FC4"/>
    <w:rsid w:val="009969E9"/>
    <w:rsid w:val="009A0E7D"/>
    <w:rsid w:val="009A122D"/>
    <w:rsid w:val="009A294A"/>
    <w:rsid w:val="009A2A4B"/>
    <w:rsid w:val="009B5BE5"/>
    <w:rsid w:val="009C438B"/>
    <w:rsid w:val="009D2A59"/>
    <w:rsid w:val="009D3762"/>
    <w:rsid w:val="009D54F1"/>
    <w:rsid w:val="009D699D"/>
    <w:rsid w:val="009E4DC2"/>
    <w:rsid w:val="009E654C"/>
    <w:rsid w:val="009F5B3A"/>
    <w:rsid w:val="00A0028F"/>
    <w:rsid w:val="00A00B27"/>
    <w:rsid w:val="00A03104"/>
    <w:rsid w:val="00A14950"/>
    <w:rsid w:val="00A20010"/>
    <w:rsid w:val="00A20806"/>
    <w:rsid w:val="00A307DC"/>
    <w:rsid w:val="00A30A19"/>
    <w:rsid w:val="00A34949"/>
    <w:rsid w:val="00A35270"/>
    <w:rsid w:val="00A40A47"/>
    <w:rsid w:val="00A50635"/>
    <w:rsid w:val="00A575D7"/>
    <w:rsid w:val="00A579F7"/>
    <w:rsid w:val="00A67023"/>
    <w:rsid w:val="00A70358"/>
    <w:rsid w:val="00A709C3"/>
    <w:rsid w:val="00A725E6"/>
    <w:rsid w:val="00A74527"/>
    <w:rsid w:val="00A81E09"/>
    <w:rsid w:val="00A81E4B"/>
    <w:rsid w:val="00A853B5"/>
    <w:rsid w:val="00A871C9"/>
    <w:rsid w:val="00A9277F"/>
    <w:rsid w:val="00A95F28"/>
    <w:rsid w:val="00A96D14"/>
    <w:rsid w:val="00AA2FA4"/>
    <w:rsid w:val="00AB0448"/>
    <w:rsid w:val="00AC2BE1"/>
    <w:rsid w:val="00AC498F"/>
    <w:rsid w:val="00AC687F"/>
    <w:rsid w:val="00AC75F5"/>
    <w:rsid w:val="00AD0C7A"/>
    <w:rsid w:val="00AD2B33"/>
    <w:rsid w:val="00AD30BD"/>
    <w:rsid w:val="00AD32AA"/>
    <w:rsid w:val="00AE0A66"/>
    <w:rsid w:val="00AE0B1E"/>
    <w:rsid w:val="00AE42B5"/>
    <w:rsid w:val="00AE4609"/>
    <w:rsid w:val="00AE4A3F"/>
    <w:rsid w:val="00AF1C24"/>
    <w:rsid w:val="00AF5605"/>
    <w:rsid w:val="00AF69B6"/>
    <w:rsid w:val="00B04D05"/>
    <w:rsid w:val="00B10C13"/>
    <w:rsid w:val="00B1479E"/>
    <w:rsid w:val="00B165C4"/>
    <w:rsid w:val="00B17DB4"/>
    <w:rsid w:val="00B23B3C"/>
    <w:rsid w:val="00B25D55"/>
    <w:rsid w:val="00B2675D"/>
    <w:rsid w:val="00B32510"/>
    <w:rsid w:val="00B37F95"/>
    <w:rsid w:val="00B41C05"/>
    <w:rsid w:val="00B43DD1"/>
    <w:rsid w:val="00B472FC"/>
    <w:rsid w:val="00B51C0E"/>
    <w:rsid w:val="00B5286A"/>
    <w:rsid w:val="00B66998"/>
    <w:rsid w:val="00B72912"/>
    <w:rsid w:val="00B7610D"/>
    <w:rsid w:val="00B82D73"/>
    <w:rsid w:val="00B8554B"/>
    <w:rsid w:val="00B85CA4"/>
    <w:rsid w:val="00B86C28"/>
    <w:rsid w:val="00B87664"/>
    <w:rsid w:val="00B96911"/>
    <w:rsid w:val="00B9782C"/>
    <w:rsid w:val="00BA6231"/>
    <w:rsid w:val="00BB0FCA"/>
    <w:rsid w:val="00BB5518"/>
    <w:rsid w:val="00BC26DA"/>
    <w:rsid w:val="00BC359F"/>
    <w:rsid w:val="00BC43DA"/>
    <w:rsid w:val="00BD0663"/>
    <w:rsid w:val="00BF06EE"/>
    <w:rsid w:val="00BF2DDC"/>
    <w:rsid w:val="00BF336A"/>
    <w:rsid w:val="00C023C7"/>
    <w:rsid w:val="00C11B88"/>
    <w:rsid w:val="00C157F4"/>
    <w:rsid w:val="00C2015F"/>
    <w:rsid w:val="00C2360B"/>
    <w:rsid w:val="00C23983"/>
    <w:rsid w:val="00C24454"/>
    <w:rsid w:val="00C263A9"/>
    <w:rsid w:val="00C32D39"/>
    <w:rsid w:val="00C35E46"/>
    <w:rsid w:val="00C362E9"/>
    <w:rsid w:val="00C36DFD"/>
    <w:rsid w:val="00C40822"/>
    <w:rsid w:val="00C40CB3"/>
    <w:rsid w:val="00C43354"/>
    <w:rsid w:val="00C47221"/>
    <w:rsid w:val="00C53C8F"/>
    <w:rsid w:val="00C555BC"/>
    <w:rsid w:val="00C64915"/>
    <w:rsid w:val="00C87978"/>
    <w:rsid w:val="00C955BB"/>
    <w:rsid w:val="00C96FC9"/>
    <w:rsid w:val="00CA1DD5"/>
    <w:rsid w:val="00CA3636"/>
    <w:rsid w:val="00CA58CA"/>
    <w:rsid w:val="00CA7DA9"/>
    <w:rsid w:val="00CB0741"/>
    <w:rsid w:val="00CB2260"/>
    <w:rsid w:val="00CB2F61"/>
    <w:rsid w:val="00CD0FB7"/>
    <w:rsid w:val="00CD4474"/>
    <w:rsid w:val="00CD660F"/>
    <w:rsid w:val="00CE2189"/>
    <w:rsid w:val="00CE72C5"/>
    <w:rsid w:val="00CE78D0"/>
    <w:rsid w:val="00D104F2"/>
    <w:rsid w:val="00D10D48"/>
    <w:rsid w:val="00D14529"/>
    <w:rsid w:val="00D3522A"/>
    <w:rsid w:val="00D40F2C"/>
    <w:rsid w:val="00D4102F"/>
    <w:rsid w:val="00D56A32"/>
    <w:rsid w:val="00D6393B"/>
    <w:rsid w:val="00D66493"/>
    <w:rsid w:val="00D72D8D"/>
    <w:rsid w:val="00D74797"/>
    <w:rsid w:val="00D747B0"/>
    <w:rsid w:val="00D76319"/>
    <w:rsid w:val="00D82F82"/>
    <w:rsid w:val="00D84632"/>
    <w:rsid w:val="00DA34B7"/>
    <w:rsid w:val="00DB45BB"/>
    <w:rsid w:val="00DB52C0"/>
    <w:rsid w:val="00DB6D14"/>
    <w:rsid w:val="00DB72B7"/>
    <w:rsid w:val="00DB77BD"/>
    <w:rsid w:val="00DD62C4"/>
    <w:rsid w:val="00DD7F71"/>
    <w:rsid w:val="00DE1C4B"/>
    <w:rsid w:val="00DE6521"/>
    <w:rsid w:val="00DF1FED"/>
    <w:rsid w:val="00DF4FC8"/>
    <w:rsid w:val="00DF6C0E"/>
    <w:rsid w:val="00DF73E5"/>
    <w:rsid w:val="00E0054D"/>
    <w:rsid w:val="00E01613"/>
    <w:rsid w:val="00E1330F"/>
    <w:rsid w:val="00E1623D"/>
    <w:rsid w:val="00E16366"/>
    <w:rsid w:val="00E1760D"/>
    <w:rsid w:val="00E2745E"/>
    <w:rsid w:val="00E41B1B"/>
    <w:rsid w:val="00E4303E"/>
    <w:rsid w:val="00E466DE"/>
    <w:rsid w:val="00E47165"/>
    <w:rsid w:val="00E4716C"/>
    <w:rsid w:val="00E5128F"/>
    <w:rsid w:val="00E52511"/>
    <w:rsid w:val="00E554BD"/>
    <w:rsid w:val="00E627A2"/>
    <w:rsid w:val="00E628F4"/>
    <w:rsid w:val="00E7243B"/>
    <w:rsid w:val="00E75CE3"/>
    <w:rsid w:val="00E83AB1"/>
    <w:rsid w:val="00E8583D"/>
    <w:rsid w:val="00E862AF"/>
    <w:rsid w:val="00E87B67"/>
    <w:rsid w:val="00EA04C0"/>
    <w:rsid w:val="00EA316D"/>
    <w:rsid w:val="00EA4F71"/>
    <w:rsid w:val="00EB2D0A"/>
    <w:rsid w:val="00EB3214"/>
    <w:rsid w:val="00EB5020"/>
    <w:rsid w:val="00EB6923"/>
    <w:rsid w:val="00EC7EBC"/>
    <w:rsid w:val="00ED08B5"/>
    <w:rsid w:val="00ED111F"/>
    <w:rsid w:val="00ED26AF"/>
    <w:rsid w:val="00ED35AA"/>
    <w:rsid w:val="00EE3B41"/>
    <w:rsid w:val="00EE3CB4"/>
    <w:rsid w:val="00EE6EA2"/>
    <w:rsid w:val="00EE776B"/>
    <w:rsid w:val="00EF0B86"/>
    <w:rsid w:val="00EF3BEC"/>
    <w:rsid w:val="00EF44A6"/>
    <w:rsid w:val="00EF634C"/>
    <w:rsid w:val="00EF797F"/>
    <w:rsid w:val="00F0097B"/>
    <w:rsid w:val="00F00D32"/>
    <w:rsid w:val="00F03785"/>
    <w:rsid w:val="00F052BD"/>
    <w:rsid w:val="00F07DD7"/>
    <w:rsid w:val="00F100B3"/>
    <w:rsid w:val="00F12058"/>
    <w:rsid w:val="00F124DA"/>
    <w:rsid w:val="00F16B10"/>
    <w:rsid w:val="00F23504"/>
    <w:rsid w:val="00F25234"/>
    <w:rsid w:val="00F27D77"/>
    <w:rsid w:val="00F33489"/>
    <w:rsid w:val="00F33EA7"/>
    <w:rsid w:val="00F356B7"/>
    <w:rsid w:val="00F35F7B"/>
    <w:rsid w:val="00F37542"/>
    <w:rsid w:val="00F441B1"/>
    <w:rsid w:val="00F60029"/>
    <w:rsid w:val="00F619A9"/>
    <w:rsid w:val="00F62FFA"/>
    <w:rsid w:val="00F71C83"/>
    <w:rsid w:val="00F76B8B"/>
    <w:rsid w:val="00F804BA"/>
    <w:rsid w:val="00F8069F"/>
    <w:rsid w:val="00F83F2E"/>
    <w:rsid w:val="00F84E5B"/>
    <w:rsid w:val="00F8789F"/>
    <w:rsid w:val="00F907A8"/>
    <w:rsid w:val="00F91E4B"/>
    <w:rsid w:val="00FA4D99"/>
    <w:rsid w:val="00FA72C5"/>
    <w:rsid w:val="00FB0058"/>
    <w:rsid w:val="00FB1726"/>
    <w:rsid w:val="00FB2DA2"/>
    <w:rsid w:val="00FB30D0"/>
    <w:rsid w:val="00FB4F13"/>
    <w:rsid w:val="00FB7014"/>
    <w:rsid w:val="00FB7083"/>
    <w:rsid w:val="00FB73CE"/>
    <w:rsid w:val="00FC10A1"/>
    <w:rsid w:val="00FC3218"/>
    <w:rsid w:val="00FC507C"/>
    <w:rsid w:val="00FC5DAA"/>
    <w:rsid w:val="00FC62DB"/>
    <w:rsid w:val="00FC741A"/>
    <w:rsid w:val="00FD35E1"/>
    <w:rsid w:val="00FD3777"/>
    <w:rsid w:val="00FD52EB"/>
    <w:rsid w:val="00FD7E05"/>
    <w:rsid w:val="00FE18DA"/>
    <w:rsid w:val="00FE6A55"/>
    <w:rsid w:val="00FF2F6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sChild>
                            <w:div w:id="409691334">
                              <w:marLeft w:val="0"/>
                              <w:marRight w:val="0"/>
                              <w:marTop w:val="0"/>
                              <w:marBottom w:val="0"/>
                              <w:divBdr>
                                <w:top w:val="none" w:sz="0" w:space="0" w:color="auto"/>
                                <w:left w:val="none" w:sz="0" w:space="0" w:color="auto"/>
                                <w:bottom w:val="none" w:sz="0" w:space="0" w:color="auto"/>
                                <w:right w:val="none" w:sz="0" w:space="0" w:color="auto"/>
                              </w:divBdr>
                              <w:divsChild>
                                <w:div w:id="1109205588">
                                  <w:marLeft w:val="0"/>
                                  <w:marRight w:val="0"/>
                                  <w:marTop w:val="0"/>
                                  <w:marBottom w:val="0"/>
                                  <w:divBdr>
                                    <w:top w:val="none" w:sz="0" w:space="0" w:color="auto"/>
                                    <w:left w:val="none" w:sz="0" w:space="0" w:color="auto"/>
                                    <w:bottom w:val="none" w:sz="0" w:space="0" w:color="auto"/>
                                    <w:right w:val="none" w:sz="0" w:space="0" w:color="auto"/>
                                  </w:divBdr>
                                  <w:divsChild>
                                    <w:div w:id="1795756762">
                                      <w:marLeft w:val="0"/>
                                      <w:marRight w:val="0"/>
                                      <w:marTop w:val="0"/>
                                      <w:marBottom w:val="0"/>
                                      <w:divBdr>
                                        <w:top w:val="none" w:sz="0" w:space="0" w:color="auto"/>
                                        <w:left w:val="none" w:sz="0" w:space="0" w:color="auto"/>
                                        <w:bottom w:val="none" w:sz="0" w:space="0" w:color="auto"/>
                                        <w:right w:val="none" w:sz="0" w:space="0" w:color="auto"/>
                                      </w:divBdr>
                                      <w:divsChild>
                                        <w:div w:id="312832132">
                                          <w:marLeft w:val="0"/>
                                          <w:marRight w:val="0"/>
                                          <w:marTop w:val="0"/>
                                          <w:marBottom w:val="0"/>
                                          <w:divBdr>
                                            <w:top w:val="none" w:sz="0" w:space="0" w:color="auto"/>
                                            <w:left w:val="none" w:sz="0" w:space="0" w:color="auto"/>
                                            <w:bottom w:val="none" w:sz="0" w:space="0" w:color="auto"/>
                                            <w:right w:val="none" w:sz="0" w:space="0" w:color="auto"/>
                                          </w:divBdr>
                                          <w:divsChild>
                                            <w:div w:id="454759724">
                                              <w:marLeft w:val="0"/>
                                              <w:marRight w:val="0"/>
                                              <w:marTop w:val="0"/>
                                              <w:marBottom w:val="0"/>
                                              <w:divBdr>
                                                <w:top w:val="none" w:sz="0" w:space="0" w:color="auto"/>
                                                <w:left w:val="none" w:sz="0" w:space="0" w:color="auto"/>
                                                <w:bottom w:val="none" w:sz="0" w:space="0" w:color="auto"/>
                                                <w:right w:val="none" w:sz="0" w:space="0" w:color="auto"/>
                                              </w:divBdr>
                                              <w:divsChild>
                                                <w:div w:id="993293230">
                                                  <w:marLeft w:val="0"/>
                                                  <w:marRight w:val="0"/>
                                                  <w:marTop w:val="0"/>
                                                  <w:marBottom w:val="0"/>
                                                  <w:divBdr>
                                                    <w:top w:val="none" w:sz="0" w:space="0" w:color="auto"/>
                                                    <w:left w:val="none" w:sz="0" w:space="0" w:color="auto"/>
                                                    <w:bottom w:val="none" w:sz="0" w:space="0" w:color="auto"/>
                                                    <w:right w:val="none" w:sz="0" w:space="0" w:color="auto"/>
                                                  </w:divBdr>
                                                  <w:divsChild>
                                                    <w:div w:id="2115053750">
                                                      <w:marLeft w:val="0"/>
                                                      <w:marRight w:val="0"/>
                                                      <w:marTop w:val="0"/>
                                                      <w:marBottom w:val="0"/>
                                                      <w:divBdr>
                                                        <w:top w:val="none" w:sz="0" w:space="0" w:color="auto"/>
                                                        <w:left w:val="none" w:sz="0" w:space="0" w:color="auto"/>
                                                        <w:bottom w:val="none" w:sz="0" w:space="0" w:color="auto"/>
                                                        <w:right w:val="none" w:sz="0" w:space="0" w:color="auto"/>
                                                      </w:divBdr>
                                                      <w:divsChild>
                                                        <w:div w:id="965769447">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720126286">
                                                                      <w:marLeft w:val="0"/>
                                                                      <w:marRight w:val="0"/>
                                                                      <w:marTop w:val="0"/>
                                                                      <w:marBottom w:val="0"/>
                                                                      <w:divBdr>
                                                                        <w:top w:val="none" w:sz="0" w:space="0" w:color="auto"/>
                                                                        <w:left w:val="none" w:sz="0" w:space="0" w:color="auto"/>
                                                                        <w:bottom w:val="none" w:sz="0" w:space="0" w:color="auto"/>
                                                                        <w:right w:val="none" w:sz="0" w:space="0" w:color="auto"/>
                                                                      </w:divBdr>
                                                                      <w:divsChild>
                                                                        <w:div w:id="1304196526">
                                                                          <w:marLeft w:val="0"/>
                                                                          <w:marRight w:val="0"/>
                                                                          <w:marTop w:val="0"/>
                                                                          <w:marBottom w:val="0"/>
                                                                          <w:divBdr>
                                                                            <w:top w:val="none" w:sz="0" w:space="0" w:color="auto"/>
                                                                            <w:left w:val="none" w:sz="0" w:space="0" w:color="auto"/>
                                                                            <w:bottom w:val="none" w:sz="0" w:space="0" w:color="auto"/>
                                                                            <w:right w:val="none" w:sz="0" w:space="0" w:color="auto"/>
                                                                          </w:divBdr>
                                                                          <w:divsChild>
                                                                            <w:div w:id="1179462879">
                                                                              <w:marLeft w:val="0"/>
                                                                              <w:marRight w:val="0"/>
                                                                              <w:marTop w:val="0"/>
                                                                              <w:marBottom w:val="0"/>
                                                                              <w:divBdr>
                                                                                <w:top w:val="none" w:sz="0" w:space="0" w:color="auto"/>
                                                                                <w:left w:val="none" w:sz="0" w:space="0" w:color="auto"/>
                                                                                <w:bottom w:val="none" w:sz="0" w:space="0" w:color="auto"/>
                                                                                <w:right w:val="none" w:sz="0" w:space="0" w:color="auto"/>
                                                                              </w:divBdr>
                                                                              <w:divsChild>
                                                                                <w:div w:id="650133241">
                                                                                  <w:marLeft w:val="0"/>
                                                                                  <w:marRight w:val="0"/>
                                                                                  <w:marTop w:val="0"/>
                                                                                  <w:marBottom w:val="0"/>
                                                                                  <w:divBdr>
                                                                                    <w:top w:val="none" w:sz="0" w:space="0" w:color="auto"/>
                                                                                    <w:left w:val="none" w:sz="0" w:space="0" w:color="auto"/>
                                                                                    <w:bottom w:val="none" w:sz="0" w:space="0" w:color="auto"/>
                                                                                    <w:right w:val="none" w:sz="0" w:space="0" w:color="auto"/>
                                                                                  </w:divBdr>
                                                                                  <w:divsChild>
                                                                                    <w:div w:id="1642922316">
                                                                                      <w:marLeft w:val="0"/>
                                                                                      <w:marRight w:val="0"/>
                                                                                      <w:marTop w:val="0"/>
                                                                                      <w:marBottom w:val="0"/>
                                                                                      <w:divBdr>
                                                                                        <w:top w:val="none" w:sz="0" w:space="0" w:color="auto"/>
                                                                                        <w:left w:val="none" w:sz="0" w:space="0" w:color="auto"/>
                                                                                        <w:bottom w:val="none" w:sz="0" w:space="0" w:color="auto"/>
                                                                                        <w:right w:val="none" w:sz="0" w:space="0" w:color="auto"/>
                                                                                      </w:divBdr>
                                                                                      <w:divsChild>
                                                                                        <w:div w:id="1125931007">
                                                                                          <w:marLeft w:val="0"/>
                                                                                          <w:marRight w:val="0"/>
                                                                                          <w:marTop w:val="0"/>
                                                                                          <w:marBottom w:val="0"/>
                                                                                          <w:divBdr>
                                                                                            <w:top w:val="none" w:sz="0" w:space="0" w:color="auto"/>
                                                                                            <w:left w:val="none" w:sz="0" w:space="0" w:color="auto"/>
                                                                                            <w:bottom w:val="none" w:sz="0" w:space="0" w:color="auto"/>
                                                                                            <w:right w:val="none" w:sz="0" w:space="0" w:color="auto"/>
                                                                                          </w:divBdr>
                                                                                          <w:divsChild>
                                                                                            <w:div w:id="822039198">
                                                                                              <w:marLeft w:val="0"/>
                                                                                              <w:marRight w:val="0"/>
                                                                                              <w:marTop w:val="0"/>
                                                                                              <w:marBottom w:val="0"/>
                                                                                              <w:divBdr>
                                                                                                <w:top w:val="none" w:sz="0" w:space="0" w:color="auto"/>
                                                                                                <w:left w:val="none" w:sz="0" w:space="0" w:color="auto"/>
                                                                                                <w:bottom w:val="none" w:sz="0" w:space="0" w:color="auto"/>
                                                                                                <w:right w:val="none" w:sz="0" w:space="0" w:color="auto"/>
                                                                                              </w:divBdr>
                                                                                            </w:div>
                                                                                            <w:div w:id="1915042885">
                                                                                              <w:marLeft w:val="0"/>
                                                                                              <w:marRight w:val="0"/>
                                                                                              <w:marTop w:val="0"/>
                                                                                              <w:marBottom w:val="0"/>
                                                                                              <w:divBdr>
                                                                                                <w:top w:val="none" w:sz="0" w:space="0" w:color="auto"/>
                                                                                                <w:left w:val="none" w:sz="0" w:space="0" w:color="auto"/>
                                                                                                <w:bottom w:val="none" w:sz="0" w:space="0" w:color="auto"/>
                                                                                                <w:right w:val="none" w:sz="0" w:space="0" w:color="auto"/>
                                                                                              </w:divBdr>
                                                                                              <w:divsChild>
                                                                                                <w:div w:id="20085670">
                                                                                                  <w:marLeft w:val="0"/>
                                                                                                  <w:marRight w:val="0"/>
                                                                                                  <w:marTop w:val="0"/>
                                                                                                  <w:marBottom w:val="0"/>
                                                                                                  <w:divBdr>
                                                                                                    <w:top w:val="none" w:sz="0" w:space="0" w:color="auto"/>
                                                                                                    <w:left w:val="none" w:sz="0" w:space="0" w:color="auto"/>
                                                                                                    <w:bottom w:val="none" w:sz="0" w:space="0" w:color="auto"/>
                                                                                                    <w:right w:val="none" w:sz="0" w:space="0" w:color="auto"/>
                                                                                                  </w:divBdr>
                                                                                                  <w:divsChild>
                                                                                                    <w:div w:id="731120415">
                                                                                                      <w:marLeft w:val="0"/>
                                                                                                      <w:marRight w:val="0"/>
                                                                                                      <w:marTop w:val="0"/>
                                                                                                      <w:marBottom w:val="0"/>
                                                                                                      <w:divBdr>
                                                                                                        <w:top w:val="none" w:sz="0" w:space="0" w:color="auto"/>
                                                                                                        <w:left w:val="none" w:sz="0" w:space="0" w:color="auto"/>
                                                                                                        <w:bottom w:val="none" w:sz="0" w:space="0" w:color="auto"/>
                                                                                                        <w:right w:val="none" w:sz="0" w:space="0" w:color="auto"/>
                                                                                                      </w:divBdr>
                                                                                                      <w:divsChild>
                                                                                                        <w:div w:id="941910544">
                                                                                                          <w:marLeft w:val="0"/>
                                                                                                          <w:marRight w:val="0"/>
                                                                                                          <w:marTop w:val="0"/>
                                                                                                          <w:marBottom w:val="0"/>
                                                                                                          <w:divBdr>
                                                                                                            <w:top w:val="none" w:sz="0" w:space="0" w:color="auto"/>
                                                                                                            <w:left w:val="none" w:sz="0" w:space="0" w:color="auto"/>
                                                                                                            <w:bottom w:val="none" w:sz="0" w:space="0" w:color="auto"/>
                                                                                                            <w:right w:val="none" w:sz="0" w:space="0" w:color="auto"/>
                                                                                                          </w:divBdr>
                                                                                                          <w:divsChild>
                                                                                                            <w:div w:id="752167534">
                                                                                                              <w:marLeft w:val="0"/>
                                                                                                              <w:marRight w:val="0"/>
                                                                                                              <w:marTop w:val="0"/>
                                                                                                              <w:marBottom w:val="0"/>
                                                                                                              <w:divBdr>
                                                                                                                <w:top w:val="none" w:sz="0" w:space="0" w:color="auto"/>
                                                                                                                <w:left w:val="none" w:sz="0" w:space="0" w:color="auto"/>
                                                                                                                <w:bottom w:val="none" w:sz="0" w:space="0" w:color="auto"/>
                                                                                                                <w:right w:val="none" w:sz="0" w:space="0" w:color="auto"/>
                                                                                                              </w:divBdr>
                                                                                                              <w:divsChild>
                                                                                                                <w:div w:id="1278640074">
                                                                                                                  <w:marLeft w:val="0"/>
                                                                                                                  <w:marRight w:val="0"/>
                                                                                                                  <w:marTop w:val="0"/>
                                                                                                                  <w:marBottom w:val="0"/>
                                                                                                                  <w:divBdr>
                                                                                                                    <w:top w:val="none" w:sz="0" w:space="0" w:color="auto"/>
                                                                                                                    <w:left w:val="none" w:sz="0" w:space="0" w:color="auto"/>
                                                                                                                    <w:bottom w:val="none" w:sz="0" w:space="0" w:color="auto"/>
                                                                                                                    <w:right w:val="none" w:sz="0" w:space="0" w:color="auto"/>
                                                                                                                  </w:divBdr>
                                                                                                                  <w:divsChild>
                                                                                                                    <w:div w:id="871918452">
                                                                                                                      <w:marLeft w:val="0"/>
                                                                                                                      <w:marRight w:val="0"/>
                                                                                                                      <w:marTop w:val="0"/>
                                                                                                                      <w:marBottom w:val="0"/>
                                                                                                                      <w:divBdr>
                                                                                                                        <w:top w:val="none" w:sz="0" w:space="0" w:color="auto"/>
                                                                                                                        <w:left w:val="none" w:sz="0" w:space="0" w:color="auto"/>
                                                                                                                        <w:bottom w:val="none" w:sz="0" w:space="0" w:color="auto"/>
                                                                                                                        <w:right w:val="none" w:sz="0" w:space="0" w:color="auto"/>
                                                                                                                      </w:divBdr>
                                                                                                                      <w:divsChild>
                                                                                                                        <w:div w:id="1037898721">
                                                                                                                          <w:marLeft w:val="0"/>
                                                                                                                          <w:marRight w:val="0"/>
                                                                                                                          <w:marTop w:val="0"/>
                                                                                                                          <w:marBottom w:val="0"/>
                                                                                                                          <w:divBdr>
                                                                                                                            <w:top w:val="none" w:sz="0" w:space="0" w:color="auto"/>
                                                                                                                            <w:left w:val="none" w:sz="0" w:space="0" w:color="auto"/>
                                                                                                                            <w:bottom w:val="none" w:sz="0" w:space="0" w:color="auto"/>
                                                                                                                            <w:right w:val="none" w:sz="0" w:space="0" w:color="auto"/>
                                                                                                                          </w:divBdr>
                                                                                                                          <w:divsChild>
                                                                                                                            <w:div w:id="1735007103">
                                                                                                                              <w:marLeft w:val="0"/>
                                                                                                                              <w:marRight w:val="0"/>
                                                                                                                              <w:marTop w:val="0"/>
                                                                                                                              <w:marBottom w:val="0"/>
                                                                                                                              <w:divBdr>
                                                                                                                                <w:top w:val="none" w:sz="0" w:space="0" w:color="auto"/>
                                                                                                                                <w:left w:val="none" w:sz="0" w:space="0" w:color="auto"/>
                                                                                                                                <w:bottom w:val="none" w:sz="0" w:space="0" w:color="auto"/>
                                                                                                                                <w:right w:val="none" w:sz="0" w:space="0" w:color="auto"/>
                                                                                                                              </w:divBdr>
                                                                                                                              <w:divsChild>
                                                                                                                                <w:div w:id="1330015862">
                                                                                                                                  <w:marLeft w:val="0"/>
                                                                                                                                  <w:marRight w:val="0"/>
                                                                                                                                  <w:marTop w:val="0"/>
                                                                                                                                  <w:marBottom w:val="0"/>
                                                                                                                                  <w:divBdr>
                                                                                                                                    <w:top w:val="none" w:sz="0" w:space="0" w:color="auto"/>
                                                                                                                                    <w:left w:val="none" w:sz="0" w:space="0" w:color="auto"/>
                                                                                                                                    <w:bottom w:val="none" w:sz="0" w:space="0" w:color="auto"/>
                                                                                                                                    <w:right w:val="none" w:sz="0" w:space="0" w:color="auto"/>
                                                                                                                                  </w:divBdr>
                                                                                                                                  <w:divsChild>
                                                                                                                                    <w:div w:id="2134715116">
                                                                                                                                      <w:marLeft w:val="0"/>
                                                                                                                                      <w:marRight w:val="0"/>
                                                                                                                                      <w:marTop w:val="0"/>
                                                                                                                                      <w:marBottom w:val="0"/>
                                                                                                                                      <w:divBdr>
                                                                                                                                        <w:top w:val="none" w:sz="0" w:space="0" w:color="auto"/>
                                                                                                                                        <w:left w:val="none" w:sz="0" w:space="0" w:color="auto"/>
                                                                                                                                        <w:bottom w:val="none" w:sz="0" w:space="0" w:color="auto"/>
                                                                                                                                        <w:right w:val="none" w:sz="0" w:space="0" w:color="auto"/>
                                                                                                                                      </w:divBdr>
                                                                                                                                      <w:divsChild>
                                                                                                                                        <w:div w:id="1498689066">
                                                                                                                                          <w:marLeft w:val="0"/>
                                                                                                                                          <w:marRight w:val="0"/>
                                                                                                                                          <w:marTop w:val="0"/>
                                                                                                                                          <w:marBottom w:val="0"/>
                                                                                                                                          <w:divBdr>
                                                                                                                                            <w:top w:val="none" w:sz="0" w:space="0" w:color="auto"/>
                                                                                                                                            <w:left w:val="none" w:sz="0" w:space="0" w:color="auto"/>
                                                                                                                                            <w:bottom w:val="none" w:sz="0" w:space="0" w:color="auto"/>
                                                                                                                                            <w:right w:val="none" w:sz="0" w:space="0" w:color="auto"/>
                                                                                                                                          </w:divBdr>
                                                                                                                                          <w:divsChild>
                                                                                                                                            <w:div w:id="2065792181">
                                                                                                                                              <w:marLeft w:val="0"/>
                                                                                                                                              <w:marRight w:val="0"/>
                                                                                                                                              <w:marTop w:val="0"/>
                                                                                                                                              <w:marBottom w:val="0"/>
                                                                                                                                              <w:divBdr>
                                                                                                                                                <w:top w:val="none" w:sz="0" w:space="0" w:color="auto"/>
                                                                                                                                                <w:left w:val="none" w:sz="0" w:space="0" w:color="auto"/>
                                                                                                                                                <w:bottom w:val="none" w:sz="0" w:space="0" w:color="auto"/>
                                                                                                                                                <w:right w:val="none" w:sz="0" w:space="0" w:color="auto"/>
                                                                                                                                              </w:divBdr>
                                                                                                                                              <w:divsChild>
                                                                                                                                                <w:div w:id="1523475177">
                                                                                                                                                  <w:marLeft w:val="0"/>
                                                                                                                                                  <w:marRight w:val="0"/>
                                                                                                                                                  <w:marTop w:val="0"/>
                                                                                                                                                  <w:marBottom w:val="0"/>
                                                                                                                                                  <w:divBdr>
                                                                                                                                                    <w:top w:val="none" w:sz="0" w:space="0" w:color="auto"/>
                                                                                                                                                    <w:left w:val="none" w:sz="0" w:space="0" w:color="auto"/>
                                                                                                                                                    <w:bottom w:val="none" w:sz="0" w:space="0" w:color="auto"/>
                                                                                                                                                    <w:right w:val="none" w:sz="0" w:space="0" w:color="auto"/>
                                                                                                                                                  </w:divBdr>
                                                                                                                                                  <w:divsChild>
                                                                                                                                                    <w:div w:id="158915">
                                                                                                                                                      <w:marLeft w:val="0"/>
                                                                                                                                                      <w:marRight w:val="0"/>
                                                                                                                                                      <w:marTop w:val="0"/>
                                                                                                                                                      <w:marBottom w:val="0"/>
                                                                                                                                                      <w:divBdr>
                                                                                                                                                        <w:top w:val="none" w:sz="0" w:space="0" w:color="auto"/>
                                                                                                                                                        <w:left w:val="none" w:sz="0" w:space="0" w:color="auto"/>
                                                                                                                                                        <w:bottom w:val="none" w:sz="0" w:space="0" w:color="auto"/>
                                                                                                                                                        <w:right w:val="none" w:sz="0" w:space="0" w:color="auto"/>
                                                                                                                                                      </w:divBdr>
                                                                                                                                                      <w:divsChild>
                                                                                                                                                        <w:div w:id="1401904655">
                                                                                                                                                          <w:marLeft w:val="0"/>
                                                                                                                                                          <w:marRight w:val="0"/>
                                                                                                                                                          <w:marTop w:val="0"/>
                                                                                                                                                          <w:marBottom w:val="0"/>
                                                                                                                                                          <w:divBdr>
                                                                                                                                                            <w:top w:val="none" w:sz="0" w:space="0" w:color="auto"/>
                                                                                                                                                            <w:left w:val="none" w:sz="0" w:space="0" w:color="auto"/>
                                                                                                                                                            <w:bottom w:val="none" w:sz="0" w:space="0" w:color="auto"/>
                                                                                                                                                            <w:right w:val="none" w:sz="0" w:space="0" w:color="auto"/>
                                                                                                                                                          </w:divBdr>
                                                                                                                                                          <w:divsChild>
                                                                                                                                                            <w:div w:id="110904501">
                                                                                                                                                              <w:marLeft w:val="0"/>
                                                                                                                                                              <w:marRight w:val="0"/>
                                                                                                                                                              <w:marTop w:val="0"/>
                                                                                                                                                              <w:marBottom w:val="0"/>
                                                                                                                                                              <w:divBdr>
                                                                                                                                                                <w:top w:val="none" w:sz="0" w:space="0" w:color="auto"/>
                                                                                                                                                                <w:left w:val="none" w:sz="0" w:space="0" w:color="auto"/>
                                                                                                                                                                <w:bottom w:val="none" w:sz="0" w:space="0" w:color="auto"/>
                                                                                                                                                                <w:right w:val="none" w:sz="0" w:space="0" w:color="auto"/>
                                                                                                                                                              </w:divBdr>
                                                                                                                                                              <w:divsChild>
                                                                                                                                                                <w:div w:id="632292511">
                                                                                                                                                                  <w:marLeft w:val="0"/>
                                                                                                                                                                  <w:marRight w:val="0"/>
                                                                                                                                                                  <w:marTop w:val="0"/>
                                                                                                                                                                  <w:marBottom w:val="0"/>
                                                                                                                                                                  <w:divBdr>
                                                                                                                                                                    <w:top w:val="none" w:sz="0" w:space="0" w:color="auto"/>
                                                                                                                                                                    <w:left w:val="none" w:sz="0" w:space="0" w:color="auto"/>
                                                                                                                                                                    <w:bottom w:val="none" w:sz="0" w:space="0" w:color="auto"/>
                                                                                                                                                                    <w:right w:val="none" w:sz="0" w:space="0" w:color="auto"/>
                                                                                                                                                                  </w:divBdr>
                                                                                                                                                                  <w:divsChild>
                                                                                                                                                                    <w:div w:id="134223176">
                                                                                                                                                                      <w:marLeft w:val="0"/>
                                                                                                                                                                      <w:marRight w:val="0"/>
                                                                                                                                                                      <w:marTop w:val="0"/>
                                                                                                                                                                      <w:marBottom w:val="0"/>
                                                                                                                                                                      <w:divBdr>
                                                                                                                                                                        <w:top w:val="none" w:sz="0" w:space="0" w:color="auto"/>
                                                                                                                                                                        <w:left w:val="none" w:sz="0" w:space="0" w:color="auto"/>
                                                                                                                                                                        <w:bottom w:val="none" w:sz="0" w:space="0" w:color="auto"/>
                                                                                                                                                                        <w:right w:val="none" w:sz="0" w:space="0" w:color="auto"/>
                                                                                                                                                                      </w:divBdr>
                                                                                                                                                                      <w:divsChild>
                                                                                                                                                                        <w:div w:id="1732919911">
                                                                                                                                                                          <w:marLeft w:val="0"/>
                                                                                                                                                                          <w:marRight w:val="0"/>
                                                                                                                                                                          <w:marTop w:val="0"/>
                                                                                                                                                                          <w:marBottom w:val="0"/>
                                                                                                                                                                          <w:divBdr>
                                                                                                                                                                            <w:top w:val="none" w:sz="0" w:space="0" w:color="auto"/>
                                                                                                                                                                            <w:left w:val="none" w:sz="0" w:space="0" w:color="auto"/>
                                                                                                                                                                            <w:bottom w:val="none" w:sz="0" w:space="0" w:color="auto"/>
                                                                                                                                                                            <w:right w:val="none" w:sz="0" w:space="0" w:color="auto"/>
                                                                                                                                                                          </w:divBdr>
                                                                                                                                                                          <w:divsChild>
                                                                                                                                                                            <w:div w:id="1453402600">
                                                                                                                                                                              <w:marLeft w:val="0"/>
                                                                                                                                                                              <w:marRight w:val="0"/>
                                                                                                                                                                              <w:marTop w:val="0"/>
                                                                                                                                                                              <w:marBottom w:val="0"/>
                                                                                                                                                                              <w:divBdr>
                                                                                                                                                                                <w:top w:val="none" w:sz="0" w:space="0" w:color="auto"/>
                                                                                                                                                                                <w:left w:val="none" w:sz="0" w:space="0" w:color="auto"/>
                                                                                                                                                                                <w:bottom w:val="none" w:sz="0" w:space="0" w:color="auto"/>
                                                                                                                                                                                <w:right w:val="none" w:sz="0" w:space="0" w:color="auto"/>
                                                                                                                                                                              </w:divBdr>
                                                                                                                                                                              <w:divsChild>
                                                                                                                                                                                <w:div w:id="1478179297">
                                                                                                                                                                                  <w:marLeft w:val="0"/>
                                                                                                                                                                                  <w:marRight w:val="0"/>
                                                                                                                                                                                  <w:marTop w:val="0"/>
                                                                                                                                                                                  <w:marBottom w:val="0"/>
                                                                                                                                                                                  <w:divBdr>
                                                                                                                                                                                    <w:top w:val="none" w:sz="0" w:space="0" w:color="auto"/>
                                                                                                                                                                                    <w:left w:val="none" w:sz="0" w:space="0" w:color="auto"/>
                                                                                                                                                                                    <w:bottom w:val="none" w:sz="0" w:space="0" w:color="auto"/>
                                                                                                                                                                                    <w:right w:val="none" w:sz="0" w:space="0" w:color="auto"/>
                                                                                                                                                                                  </w:divBdr>
                                                                                                                                                                                  <w:divsChild>
                                                                                                                                                                                    <w:div w:id="2035615287">
                                                                                                                                                                                      <w:marLeft w:val="0"/>
                                                                                                                                                                                      <w:marRight w:val="0"/>
                                                                                                                                                                                      <w:marTop w:val="0"/>
                                                                                                                                                                                      <w:marBottom w:val="0"/>
                                                                                                                                                                                      <w:divBdr>
                                                                                                                                                                                        <w:top w:val="none" w:sz="0" w:space="0" w:color="auto"/>
                                                                                                                                                                                        <w:left w:val="none" w:sz="0" w:space="0" w:color="auto"/>
                                                                                                                                                                                        <w:bottom w:val="none" w:sz="0" w:space="0" w:color="auto"/>
                                                                                                                                                                                        <w:right w:val="none" w:sz="0" w:space="0" w:color="auto"/>
                                                                                                                                                                                      </w:divBdr>
                                                                                                                                                                                      <w:divsChild>
                                                                                                                                                                                        <w:div w:id="691684613">
                                                                                                                                                                                          <w:marLeft w:val="0"/>
                                                                                                                                                                                          <w:marRight w:val="0"/>
                                                                                                                                                                                          <w:marTop w:val="0"/>
                                                                                                                                                                                          <w:marBottom w:val="0"/>
                                                                                                                                                                                          <w:divBdr>
                                                                                                                                                                                            <w:top w:val="none" w:sz="0" w:space="0" w:color="auto"/>
                                                                                                                                                                                            <w:left w:val="none" w:sz="0" w:space="0" w:color="auto"/>
                                                                                                                                                                                            <w:bottom w:val="none" w:sz="0" w:space="0" w:color="auto"/>
                                                                                                                                                                                            <w:right w:val="none" w:sz="0" w:space="0" w:color="auto"/>
                                                                                                                                                                                          </w:divBdr>
                                                                                                                                                                                          <w:divsChild>
                                                                                                                                                                                            <w:div w:id="915365259">
                                                                                                                                                                                              <w:marLeft w:val="0"/>
                                                                                                                                                                                              <w:marRight w:val="0"/>
                                                                                                                                                                                              <w:marTop w:val="0"/>
                                                                                                                                                                                              <w:marBottom w:val="0"/>
                                                                                                                                                                                              <w:divBdr>
                                                                                                                                                                                                <w:top w:val="none" w:sz="0" w:space="0" w:color="auto"/>
                                                                                                                                                                                                <w:left w:val="none" w:sz="0" w:space="0" w:color="auto"/>
                                                                                                                                                                                                <w:bottom w:val="none" w:sz="0" w:space="0" w:color="auto"/>
                                                                                                                                                                                                <w:right w:val="none" w:sz="0" w:space="0" w:color="auto"/>
                                                                                                                                                                                              </w:divBdr>
                                                                                                                                                                                              <w:divsChild>
                                                                                                                                                                                                <w:div w:id="992487146">
                                                                                                                                                                                                  <w:marLeft w:val="0"/>
                                                                                                                                                                                                  <w:marRight w:val="0"/>
                                                                                                                                                                                                  <w:marTop w:val="0"/>
                                                                                                                                                                                                  <w:marBottom w:val="0"/>
                                                                                                                                                                                                  <w:divBdr>
                                                                                                                                                                                                    <w:top w:val="none" w:sz="0" w:space="0" w:color="auto"/>
                                                                                                                                                                                                    <w:left w:val="none" w:sz="0" w:space="0" w:color="auto"/>
                                                                                                                                                                                                    <w:bottom w:val="none" w:sz="0" w:space="0" w:color="auto"/>
                                                                                                                                                                                                    <w:right w:val="none" w:sz="0" w:space="0" w:color="auto"/>
                                                                                                                                                                                                  </w:divBdr>
                                                                                                                                                                                                  <w:divsChild>
                                                                                                                                                                                                    <w:div w:id="1588730512">
                                                                                                                                                                                                      <w:marLeft w:val="0"/>
                                                                                                                                                                                                      <w:marRight w:val="0"/>
                                                                                                                                                                                                      <w:marTop w:val="0"/>
                                                                                                                                                                                                      <w:marBottom w:val="0"/>
                                                                                                                                                                                                      <w:divBdr>
                                                                                                                                                                                                        <w:top w:val="none" w:sz="0" w:space="0" w:color="auto"/>
                                                                                                                                                                                                        <w:left w:val="none" w:sz="0" w:space="0" w:color="auto"/>
                                                                                                                                                                                                        <w:bottom w:val="none" w:sz="0" w:space="0" w:color="auto"/>
                                                                                                                                                                                                        <w:right w:val="none" w:sz="0" w:space="0" w:color="auto"/>
                                                                                                                                                                                                      </w:divBdr>
                                                                                                                                                                                                      <w:divsChild>
                                                                                                                                                                                                        <w:div w:id="1529099198">
                                                                                                                                                                                                          <w:marLeft w:val="0"/>
                                                                                                                                                                                                          <w:marRight w:val="0"/>
                                                                                                                                                                                                          <w:marTop w:val="0"/>
                                                                                                                                                                                                          <w:marBottom w:val="0"/>
                                                                                                                                                                                                          <w:divBdr>
                                                                                                                                                                                                            <w:top w:val="none" w:sz="0" w:space="0" w:color="auto"/>
                                                                                                                                                                                                            <w:left w:val="none" w:sz="0" w:space="0" w:color="auto"/>
                                                                                                                                                                                                            <w:bottom w:val="none" w:sz="0" w:space="0" w:color="auto"/>
                                                                                                                                                                                                            <w:right w:val="none" w:sz="0" w:space="0" w:color="auto"/>
                                                                                                                                                                                                          </w:divBdr>
                                                                                                                                                                                                          <w:divsChild>
                                                                                                                                                                                                            <w:div w:id="1812746824">
                                                                                                                                                                                                              <w:marLeft w:val="0"/>
                                                                                                                                                                                                              <w:marRight w:val="0"/>
                                                                                                                                                                                                              <w:marTop w:val="0"/>
                                                                                                                                                                                                              <w:marBottom w:val="0"/>
                                                                                                                                                                                                              <w:divBdr>
                                                                                                                                                                                                                <w:top w:val="none" w:sz="0" w:space="0" w:color="auto"/>
                                                                                                                                                                                                                <w:left w:val="none" w:sz="0" w:space="0" w:color="auto"/>
                                                                                                                                                                                                                <w:bottom w:val="none" w:sz="0" w:space="0" w:color="auto"/>
                                                                                                                                                                                                                <w:right w:val="none" w:sz="0" w:space="0" w:color="auto"/>
                                                                                                                                                                                                              </w:divBdr>
                                                                                                                                                                                                              <w:divsChild>
                                                                                                                                                                                                                <w:div w:id="2102604166">
                                                                                                                                                                                                                  <w:marLeft w:val="0"/>
                                                                                                                                                                                                                  <w:marRight w:val="0"/>
                                                                                                                                                                                                                  <w:marTop w:val="0"/>
                                                                                                                                                                                                                  <w:marBottom w:val="0"/>
                                                                                                                                                                                                                  <w:divBdr>
                                                                                                                                                                                                                    <w:top w:val="none" w:sz="0" w:space="0" w:color="auto"/>
                                                                                                                                                                                                                    <w:left w:val="none" w:sz="0" w:space="0" w:color="auto"/>
                                                                                                                                                                                                                    <w:bottom w:val="none" w:sz="0" w:space="0" w:color="auto"/>
                                                                                                                                                                                                                    <w:right w:val="none" w:sz="0" w:space="0" w:color="auto"/>
                                                                                                                                                                                                                  </w:divBdr>
                                                                                                                                                                                                                  <w:divsChild>
                                                                                                                                                                                                                    <w:div w:id="1951545165">
                                                                                                                                                                                                                      <w:marLeft w:val="0"/>
                                                                                                                                                                                                                      <w:marRight w:val="0"/>
                                                                                                                                                                                                                      <w:marTop w:val="0"/>
                                                                                                                                                                                                                      <w:marBottom w:val="0"/>
                                                                                                                                                                                                                      <w:divBdr>
                                                                                                                                                                                                                        <w:top w:val="none" w:sz="0" w:space="0" w:color="auto"/>
                                                                                                                                                                                                                        <w:left w:val="none" w:sz="0" w:space="0" w:color="auto"/>
                                                                                                                                                                                                                        <w:bottom w:val="none" w:sz="0" w:space="0" w:color="auto"/>
                                                                                                                                                                                                                        <w:right w:val="none" w:sz="0" w:space="0" w:color="auto"/>
                                                                                                                                                                                                                      </w:divBdr>
                                                                                                                                                                                                                      <w:divsChild>
                                                                                                                                                                                                                        <w:div w:id="1743916432">
                                                                                                                                                                                                                          <w:marLeft w:val="0"/>
                                                                                                                                                                                                                          <w:marRight w:val="0"/>
                                                                                                                                                                                                                          <w:marTop w:val="0"/>
                                                                                                                                                                                                                          <w:marBottom w:val="0"/>
                                                                                                                                                                                                                          <w:divBdr>
                                                                                                                                                                                                                            <w:top w:val="none" w:sz="0" w:space="0" w:color="auto"/>
                                                                                                                                                                                                                            <w:left w:val="none" w:sz="0" w:space="0" w:color="auto"/>
                                                                                                                                                                                                                            <w:bottom w:val="none" w:sz="0" w:space="0" w:color="auto"/>
                                                                                                                                                                                                                            <w:right w:val="none" w:sz="0" w:space="0" w:color="auto"/>
                                                                                                                                                                                                                          </w:divBdr>
                                                                                                                                                                                                                          <w:divsChild>
                                                                                                                                                                                                                            <w:div w:id="1928806891">
                                                                                                                                                                                                                              <w:marLeft w:val="0"/>
                                                                                                                                                                                                                              <w:marRight w:val="0"/>
                                                                                                                                                                                                                              <w:marTop w:val="0"/>
                                                                                                                                                                                                                              <w:marBottom w:val="0"/>
                                                                                                                                                                                                                              <w:divBdr>
                                                                                                                                                                                                                                <w:top w:val="none" w:sz="0" w:space="0" w:color="auto"/>
                                                                                                                                                                                                                                <w:left w:val="none" w:sz="0" w:space="0" w:color="auto"/>
                                                                                                                                                                                                                                <w:bottom w:val="none" w:sz="0" w:space="0" w:color="auto"/>
                                                                                                                                                                                                                                <w:right w:val="none" w:sz="0" w:space="0" w:color="auto"/>
                                                                                                                                                                                                                              </w:divBdr>
                                                                                                                                                                                                                              <w:divsChild>
                                                                                                                                                                                                                                <w:div w:id="598636881">
                                                                                                                                                                                                                                  <w:marLeft w:val="0"/>
                                                                                                                                                                                                                                  <w:marRight w:val="0"/>
                                                                                                                                                                                                                                  <w:marTop w:val="0"/>
                                                                                                                                                                                                                                  <w:marBottom w:val="0"/>
                                                                                                                                                                                                                                  <w:divBdr>
                                                                                                                                                                                                                                    <w:top w:val="none" w:sz="0" w:space="0" w:color="auto"/>
                                                                                                                                                                                                                                    <w:left w:val="none" w:sz="0" w:space="0" w:color="auto"/>
                                                                                                                                                                                                                                    <w:bottom w:val="none" w:sz="0" w:space="0" w:color="auto"/>
                                                                                                                                                                                                                                    <w:right w:val="none" w:sz="0" w:space="0" w:color="auto"/>
                                                                                                                                                                                                                                  </w:divBdr>
                                                                                                                                                                                                                                  <w:divsChild>
                                                                                                                                                                                                                                    <w:div w:id="2090075652">
                                                                                                                                                                                                                                      <w:marLeft w:val="0"/>
                                                                                                                                                                                                                                      <w:marRight w:val="0"/>
                                                                                                                                                                                                                                      <w:marTop w:val="0"/>
                                                                                                                                                                                                                                      <w:marBottom w:val="0"/>
                                                                                                                                                                                                                                      <w:divBdr>
                                                                                                                                                                                                                                        <w:top w:val="none" w:sz="0" w:space="0" w:color="auto"/>
                                                                                                                                                                                                                                        <w:left w:val="none" w:sz="0" w:space="0" w:color="auto"/>
                                                                                                                                                                                                                                        <w:bottom w:val="none" w:sz="0" w:space="0" w:color="auto"/>
                                                                                                                                                                                                                                        <w:right w:val="none" w:sz="0" w:space="0" w:color="auto"/>
                                                                                                                                                                                                                                      </w:divBdr>
                                                                                                                                                                                                                                      <w:divsChild>
                                                                                                                                                                                                                                        <w:div w:id="309284263">
                                                                                                                                                                                                                                          <w:marLeft w:val="0"/>
                                                                                                                                                                                                                                          <w:marRight w:val="0"/>
                                                                                                                                                                                                                                          <w:marTop w:val="0"/>
                                                                                                                                                                                                                                          <w:marBottom w:val="0"/>
                                                                                                                                                                                                                                          <w:divBdr>
                                                                                                                                                                                                                                            <w:top w:val="none" w:sz="0" w:space="0" w:color="auto"/>
                                                                                                                                                                                                                                            <w:left w:val="none" w:sz="0" w:space="0" w:color="auto"/>
                                                                                                                                                                                                                                            <w:bottom w:val="none" w:sz="0" w:space="0" w:color="auto"/>
                                                                                                                                                                                                                                            <w:right w:val="none" w:sz="0" w:space="0" w:color="auto"/>
                                                                                                                                                                                                                                          </w:divBdr>
                                                                                                                                                                                                                                          <w:divsChild>
                                                                                                                                                                                                                                            <w:div w:id="1749380790">
                                                                                                                                                                                                                                              <w:marLeft w:val="0"/>
                                                                                                                                                                                                                                              <w:marRight w:val="0"/>
                                                                                                                                                                                                                                              <w:marTop w:val="0"/>
                                                                                                                                                                                                                                              <w:marBottom w:val="0"/>
                                                                                                                                                                                                                                              <w:divBdr>
                                                                                                                                                                                                                                                <w:top w:val="none" w:sz="0" w:space="0" w:color="auto"/>
                                                                                                                                                                                                                                                <w:left w:val="none" w:sz="0" w:space="0" w:color="auto"/>
                                                                                                                                                                                                                                                <w:bottom w:val="none" w:sz="0" w:space="0" w:color="auto"/>
                                                                                                                                                                                                                                                <w:right w:val="none" w:sz="0" w:space="0" w:color="auto"/>
                                                                                                                                                                                                                                              </w:divBdr>
                                                                                                                                                                                                                                              <w:divsChild>
                                                                                                                                                                                                                                                <w:div w:id="1084957355">
                                                                                                                                                                                                                                                  <w:marLeft w:val="0"/>
                                                                                                                                                                                                                                                  <w:marRight w:val="0"/>
                                                                                                                                                                                                                                                  <w:marTop w:val="0"/>
                                                                                                                                                                                                                                                  <w:marBottom w:val="0"/>
                                                                                                                                                                                                                                                  <w:divBdr>
                                                                                                                                                                                                                                                    <w:top w:val="none" w:sz="0" w:space="0" w:color="auto"/>
                                                                                                                                                                                                                                                    <w:left w:val="none" w:sz="0" w:space="0" w:color="auto"/>
                                                                                                                                                                                                                                                    <w:bottom w:val="none" w:sz="0" w:space="0" w:color="auto"/>
                                                                                                                                                                                                                                                    <w:right w:val="none" w:sz="0" w:space="0" w:color="auto"/>
                                                                                                                                                                                                                                                  </w:divBdr>
                                                                                                                                                                                                                                                  <w:divsChild>
                                                                                                                                                                                                                                                    <w:div w:id="1489324667">
                                                                                                                                                                                                                                                      <w:marLeft w:val="0"/>
                                                                                                                                                                                                                                                      <w:marRight w:val="0"/>
                                                                                                                                                                                                                                                      <w:marTop w:val="0"/>
                                                                                                                                                                                                                                                      <w:marBottom w:val="0"/>
                                                                                                                                                                                                                                                      <w:divBdr>
                                                                                                                                                                                                                                                        <w:top w:val="none" w:sz="0" w:space="0" w:color="auto"/>
                                                                                                                                                                                                                                                        <w:left w:val="none" w:sz="0" w:space="0" w:color="auto"/>
                                                                                                                                                                                                                                                        <w:bottom w:val="none" w:sz="0" w:space="0" w:color="auto"/>
                                                                                                                                                                                                                                                        <w:right w:val="none" w:sz="0" w:space="0" w:color="auto"/>
                                                                                                                                                                                                                                                      </w:divBdr>
                                                                                                                                                                                                                                                      <w:divsChild>
                                                                                                                                                                                                                                                        <w:div w:id="1565751672">
                                                                                                                                                                                                                                                          <w:marLeft w:val="0"/>
                                                                                                                                                                                                                                                          <w:marRight w:val="0"/>
                                                                                                                                                                                                                                                          <w:marTop w:val="0"/>
                                                                                                                                                                                                                                                          <w:marBottom w:val="0"/>
                                                                                                                                                                                                                                                          <w:divBdr>
                                                                                                                                                                                                                                                            <w:top w:val="none" w:sz="0" w:space="0" w:color="auto"/>
                                                                                                                                                                                                                                                            <w:left w:val="none" w:sz="0" w:space="0" w:color="auto"/>
                                                                                                                                                                                                                                                            <w:bottom w:val="none" w:sz="0" w:space="0" w:color="auto"/>
                                                                                                                                                                                                                                                            <w:right w:val="none" w:sz="0" w:space="0" w:color="auto"/>
                                                                                                                                                                                                                                                          </w:divBdr>
                                                                                                                                                                                                                                                          <w:divsChild>
                                                                                                                                                                                                                                                            <w:div w:id="695736960">
                                                                                                                                                                                                                                                              <w:marLeft w:val="0"/>
                                                                                                                                                                                                                                                              <w:marRight w:val="0"/>
                                                                                                                                                                                                                                                              <w:marTop w:val="0"/>
                                                                                                                                                                                                                                                              <w:marBottom w:val="0"/>
                                                                                                                                                                                                                                                              <w:divBdr>
                                                                                                                                                                                                                                                                <w:top w:val="none" w:sz="0" w:space="0" w:color="auto"/>
                                                                                                                                                                                                                                                                <w:left w:val="none" w:sz="0" w:space="0" w:color="auto"/>
                                                                                                                                                                                                                                                                <w:bottom w:val="none" w:sz="0" w:space="0" w:color="auto"/>
                                                                                                                                                                                                                                                                <w:right w:val="none" w:sz="0" w:space="0" w:color="auto"/>
                                                                                                                                                                                                                                                              </w:divBdr>
                                                                                                                                                                                                                                                              <w:divsChild>
                                                                                                                                                                                                                                                                <w:div w:id="1995866066">
                                                                                                                                                                                                                                                                  <w:marLeft w:val="0"/>
                                                                                                                                                                                                                                                                  <w:marRight w:val="0"/>
                                                                                                                                                                                                                                                                  <w:marTop w:val="0"/>
                                                                                                                                                                                                                                                                  <w:marBottom w:val="0"/>
                                                                                                                                                                                                                                                                  <w:divBdr>
                                                                                                                                                                                                                                                                    <w:top w:val="none" w:sz="0" w:space="0" w:color="auto"/>
                                                                                                                                                                                                                                                                    <w:left w:val="none" w:sz="0" w:space="0" w:color="auto"/>
                                                                                                                                                                                                                                                                    <w:bottom w:val="none" w:sz="0" w:space="0" w:color="auto"/>
                                                                                                                                                                                                                                                                    <w:right w:val="none" w:sz="0" w:space="0" w:color="auto"/>
                                                                                                                                                                                                                                                                  </w:divBdr>
                                                                                                                                                                                                                                                                  <w:divsChild>
                                                                                                                                                                                                                                                                    <w:div w:id="452016872">
                                                                                                                                                                                                                                                                      <w:marLeft w:val="0"/>
                                                                                                                                                                                                                                                                      <w:marRight w:val="0"/>
                                                                                                                                                                                                                                                                      <w:marTop w:val="0"/>
                                                                                                                                                                                                                                                                      <w:marBottom w:val="0"/>
                                                                                                                                                                                                                                                                      <w:divBdr>
                                                                                                                                                                                                                                                                        <w:top w:val="none" w:sz="0" w:space="0" w:color="auto"/>
                                                                                                                                                                                                                                                                        <w:left w:val="none" w:sz="0" w:space="0" w:color="auto"/>
                                                                                                                                                                                                                                                                        <w:bottom w:val="none" w:sz="0" w:space="0" w:color="auto"/>
                                                                                                                                                                                                                                                                        <w:right w:val="none" w:sz="0" w:space="0" w:color="auto"/>
                                                                                                                                                                                                                                                                      </w:divBdr>
                                                                                                                                                                                                                                                                      <w:divsChild>
                                                                                                                                                                                                                                                                        <w:div w:id="576476138">
                                                                                                                                                                                                                                                                          <w:marLeft w:val="0"/>
                                                                                                                                                                                                                                                                          <w:marRight w:val="0"/>
                                                                                                                                                                                                                                                                          <w:marTop w:val="0"/>
                                                                                                                                                                                                                                                                          <w:marBottom w:val="0"/>
                                                                                                                                                                                                                                                                          <w:divBdr>
                                                                                                                                                                                                                                                                            <w:top w:val="none" w:sz="0" w:space="0" w:color="auto"/>
                                                                                                                                                                                                                                                                            <w:left w:val="none" w:sz="0" w:space="0" w:color="auto"/>
                                                                                                                                                                                                                                                                            <w:bottom w:val="none" w:sz="0" w:space="0" w:color="auto"/>
                                                                                                                                                                                                                                                                            <w:right w:val="none" w:sz="0" w:space="0" w:color="auto"/>
                                                                                                                                                                                                                                                                          </w:divBdr>
                                                                                                                                                                                                                                                                          <w:divsChild>
                                                                                                                                                                                                                                                                            <w:div w:id="1789816281">
                                                                                                                                                                                                                                                                              <w:marLeft w:val="0"/>
                                                                                                                                                                                                                                                                              <w:marRight w:val="0"/>
                                                                                                                                                                                                                                                                              <w:marTop w:val="0"/>
                                                                                                                                                                                                                                                                              <w:marBottom w:val="0"/>
                                                                                                                                                                                                                                                                              <w:divBdr>
                                                                                                                                                                                                                                                                                <w:top w:val="none" w:sz="0" w:space="0" w:color="auto"/>
                                                                                                                                                                                                                                                                                <w:left w:val="none" w:sz="0" w:space="0" w:color="auto"/>
                                                                                                                                                                                                                                                                                <w:bottom w:val="none" w:sz="0" w:space="0" w:color="auto"/>
                                                                                                                                                                                                                                                                                <w:right w:val="none" w:sz="0" w:space="0" w:color="auto"/>
                                                                                                                                                                                                                                                                              </w:divBdr>
                                                                                                                                                                                                                                                                              <w:divsChild>
                                                                                                                                                                                                                                                                                <w:div w:id="909776982">
                                                                                                                                                                                                                                                                                  <w:marLeft w:val="0"/>
                                                                                                                                                                                                                                                                                  <w:marRight w:val="0"/>
                                                                                                                                                                                                                                                                                  <w:marTop w:val="0"/>
                                                                                                                                                                                                                                                                                  <w:marBottom w:val="0"/>
                                                                                                                                                                                                                                                                                  <w:divBdr>
                                                                                                                                                                                                                                                                                    <w:top w:val="none" w:sz="0" w:space="0" w:color="auto"/>
                                                                                                                                                                                                                                                                                    <w:left w:val="none" w:sz="0" w:space="0" w:color="auto"/>
                                                                                                                                                                                                                                                                                    <w:bottom w:val="none" w:sz="0" w:space="0" w:color="auto"/>
                                                                                                                                                                                                                                                                                    <w:right w:val="none" w:sz="0" w:space="0" w:color="auto"/>
                                                                                                                                                                                                                                                                                  </w:divBdr>
                                                                                                                                                                                                                                                                                  <w:divsChild>
                                                                                                                                                                                                                                                                                    <w:div w:id="863783186">
                                                                                                                                                                                                                                                                                      <w:marLeft w:val="0"/>
                                                                                                                                                                                                                                                                                      <w:marRight w:val="0"/>
                                                                                                                                                                                                                                                                                      <w:marTop w:val="0"/>
                                                                                                                                                                                                                                                                                      <w:marBottom w:val="0"/>
                                                                                                                                                                                                                                                                                      <w:divBdr>
                                                                                                                                                                                                                                                                                        <w:top w:val="none" w:sz="0" w:space="0" w:color="auto"/>
                                                                                                                                                                                                                                                                                        <w:left w:val="none" w:sz="0" w:space="0" w:color="auto"/>
                                                                                                                                                                                                                                                                                        <w:bottom w:val="none" w:sz="0" w:space="0" w:color="auto"/>
                                                                                                                                                                                                                                                                                        <w:right w:val="none" w:sz="0" w:space="0" w:color="auto"/>
                                                                                                                                                                                                                                                                                      </w:divBdr>
                                                                                                                                                                                                                                                                                      <w:divsChild>
                                                                                                                                                                                                                                                                                        <w:div w:id="901402198">
                                                                                                                                                                                                                                                                                          <w:marLeft w:val="0"/>
                                                                                                                                                                                                                                                                                          <w:marRight w:val="0"/>
                                                                                                                                                                                                                                                                                          <w:marTop w:val="0"/>
                                                                                                                                                                                                                                                                                          <w:marBottom w:val="0"/>
                                                                                                                                                                                                                                                                                          <w:divBdr>
                                                                                                                                                                                                                                                                                            <w:top w:val="none" w:sz="0" w:space="0" w:color="auto"/>
                                                                                                                                                                                                                                                                                            <w:left w:val="none" w:sz="0" w:space="0" w:color="auto"/>
                                                                                                                                                                                                                                                                                            <w:bottom w:val="none" w:sz="0" w:space="0" w:color="auto"/>
                                                                                                                                                                                                                                                                                            <w:right w:val="none" w:sz="0" w:space="0" w:color="auto"/>
                                                                                                                                                                                                                                                                                          </w:divBdr>
                                                                                                                                                                                                                                                                                          <w:divsChild>
                                                                                                                                                                                                                                                                                            <w:div w:id="632557935">
                                                                                                                                                                                                                                                                                              <w:marLeft w:val="0"/>
                                                                                                                                                                                                                                                                                              <w:marRight w:val="0"/>
                                                                                                                                                                                                                                                                                              <w:marTop w:val="0"/>
                                                                                                                                                                                                                                                                                              <w:marBottom w:val="0"/>
                                                                                                                                                                                                                                                                                              <w:divBdr>
                                                                                                                                                                                                                                                                                                <w:top w:val="none" w:sz="0" w:space="0" w:color="auto"/>
                                                                                                                                                                                                                                                                                                <w:left w:val="none" w:sz="0" w:space="0" w:color="auto"/>
                                                                                                                                                                                                                                                                                                <w:bottom w:val="none" w:sz="0" w:space="0" w:color="auto"/>
                                                                                                                                                                                                                                                                                                <w:right w:val="none" w:sz="0" w:space="0" w:color="auto"/>
                                                                                                                                                                                                                                                                                              </w:divBdr>
                                                                                                                                                                                                                                                                                              <w:divsChild>
                                                                                                                                                                                                                                                                                                <w:div w:id="152569619">
                                                                                                                                                                                                                                                                                                  <w:marLeft w:val="0"/>
                                                                                                                                                                                                                                                                                                  <w:marRight w:val="0"/>
                                                                                                                                                                                                                                                                                                  <w:marTop w:val="0"/>
                                                                                                                                                                                                                                                                                                  <w:marBottom w:val="0"/>
                                                                                                                                                                                                                                                                                                  <w:divBdr>
                                                                                                                                                                                                                                                                                                    <w:top w:val="none" w:sz="0" w:space="0" w:color="auto"/>
                                                                                                                                                                                                                                                                                                    <w:left w:val="none" w:sz="0" w:space="0" w:color="auto"/>
                                                                                                                                                                                                                                                                                                    <w:bottom w:val="none" w:sz="0" w:space="0" w:color="auto"/>
                                                                                                                                                                                                                                                                                                    <w:right w:val="none" w:sz="0" w:space="0" w:color="auto"/>
                                                                                                                                                                                                                                                                                                  </w:divBdr>
                                                                                                                                                                                                                                                                                                  <w:divsChild>
                                                                                                                                                                                                                                                                                                    <w:div w:id="1654094021">
                                                                                                                                                                                                                                                                                                      <w:marLeft w:val="0"/>
                                                                                                                                                                                                                                                                                                      <w:marRight w:val="0"/>
                                                                                                                                                                                                                                                                                                      <w:marTop w:val="0"/>
                                                                                                                                                                                                                                                                                                      <w:marBottom w:val="0"/>
                                                                                                                                                                                                                                                                                                      <w:divBdr>
                                                                                                                                                                                                                                                                                                        <w:top w:val="none" w:sz="0" w:space="0" w:color="auto"/>
                                                                                                                                                                                                                                                                                                        <w:left w:val="none" w:sz="0" w:space="0" w:color="auto"/>
                                                                                                                                                                                                                                                                                                        <w:bottom w:val="none" w:sz="0" w:space="0" w:color="auto"/>
                                                                                                                                                                                                                                                                                                        <w:right w:val="none" w:sz="0" w:space="0" w:color="auto"/>
                                                                                                                                                                                                                                                                                                      </w:divBdr>
                                                                                                                                                                                                                                                                                                      <w:divsChild>
                                                                                                                                                                                                                                                                                                        <w:div w:id="617611515">
                                                                                                                                                                                                                                                                                                          <w:marLeft w:val="0"/>
                                                                                                                                                                                                                                                                                                          <w:marRight w:val="0"/>
                                                                                                                                                                                                                                                                                                          <w:marTop w:val="0"/>
                                                                                                                                                                                                                                                                                                          <w:marBottom w:val="0"/>
                                                                                                                                                                                                                                                                                                          <w:divBdr>
                                                                                                                                                                                                                                                                                                            <w:top w:val="none" w:sz="0" w:space="0" w:color="auto"/>
                                                                                                                                                                                                                                                                                                            <w:left w:val="none" w:sz="0" w:space="0" w:color="auto"/>
                                                                                                                                                                                                                                                                                                            <w:bottom w:val="none" w:sz="0" w:space="0" w:color="auto"/>
                                                                                                                                                                                                                                                                                                            <w:right w:val="none" w:sz="0" w:space="0" w:color="auto"/>
                                                                                                                                                                                                                                                                                                          </w:divBdr>
                                                                                                                                                                                                                                                                                                          <w:divsChild>
                                                                                                                                                                                                                                                                                                            <w:div w:id="61251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1.tif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bgu.ac.il/BIDR/conf/sideergrads/SIDEER_symposium/" TargetMode="Externa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yperlink" Target="mailto:lilach.hadany@gmail.com" TargetMode="External"/><Relationship Id="rId19"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hyperlink" Target="mailto:yoavram@post.tau.ac.il" TargetMode="External"/><Relationship Id="rId14"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mr10">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7DC1"/>
    <w:rsid w:val="000B06F4"/>
    <w:rsid w:val="00224535"/>
    <w:rsid w:val="002D5967"/>
    <w:rsid w:val="00987B7B"/>
    <w:rsid w:val="009F7DC1"/>
    <w:rsid w:val="00CE71F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D5967"/>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D596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321C66-1C25-4123-A587-4F1B36B892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9639</TotalTime>
  <Pages>32</Pages>
  <Words>43701</Words>
  <Characters>218505</Characters>
  <Application>Microsoft Office Word</Application>
  <DocSecurity>0</DocSecurity>
  <Lines>1820</Lines>
  <Paragraphs>523</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261683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yoavram</dc:creator>
  <cp:lastModifiedBy>Yoav Ram</cp:lastModifiedBy>
  <cp:revision>214</cp:revision>
  <dcterms:created xsi:type="dcterms:W3CDTF">2013-08-25T12:42:00Z</dcterms:created>
  <dcterms:modified xsi:type="dcterms:W3CDTF">2013-12-10T10:54:00Z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http://www.zotero.org/styles/chicago-fullnote-bibliography</vt:lpwstr>
  </property>
  <property fmtid="{D5CDD505-2E9C-101B-9397-08002B2CF9AE}" pid="10" name="Mendeley Recent Style Name 2_1">
    <vt:lpwstr>Chicago Manual of Style 16th edition (full note)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http://www.zotero.org/styles/evolutionary-biology</vt:lpwstr>
  </property>
  <property fmtid="{D5CDD505-2E9C-101B-9397-08002B2CF9AE}" pid="14" name="Mendeley Recent Style Name 4_1">
    <vt:lpwstr>Evolutionary Biology</vt:lpwstr>
  </property>
  <property fmtid="{D5CDD505-2E9C-101B-9397-08002B2CF9AE}" pid="15" name="Mendeley Recent Style Id 5_1">
    <vt:lpwstr>http://www.zotero.org/styles/frontiers-in-evolutionary-and-population-genetics</vt:lpwstr>
  </property>
  <property fmtid="{D5CDD505-2E9C-101B-9397-08002B2CF9AE}" pid="16" name="Mendeley Recent Style Name 5_1">
    <vt:lpwstr>Frontiers in Evolutionary and Population Genetics</vt:lpwstr>
  </property>
  <property fmtid="{D5CDD505-2E9C-101B-9397-08002B2CF9AE}" pid="17" name="Mendeley Recent Style Id 6_1">
    <vt:lpwstr>http://www.zotero.org/styles/genome-biology-and-evolution</vt:lpwstr>
  </property>
  <property fmtid="{D5CDD505-2E9C-101B-9397-08002B2CF9AE}" pid="18" name="Mendeley Recent Style Name 6_1">
    <vt:lpwstr>Genome Biology and Evolution</vt:lpwstr>
  </property>
  <property fmtid="{D5CDD505-2E9C-101B-9397-08002B2CF9AE}" pid="19" name="Mendeley Recent Style Id 7_1">
    <vt:lpwstr>http://www.zotero.org/styles/israel-journal-of-ecology-and-evolution</vt:lpwstr>
  </property>
  <property fmtid="{D5CDD505-2E9C-101B-9397-08002B2CF9AE}" pid="20" name="Mendeley Recent Style Name 7_1">
    <vt:lpwstr>Israel Journal of Ecology &amp; Evolution</vt:lpwstr>
  </property>
  <property fmtid="{D5CDD505-2E9C-101B-9397-08002B2CF9AE}" pid="21" name="Mendeley Recent Style Id 8_1">
    <vt:lpwstr>http://www.zotero.org/styles/journal-of-evolutionary-biology</vt:lpwstr>
  </property>
  <property fmtid="{D5CDD505-2E9C-101B-9397-08002B2CF9AE}" pid="22" name="Mendeley Recent Style Name 8_1">
    <vt:lpwstr>Journal of Evolutionary Biology</vt:lpwstr>
  </property>
  <property fmtid="{D5CDD505-2E9C-101B-9397-08002B2CF9AE}" pid="23" name="Mendeley Recent Style Id 9_1">
    <vt:lpwstr>http://www.zotero.org/styles/theoretical-population-biology</vt:lpwstr>
  </property>
  <property fmtid="{D5CDD505-2E9C-101B-9397-08002B2CF9AE}" pid="24" name="Mendeley Recent Style Name 9_1">
    <vt:lpwstr>Theoretical Population Biology</vt:lpwstr>
  </property>
</Properties>
</file>