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FD35E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FD35E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FD35E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FD35E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FD35E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FD35E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FD35E1">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FD35E1">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FD35E1">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FD35E1">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FD35E1">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FD35E1">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FD35E1">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FD35E1">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FD35E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FD35E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FD35E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FD35E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FD35E1">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FD35E1">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wildtype with a genotype </w:t>
      </w:r>
      <w:r w:rsidR="00950641">
        <w:rPr>
          <w:i/>
          <w:iCs/>
          <w:lang w:bidi="hi-IN"/>
        </w:rPr>
        <w:t>ab</w:t>
      </w:r>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FD35E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r>
        <w:t>The right-hand side</w:t>
      </w:r>
      <w:r w:rsidR="009E4DC2">
        <w:t>s</w:t>
      </w:r>
      <w:r>
        <w:t xml:space="preserv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FD35E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w:t>
      </w:r>
      <w:r>
        <w:lastRenderedPageBreak/>
        <w:t xml:space="preserve">this probability can be approximated by </w:t>
      </w:r>
      <w:r>
        <w:rPr>
          <w:i/>
          <w:iCs/>
        </w:rPr>
        <w:t>Nq</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Pr="007B5572">
        <w:rPr>
          <w:highlight w:val="red"/>
        </w:rPr>
        <w:t>b</w:t>
      </w:r>
      <w:r w:rsidRPr="00A96D14">
        <w:t xml:space="preserve">). </w:t>
      </w:r>
      <w:r w:rsidR="007B5572">
        <w:t>We divide the individuals to classes according to their genotypes (</w:t>
      </w:r>
      <w:r w:rsidR="007B5572">
        <w:rPr>
          <w:i/>
          <w:iCs/>
        </w:rPr>
        <w:t>ab/X</w:t>
      </w:r>
      <w:r w:rsidR="007B5572" w:rsidRPr="007B5572">
        <w:t xml:space="preserve">, </w:t>
      </w:r>
      <w:r w:rsidR="007B5572">
        <w:rPr>
          <w:i/>
          <w:iCs/>
        </w:rPr>
        <w:t>Ab/X</w:t>
      </w:r>
      <w:r w:rsidR="007B5572" w:rsidRPr="007B5572">
        <w:t>,</w:t>
      </w:r>
      <w:r w:rsidR="007B5572">
        <w:rPr>
          <w:i/>
          <w:iCs/>
        </w:rPr>
        <w:t xml:space="preserve"> aB/X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r w:rsidRPr="007B5572">
        <w:rPr>
          <w:i/>
          <w:iCs/>
        </w:rPr>
        <w:t>ab/0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FD35E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w:t>
      </w:r>
      <w:r w:rsidR="00CD4474">
        <w:lastRenderedPageBreak/>
        <w:t>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w:t>
      </w:r>
      <w:r w:rsidR="00A853B5">
        <w:lastRenderedPageBreak/>
        <w:t>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FD35E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lastRenderedPageBreak/>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w:t>
      </w:r>
      <w:r w:rsidR="00B85CA4">
        <w:lastRenderedPageBreak/>
        <w:t xml:space="preserve">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wildtype </w:t>
      </w:r>
      <w:r w:rsidR="003A2920">
        <w:rPr>
          <w:i/>
          <w:iCs/>
        </w:rPr>
        <w:t>ab</w:t>
      </w:r>
      <w:r w:rsidR="003A2920">
        <w:t xml:space="preserve"> wasn't under stressed and was not hypermutating</w:t>
      </w:r>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wildtype </w:t>
      </w:r>
      <w:r w:rsidR="00683B42">
        <w:rPr>
          <w:i/>
          <w:iCs/>
        </w:rPr>
        <w:t>ab</w:t>
      </w:r>
      <w:r w:rsidR="00683B42">
        <w:t xml:space="preserve">. Moreover, in this scenario the wildtype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SI</w:t>
      </w:r>
      <w:r w:rsidR="00683B42" w:rsidRPr="00683B42">
        <w:t>M</w:t>
      </w:r>
      <w:r w:rsidR="00683B42">
        <w:rPr>
          <w:vertAlign w:val="subscript"/>
        </w:rPr>
        <w:t>e</w:t>
      </w:r>
    </w:p>
    <w:p w:rsidR="00042973" w:rsidRDefault="002C54C0" w:rsidP="003A2920">
      <w:pPr>
        <w:spacing w:line="480" w:lineRule="auto"/>
      </w:pPr>
      <w:r>
        <w:lastRenderedPageBreak/>
        <w:t xml:space="preserve">This scenario has an important biological relevance, as SIM has been implicated in the evolution of drug resistance in bacteria and yeast </w:t>
      </w:r>
      <w:r>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FD35E1">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r>
        <w:t>Relationship</w:t>
      </w:r>
      <w:r w:rsidR="003E68BE">
        <w:t>s</w:t>
      </w:r>
      <w:r>
        <w:t xml:space="preserve"> between stress and mutation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FD35E1"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w:instrText>
      </w:r>
      <w:r w:rsidRPr="002825FD">
        <w:rPr>
          <w:lang w:bidi="hi-IN"/>
        </w:rPr>
      </w:r>
      <w:r w:rsidRPr="002825FD">
        <w:rPr>
          <w:lang w:bidi="hi-IN"/>
        </w:rPr>
        <w:instrText xml:space="preserve"> \* MERGEFORMAT </w:instrText>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r w:rsidR="00463A01">
        <w:rPr>
          <w:i/>
          <w:iCs/>
          <w:lang w:bidi="hi-IN"/>
        </w:rPr>
        <w:t>Ab</w:t>
      </w:r>
      <w:r w:rsidR="00463A01">
        <w:rPr>
          <w:lang w:bidi="hi-IN"/>
        </w:rPr>
        <w:t xml:space="preserve"> and </w:t>
      </w:r>
      <w:r w:rsidR="00463A01">
        <w:rPr>
          <w:i/>
          <w:iCs/>
          <w:lang w:bidi="hi-IN"/>
        </w:rPr>
        <w:t>aB</w:t>
      </w:r>
      <w:r w:rsidR="00463A01">
        <w:rPr>
          <w:lang w:bidi="hi-IN"/>
        </w:rPr>
        <w:t xml:space="preserve"> have the same mutation rate as those with a "continuous" strategy</w:t>
      </w:r>
      <w:r w:rsidR="0066767E">
        <w:rPr>
          <w:lang w:bidi="hi-IN"/>
        </w:rPr>
        <w:t xml:space="preserve"> (where the 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w:instrText>
      </w:r>
      <w:r w:rsidR="00463A01" w:rsidRPr="002825FD">
        <w:rPr>
          <w:lang w:bidi="hi-IN"/>
        </w:rPr>
      </w:r>
      <w:r w:rsidR="00463A01" w:rsidRPr="002825FD">
        <w:rPr>
          <w:lang w:bidi="hi-IN"/>
        </w:rPr>
        <w:instrText xml:space="preserve"> \* MERGEFORMAT </w:instrText>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F60029">
      <w:pPr>
        <w:spacing w:line="480" w:lineRule="auto"/>
        <w:rPr>
          <w:lang w:bidi="hi-IN"/>
        </w:rPr>
      </w:pPr>
      <w:r>
        <w:rPr>
          <w:lang w:bidi="hi-IN"/>
        </w:rPr>
        <w:t xml:space="preserve">We simulated direct competitions between the different mutational strategies to determine which is more advantageous at the individual level. </w:t>
      </w:r>
      <w:r w:rsidR="00F60029">
        <w:rPr>
          <w:lang w:bidi="hi-IN"/>
        </w:rPr>
        <w:fldChar w:fldCharType="begin"/>
      </w:r>
      <w:r w:rsidR="00F60029">
        <w:rPr>
          <w:lang w:bidi="hi-IN"/>
        </w:rPr>
        <w:instrText xml:space="preserve"> REF _Ref374366687 \h </w:instrText>
      </w:r>
      <w:r w:rsidR="00F60029">
        <w:rPr>
          <w:lang w:bidi="hi-IN"/>
        </w:rPr>
      </w:r>
      <w:r w:rsidR="00F60029">
        <w:rPr>
          <w:lang w:bidi="hi-IN"/>
        </w:rPr>
        <w:instrText xml:space="preserve"> \* MERGEFORMAT </w:instrText>
      </w:r>
      <w:r w:rsidR="00F60029">
        <w:rPr>
          <w:lang w:bidi="hi-IN"/>
        </w:rPr>
        <w:fldChar w:fldCharType="separate"/>
      </w:r>
      <w:r w:rsidR="00F60029" w:rsidRPr="00F60029">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lastRenderedPageBreak/>
        <w:t>These results show that the evolutionary advantage of SIM at the population level can translate into an individual level advantage and lead to the evolution of stress-induced mutagenesis by natural selection, even when constitutive mutagenesis is strongly disfavored.</w:t>
      </w:r>
      <w:bookmarkStart w:id="13" w:name="_GoBack"/>
      <w:bookmarkEnd w:id="13"/>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FD35E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FD35E1">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FD35E1">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Further work 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p>
    <w:p w:rsidR="0007409B" w:rsidRPr="008A3174" w:rsidRDefault="00514DED" w:rsidP="00D76319">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FD35E1">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FD35E1">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FD35E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FD35E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FD35E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lastRenderedPageBreak/>
        <w:fldChar w:fldCharType="begin" w:fldLock="1"/>
      </w:r>
      <w:r w:rsidR="00FD35E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FD35E1">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FD35E1">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FD35E1">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FD35E1">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FD35E1">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FD35E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xml:space="preserve">, these results </w:t>
      </w:r>
      <w:r w:rsidR="00FB30D0">
        <w:rPr>
          <w:lang w:bidi="hi-IN"/>
        </w:rPr>
        <w:lastRenderedPageBreak/>
        <w:t>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FD35E1" w:rsidRPr="00FD35E1" w:rsidRDefault="007F0A97">
      <w:pPr>
        <w:pStyle w:val="NormalWeb"/>
        <w:divId w:val="632557935"/>
        <w:rPr>
          <w:rFonts w:ascii="Palatino Linotype" w:hAnsi="Palatino Linotype"/>
          <w:noProof/>
          <w:sz w:val="22"/>
        </w:rPr>
      </w:pPr>
      <w:r>
        <w:fldChar w:fldCharType="begin" w:fldLock="1"/>
      </w:r>
      <w:r>
        <w:instrText xml:space="preserve">ADDIN Mendeley Bibliography CSL_BIBLIOGRAPHY </w:instrText>
      </w:r>
      <w:r>
        <w:fldChar w:fldCharType="separate"/>
      </w:r>
      <w:r w:rsidR="00FD35E1" w:rsidRPr="00FD35E1">
        <w:rPr>
          <w:rFonts w:ascii="Palatino Linotype" w:hAnsi="Palatino Linotype"/>
          <w:noProof/>
          <w:sz w:val="22"/>
        </w:rPr>
        <w:t>Agrawal, A. F. 2002. Genetic loads under fitness-dependent mutation rates. J. Evol. Biol. 15:1004–1010. Wiley Online Library.</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Berg, O. G. 1996. Selection intensity for codon bias and the effective population size of Escherichia coli. Genetics 142:1379–82.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Bjedov, I., O. Tenaillon, B. Gérard, V. Souza, E. Denamur, M. Radman, F. Taddei, and I. Matic. 2003. Stress-induced mutagenesis in bacteria. Science (80-. ). 300:1404–9.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Bristow, R. G., and R. P. Hill. 2008. Hypoxia and metabolism: Hypoxia, DNA repair and genetic instability. Nat. Rev. Cancer 8:180–92.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Cairns, J., J. Overbaugh, and S. Miller. 1988. The origin of mutants. Nature 335:142–5.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Cirz, R. T., and F. E. Romesberg. 2007. Controlling mutation: intervening in evolution as a therapeutic strategy. Crit. Rev. Biochem. Mol. Biol. 42:341–54.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Coyne, J. A., N. H. Barton, and M. Turelli. 2000. Is Wright’s shifting balance process important in evolution? Evolution (N. Y). 54:306–317.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Crow, J. F., W. R. Engels, and C. Denniston. 1990. Phase Three of Wright’s Shifting-Balance Theory. Evolution (N. Y). 44:233.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Dawson, K. J. 1998. Evolutionarily stable mutation rates. J. Theor. Biol. 194:143–57.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 Visser, J. A. G. M. 2002. The fate of microbial mutators. Microbiology 148:1247–52.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Denamur, E., and I. Matic. 2006. Evolution of mutation rates in bacteria. Mol. Microbiol. 60:820–7.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Drake, J. W., B. Charlesworth, D. Charlesworth, and J. F. Crow. 1998. Rates of spontaneous mutation. Genetics 148:1667–86. Genetics Soc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Fisher, R. A. 1930. The Genetical Theory of Natural Selection. Clarendon Press, Oxford.</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Foster, P. L. 2007. Stress-induced mutagenesis in bacteria. Crit. Rev. Biochem. Mol. Biol. 42:373–97.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Galhardo, R. S., P. J. Hastings, and S. M. Rosenberg. 2007. Mutation as a stress response and the regulation of evolvability. Crit. Rev. Biochem. Mol. Biol. 42:399–435.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Gavrilets, S. 1996. On phase three of the shifting-balance theory. Evolution (N. Y). 50:1034–1041. JSTOR.</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Gentile, C. F., S.-C. Yu, S. A. Serrano, P. J. Gerrish, and P. D. Sniegowski. 2011. Competition between high- and higher-mutating strains of Escherichia coli. Biol. Lett. 7:422–4.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Goho, S., and G. Bell. 2000. Mild environmental stress elicits mutations affecting fitness in Chlamydomonas. Proc. R. Soc. B Biol. Sci. 267:123–9.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and F. Dionisio. 2005. Nonequilibrium model for estimating parameters of deleterious mutations. Phys. Rev. E 71:18–21.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L. Perfeito, and A. Sousa. 2011. Fitness effects of mutations in bacteria. J. Mol. Microbiol. Biotechnol. 21:20–35.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2003. Adaptive peak shifts in a heterogenous environment. Theor. Popul. Biol. 63:41–51.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and T. Beker. 2003. Fitness-associated recombination on rugged adaptive landscapes. J. Evol. Biol. 16:862–870.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Haigh, J. 1978. The accumulation of deleterious genes in a population - Muller’s Ratchet. Theor. Popul. Biol. 14:251–267.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Hall, L. M. C., and S. K. Henderson-Begg. 2006. Hypermutable bacteria isolated from humans--a critical analysis. Microbiology 152:2505–14.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Hartfield, M., and S. P. Otto. 2011. Recombination and hitchhiking of deleterious alleles. Evolution 65:2421–34.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Heidenreich, E. 2007. Adaptive mutation in Saccharomyces cerevisiae. Crit. Rev. Biochem. Mol. Biol. 42:285–311.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Kang, J. M., N. M. Iovine, and M. J. Blaser. 2006. A paradigm for direct stress-induced mutation in prokaryotes. FASEB J. 20:2476–85.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Kessler, D. A., and H. Levine. 1998. Mutator Dynamics on a Smooth Evolutionary Landscape. Phys. Rev. Lett. 80:2012–2015.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Kibota, T. T., and M. Lynch. 1996. Estimate of the genomic mutation rate deleterious to overall fitness in E. coli. Nature 381:694–6.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Kivisaar, M. 2010. Mechanisms of stationary-phase mutagenesis in bacteria: mutational processes in pseudomonads. FEMS Microbiol. Lett. 312:1–14.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Leigh, E. G. J. 1970. Natural Selection and Mutability. Am. Nat. 104:301–305.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Loh, E., J. J. Salk, and L. A. Loeb. 2010. Optimization of DNA polymerase mutation rates during bacterial evolution. Proc. Natl. Acad. Sci. 107:1154–9.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Matsuba, C., D. G. Ostrow, M. P. Salomon, A. Tolani, and C. F. Baer. 2012. Temperature, stress and spontaneous mutation in Caenorhabditis briggsae and Caenorhabditis elegans. Biol. Lett. 8–12.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Moore, F. B.-G., and S. J. Tonsor. 1994. A Simulation of Wright’s Shifting-Balance Process: Migration and the Three Phases. Evolution (N. Y). 48:69.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Obolski, U., and L. Hadany. 2012. Implications of stress-induced genetic variation for minimizing multidrug resistance in bacteria. BMC Med. 10:1–30.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Peck, S. L., S. P. Ellner, and F. Gould. 2000. Varying migration and deme size and the feasibility of the shifting balance. Evolution 54:324–7.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Ponder, R. G., N. C. Fonville, and S. M. Rosenberg. 2005. A switch from high-fidelity to error-prone DNA double-strand break repair underlies stress-induced mutation. Mol. Cell 19:791–804.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Pupo, G. M., and B. J. Richardson. 1995. Biochemical genetics of a natural population of Escherichia coli: seasonal changes in alleles and haplotypes. Microbiology 141:1037–44.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Ram, Y., and L. Hadany. 2012. The evolution of stress-induced hypermutation in asexual populations. Evolution (N. Y). 66:2315–28.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Rodriguez, G. P., N. V Romanova, G. Bao, N. C. Rouf, Y. W. Kow, and G. F. Crouse. 2012. Mismatch repair-dependent mutagenesis in nondividing cells. Proc. Natl. Acad. Sci. 109:6153–8.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Sharp, N. P., and A. F. Agrawal. 2012. Evidence for elevated mutation rates in low-quality genotypes. Proc. Natl. Acad. Sci. 109:6142–6.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Shaw, F. H., and C. F. Baer. 2011. Fitness-dependent mutation rates in finite populations. J. Evol. Biol. 24:1677–84.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Shor, E., C. a. Fox, and J. R. Broach. 2013. The Yeast Environmental Stress Response Regulates Mutagenesis Induced by Proteotoxic Stress. PLoS Genet. 9:e1003680.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Sniegowski, P. D., P. J. Gerrish, T. Johnson, and A. Shaver. 2000. The evolution of mutation rates: separating causes from consequences. BioEssays 22:1057–66.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Sniegowski, P. D., P. J. Gerrish, and R. E. Lenski. 1997. Evolution of high mutation rates in experimental populations of E. coli. Nature 387:703–5.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Sung, W., M. S. Ackerman, S. F. Miller, T. G. Doak, and M. Lynch. 2012. Drift-barrier hypothesis and mutation-rate evolution. Proc. Natl. Acad. Sci., doi: 10.1073/pnas.1216223109.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Taddei, F., M. Radman, J. Maynard Smith, B. Toupance, P.-H. Gouyon, and B. Godelle. 1997. Role of mutator alleles in adaptive evolution. Nature 387:700–2.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E. Denamur, and I. Matic. 2004. Evolutionary significance of stress-induced mutagenesis in bacteria. Trends Microbiol. 12:264–70.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Wade, M., and C. Goodnight. 1991. Wright’s shifting balance theory: an experimental study. Science (80-. ). 253:1015–1018.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Weissman, D. B., M. W. Feldman, and D. S. Fisher. 2010. The rate of fitness-valley crossing in sexual populations. Genetics 186:1389–410.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1997. Founder Effects and Peak Shifts Without Genetic Drift: Adaptive Peak Shifts Occur Easily When Environments Fluctuate Slightly. Evolution (N. Y). 51:1044.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1995. Variance-Induced Peak Shifts. Evolution (N. Y). 49:252.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and P. C. Phillips. 2000. The exquisite corpse: a shifting view of the shifting balance. Trends Ecol. Evol. 15:347–348.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Wright, S. 1931. Evolution in Mendelian Populations. Genetics 16:97–159.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 xml:space="preserve">Wright, S. 1988. Surfaces of selective value revisited. Am. Nat. 131:115–123. </w:t>
      </w:r>
    </w:p>
    <w:p w:rsidR="00347C94" w:rsidRPr="00347C94" w:rsidRDefault="007F0A97" w:rsidP="00FD35E1">
      <w:pPr>
        <w:pStyle w:val="NormalWeb"/>
        <w:divId w:val="90140219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that </w:t>
      </w:r>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and </w:t>
      </w:r>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lastRenderedPageBreak/>
        <w:t xml:space="preserve">This expression is positive when </w:t>
      </w:r>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that </w:t>
      </w:r>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Eshel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lastRenderedPageBreak/>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r w:rsidRPr="00544FA2">
        <w:rPr>
          <w:i/>
          <w:iCs/>
        </w:rPr>
        <w:t>sH</w:t>
      </w:r>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FD35E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79C7E6E9" wp14:editId="04F2801E">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lastRenderedPageBreak/>
        <w:drawing>
          <wp:inline distT="0" distB="0" distL="0" distR="0" wp14:anchorId="6629C1F5" wp14:editId="6B02C3A5">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671C1A">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1"/>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=1) is normal mutagenesis; CM (red with circles) is constitutive mutagenesis; SIM (solid blue with squares) is stress-induced mutagenesis; SIMe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510E20" w:rsidRPr="00510E20">
        <w:rPr>
          <w:highlight w:val="red"/>
        </w:rPr>
        <w:t>XX</w:t>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64188381" wp14:editId="1B79E1BA">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See </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2DD56BB2" wp14:editId="6F915E4F">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36DBE3F4" wp14:editId="2CC4C6A8">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bookmarkStart w:id="24"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4"/>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instrText xml:space="preserve"> \* MERGEFORMAT </w:instrText>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5"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FD35E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EC0" w:rsidRDefault="001F5EC0" w:rsidP="009A122D">
      <w:pPr>
        <w:spacing w:after="0" w:line="240" w:lineRule="auto"/>
      </w:pPr>
      <w:r>
        <w:separator/>
      </w:r>
    </w:p>
  </w:endnote>
  <w:endnote w:type="continuationSeparator" w:id="0">
    <w:p w:rsidR="001F5EC0" w:rsidRDefault="001F5EC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BF354907-B24B-41FB-9544-8019FA6ADEEA}"/>
    <w:embedBold r:id="rId2" w:fontKey="{65CF8B6D-2D73-4C45-BC16-F9D3D4BC6465}"/>
    <w:embedItalic r:id="rId3" w:fontKey="{DF512569-2260-4D60-92EA-FAC21F68FF6A}"/>
    <w:embedBoldItalic r:id="rId4" w:fontKey="{F5783842-9CBC-4CDB-B892-A5E6EDA7E946}"/>
  </w:font>
  <w:font w:name="Tahoma">
    <w:panose1 w:val="020B0604030504040204"/>
    <w:charset w:val="00"/>
    <w:family w:val="swiss"/>
    <w:pitch w:val="variable"/>
    <w:sig w:usb0="E1002EFF" w:usb1="C000605B" w:usb2="00000029" w:usb3="00000000" w:csb0="000101FF" w:csb1="00000000"/>
    <w:embedRegular r:id="rId5" w:fontKey="{95BCC705-1A37-4F55-A920-36A1F6C08960}"/>
  </w:font>
  <w:font w:name="cmr10">
    <w:charset w:val="00"/>
    <w:family w:val="swiss"/>
    <w:pitch w:val="variable"/>
    <w:sig w:usb0="00000003" w:usb1="00000000" w:usb2="00000000" w:usb3="00000000" w:csb0="00000001" w:csb1="00000000"/>
    <w:embedRegular r:id="rId6" w:fontKey="{3E75A1C4-CEBC-4020-AB0B-1525366BAD51}"/>
  </w:font>
  <w:font w:name="Cambria Math">
    <w:panose1 w:val="02040503050406030204"/>
    <w:charset w:val="00"/>
    <w:family w:val="roman"/>
    <w:pitch w:val="variable"/>
    <w:sig w:usb0="E00002FF" w:usb1="420024FF" w:usb2="00000000" w:usb3="00000000" w:csb0="0000019F" w:csb1="00000000"/>
    <w:embedItalic r:id="rId7" w:fontKey="{6F6F1D07-0AA9-4947-BED3-3CBD180E0DC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43645" w:rsidRDefault="00343645">
        <w:pPr>
          <w:pStyle w:val="Footer"/>
          <w:jc w:val="center"/>
        </w:pPr>
        <w:r>
          <w:fldChar w:fldCharType="begin"/>
        </w:r>
        <w:r>
          <w:instrText xml:space="preserve"> PAGE   \* MERGEFORMAT </w:instrText>
        </w:r>
        <w:r>
          <w:fldChar w:fldCharType="separate"/>
        </w:r>
        <w:r w:rsidR="00F60029">
          <w:rPr>
            <w:noProof/>
          </w:rPr>
          <w:t>16</w:t>
        </w:r>
        <w:r>
          <w:rPr>
            <w:noProof/>
          </w:rPr>
          <w:fldChar w:fldCharType="end"/>
        </w:r>
      </w:p>
    </w:sdtContent>
  </w:sdt>
  <w:p w:rsidR="00343645" w:rsidRDefault="00343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EC0" w:rsidRDefault="001F5EC0" w:rsidP="009A122D">
      <w:pPr>
        <w:spacing w:after="0" w:line="240" w:lineRule="auto"/>
      </w:pPr>
      <w:r>
        <w:separator/>
      </w:r>
    </w:p>
  </w:footnote>
  <w:footnote w:type="continuationSeparator" w:id="0">
    <w:p w:rsidR="001F5EC0" w:rsidRDefault="001F5EC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1F5EC0"/>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35563"/>
    <w:rsid w:val="0043685D"/>
    <w:rsid w:val="00440833"/>
    <w:rsid w:val="00446BDA"/>
    <w:rsid w:val="00453133"/>
    <w:rsid w:val="0045618B"/>
    <w:rsid w:val="00463A01"/>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F4440"/>
    <w:rsid w:val="004F5395"/>
    <w:rsid w:val="00510E20"/>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B5572"/>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1CC9"/>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0C7A"/>
    <w:rsid w:val="00AD2B33"/>
    <w:rsid w:val="00AD32AA"/>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02C3C-0A41-47DC-8D0A-785C7803E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8463</TotalTime>
  <Pages>32</Pages>
  <Words>41648</Words>
  <Characters>208242</Characters>
  <Application>Microsoft Office Word</Application>
  <DocSecurity>0</DocSecurity>
  <Lines>1735</Lines>
  <Paragraphs>498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172</cp:revision>
  <dcterms:created xsi:type="dcterms:W3CDTF">2013-08-25T12:42:00Z</dcterms:created>
  <dcterms:modified xsi:type="dcterms:W3CDTF">2013-12-09T13:39:00Z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