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8D0078">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8D0078">
      <w:pPr>
        <w:pStyle w:val="Subtitle"/>
        <w:spacing w:line="480" w:lineRule="auto"/>
        <w:ind w:firstLine="284"/>
      </w:pPr>
    </w:p>
    <w:p w:rsidR="002630C5" w:rsidRPr="0038310A" w:rsidRDefault="002630C5" w:rsidP="008D0078">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8D0078">
      <w:pPr>
        <w:spacing w:line="480" w:lineRule="auto"/>
        <w:ind w:firstLine="284"/>
        <w:rPr>
          <w:rFonts w:ascii="Times New Roman" w:hAnsi="Times New Roman" w:cs="Times New Roman"/>
        </w:rPr>
      </w:pPr>
    </w:p>
    <w:p w:rsidR="002630C5"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8D0078">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961941" w:rsidRDefault="00961941" w:rsidP="008D0078">
      <w:pPr>
        <w:spacing w:line="480" w:lineRule="auto"/>
        <w:ind w:firstLine="284"/>
        <w:rPr>
          <w:lang w:bidi="hi-IN"/>
        </w:rPr>
      </w:pPr>
      <w:r w:rsidRPr="00961941">
        <w:rPr>
          <w:b/>
          <w:bCs/>
          <w:lang w:bidi="hi-IN"/>
        </w:rPr>
        <w:t>Online elements:</w:t>
      </w:r>
      <w:r>
        <w:rPr>
          <w:b/>
          <w:bCs/>
          <w:lang w:bidi="hi-IN"/>
        </w:rPr>
        <w:t xml:space="preserve"> </w:t>
      </w:r>
      <w:r>
        <w:rPr>
          <w:lang w:bidi="hi-IN"/>
        </w:rPr>
        <w:t xml:space="preserve">Supporting Text, Figure S1, Figure S2, Figure </w:t>
      </w:r>
      <w:r w:rsidR="00762F19">
        <w:rPr>
          <w:lang w:bidi="hi-IN"/>
        </w:rPr>
        <w:t>D1</w:t>
      </w:r>
      <w:r>
        <w:rPr>
          <w:lang w:bidi="hi-IN"/>
        </w:rPr>
        <w:t xml:space="preserve">, Figure </w:t>
      </w:r>
      <w:r w:rsidR="00762F19">
        <w:rPr>
          <w:lang w:bidi="hi-IN"/>
        </w:rPr>
        <w:t>E1, Figure E2</w:t>
      </w:r>
      <w:r>
        <w:rPr>
          <w:lang w:bidi="hi-IN"/>
        </w:rPr>
        <w:t xml:space="preserve">, Figure </w:t>
      </w:r>
      <w:r w:rsidR="00762F19">
        <w:rPr>
          <w:lang w:bidi="hi-IN"/>
        </w:rPr>
        <w:t>F</w:t>
      </w:r>
      <w:r>
        <w:rPr>
          <w:lang w:bidi="hi-IN"/>
        </w:rPr>
        <w:t xml:space="preserve">, color version of figure 2, color version of figure 3, color version of figure 4, </w:t>
      </w:r>
      <w:proofErr w:type="spellStart"/>
      <w:r>
        <w:rPr>
          <w:lang w:bidi="hi-IN"/>
        </w:rPr>
        <w:t>IPython</w:t>
      </w:r>
      <w:proofErr w:type="spellEnd"/>
      <w:r>
        <w:rPr>
          <w:lang w:bidi="hi-IN"/>
        </w:rPr>
        <w:t xml:space="preserve"> notebook for figure reproduction.</w:t>
      </w:r>
    </w:p>
    <w:p w:rsidR="00961941" w:rsidRPr="00961941" w:rsidRDefault="00394532" w:rsidP="008D0078">
      <w:pPr>
        <w:spacing w:line="480" w:lineRule="auto"/>
        <w:ind w:firstLine="284"/>
        <w:rPr>
          <w:lang w:bidi="hi-IN"/>
        </w:rPr>
      </w:pPr>
      <w:r>
        <w:rPr>
          <w:b/>
          <w:bCs/>
          <w:lang w:bidi="hi-IN"/>
        </w:rPr>
        <w:t>Manuscript type</w:t>
      </w:r>
      <w:r w:rsidR="00961941">
        <w:rPr>
          <w:b/>
          <w:bCs/>
          <w:lang w:bidi="hi-IN"/>
        </w:rPr>
        <w:t>:</w:t>
      </w:r>
      <w:r w:rsidR="00961941">
        <w:rPr>
          <w:lang w:bidi="hi-IN"/>
        </w:rPr>
        <w:t xml:space="preserve"> article</w:t>
      </w:r>
    </w:p>
    <w:p w:rsidR="0038310A" w:rsidRDefault="0038310A" w:rsidP="008D0078">
      <w:pPr>
        <w:spacing w:line="480" w:lineRule="auto"/>
        <w:rPr>
          <w:lang w:bidi="hi-IN"/>
        </w:rPr>
      </w:pPr>
      <w:r>
        <w:rPr>
          <w:lang w:bidi="hi-IN"/>
        </w:rPr>
        <w:br w:type="page"/>
      </w:r>
    </w:p>
    <w:p w:rsidR="003757EA" w:rsidRDefault="009747FC" w:rsidP="008D0078">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B04C73">
        <w:fldChar w:fldCharType="begin" w:fldLock="1"/>
      </w:r>
      <w:r w:rsidR="008D0078">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B04C73">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B04C73">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B04C73" w:rsidRPr="00FB3C6B">
        <w:fldChar w:fldCharType="begin" w:fldLock="1"/>
      </w:r>
      <w:r w:rsidR="008D0078">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B04C73" w:rsidRPr="00FB3C6B">
        <w:fldChar w:fldCharType="separate"/>
      </w:r>
      <w:r w:rsidR="001343A9" w:rsidRPr="00FB3C6B">
        <w:rPr>
          <w:noProof/>
        </w:rPr>
        <w:t>(Funchain et al. 2000)</w:t>
      </w:r>
      <w:r w:rsidR="00B04C73"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B04C73" w:rsidRPr="00FB3C6B">
        <w:fldChar w:fldCharType="begin" w:fldLock="1"/>
      </w:r>
      <w:r w:rsidR="008D0078">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B04C73" w:rsidRPr="00FB3C6B">
        <w:fldChar w:fldCharType="separate"/>
      </w:r>
      <w:r w:rsidR="001343A9" w:rsidRPr="00FB3C6B">
        <w:rPr>
          <w:noProof/>
        </w:rPr>
        <w:t>(Montanari et al. 2007)</w:t>
      </w:r>
      <w:r w:rsidR="00B04C73"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B04C73" w:rsidRPr="00FB3C6B">
        <w:fldChar w:fldCharType="begin" w:fldLock="1"/>
      </w:r>
      <w:r w:rsidR="008D0078">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B04C73" w:rsidRPr="00FB3C6B">
        <w:fldChar w:fldCharType="separate"/>
      </w:r>
      <w:r w:rsidR="0022140B" w:rsidRPr="00FB3C6B">
        <w:rPr>
          <w:noProof/>
        </w:rPr>
        <w:t>(Kimura 1967; Liberman and Feldman 1986)</w:t>
      </w:r>
      <w:r w:rsidR="00B04C73"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B04C73">
        <w:fldChar w:fldCharType="begin" w:fldLock="1"/>
      </w:r>
      <w:r w:rsidR="008D0078">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B04C73">
        <w:fldChar w:fldCharType="separate"/>
      </w:r>
      <w:r w:rsidR="005B12CD" w:rsidRPr="005B12CD">
        <w:rPr>
          <w:noProof/>
        </w:rPr>
        <w:t>(Giraud et al. 2001b)</w:t>
      </w:r>
      <w:r w:rsidR="00B04C73">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B04C73" w:rsidRPr="00FB3C6B">
        <w:fldChar w:fldCharType="begin" w:fldLock="1"/>
      </w:r>
      <w:r w:rsidR="008D0078">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B04C73" w:rsidRPr="00FB3C6B">
        <w:fldChar w:fldCharType="separate"/>
      </w:r>
      <w:r w:rsidR="00E1760D" w:rsidRPr="00FB3C6B">
        <w:rPr>
          <w:noProof/>
        </w:rPr>
        <w:t>(Sniegowski et al. 1997; Wielgoss et al. 2012)</w:t>
      </w:r>
      <w:r w:rsidR="00B04C73" w:rsidRPr="00FB3C6B">
        <w:fldChar w:fldCharType="end"/>
      </w:r>
      <w:r w:rsidR="00E1760D">
        <w:t>,</w:t>
      </w:r>
      <w:r w:rsidR="003E2958">
        <w:t xml:space="preserve"> mathematical analysis, and</w:t>
      </w:r>
      <w:r w:rsidR="00E1760D">
        <w:t xml:space="preserve"> simulations </w:t>
      </w:r>
      <w:r w:rsidR="00B04C73">
        <w:fldChar w:fldCharType="begin" w:fldLock="1"/>
      </w:r>
      <w:r w:rsidR="008D0078">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B04C73">
        <w:fldChar w:fldCharType="separate"/>
      </w:r>
      <w:r w:rsidR="003E2958" w:rsidRPr="003E2958">
        <w:rPr>
          <w:noProof/>
        </w:rPr>
        <w:t>(Taddei et al. 1997; Kessler and Levine 1998; Tenaillon et al. 1999)</w:t>
      </w:r>
      <w:r w:rsidR="00B04C73">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B04C73">
        <w:fldChar w:fldCharType="begin" w:fldLock="1"/>
      </w:r>
      <w:r w:rsidR="008D0078">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B04C73">
        <w:fldChar w:fldCharType="separate"/>
      </w:r>
      <w:r w:rsidRPr="00663378">
        <w:rPr>
          <w:noProof/>
        </w:rPr>
        <w:t>(1970)</w:t>
      </w:r>
      <w:r w:rsidR="00B04C73">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lastRenderedPageBreak/>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B04C73">
        <w:fldChar w:fldCharType="begin" w:fldLock="1"/>
      </w:r>
      <w:r w:rsidR="008D0078">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B04C73">
        <w:fldChar w:fldCharType="separate"/>
      </w:r>
      <w:r w:rsidR="00AE4609" w:rsidRPr="00AE4609">
        <w:rPr>
          <w:noProof/>
        </w:rPr>
        <w:t>(Galhardo et al. 2007)</w:t>
      </w:r>
      <w:r w:rsidR="00B04C73">
        <w:fldChar w:fldCharType="end"/>
      </w:r>
      <w:r w:rsidR="001B2273">
        <w:t xml:space="preserve">. SIM </w:t>
      </w:r>
      <w:r w:rsidR="00A70BE8">
        <w:t>has been</w:t>
      </w:r>
      <w:r w:rsidR="00AE4609">
        <w:t xml:space="preserve"> observed </w:t>
      </w:r>
      <w:r w:rsidR="001B2273">
        <w:t xml:space="preserve">in lab strains </w:t>
      </w:r>
      <w:r w:rsidR="00B04C73">
        <w:rPr>
          <w:i/>
          <w:iCs/>
        </w:rPr>
        <w:fldChar w:fldCharType="begin" w:fldLock="1"/>
      </w:r>
      <w:r w:rsidR="008D0078">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B04C73">
        <w:rPr>
          <w:i/>
          <w:iCs/>
        </w:rPr>
        <w:fldChar w:fldCharType="separate"/>
      </w:r>
      <w:r w:rsidR="00C53C8F" w:rsidRPr="00C53C8F">
        <w:rPr>
          <w:iCs/>
          <w:noProof/>
        </w:rPr>
        <w:t>(Foster 2007; Rosenberg et al. 2012)</w:t>
      </w:r>
      <w:r w:rsidR="00B04C73">
        <w:rPr>
          <w:i/>
          <w:iCs/>
        </w:rPr>
        <w:fldChar w:fldCharType="end"/>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B04C73" w:rsidRPr="00FB3C6B">
        <w:fldChar w:fldCharType="begin" w:fldLock="1"/>
      </w:r>
      <w:r w:rsidR="008D0078">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"(Bjedov et al. 2003; Katz and Hershberg 2013)" }, "properties" : { "noteIndex" : 0 }, "schema" : "https://github.com/citation-style-language/schema/raw/master/csl-citation.json" }</w:instrText>
      </w:r>
      <w:r w:rsidR="00B04C73"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B04C73"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B04C73" w:rsidRPr="00FB3C6B">
        <w:fldChar w:fldCharType="begin" w:fldLock="1"/>
      </w:r>
      <w:r w:rsidR="008D0078">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B04C73" w:rsidRPr="00FB3C6B">
        <w:fldChar w:fldCharType="separate"/>
      </w:r>
      <w:r w:rsidR="00AE4609" w:rsidRPr="00FB3C6B">
        <w:rPr>
          <w:noProof/>
        </w:rPr>
        <w:t>(Kivisaar 2010)</w:t>
      </w:r>
      <w:r w:rsidR="00B04C73" w:rsidRPr="00FB3C6B">
        <w:fldChar w:fldCharType="end"/>
      </w:r>
      <w:r w:rsidR="00C53C8F" w:rsidRPr="00FB3C6B">
        <w:t xml:space="preserve">, </w:t>
      </w:r>
      <w:r w:rsidR="00C53C8F" w:rsidRPr="00FB3C6B">
        <w:rPr>
          <w:i/>
          <w:iCs/>
        </w:rPr>
        <w:t xml:space="preserve">Helicobacter pylori </w:t>
      </w:r>
      <w:r w:rsidR="00B04C73" w:rsidRPr="00FB3C6B">
        <w:rPr>
          <w:i/>
          <w:iCs/>
        </w:rPr>
        <w:fldChar w:fldCharType="begin" w:fldLock="1"/>
      </w:r>
      <w:r w:rsidR="008D0078">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B04C73" w:rsidRPr="00FB3C6B">
        <w:rPr>
          <w:i/>
          <w:iCs/>
        </w:rPr>
        <w:fldChar w:fldCharType="separate"/>
      </w:r>
      <w:r w:rsidR="00C53C8F" w:rsidRPr="00FB3C6B">
        <w:rPr>
          <w:iCs/>
          <w:noProof/>
        </w:rPr>
        <w:t>(Kang et al. 2006)</w:t>
      </w:r>
      <w:r w:rsidR="00B04C73" w:rsidRPr="00FB3C6B">
        <w:rPr>
          <w:i/>
          <w:iCs/>
        </w:rPr>
        <w:fldChar w:fldCharType="end"/>
      </w:r>
      <w:r w:rsidR="00C53C8F" w:rsidRPr="00FB3C6B">
        <w:t>,</w:t>
      </w:r>
      <w:r w:rsidR="00E26B85">
        <w:t xml:space="preserve"> </w:t>
      </w:r>
      <w:r w:rsidR="00E26B85">
        <w:rPr>
          <w:i/>
          <w:iCs/>
        </w:rPr>
        <w:t xml:space="preserve">Vibrio cholera </w:t>
      </w:r>
      <w:r w:rsidR="00B04C73">
        <w:rPr>
          <w:i/>
          <w:iCs/>
        </w:rPr>
        <w:fldChar w:fldCharType="begin" w:fldLock="1"/>
      </w:r>
      <w:r w:rsidR="008D0078">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"(Baharoglu and Mazel 2011)" }, "properties" : { "noteIndex" : 0 }, "schema" : "https://github.com/citation-style-language/schema/raw/master/csl-citation.json" }</w:instrText>
      </w:r>
      <w:r w:rsidR="00B04C73">
        <w:rPr>
          <w:i/>
          <w:iCs/>
        </w:rPr>
        <w:fldChar w:fldCharType="separate"/>
      </w:r>
      <w:r w:rsidR="00E26B85" w:rsidRPr="00E26B85">
        <w:rPr>
          <w:iCs/>
          <w:noProof/>
        </w:rPr>
        <w:t>(Baharoglu and Mazel 2011)</w:t>
      </w:r>
      <w:r w:rsidR="00B04C73">
        <w:rPr>
          <w:i/>
          <w:iCs/>
        </w:rPr>
        <w:fldChar w:fldCharType="end"/>
      </w:r>
      <w:r w:rsidR="00C53C8F" w:rsidRPr="00FB3C6B">
        <w:t xml:space="preserve"> and </w:t>
      </w:r>
      <w:r w:rsidR="00C53C8F" w:rsidRPr="00FB3C6B">
        <w:rPr>
          <w:i/>
          <w:iCs/>
        </w:rPr>
        <w:t>Streptococcus pneumonia</w:t>
      </w:r>
      <w:r w:rsidR="00C53C8F" w:rsidRPr="00FB3C6B">
        <w:t xml:space="preserve"> </w:t>
      </w:r>
      <w:r w:rsidR="00B04C73" w:rsidRPr="00FB3C6B">
        <w:fldChar w:fldCharType="begin" w:fldLock="1"/>
      </w:r>
      <w:r w:rsidR="008D0078">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B04C73" w:rsidRPr="00FB3C6B">
        <w:fldChar w:fldCharType="separate"/>
      </w:r>
      <w:r w:rsidR="00C53C8F" w:rsidRPr="00FB3C6B">
        <w:rPr>
          <w:noProof/>
        </w:rPr>
        <w:t>(Henderson-Begg et al. 2006)</w:t>
      </w:r>
      <w:r w:rsidR="00B04C73"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B04C73" w:rsidRPr="00FB3C6B">
        <w:fldChar w:fldCharType="begin" w:fldLock="1"/>
      </w:r>
      <w:r w:rsidR="008D0078">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B04C73" w:rsidRPr="00FB3C6B">
        <w:fldChar w:fldCharType="separate"/>
      </w:r>
      <w:r w:rsidR="00C53C8F" w:rsidRPr="00FB3C6B">
        <w:rPr>
          <w:noProof/>
        </w:rPr>
        <w:t>(Heidenreich 2007; Rodriguez et al. 2012)</w:t>
      </w:r>
      <w:r w:rsidR="00B04C73" w:rsidRPr="00FB3C6B">
        <w:fldChar w:fldCharType="end"/>
      </w:r>
      <w:r w:rsidR="00C53C8F" w:rsidRPr="00FB3C6B">
        <w:t xml:space="preserve">, algae </w:t>
      </w:r>
      <w:r w:rsidR="00B04C73" w:rsidRPr="00FB3C6B">
        <w:fldChar w:fldCharType="begin" w:fldLock="1"/>
      </w:r>
      <w:r w:rsidR="008D0078">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B04C73" w:rsidRPr="00FB3C6B">
        <w:fldChar w:fldCharType="separate"/>
      </w:r>
      <w:r w:rsidR="00C53C8F" w:rsidRPr="00FB3C6B">
        <w:rPr>
          <w:noProof/>
        </w:rPr>
        <w:t>(Goho and Bell 2000)</w:t>
      </w:r>
      <w:r w:rsidR="00B04C73" w:rsidRPr="00FB3C6B">
        <w:fldChar w:fldCharType="end"/>
      </w:r>
      <w:r w:rsidR="00C53C8F" w:rsidRPr="00FB3C6B">
        <w:t xml:space="preserve">, </w:t>
      </w:r>
      <w:r w:rsidR="005B12CD">
        <w:t>nematodes</w:t>
      </w:r>
      <w:r w:rsidR="00C53C8F" w:rsidRPr="00FB3C6B">
        <w:t xml:space="preserve"> </w:t>
      </w:r>
      <w:r w:rsidR="00B04C73" w:rsidRPr="00FB3C6B">
        <w:fldChar w:fldCharType="begin" w:fldLock="1"/>
      </w:r>
      <w:r w:rsidR="008D0078">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B04C73" w:rsidRPr="00FB3C6B">
        <w:fldChar w:fldCharType="separate"/>
      </w:r>
      <w:r w:rsidR="00C53C8F" w:rsidRPr="00FB3C6B">
        <w:rPr>
          <w:noProof/>
        </w:rPr>
        <w:t>(Matsuba et al. 2012)</w:t>
      </w:r>
      <w:r w:rsidR="00B04C73" w:rsidRPr="00FB3C6B">
        <w:fldChar w:fldCharType="end"/>
      </w:r>
      <w:r w:rsidR="00C53C8F" w:rsidRPr="00FB3C6B">
        <w:t xml:space="preserve">, flies </w:t>
      </w:r>
      <w:r w:rsidR="00B04C73" w:rsidRPr="00FB3C6B">
        <w:fldChar w:fldCharType="begin" w:fldLock="1"/>
      </w:r>
      <w:r w:rsidR="008D0078">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B04C73" w:rsidRPr="00FB3C6B">
        <w:fldChar w:fldCharType="separate"/>
      </w:r>
      <w:r w:rsidR="00C53C8F" w:rsidRPr="00FB3C6B">
        <w:rPr>
          <w:noProof/>
        </w:rPr>
        <w:t>(Sharp and Agrawal 2012)</w:t>
      </w:r>
      <w:r w:rsidR="00B04C73" w:rsidRPr="00FB3C6B">
        <w:fldChar w:fldCharType="end"/>
      </w:r>
      <w:r w:rsidR="00C53C8F" w:rsidRPr="00FB3C6B">
        <w:t xml:space="preserve">, and human cancer cells </w:t>
      </w:r>
      <w:r w:rsidR="00B04C73" w:rsidRPr="00FB3C6B">
        <w:fldChar w:fldCharType="begin" w:fldLock="1"/>
      </w:r>
      <w:r w:rsidR="008D0078">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B04C73" w:rsidRPr="00FB3C6B">
        <w:fldChar w:fldCharType="separate"/>
      </w:r>
      <w:r w:rsidR="000F6261" w:rsidRPr="00FB3C6B">
        <w:rPr>
          <w:noProof/>
        </w:rPr>
        <w:t>(Bristow and Hill 2008)</w:t>
      </w:r>
      <w:r w:rsidR="00B04C73"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B04C73">
        <w:fldChar w:fldCharType="begin" w:fldLock="1"/>
      </w:r>
      <w:r w:rsidR="008D0078">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B04C73">
        <w:fldChar w:fldCharType="separate"/>
      </w:r>
      <w:r w:rsidR="00663378" w:rsidRPr="00663378">
        <w:rPr>
          <w:noProof/>
        </w:rPr>
        <w:t>(Ponder et al. 2005)</w:t>
      </w:r>
      <w:r w:rsidR="00B04C73">
        <w:fldChar w:fldCharType="end"/>
      </w:r>
      <w:r>
        <w:t xml:space="preserve"> and by inhibiting the mismatch repair system </w:t>
      </w:r>
      <w:r w:rsidR="00B04C73">
        <w:fldChar w:fldCharType="begin" w:fldLock="1"/>
      </w:r>
      <w:r w:rsidR="008D0078">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B04C73">
        <w:fldChar w:fldCharType="separate"/>
      </w:r>
      <w:r w:rsidR="00663378" w:rsidRPr="00663378">
        <w:rPr>
          <w:noProof/>
        </w:rPr>
        <w:t>(Debora et al. 2010)</w:t>
      </w:r>
      <w:r w:rsidR="00B04C73">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B04C73">
        <w:fldChar w:fldCharType="begin" w:fldLock="1"/>
      </w:r>
      <w:r w:rsidR="008D0078">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"(Al Mamun et al. 2012)" }, "properties" : { "noteIndex" : 0 }, "schema" : "https://github.com/citation-style-language/schema/raw/master/csl-citation.json" }</w:instrText>
      </w:r>
      <w:r w:rsidR="00B04C73">
        <w:fldChar w:fldCharType="separate"/>
      </w:r>
      <w:r w:rsidR="00663378" w:rsidRPr="00663378">
        <w:rPr>
          <w:noProof/>
        </w:rPr>
        <w:t>(Al Mamun et al. 2012)</w:t>
      </w:r>
      <w:r w:rsidR="00B04C73">
        <w:fldChar w:fldCharType="end"/>
      </w:r>
      <w:r w:rsidR="00C2015F">
        <w:t>.</w:t>
      </w:r>
    </w:p>
    <w:p w:rsidR="001307C7" w:rsidRPr="003F04B0" w:rsidRDefault="00F12058" w:rsidP="008D007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B04C73" w:rsidRPr="00FB3C6B">
        <w:fldChar w:fldCharType="begin" w:fldLock="1"/>
      </w:r>
      <w:r w:rsidR="008D0078">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B04C73" w:rsidRPr="00FB3C6B">
        <w:fldChar w:fldCharType="separate"/>
      </w:r>
      <w:r w:rsidRPr="00FB3C6B">
        <w:rPr>
          <w:noProof/>
        </w:rPr>
        <w:t>(Tenaillon et al. 2004; Cirz and Romesberg 2007; Rosenberg et al. 2012)</w:t>
      </w:r>
      <w:r w:rsidR="00B04C73"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B04C73" w:rsidRPr="00FB3C6B">
        <w:fldChar w:fldCharType="begin" w:fldLock="1"/>
      </w:r>
      <w:r w:rsidR="008D0078">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B04C73" w:rsidRPr="00FB3C6B">
        <w:fldChar w:fldCharType="separate"/>
      </w:r>
      <w:r w:rsidR="00A20010" w:rsidRPr="00FB3C6B">
        <w:rPr>
          <w:noProof/>
        </w:rPr>
        <w:t>(Agrawal 2002)</w:t>
      </w:r>
      <w:r w:rsidR="00B04C73" w:rsidRPr="00FB3C6B">
        <w:fldChar w:fldCharType="end"/>
      </w:r>
      <w:r w:rsidR="009770F6" w:rsidRPr="00FB3C6B">
        <w:t xml:space="preserve"> and </w:t>
      </w:r>
      <w:r w:rsidR="00A20010" w:rsidRPr="00FB3C6B">
        <w:t xml:space="preserve">stochastic </w:t>
      </w:r>
      <w:r w:rsidR="00B04C73" w:rsidRPr="00FB3C6B">
        <w:fldChar w:fldCharType="begin" w:fldLock="1"/>
      </w:r>
      <w:r w:rsidR="008D0078">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B04C73" w:rsidRPr="00FB3C6B">
        <w:fldChar w:fldCharType="separate"/>
      </w:r>
      <w:r w:rsidR="00A20010" w:rsidRPr="00FB3C6B">
        <w:rPr>
          <w:noProof/>
        </w:rPr>
        <w:t>(Shaw and Baer 2011)</w:t>
      </w:r>
      <w:r w:rsidR="00B04C73"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 xml:space="preserve">More </w:t>
      </w:r>
      <w:r w:rsidR="00072D95" w:rsidRPr="00FB3C6B">
        <w:lastRenderedPageBreak/>
        <w:t>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B04C73" w:rsidRPr="003F04B0">
        <w:fldChar w:fldCharType="begin" w:fldLock="1"/>
      </w:r>
      <w:r w:rsidR="008D0078">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3F04B0">
        <w:fldChar w:fldCharType="separate"/>
      </w:r>
      <w:r w:rsidR="00663378" w:rsidRPr="003F04B0">
        <w:rPr>
          <w:noProof/>
        </w:rPr>
        <w:t>(Ram and Hadany 2012)</w:t>
      </w:r>
      <w:r w:rsidR="00B04C73" w:rsidRPr="003F04B0">
        <w:fldChar w:fldCharType="end"/>
      </w:r>
      <w:r w:rsidR="00932C9B" w:rsidRPr="003F04B0">
        <w:t>.</w:t>
      </w:r>
    </w:p>
    <w:p w:rsidR="00625517" w:rsidRDefault="00600689" w:rsidP="008D0078">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00B04C73" w:rsidRPr="003F04B0">
        <w:fldChar w:fldCharType="begin" w:fldLock="1"/>
      </w:r>
      <w:r w:rsidR="008D0078">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Wright 1988)" }, "properties" : { "noteIndex" : 0 }, "schema" : "https://github.com/citation-style-language/schema/raw/master/csl-citation.json" }</w:instrText>
      </w:r>
      <w:r w:rsidR="00B04C73" w:rsidRPr="003F04B0">
        <w:fldChar w:fldCharType="separate"/>
      </w:r>
      <w:r w:rsidR="00836CB4" w:rsidRPr="00836CB4">
        <w:rPr>
          <w:noProof/>
        </w:rPr>
        <w:t>(Wright 1931; Wright 1988)</w:t>
      </w:r>
      <w:r w:rsidR="00B04C73"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8D0078">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 xml:space="preserve">This is the simplest case of a "rugged fitness </w:t>
      </w:r>
      <w:r w:rsidRPr="007169AD">
        <w:lastRenderedPageBreak/>
        <w:t>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w:t>
      </w:r>
      <w:r w:rsidR="0035669E">
        <w:t>"</w:t>
      </w:r>
      <w:r w:rsidRPr="007169AD">
        <w:t>peaks</w:t>
      </w:r>
      <w:r w:rsidR="0035669E">
        <w:t>"</w:t>
      </w:r>
      <w:r w:rsidRPr="007169AD">
        <w:t xml:space="preserve">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8D0078">
      <w:pPr>
        <w:spacing w:line="480" w:lineRule="auto"/>
        <w:rPr>
          <w:lang w:bidi="hi-IN"/>
        </w:rPr>
      </w:pPr>
    </w:p>
    <w:p w:rsidR="00CD3F78" w:rsidRDefault="00CD3F78" w:rsidP="008D0078">
      <w:pPr>
        <w:pStyle w:val="FigureLegend"/>
        <w:spacing w:line="480" w:lineRule="auto"/>
        <w:rPr>
          <w:b/>
          <w:bCs/>
          <w:sz w:val="20"/>
          <w:szCs w:val="20"/>
        </w:rPr>
      </w:pPr>
      <w:bookmarkStart w:id="1" w:name="_Ref354316371"/>
      <w:r>
        <w:rPr>
          <w:b/>
          <w:bCs/>
          <w:noProof/>
          <w:sz w:val="20"/>
          <w:szCs w:val="20"/>
        </w:rPr>
        <w:drawing>
          <wp:inline distT="0" distB="0" distL="0" distR="0" wp14:anchorId="6FF55743" wp14:editId="32218DF1">
            <wp:extent cx="5266690" cy="2179955"/>
            <wp:effectExtent l="0" t="0" r="0" b="0"/>
            <wp:docPr id="5" name="Picture 5" descr="D:\workspace\ruggedsim\manuscript\ram_f1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1N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p>
    <w:p w:rsidR="00CD3F78" w:rsidRDefault="00CD3F78" w:rsidP="00D37700">
      <w:pPr>
        <w:pStyle w:val="FigureLegend"/>
        <w:spacing w:line="480" w:lineRule="auto"/>
        <w:jc w:val="left"/>
        <w:rPr>
          <w:sz w:val="20"/>
          <w:szCs w:val="20"/>
        </w:rPr>
      </w:pPr>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sidR="00C47BD2">
        <w:rPr>
          <w:b/>
          <w:bCs/>
          <w:noProof/>
          <w:sz w:val="20"/>
          <w:szCs w:val="20"/>
        </w:rPr>
        <w:t>1</w:t>
      </w:r>
      <w:r w:rsidRPr="00733307">
        <w:rPr>
          <w:b/>
          <w:bCs/>
          <w:sz w:val="20"/>
          <w:szCs w:val="20"/>
        </w:rPr>
        <w:fldChar w:fldCharType="end"/>
      </w:r>
      <w:bookmarkEnd w:id="1"/>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 xml:space="preserve">The figure shows the fitness of the possible genotypes: </w:t>
      </w:r>
      <w:r w:rsidRPr="00733307">
        <w:rPr>
          <w:i/>
          <w:iCs/>
          <w:sz w:val="20"/>
          <w:szCs w:val="20"/>
        </w:rPr>
        <w:t>a</w:t>
      </w:r>
      <w:r>
        <w:rPr>
          <w:i/>
          <w:iCs/>
          <w:sz w:val="20"/>
          <w:szCs w:val="20"/>
        </w:rPr>
        <w:t>b</w:t>
      </w:r>
      <w:r>
        <w:rPr>
          <w:sz w:val="20"/>
          <w:szCs w:val="20"/>
        </w:rPr>
        <w:t>,</w:t>
      </w:r>
      <w:r w:rsidRPr="00733307">
        <w:rPr>
          <w:sz w:val="20"/>
          <w:szCs w:val="20"/>
        </w:rPr>
        <w:t xml:space="preserve"> or </w:t>
      </w:r>
      <w:r w:rsidRPr="00733307">
        <w:rPr>
          <w:i/>
          <w:iCs/>
          <w:sz w:val="20"/>
          <w:szCs w:val="20"/>
        </w:rPr>
        <w:t>A</w:t>
      </w:r>
      <w:r>
        <w:rPr>
          <w:i/>
          <w:iCs/>
          <w:sz w:val="20"/>
          <w:szCs w:val="20"/>
        </w:rPr>
        <w:t>b</w:t>
      </w:r>
      <w:r>
        <w:rPr>
          <w:sz w:val="20"/>
          <w:szCs w:val="20"/>
        </w:rPr>
        <w:t xml:space="preserve">, </w:t>
      </w:r>
      <w:proofErr w:type="spellStart"/>
      <w:r>
        <w:rPr>
          <w:i/>
          <w:iCs/>
          <w:sz w:val="20"/>
          <w:szCs w:val="20"/>
        </w:rPr>
        <w:t>aB</w:t>
      </w:r>
      <w:proofErr w:type="spellEnd"/>
      <w:r>
        <w:rPr>
          <w:sz w:val="20"/>
          <w:szCs w:val="20"/>
        </w:rPr>
        <w:t>,</w:t>
      </w:r>
      <w:r w:rsidRPr="00733307">
        <w:rPr>
          <w:sz w:val="20"/>
          <w:szCs w:val="20"/>
        </w:rPr>
        <w:t xml:space="preserve"> and </w:t>
      </w:r>
      <w:r>
        <w:rPr>
          <w:i/>
          <w:iCs/>
          <w:sz w:val="20"/>
          <w:szCs w:val="20"/>
        </w:rPr>
        <w:t>AB</w:t>
      </w:r>
      <w:r>
        <w:rPr>
          <w:sz w:val="20"/>
          <w:szCs w:val="20"/>
        </w:rPr>
        <w:t>.</w:t>
      </w:r>
      <w:r w:rsidRPr="00733307">
        <w:rPr>
          <w:sz w:val="20"/>
          <w:szCs w:val="20"/>
        </w:rPr>
        <w:t xml:space="preserve"> Panel B also includes 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w:t>
      </w:r>
      <w:proofErr w:type="gramStart"/>
      <w:r w:rsidRPr="00733307">
        <w:rPr>
          <w:i/>
          <w:iCs/>
          <w:sz w:val="20"/>
          <w:szCs w:val="20"/>
        </w:rPr>
        <w:t>a</w:t>
      </w:r>
      <w:r w:rsidRPr="00733307">
        <w:rPr>
          <w:sz w:val="20"/>
          <w:szCs w:val="20"/>
        </w:rPr>
        <w:t xml:space="preserve"> and</w:t>
      </w:r>
      <w:proofErr w:type="gramEnd"/>
      <w:r w:rsidRPr="00733307">
        <w:rPr>
          <w:sz w:val="20"/>
          <w:szCs w:val="20"/>
        </w:rPr>
        <w:t xml:space="preserve">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 xml:space="preserve">The x-axis represents the number of accumulated mutations.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w:t>
      </w:r>
      <w:proofErr w:type="spellStart"/>
      <w:r w:rsidRPr="00733307">
        <w:rPr>
          <w:sz w:val="20"/>
          <w:szCs w:val="20"/>
        </w:rPr>
        <w:t>hypermutate</w:t>
      </w:r>
      <w:proofErr w:type="spellEnd"/>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BA2B02" w:rsidRDefault="005316EE" w:rsidP="008D0078">
      <w:pPr>
        <w:spacing w:line="480" w:lineRule="auto"/>
        <w:rPr>
          <w:lang w:bidi="hi-IN"/>
        </w:rPr>
      </w:pPr>
      <w:r w:rsidRPr="007169AD">
        <w:rPr>
          <w:lang w:bidi="hi-IN"/>
        </w:rPr>
        <w:lastRenderedPageBreak/>
        <w:t xml:space="preserve">Each deleterious mutation in the non-specific loci independently (multiplicatively) </w:t>
      </w:r>
      <w:r w:rsidRPr="007169AD">
        <w:t>reduces the fitness of the individual by 1-</w:t>
      </w:r>
      <w:r w:rsidRPr="007169AD">
        <w:rPr>
          <w:i/>
          <w:iCs/>
        </w:rPr>
        <w:t>s</w:t>
      </w:r>
      <w:r w:rsidRPr="007169AD">
        <w:t xml:space="preserve">. </w:t>
      </w:r>
      <w:r w:rsidR="0035669E">
        <w:rPr>
          <w:lang w:bidi="hi-IN"/>
        </w:rPr>
        <w:t>M</w:t>
      </w:r>
      <w:r w:rsidRPr="007169AD">
        <w:rPr>
          <w:lang w:bidi="hi-IN"/>
        </w:rPr>
        <w:t xml:space="preserve">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t>
      </w:r>
      <w:r w:rsidR="0035669E">
        <w:rPr>
          <w:lang w:bidi="hi-IN"/>
        </w:rPr>
        <w:t>The model</w:t>
      </w:r>
      <w:r w:rsidRPr="00BA2B02">
        <w:rPr>
          <w:lang w:bidi="hi-IN"/>
        </w:rPr>
        <w:t xml:space="preserve"> neglect</w:t>
      </w:r>
      <w:r w:rsidR="0035669E">
        <w:rPr>
          <w:lang w:bidi="hi-IN"/>
        </w:rPr>
        <w:t>s</w:t>
      </w:r>
      <w:r w:rsidRPr="00BA2B02">
        <w:rPr>
          <w:lang w:bidi="hi-IN"/>
        </w:rPr>
        <w:t xml:space="preserve"> </w:t>
      </w:r>
      <w:r w:rsidRPr="00BA2B02">
        <w:t>back-</w:t>
      </w:r>
      <w:r>
        <w:t>mutations and compensatory mutations.</w:t>
      </w:r>
    </w:p>
    <w:p w:rsidR="005316EE" w:rsidRPr="00BA2B02" w:rsidRDefault="005316EE" w:rsidP="008D0078">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2" w:name="_Ref374443384"/>
            <w:bookmarkStart w:id="3" w:name="_Ref374460264"/>
            <w:r w:rsidRPr="00BA2B02">
              <w:t>(</w:t>
            </w:r>
            <w:r w:rsidR="00B04C73">
              <w:fldChar w:fldCharType="begin"/>
            </w:r>
            <w:r w:rsidR="00DA55AA">
              <w:instrText xml:space="preserve"> SEQ Equation </w:instrText>
            </w:r>
            <w:r w:rsidR="00B04C73">
              <w:fldChar w:fldCharType="separate"/>
            </w:r>
            <w:r w:rsidR="00C47BD2">
              <w:rPr>
                <w:noProof/>
              </w:rPr>
              <w:t>1</w:t>
            </w:r>
            <w:r w:rsidR="00B04C73">
              <w:rPr>
                <w:noProof/>
              </w:rPr>
              <w:fldChar w:fldCharType="end"/>
            </w:r>
            <w:bookmarkEnd w:id="2"/>
            <w:r w:rsidRPr="00BA2B02">
              <w:t>)</w:t>
            </w:r>
            <w:bookmarkEnd w:id="3"/>
          </w:p>
        </w:tc>
      </w:tr>
    </w:tbl>
    <w:p w:rsidR="005316EE" w:rsidRDefault="005316EE" w:rsidP="008D0078">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8D0078">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 xml:space="preserve">is </w:t>
      </w:r>
      <w:r w:rsidR="0035669E">
        <w:lastRenderedPageBreak/>
        <w:t>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B04C73">
        <w:fldChar w:fldCharType="begin" w:fldLock="1"/>
      </w:r>
      <w:r w:rsidR="008D0078">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B04C73">
        <w:fldChar w:fldCharType="separate"/>
      </w:r>
      <w:r w:rsidRPr="00CD660F">
        <w:rPr>
          <w:noProof/>
        </w:rPr>
        <w:t>(Haigh 1978)</w:t>
      </w:r>
      <w:r w:rsidR="00B04C73">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B04C73">
        <w:fldChar w:fldCharType="begin" w:fldLock="1"/>
      </w:r>
      <w:r w:rsidR="008D0078">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"(Gessler 1995)" }, "properties" : { "noteIndex" : 0 }, "schema" : "https://github.com/citation-style-language/schema/raw/master/csl-citation.json" }</w:instrText>
      </w:r>
      <w:r w:rsidR="00B04C73">
        <w:fldChar w:fldCharType="separate"/>
      </w:r>
      <w:r w:rsidR="00D20FB0" w:rsidRPr="00D20FB0">
        <w:rPr>
          <w:noProof/>
        </w:rPr>
        <w:t>(Gessler 1995)</w:t>
      </w:r>
      <w:r w:rsidR="00B04C73">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w:t>
      </w:r>
      <w:r w:rsidRPr="00020A87">
        <w:lastRenderedPageBreak/>
        <w:t xml:space="preserve">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00B04C73" w:rsidRPr="00020A87">
        <w:fldChar w:fldCharType="begin" w:fldLock="1"/>
      </w:r>
      <w:r w:rsidR="008D0078">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B04C73" w:rsidRPr="00020A87">
        <w:fldChar w:fldCharType="separate"/>
      </w:r>
      <w:r w:rsidRPr="00020A87">
        <w:rPr>
          <w:noProof/>
        </w:rPr>
        <w:t>(Gordo and Dionisio 2005)</w:t>
      </w:r>
      <w:r w:rsidR="00B04C73" w:rsidRPr="00020A87">
        <w:fldChar w:fldCharType="end"/>
      </w:r>
      <w:r w:rsidRPr="00020A87">
        <w:t>.</w:t>
      </w:r>
    </w:p>
    <w:p w:rsidR="005316EE" w:rsidRPr="00020A87" w:rsidRDefault="005316EE" w:rsidP="008D0078">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900394" w:rsidP="008D0078">
      <w:pPr>
        <w:spacing w:line="480" w:lineRule="auto"/>
      </w:pPr>
      <w:r>
        <w:fldChar w:fldCharType="begin"/>
      </w:r>
      <w:r>
        <w:instrText xml:space="preserve"> REF _Ref358791100 \h  \* MERGEFORMAT </w:instrText>
      </w:r>
      <w:r>
        <w:fldChar w:fldCharType="separate"/>
      </w:r>
      <w:r w:rsidR="00C47BD2">
        <w:t xml:space="preserve">Table </w:t>
      </w:r>
      <w:r w:rsidR="00C47BD2">
        <w:t>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w:t>
      </w:r>
      <w:r w:rsidRPr="00183F36">
        <w:lastRenderedPageBreak/>
        <w:t xml:space="preserve">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900394">
        <w:fldChar w:fldCharType="begin"/>
      </w:r>
      <w:r w:rsidR="00900394">
        <w:instrText xml:space="preserve"> REF _Ref358791100 \h  \* MERGEFORMAT </w:instrText>
      </w:r>
      <w:r w:rsidR="00900394">
        <w:fldChar w:fldCharType="separate"/>
      </w:r>
      <w:r w:rsidR="00C47BD2">
        <w:t xml:space="preserve">Table </w:t>
      </w:r>
      <w:r w:rsidR="00C47BD2">
        <w:t>1</w:t>
      </w:r>
      <w:r w:rsidR="00900394">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4" w:name="_Ref378231031"/>
            <w:bookmarkStart w:id="5" w:name="_Ref354134924"/>
            <w:r w:rsidRPr="00BA2B02">
              <w:t>(</w:t>
            </w:r>
            <w:r w:rsidR="00B04C73">
              <w:fldChar w:fldCharType="begin"/>
            </w:r>
            <w:r w:rsidR="00DA55AA">
              <w:instrText xml:space="preserve"> SEQ Equation </w:instrText>
            </w:r>
            <w:r w:rsidR="00B04C73">
              <w:fldChar w:fldCharType="separate"/>
            </w:r>
            <w:r w:rsidR="00C47BD2">
              <w:rPr>
                <w:noProof/>
              </w:rPr>
              <w:t>2</w:t>
            </w:r>
            <w:r w:rsidR="00B04C73">
              <w:rPr>
                <w:noProof/>
              </w:rPr>
              <w:fldChar w:fldCharType="end"/>
            </w:r>
            <w:bookmarkEnd w:id="4"/>
            <w:r w:rsidRPr="00BA2B02">
              <w:t>)</w:t>
            </w:r>
            <w:bookmarkEnd w:id="5"/>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622093"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6" w:name="_Ref354134926"/>
            <w:r>
              <w:t>(</w:t>
            </w:r>
            <w:r w:rsidR="00B04C73">
              <w:fldChar w:fldCharType="begin"/>
            </w:r>
            <w:r w:rsidRPr="00EC7EBC">
              <w:instrText xml:space="preserve"> SEQ Equation </w:instrText>
            </w:r>
            <w:r w:rsidR="00B04C73">
              <w:fldChar w:fldCharType="separate"/>
            </w:r>
            <w:r w:rsidR="00C47BD2">
              <w:rPr>
                <w:noProof/>
              </w:rPr>
              <w:t>3</w:t>
            </w:r>
            <w:r w:rsidR="00B04C73">
              <w:rPr>
                <w:noProof/>
              </w:rPr>
              <w:fldChar w:fldCharType="end"/>
            </w:r>
            <w:r>
              <w:t>)</w:t>
            </w:r>
            <w:bookmarkEnd w:id="6"/>
          </w:p>
        </w:tc>
      </w:tr>
    </w:tbl>
    <w:p w:rsidR="005316EE" w:rsidRDefault="005316EE" w:rsidP="008D0078">
      <w:pPr>
        <w:spacing w:line="480" w:lineRule="auto"/>
      </w:pPr>
      <w:r>
        <w:lastRenderedPageBreak/>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D0078">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7" w:name="_Ref354319797"/>
      <w:r>
        <w:t xml:space="preserve">Fixation probability </w:t>
      </w:r>
      <w:bookmarkEnd w:id="7"/>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rsidR="00B04C73">
        <w:fldChar w:fldCharType="begin" w:fldLock="1"/>
      </w:r>
      <w:r w:rsidR="008D0078">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B04C73">
        <w:fldChar w:fldCharType="separate"/>
      </w:r>
      <w:r w:rsidRPr="00663378">
        <w:rPr>
          <w:noProof/>
        </w:rPr>
        <w:t>(1981)</w:t>
      </w:r>
      <w:r w:rsidR="00B04C73">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8" w:name="_Ref378231034"/>
            <w:r>
              <w:t>(</w:t>
            </w:r>
            <w:r w:rsidR="00B04C73">
              <w:fldChar w:fldCharType="begin"/>
            </w:r>
            <w:r w:rsidRPr="00EC7EBC">
              <w:instrText xml:space="preserve"> SEQ Equation </w:instrText>
            </w:r>
            <w:r w:rsidR="00B04C73">
              <w:fldChar w:fldCharType="separate"/>
            </w:r>
            <w:r w:rsidR="00C47BD2">
              <w:rPr>
                <w:noProof/>
              </w:rPr>
              <w:t>4</w:t>
            </w:r>
            <w:r w:rsidR="00B04C73">
              <w:rPr>
                <w:noProof/>
              </w:rPr>
              <w:fldChar w:fldCharType="end"/>
            </w:r>
            <w:bookmarkEnd w:id="8"/>
            <w:r>
              <w:t>)</w:t>
            </w:r>
          </w:p>
        </w:tc>
      </w:tr>
    </w:tbl>
    <w:p w:rsidR="005316EE" w:rsidRDefault="005316EE" w:rsidP="008D0078">
      <w:pPr>
        <w:spacing w:line="480" w:lineRule="auto"/>
        <w:rPr>
          <w:lang w:bidi="hi-IN"/>
        </w:rPr>
      </w:pPr>
      <w:bookmarkStart w:id="9" w:name="_Ref360181968"/>
      <w:r>
        <w:rPr>
          <w:lang w:bidi="hi-IN"/>
        </w:rPr>
        <w:t xml:space="preserve">That is, the fixation probability of the double mutant is roughly twice its adaptive advantage. This is a classic result of population genetics theory </w:t>
      </w:r>
      <w:r w:rsidR="00B04C73">
        <w:rPr>
          <w:lang w:bidi="hi-IN"/>
        </w:rPr>
        <w:fldChar w:fldCharType="begin" w:fldLock="1"/>
      </w:r>
      <w:r w:rsidR="008D0078">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"(Fisher 1930, p. 76; Patwa and Wahl 2008)" }, "properties" : { "noteIndex" : 0 }, "schema" : "https://github.com/citation-style-language/schema/raw/master/csl-citation.json" }</w:instrText>
      </w:r>
      <w:r w:rsidR="00B04C73">
        <w:rPr>
          <w:lang w:bidi="hi-IN"/>
        </w:rPr>
        <w:fldChar w:fldCharType="separate"/>
      </w:r>
      <w:r w:rsidR="00836CB4" w:rsidRPr="00836CB4">
        <w:rPr>
          <w:noProof/>
          <w:lang w:bidi="hi-IN"/>
        </w:rPr>
        <w:t>(Fisher 1930, p. 76; Patwa and Wahl 2008)</w:t>
      </w:r>
      <w:r w:rsidR="00B04C73">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9"/>
    </w:p>
    <w:p w:rsidR="005316EE" w:rsidRPr="000448EE" w:rsidRDefault="005316EE" w:rsidP="008D0078">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lastRenderedPageBreak/>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10" w:name="_Ref378231036"/>
            <w:r>
              <w:t>(</w:t>
            </w:r>
            <w:r w:rsidR="00B04C73">
              <w:fldChar w:fldCharType="begin"/>
            </w:r>
            <w:r w:rsidRPr="00EC7EBC">
              <w:instrText xml:space="preserve"> SEQ Equation </w:instrText>
            </w:r>
            <w:r w:rsidR="00B04C73">
              <w:fldChar w:fldCharType="separate"/>
            </w:r>
            <w:r w:rsidR="00C47BD2">
              <w:rPr>
                <w:noProof/>
              </w:rPr>
              <w:t>5</w:t>
            </w:r>
            <w:r w:rsidR="00B04C73">
              <w:rPr>
                <w:noProof/>
              </w:rPr>
              <w:fldChar w:fldCharType="end"/>
            </w:r>
            <w:bookmarkEnd w:id="10"/>
            <w:r>
              <w:t>)</w:t>
            </w:r>
          </w:p>
        </w:tc>
      </w:tr>
    </w:tbl>
    <w:p w:rsidR="005316EE" w:rsidRDefault="005316EE" w:rsidP="008D0078">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622093"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B04C73">
              <w:fldChar w:fldCharType="begin"/>
            </w:r>
            <w:r w:rsidRPr="00C23983">
              <w:instrText xml:space="preserve"> SEQ Equation </w:instrText>
            </w:r>
            <w:r w:rsidR="00B04C73">
              <w:fldChar w:fldCharType="separate"/>
            </w:r>
            <w:r w:rsidR="00C47BD2">
              <w:rPr>
                <w:noProof/>
              </w:rPr>
              <w:t>6</w:t>
            </w:r>
            <w:r w:rsidR="00B04C73">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622093"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B04C73">
              <w:fldChar w:fldCharType="begin"/>
            </w:r>
            <w:r w:rsidR="00DA55AA">
              <w:instrText xml:space="preserve"> SEQ Equation </w:instrText>
            </w:r>
            <w:r w:rsidR="00B04C73">
              <w:fldChar w:fldCharType="separate"/>
            </w:r>
            <w:r w:rsidR="00C47BD2">
              <w:rPr>
                <w:noProof/>
              </w:rPr>
              <w:t>7</w:t>
            </w:r>
            <w:r w:rsidR="00B04C73">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622093"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r>
              <w:t>(</w:t>
            </w:r>
            <w:r w:rsidR="00B04C73">
              <w:fldChar w:fldCharType="begin"/>
            </w:r>
            <w:r w:rsidRPr="00C23983">
              <w:instrText xml:space="preserve"> SEQ Equation </w:instrText>
            </w:r>
            <w:r w:rsidR="00B04C73">
              <w:fldChar w:fldCharType="separate"/>
            </w:r>
            <w:r w:rsidR="00C47BD2">
              <w:rPr>
                <w:noProof/>
              </w:rPr>
              <w:t>8</w:t>
            </w:r>
            <w:r w:rsidR="00B04C73">
              <w:rPr>
                <w:noProof/>
              </w:rPr>
              <w:fldChar w:fldCharType="end"/>
            </w:r>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900394">
        <w:fldChar w:fldCharType="begin"/>
      </w:r>
      <w:r w:rsidR="00900394">
        <w:instrText xml:space="preserve"> REF _Ref358791100 \h  \* MERGEFORMAT </w:instrText>
      </w:r>
      <w:r w:rsidR="00900394">
        <w:fldChar w:fldCharType="separate"/>
      </w:r>
      <w:r w:rsidR="00C47BD2">
        <w:t xml:space="preserve">Table </w:t>
      </w:r>
      <w:r w:rsidR="00C47BD2">
        <w:t>1</w:t>
      </w:r>
      <w:r w:rsidR="00900394">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B04C73">
        <w:rPr>
          <w:lang w:bidi="hi-IN"/>
        </w:rPr>
        <w:fldChar w:fldCharType="begin" w:fldLock="1"/>
      </w:r>
      <w:r w:rsidR="008D0078">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B04C73">
        <w:rPr>
          <w:lang w:bidi="hi-IN"/>
        </w:rPr>
        <w:fldChar w:fldCharType="separate"/>
      </w:r>
      <w:r w:rsidR="00585914" w:rsidRPr="00585914">
        <w:rPr>
          <w:noProof/>
          <w:lang w:bidi="hi-IN"/>
        </w:rPr>
        <w:t>(2005)</w:t>
      </w:r>
      <w:r w:rsidR="00B04C73">
        <w:rPr>
          <w:lang w:bidi="hi-IN"/>
        </w:rPr>
        <w:fldChar w:fldCharType="end"/>
      </w:r>
      <w:r>
        <w:rPr>
          <w:lang w:bidi="hi-IN"/>
        </w:rPr>
        <w:t xml:space="preserve"> for a result similar to eq. 6.</w:t>
      </w:r>
    </w:p>
    <w:p w:rsidR="0084602B" w:rsidRDefault="00323C45" w:rsidP="008D0078">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D0078">
      <w:pPr>
        <w:spacing w:line="480" w:lineRule="auto"/>
      </w:pPr>
      <w:r>
        <w:rPr>
          <w:rFonts w:eastAsiaTheme="minorEastAsia"/>
          <w:lang w:bidi="hi-IN"/>
        </w:rPr>
        <w:lastRenderedPageBreak/>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CD3F78" w:rsidRDefault="00DD0EC1" w:rsidP="008D0078">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simulations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900394">
        <w:fldChar w:fldCharType="begin"/>
      </w:r>
      <w:r w:rsidR="00900394">
        <w:instrText xml:space="preserve"> REF _Ref358791100 \h  \* MERGEFORMAT </w:instrText>
      </w:r>
      <w:r w:rsidR="00900394">
        <w:fldChar w:fldCharType="separate"/>
      </w:r>
      <w:r w:rsidR="00C47BD2">
        <w:t xml:space="preserve">Table </w:t>
      </w:r>
      <w:r w:rsidR="00C47BD2">
        <w:t>1</w:t>
      </w:r>
      <w:r w:rsidR="00900394">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B04C73">
        <w:fldChar w:fldCharType="begin" w:fldLock="1"/>
      </w:r>
      <w:r w:rsidR="008D0078">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The hitch-hiking effect of a favourable gene.\n        \n         - Maynard Smith, John; Haigh, John )\n\n        \n        \n\n        From Duplicate 2 ( \n        \n        \n          The hitch-hiking effect of a favourable gene\n        \n        \n         - Maynard Smith, John; Haigh, John )\n\n        \n        \n\n        \n\n        \n\n        \n\n        \n\n      ", "page" : "23-35", "title" : "The hitch-hiking effect of a favourable gene", "type" : "article-journal", "volume" : "23" }, "uris" : [ "http://www.mendeley.com/documents/?uuid=1f1e92a4-7ff9-46e3-82bd-d4432fa5d8d0" ] } ], "mendeley" : { "previouslyFormattedCitation" : "(Maynard Smith and Haigh 1974)" }, "properties" : { "noteIndex" : 0 }, "schema" : "https://github.com/citation-style-language/schema/raw/master/csl-citation.json" }</w:instrText>
      </w:r>
      <w:r w:rsidR="00B04C73">
        <w:fldChar w:fldCharType="separate"/>
      </w:r>
      <w:r w:rsidR="00531D87" w:rsidRPr="00531D87">
        <w:rPr>
          <w:noProof/>
        </w:rPr>
        <w:t>(Maynard Smith and Haigh 1974)</w:t>
      </w:r>
      <w:r w:rsidR="00B04C73">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CD3F78" w:rsidRDefault="00CD3F78" w:rsidP="008D0078">
      <w:pPr>
        <w:spacing w:after="200" w:line="480" w:lineRule="auto"/>
        <w:rPr>
          <w:lang w:bidi="hi-IN"/>
        </w:rPr>
      </w:pPr>
      <w:r>
        <w:rPr>
          <w:lang w:bidi="hi-IN"/>
        </w:rPr>
        <w:br w:type="page"/>
      </w:r>
    </w:p>
    <w:p w:rsidR="00CD3F78" w:rsidRDefault="00CD3F78" w:rsidP="008D0078">
      <w:pPr>
        <w:pStyle w:val="FigureLegend"/>
        <w:spacing w:line="480" w:lineRule="auto"/>
        <w:rPr>
          <w:b/>
          <w:bCs/>
          <w:sz w:val="20"/>
          <w:szCs w:val="20"/>
        </w:rPr>
      </w:pPr>
      <w:r>
        <w:rPr>
          <w:b/>
          <w:bCs/>
          <w:noProof/>
          <w:sz w:val="20"/>
          <w:szCs w:val="20"/>
        </w:rPr>
        <w:lastRenderedPageBreak/>
        <w:drawing>
          <wp:inline distT="0" distB="0" distL="0" distR="0" wp14:anchorId="4C4F1FE8" wp14:editId="1287DA74">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p>
    <w:p w:rsidR="00CD3F78" w:rsidRDefault="00CD3F78" w:rsidP="008D0078">
      <w:pPr>
        <w:pStyle w:val="FigureLegend"/>
        <w:spacing w:line="480" w:lineRule="auto"/>
        <w:jc w:val="left"/>
        <w:rPr>
          <w:sz w:val="20"/>
          <w:szCs w:val="20"/>
        </w:rPr>
      </w:pPr>
      <w:bookmarkStart w:id="11" w:name="_Ref383682047"/>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sidR="00C47BD2">
        <w:rPr>
          <w:b/>
          <w:bCs/>
          <w:noProof/>
          <w:sz w:val="20"/>
          <w:szCs w:val="20"/>
        </w:rPr>
        <w:t>2</w:t>
      </w:r>
      <w:r w:rsidRPr="00733307">
        <w:rPr>
          <w:b/>
          <w:bCs/>
          <w:sz w:val="20"/>
          <w:szCs w:val="20"/>
        </w:rPr>
        <w:fldChar w:fldCharType="end"/>
      </w:r>
      <w:bookmarkEnd w:id="11"/>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w:t>
      </w:r>
      <w:proofErr w:type="spellStart"/>
      <w:r>
        <w:rPr>
          <w:sz w:val="20"/>
          <w:szCs w:val="20"/>
        </w:rPr>
        <w:t>SIMe</w:t>
      </w:r>
      <w:proofErr w:type="spellEnd"/>
      <w:r>
        <w:rPr>
          <w:sz w:val="20"/>
          <w:szCs w:val="20"/>
        </w:rPr>
        <w:t xml:space="preserve">; </w:t>
      </w:r>
      <w:r w:rsidRPr="00733307">
        <w:rPr>
          <w:sz w:val="20"/>
          <w:szCs w:val="20"/>
        </w:rPr>
        <w:t>see section</w:t>
      </w:r>
      <w:r>
        <w:rPr>
          <w:sz w:val="20"/>
          <w:szCs w:val="20"/>
        </w:rPr>
        <w:t xml:space="preserve"> 3.5)</w:t>
      </w:r>
      <w:r w:rsidRPr="00733307">
        <w:rPr>
          <w:sz w:val="20"/>
          <w:szCs w:val="20"/>
        </w:rPr>
        <w:t>. Lines are analytic approximations</w:t>
      </w:r>
      <w:r>
        <w:rPr>
          <w:sz w:val="20"/>
          <w:szCs w:val="20"/>
        </w:rPr>
        <w:t>. M</w:t>
      </w:r>
      <w:r w:rsidRPr="00733307">
        <w:rPr>
          <w:sz w:val="20"/>
          <w:szCs w:val="20"/>
        </w:rPr>
        <w:t>arkers are the means of stochastic simulation results</w:t>
      </w:r>
      <w:r>
        <w:rPr>
          <w:sz w:val="20"/>
          <w:szCs w:val="20"/>
        </w:rPr>
        <w:t>. 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fldChar w:fldCharType="begin"/>
      </w:r>
      <w:r>
        <w:instrText xml:space="preserve"> REF _Ref358791100 \h  \* MERGEFORMAT </w:instrText>
      </w:r>
      <w:r>
        <w:fldChar w:fldCharType="separate"/>
      </w:r>
      <w:r w:rsidR="00C47BD2" w:rsidRPr="00C47BD2">
        <w:rPr>
          <w:sz w:val="20"/>
          <w:szCs w:val="20"/>
        </w:rPr>
        <w:t xml:space="preserve">Table </w:t>
      </w:r>
      <w:r w:rsidR="00C47BD2" w:rsidRPr="00C47BD2">
        <w:rPr>
          <w:sz w:val="20"/>
          <w:szCs w:val="20"/>
        </w:rPr>
        <w:t>1</w:t>
      </w:r>
      <w: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p>
    <w:p w:rsidR="00CD3F78" w:rsidRDefault="00CD3F78" w:rsidP="008D0078">
      <w:pPr>
        <w:spacing w:after="200" w:line="480" w:lineRule="auto"/>
        <w:rPr>
          <w:sz w:val="20"/>
          <w:szCs w:val="20"/>
        </w:rPr>
      </w:pPr>
      <w:r>
        <w:rPr>
          <w:sz w:val="20"/>
          <w:szCs w:val="20"/>
        </w:rPr>
        <w:br w:type="page"/>
      </w:r>
    </w:p>
    <w:p w:rsidR="005316EE" w:rsidRDefault="005316EE" w:rsidP="008D0078">
      <w:pPr>
        <w:spacing w:line="480" w:lineRule="auto"/>
        <w:rPr>
          <w:rFonts w:eastAsiaTheme="minorEastAsia"/>
          <w:lang w:bidi="hi-IN"/>
        </w:rPr>
      </w:pPr>
      <w:r w:rsidRPr="00E74930">
        <w:rPr>
          <w:lang w:bidi="hi-IN"/>
        </w:rPr>
        <w:lastRenderedPageBreak/>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80478F" w:rsidRDefault="005316EE" w:rsidP="008D0078">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80478F" w:rsidRDefault="0080478F" w:rsidP="008D0078">
      <w:pPr>
        <w:spacing w:after="200" w:line="480" w:lineRule="auto"/>
      </w:pPr>
      <w:r>
        <w:br w:type="page"/>
      </w:r>
    </w:p>
    <w:p w:rsidR="0080478F" w:rsidRDefault="00643DA4" w:rsidP="008D0078">
      <w:pPr>
        <w:keepNext/>
        <w:spacing w:line="480" w:lineRule="auto"/>
        <w:jc w:val="center"/>
      </w:pPr>
      <w:r>
        <w:rPr>
          <w:b/>
          <w:bCs/>
          <w:noProof/>
          <w:sz w:val="20"/>
          <w:szCs w:val="20"/>
        </w:rPr>
        <w:lastRenderedPageBreak/>
        <w:drawing>
          <wp:inline distT="0" distB="0" distL="0" distR="0">
            <wp:extent cx="5259705" cy="2011680"/>
            <wp:effectExtent l="0" t="0" r="0" b="7620"/>
            <wp:docPr id="17" name="Picture 1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705" cy="2011680"/>
                    </a:xfrm>
                    <a:prstGeom prst="rect">
                      <a:avLst/>
                    </a:prstGeom>
                    <a:noFill/>
                    <a:ln>
                      <a:noFill/>
                    </a:ln>
                  </pic:spPr>
                </pic:pic>
              </a:graphicData>
            </a:graphic>
          </wp:inline>
        </w:drawing>
      </w:r>
      <w:bookmarkStart w:id="12" w:name="_GoBack"/>
      <w:bookmarkEnd w:id="12"/>
    </w:p>
    <w:p w:rsidR="0080478F" w:rsidRPr="00886250" w:rsidRDefault="0080478F" w:rsidP="008D0078">
      <w:pPr>
        <w:spacing w:line="480" w:lineRule="auto"/>
        <w:rPr>
          <w:noProof/>
          <w:sz w:val="20"/>
          <w:szCs w:val="20"/>
        </w:rPr>
      </w:pPr>
      <w:bookmarkStart w:id="13" w:name="_Ref383675982"/>
      <w:r w:rsidRPr="00BA3BDB">
        <w:rPr>
          <w:b/>
          <w:bCs/>
          <w:sz w:val="20"/>
          <w:szCs w:val="20"/>
        </w:rPr>
        <w:t xml:space="preserve">Figure </w:t>
      </w:r>
      <w:r w:rsidRPr="00BA3BDB">
        <w:rPr>
          <w:b/>
          <w:bCs/>
          <w:sz w:val="20"/>
          <w:szCs w:val="20"/>
        </w:rPr>
        <w:fldChar w:fldCharType="begin"/>
      </w:r>
      <w:r w:rsidRPr="00BA3BDB">
        <w:rPr>
          <w:b/>
          <w:bCs/>
          <w:sz w:val="20"/>
          <w:szCs w:val="20"/>
        </w:rPr>
        <w:instrText xml:space="preserve"> SEQ Figure \* ARABIC </w:instrText>
      </w:r>
      <w:r w:rsidRPr="00BA3BDB">
        <w:rPr>
          <w:b/>
          <w:bCs/>
          <w:sz w:val="20"/>
          <w:szCs w:val="20"/>
        </w:rPr>
        <w:fldChar w:fldCharType="separate"/>
      </w:r>
      <w:r w:rsidR="00C47BD2">
        <w:rPr>
          <w:b/>
          <w:bCs/>
          <w:noProof/>
          <w:sz w:val="20"/>
          <w:szCs w:val="20"/>
        </w:rPr>
        <w:t>3</w:t>
      </w:r>
      <w:r w:rsidRPr="00BA3BDB">
        <w:rPr>
          <w:b/>
          <w:bCs/>
          <w:sz w:val="20"/>
          <w:szCs w:val="20"/>
        </w:rPr>
        <w:fldChar w:fldCharType="end"/>
      </w:r>
      <w:bookmarkEnd w:id="13"/>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fldChar w:fldCharType="begin"/>
      </w:r>
      <w:r>
        <w:instrText xml:space="preserve"> REF _Ref358791100 \h  \* MERGEFORMAT </w:instrText>
      </w:r>
      <w:r>
        <w:fldChar w:fldCharType="separate"/>
      </w:r>
      <w:r w:rsidR="00C47BD2" w:rsidRPr="00C47BD2">
        <w:rPr>
          <w:sz w:val="20"/>
          <w:szCs w:val="20"/>
        </w:rPr>
        <w:t xml:space="preserve">Table </w:t>
      </w:r>
      <w:r w:rsidR="00C47BD2" w:rsidRPr="00C47BD2">
        <w:rPr>
          <w:sz w:val="20"/>
          <w:szCs w:val="20"/>
        </w:rPr>
        <w:t>1</w:t>
      </w:r>
      <w:r>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r w:rsidRPr="00886250">
        <w:rPr>
          <w:noProof/>
          <w:sz w:val="20"/>
          <w:szCs w:val="20"/>
        </w:rPr>
        <w:t xml:space="preserve"> </w:t>
      </w:r>
    </w:p>
    <w:p w:rsidR="005316EE" w:rsidRPr="006418C7" w:rsidRDefault="005316EE" w:rsidP="008D0078">
      <w:pPr>
        <w:spacing w:line="480" w:lineRule="auto"/>
      </w:pPr>
    </w:p>
    <w:p w:rsidR="005316EE" w:rsidRDefault="005316EE" w:rsidP="008D0078">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8D0078">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adaptation rate of </w:t>
      </w:r>
      <w:r w:rsidR="00C03529">
        <w:rPr>
          <w:lang w:bidi="hi-IN"/>
        </w:rPr>
        <w:t xml:space="preserve">populations with NM, CM and SIM. We also extended an existing </w:t>
      </w:r>
      <w:r w:rsidRPr="00020A87">
        <w:rPr>
          <w:lang w:bidi="hi-IN"/>
        </w:rPr>
        <w:t xml:space="preserve">model </w:t>
      </w:r>
      <w:r w:rsidR="00B04C73" w:rsidRPr="00020A87">
        <w:rPr>
          <w:lang w:bidi="hi-IN"/>
        </w:rPr>
        <w:fldChar w:fldCharType="begin" w:fldLock="1"/>
      </w:r>
      <w:r w:rsidR="008D007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020A87">
        <w:rPr>
          <w:lang w:bidi="hi-IN"/>
        </w:rPr>
        <w:fldChar w:fldCharType="separate"/>
      </w:r>
      <w:r w:rsidRPr="00020A87">
        <w:rPr>
          <w:noProof/>
          <w:lang w:bidi="hi-IN"/>
        </w:rPr>
        <w:t>(Ram and Hadany 2012)</w:t>
      </w:r>
      <w:r w:rsidR="00B04C73" w:rsidRPr="00020A87">
        <w:rPr>
          <w:lang w:bidi="hi-IN"/>
        </w:rPr>
        <w:fldChar w:fldCharType="end"/>
      </w:r>
      <w:r w:rsidRPr="00020A87">
        <w:rPr>
          <w:lang w:bidi="hi-IN"/>
        </w:rPr>
        <w:t xml:space="preserve"> to calculate the population mean fitness at the mutation-selection balance. </w:t>
      </w:r>
      <w:r w:rsidR="00BF0B48">
        <w:rPr>
          <w:lang w:bidi="hi-IN"/>
        </w:rPr>
        <w:t xml:space="preserve">This </w:t>
      </w:r>
      <w:r w:rsidRPr="00020A87">
        <w:rPr>
          <w:lang w:bidi="hi-IN"/>
        </w:rPr>
        <w:t xml:space="preserve">extended model includes beneficial mutations and allows more than one mutation to occur in the same individual and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 xml:space="preserve">Online Appendix </w:t>
      </w:r>
      <w:r w:rsidR="00C56AB4" w:rsidRPr="00C56AB4">
        <w:rPr>
          <w:lang w:bidi="hi-IN"/>
        </w:rPr>
        <w:t>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B04C73">
        <w:rPr>
          <w:lang w:bidi="hi-IN"/>
        </w:rPr>
        <w:fldChar w:fldCharType="begin" w:fldLock="1"/>
      </w:r>
      <w:r w:rsidR="008D0078">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sidR="00B04C73">
        <w:rPr>
          <w:lang w:bidi="hi-IN"/>
        </w:rPr>
        <w:fldChar w:fldCharType="separate"/>
      </w:r>
      <w:r w:rsidR="005316EE" w:rsidRPr="005950EE">
        <w:rPr>
          <w:noProof/>
          <w:lang w:bidi="hi-IN"/>
        </w:rPr>
        <w:t>(Lynch et al. 1993)</w:t>
      </w:r>
      <w:r w:rsidR="00B04C73">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B04C73" w:rsidRPr="00BA2B02">
        <w:rPr>
          <w:lang w:bidi="hi-IN"/>
        </w:rPr>
        <w:fldChar w:fldCharType="begin" w:fldLock="1"/>
      </w:r>
      <w:r w:rsidR="008D007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BA2B02">
        <w:rPr>
          <w:lang w:bidi="hi-IN"/>
        </w:rPr>
        <w:fldChar w:fldCharType="separate"/>
      </w:r>
      <w:r w:rsidRPr="00BA2B02">
        <w:rPr>
          <w:noProof/>
          <w:lang w:bidi="hi-IN"/>
        </w:rPr>
        <w:t>(Ram and Hadany 2012)</w:t>
      </w:r>
      <w:r w:rsidR="00B04C73"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rsidP="008D0078">
      <w:pPr>
        <w:spacing w:after="200" w:line="480" w:lineRule="auto"/>
        <w:rPr>
          <w:lang w:bidi="hi-IN"/>
        </w:rPr>
      </w:pPr>
      <w:r>
        <w:rPr>
          <w:lang w:bidi="hi-IN"/>
        </w:rPr>
        <w:br w:type="page"/>
      </w:r>
    </w:p>
    <w:p w:rsidR="00CD3F78" w:rsidRPr="00733307" w:rsidRDefault="00CD3F78" w:rsidP="008D0078">
      <w:pPr>
        <w:spacing w:line="480" w:lineRule="auto"/>
        <w:jc w:val="center"/>
        <w:rPr>
          <w:sz w:val="20"/>
          <w:szCs w:val="20"/>
        </w:rPr>
      </w:pPr>
      <w:r>
        <w:rPr>
          <w:noProof/>
          <w:sz w:val="20"/>
          <w:szCs w:val="20"/>
        </w:rPr>
        <w:lastRenderedPageBreak/>
        <w:drawing>
          <wp:inline distT="0" distB="0" distL="0" distR="0" wp14:anchorId="35B9F729" wp14:editId="3A4BBDA1">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8D0078">
      <w:pPr>
        <w:pStyle w:val="FigureLegend"/>
        <w:spacing w:line="480" w:lineRule="auto"/>
        <w:jc w:val="left"/>
        <w:rPr>
          <w:rFonts w:eastAsiaTheme="minorEastAsia"/>
          <w:sz w:val="20"/>
          <w:szCs w:val="20"/>
          <w:lang w:bidi="hi-IN"/>
        </w:rPr>
      </w:pPr>
      <w:bookmarkStart w:id="14" w:name="_Ref360184105"/>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sidR="00C47BD2">
        <w:rPr>
          <w:b/>
          <w:bCs/>
          <w:noProof/>
          <w:sz w:val="20"/>
          <w:szCs w:val="20"/>
        </w:rPr>
        <w:t>4</w:t>
      </w:r>
      <w:r w:rsidRPr="00733307">
        <w:rPr>
          <w:b/>
          <w:bCs/>
          <w:sz w:val="20"/>
          <w:szCs w:val="20"/>
        </w:rPr>
        <w:fldChar w:fldCharType="end"/>
      </w:r>
      <w:bookmarkEnd w:id="14"/>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w:t>
      </w:r>
      <w:proofErr w:type="spellStart"/>
      <w:r w:rsidRPr="00396506">
        <w:rPr>
          <w:sz w:val="20"/>
          <w:szCs w:val="20"/>
          <w:lang w:bidi="hi-IN"/>
        </w:rPr>
        <w:t>eqs</w:t>
      </w:r>
      <w:proofErr w:type="spellEnd"/>
      <w:r w:rsidRPr="00396506">
        <w:rPr>
          <w:sz w:val="20"/>
          <w:szCs w:val="20"/>
          <w:lang w:bidi="hi-IN"/>
        </w:rPr>
        <w:t>.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xml:space="preserve">; Stress-induced mutagenesis (SIM)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fldChar w:fldCharType="begin"/>
      </w:r>
      <w:r>
        <w:instrText xml:space="preserve"> REF _Ref358791100 \h  \* MERGEFORMAT </w:instrText>
      </w:r>
      <w:r>
        <w:fldChar w:fldCharType="separate"/>
      </w:r>
      <w:r w:rsidR="00C47BD2" w:rsidRPr="00C47BD2">
        <w:rPr>
          <w:sz w:val="20"/>
          <w:szCs w:val="20"/>
        </w:rPr>
        <w:t xml:space="preserve">Table </w:t>
      </w:r>
      <w:r w:rsidR="00C47BD2" w:rsidRPr="00C47BD2">
        <w:rPr>
          <w:sz w:val="20"/>
          <w:szCs w:val="20"/>
        </w:rPr>
        <w:t>1</w:t>
      </w:r>
      <w: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sidRPr="00733307">
        <w:rPr>
          <w:rFonts w:eastAsiaTheme="minorEastAsia"/>
          <w:sz w:val="20"/>
          <w:szCs w:val="20"/>
          <w:lang w:bidi="hi-IN"/>
        </w:rPr>
        <w:t>.</w:t>
      </w:r>
    </w:p>
    <w:p w:rsidR="005316EE" w:rsidRDefault="005316EE" w:rsidP="008D0078">
      <w:pPr>
        <w:spacing w:line="480" w:lineRule="auto"/>
        <w:rPr>
          <w:lang w:bidi="hi-IN"/>
        </w:rPr>
      </w:pPr>
    </w:p>
    <w:p w:rsidR="005316EE" w:rsidRPr="00AB4B01" w:rsidRDefault="005316EE" w:rsidP="008D0078">
      <w:pPr>
        <w:spacing w:line="480" w:lineRule="auto"/>
        <w:rPr>
          <w:lang w:bidi="hi-IN"/>
        </w:rPr>
      </w:pPr>
      <w:r>
        <w:rPr>
          <w:lang w:bidi="hi-IN"/>
        </w:rPr>
        <w:lastRenderedPageBreak/>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8D0078">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8D0078">
      <w:pPr>
        <w:spacing w:line="480" w:lineRule="auto"/>
      </w:pPr>
      <w:r w:rsidRPr="00BA2B02">
        <w:lastRenderedPageBreak/>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622093"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B04C73">
              <w:fldChar w:fldCharType="begin"/>
            </w:r>
            <w:r w:rsidR="00DA55AA">
              <w:instrText xml:space="preserve"> SEQ Equation </w:instrText>
            </w:r>
            <w:r w:rsidR="00B04C73">
              <w:fldChar w:fldCharType="separate"/>
            </w:r>
            <w:r w:rsidR="00C47BD2">
              <w:rPr>
                <w:noProof/>
              </w:rPr>
              <w:t>9</w:t>
            </w:r>
            <w:r w:rsidR="00B04C73">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B04C73" w:rsidRPr="00BA2B02">
        <w:fldChar w:fldCharType="begin" w:fldLock="1"/>
      </w:r>
      <w:r w:rsidR="008D0078">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B04C73" w:rsidRPr="00BA2B02">
        <w:fldChar w:fldCharType="separate"/>
      </w:r>
      <w:r w:rsidRPr="00BA2B02">
        <w:rPr>
          <w:noProof/>
        </w:rPr>
        <w:t>(Cirz and Romesberg 2007; Obolski and Hadany 2012; Shor et al. 2013)</w:t>
      </w:r>
      <w:r w:rsidR="00B04C73"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0E6AE6">
        <w:rPr>
          <w:lang w:bidi="hi-IN"/>
        </w:rPr>
        <w:fldChar w:fldCharType="begin" w:fldLock="1"/>
      </w:r>
      <w:r w:rsidR="008D0078">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0E6AE6">
        <w:rPr>
          <w:lang w:bidi="hi-IN"/>
        </w:rPr>
        <w:fldChar w:fldCharType="separate"/>
      </w:r>
      <w:r w:rsidR="000E6AE6" w:rsidRPr="00663378">
        <w:rPr>
          <w:noProof/>
          <w:lang w:bidi="hi-IN"/>
        </w:rPr>
        <w:t>(Gordo and Dionisio 2005)</w:t>
      </w:r>
      <w:r w:rsidR="000E6AE6">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622093"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5" w:name="_Ref360621538"/>
            <w:r>
              <w:t>(</w:t>
            </w:r>
            <w:r w:rsidR="00B04C73">
              <w:fldChar w:fldCharType="begin"/>
            </w:r>
            <w:r w:rsidRPr="0095303A">
              <w:instrText xml:space="preserve"> SEQ Equation </w:instrText>
            </w:r>
            <w:r w:rsidR="00B04C73">
              <w:fldChar w:fldCharType="separate"/>
            </w:r>
            <w:r w:rsidR="00C47BD2">
              <w:rPr>
                <w:noProof/>
              </w:rPr>
              <w:t>10</w:t>
            </w:r>
            <w:r w:rsidR="00B04C73">
              <w:rPr>
                <w:noProof/>
              </w:rPr>
              <w:fldChar w:fldCharType="end"/>
            </w:r>
            <w:r>
              <w:t>)</w:t>
            </w:r>
            <w:bookmarkEnd w:id="15"/>
          </w:p>
        </w:tc>
      </w:tr>
    </w:tbl>
    <w:p w:rsidR="005316EE" w:rsidRPr="008F3447" w:rsidRDefault="00A7180F" w:rsidP="008D0078">
      <w:pPr>
        <w:spacing w:line="480" w:lineRule="auto"/>
      </w:pPr>
      <w:r>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622093"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6" w:name="_Ref361310097"/>
            <w:r w:rsidRPr="000448EE">
              <w:t>(</w:t>
            </w:r>
            <w:r w:rsidR="00B04C73" w:rsidRPr="000448EE">
              <w:fldChar w:fldCharType="begin"/>
            </w:r>
            <w:r w:rsidR="00DA55AA" w:rsidRPr="000448EE">
              <w:instrText xml:space="preserve"> SEQ Equation </w:instrText>
            </w:r>
            <w:r w:rsidR="00B04C73" w:rsidRPr="000448EE">
              <w:fldChar w:fldCharType="separate"/>
            </w:r>
            <w:r w:rsidR="00C47BD2">
              <w:rPr>
                <w:noProof/>
              </w:rPr>
              <w:t>11</w:t>
            </w:r>
            <w:r w:rsidR="00B04C73" w:rsidRPr="000448EE">
              <w:rPr>
                <w:noProof/>
              </w:rPr>
              <w:fldChar w:fldCharType="end"/>
            </w:r>
            <w:r w:rsidRPr="000448EE">
              <w:t>)</w:t>
            </w:r>
            <w:bookmarkEnd w:id="16"/>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Default="00004B35" w:rsidP="008D0078">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B04C73">
        <w:rPr>
          <w:lang w:bidi="hi-IN"/>
        </w:rPr>
        <w:fldChar w:fldCharType="begin" w:fldLock="1"/>
      </w:r>
      <w:r w:rsidR="008D0078">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B04C73">
        <w:rPr>
          <w:lang w:bidi="hi-IN"/>
        </w:rPr>
        <w:fldChar w:fldCharType="separate"/>
      </w:r>
      <w:r w:rsidR="00663378" w:rsidRPr="00663378">
        <w:rPr>
          <w:noProof/>
          <w:lang w:bidi="hi-IN"/>
        </w:rPr>
        <w:t>(Leigh 1970)</w:t>
      </w:r>
      <w:r w:rsidR="00B04C73">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8D00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w:t>
      </w:r>
      <w:r w:rsidR="00E16366">
        <w:rPr>
          <w:lang w:bidi="hi-IN"/>
        </w:rPr>
        <w:lastRenderedPageBreak/>
        <w:t xml:space="preserve">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B04C73" w:rsidRPr="00BA2B02">
        <w:rPr>
          <w:lang w:bidi="hi-IN"/>
        </w:rPr>
        <w:fldChar w:fldCharType="begin" w:fldLock="1"/>
      </w:r>
      <w:r w:rsidR="008D0078">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B04C73" w:rsidRPr="00BA2B02">
        <w:rPr>
          <w:lang w:bidi="hi-IN"/>
        </w:rPr>
        <w:fldChar w:fldCharType="separate"/>
      </w:r>
      <w:r w:rsidR="00663378" w:rsidRPr="00BA2B02">
        <w:rPr>
          <w:noProof/>
          <w:lang w:bidi="hi-IN"/>
        </w:rPr>
        <w:t>(Torres-Barceló et al. 2013)</w:t>
      </w:r>
      <w:r w:rsidR="00B04C73" w:rsidRPr="00BA2B02">
        <w:rPr>
          <w:lang w:bidi="hi-IN"/>
        </w:rPr>
        <w:fldChar w:fldCharType="end"/>
      </w:r>
      <w:r w:rsidR="00CE78D0" w:rsidRPr="00BA2B02">
        <w:rPr>
          <w:lang w:bidi="hi-IN"/>
        </w:rPr>
        <w:t>.</w:t>
      </w:r>
    </w:p>
    <w:p w:rsidR="00D84632" w:rsidRPr="00BA2B02" w:rsidRDefault="00A67023" w:rsidP="008D007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B04C73" w:rsidRPr="00BA2B02">
        <w:rPr>
          <w:lang w:bidi="hi-IN"/>
        </w:rPr>
        <w:fldChar w:fldCharType="begin" w:fldLock="1"/>
      </w:r>
      <w:r w:rsidR="008D0078">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effect\n\n        \n\n        \ndiscussion on the different terms of the CoF\n\n        \n\n        \n\n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B04C73" w:rsidRPr="00BA2B02">
        <w:rPr>
          <w:lang w:bidi="hi-IN"/>
        </w:rPr>
        <w:fldChar w:fldCharType="separate"/>
      </w:r>
      <w:r w:rsidRPr="00BA2B02">
        <w:rPr>
          <w:noProof/>
          <w:lang w:bidi="hi-IN"/>
        </w:rPr>
        <w:t>(Dawson 1998)</w:t>
      </w:r>
      <w:r w:rsidR="00B04C73"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B04C73" w:rsidRPr="00BA2B02">
        <w:rPr>
          <w:lang w:bidi="hi-IN"/>
        </w:rPr>
        <w:fldChar w:fldCharType="begin" w:fldLock="1"/>
      </w:r>
      <w:r w:rsidR="008D0078">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"\n        mutators evolve due to second order selection and not cost of fidelity\n        \n\n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B04C73" w:rsidRPr="00BA2B02">
        <w:rPr>
          <w:lang w:bidi="hi-IN"/>
        </w:rPr>
        <w:fldChar w:fldCharType="separate"/>
      </w:r>
      <w:r w:rsidR="005B12CD" w:rsidRPr="005B12CD">
        <w:rPr>
          <w:noProof/>
          <w:lang w:bidi="hi-IN"/>
        </w:rPr>
        <w:t>(Giraud et al. 2001a; Loh et al. 2010; Gentile et al. 2011; Shee et al. 2011)</w:t>
      </w:r>
      <w:r w:rsidR="00B04C73"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B04C73" w:rsidRPr="00BA2B02">
        <w:rPr>
          <w:lang w:bidi="hi-IN"/>
        </w:rPr>
        <w:fldChar w:fldCharType="begin" w:fldLock="1"/>
      </w:r>
      <w:r w:rsidR="008D0078">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"(Foster 2007; Al Mamun et al. 2012)" }, "properties" : { "noteIndex" : 0 }, "schema" : "https://github.com/citation-style-language/schema/raw/master/csl-citation.json" }</w:instrText>
      </w:r>
      <w:r w:rsidR="00B04C73" w:rsidRPr="00BA2B02">
        <w:rPr>
          <w:lang w:bidi="hi-IN"/>
        </w:rPr>
        <w:fldChar w:fldCharType="separate"/>
      </w:r>
      <w:r w:rsidR="00ED111F" w:rsidRPr="00BA2B02">
        <w:rPr>
          <w:noProof/>
          <w:lang w:bidi="hi-IN"/>
        </w:rPr>
        <w:t>(Foster 2007; Al Mamun et al. 2012)</w:t>
      </w:r>
      <w:r w:rsidR="00B04C73"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8D0078">
      <w:pPr>
        <w:spacing w:line="480" w:lineRule="auto"/>
        <w:rPr>
          <w:lang w:bidi="hi-IN"/>
        </w:rPr>
      </w:pPr>
      <w:r w:rsidRPr="00BA2B02">
        <w:rPr>
          <w:lang w:bidi="hi-IN"/>
        </w:rPr>
        <w:lastRenderedPageBreak/>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B04C73" w:rsidRPr="00BA2B02">
        <w:rPr>
          <w:lang w:bidi="hi-IN"/>
        </w:rPr>
        <w:fldChar w:fldCharType="begin" w:fldLock="1"/>
      </w:r>
      <w:r w:rsidR="008D0078">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B04C73" w:rsidRPr="00BA2B02">
        <w:rPr>
          <w:lang w:bidi="hi-IN"/>
        </w:rPr>
        <w:fldChar w:fldCharType="separate"/>
      </w:r>
      <w:r w:rsidR="00134FEB" w:rsidRPr="00BA2B02">
        <w:rPr>
          <w:noProof/>
          <w:lang w:bidi="hi-IN"/>
        </w:rPr>
        <w:t>(Agrawal 2002)</w:t>
      </w:r>
      <w:r w:rsidR="00B04C73" w:rsidRPr="00BA2B02">
        <w:rPr>
          <w:lang w:bidi="hi-IN"/>
        </w:rPr>
        <w:fldChar w:fldCharType="end"/>
      </w:r>
      <w:r w:rsidR="00134FEB" w:rsidRPr="00BA2B02">
        <w:rPr>
          <w:lang w:bidi="hi-IN"/>
        </w:rPr>
        <w:t xml:space="preserve">, direct competitions </w:t>
      </w:r>
      <w:r w:rsidR="00B04C73" w:rsidRPr="00BA2B02">
        <w:rPr>
          <w:lang w:bidi="hi-IN"/>
        </w:rPr>
        <w:fldChar w:fldCharType="begin" w:fldLock="1"/>
      </w:r>
      <w:r w:rsidR="008D0078">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B04C73" w:rsidRPr="00BA2B02">
        <w:rPr>
          <w:lang w:bidi="hi-IN"/>
        </w:rPr>
        <w:fldChar w:fldCharType="separate"/>
      </w:r>
      <w:r w:rsidR="00134FEB" w:rsidRPr="00BA2B02">
        <w:rPr>
          <w:noProof/>
          <w:lang w:bidi="hi-IN"/>
        </w:rPr>
        <w:t>(Tenaillon et al. 2000)</w:t>
      </w:r>
      <w:r w:rsidR="00B04C73" w:rsidRPr="00BA2B02">
        <w:rPr>
          <w:lang w:bidi="hi-IN"/>
        </w:rPr>
        <w:fldChar w:fldCharType="end"/>
      </w:r>
      <w:r w:rsidR="00134FEB" w:rsidRPr="00BA2B02">
        <w:rPr>
          <w:lang w:bidi="hi-IN"/>
        </w:rPr>
        <w:t>, and adaptation rate (due to the Fisher-Muller effect).</w:t>
      </w:r>
    </w:p>
    <w:p w:rsidR="0007409B" w:rsidRPr="00BA2B02" w:rsidRDefault="00514DED" w:rsidP="008D0078">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B04C73" w:rsidRPr="00BA2B02">
        <w:rPr>
          <w:lang w:bidi="hi-IN"/>
        </w:rPr>
        <w:fldChar w:fldCharType="begin" w:fldLock="1"/>
      </w:r>
      <w:r w:rsidR="008D007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04C73" w:rsidRPr="00BA2B02">
        <w:rPr>
          <w:lang w:bidi="hi-IN"/>
        </w:rPr>
        <w:fldChar w:fldCharType="separate"/>
      </w:r>
      <w:r w:rsidR="00663378" w:rsidRPr="00BA2B02">
        <w:rPr>
          <w:noProof/>
          <w:lang w:bidi="hi-IN"/>
        </w:rPr>
        <w:t>(Ram and Hadany 2012)</w:t>
      </w:r>
      <w:r w:rsidR="00B04C73"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Online Appendix F</w:t>
      </w:r>
      <w:r w:rsidR="00396506">
        <w:rPr>
          <w:lang w:bidi="hi-IN"/>
        </w:rPr>
        <w:t>)</w:t>
      </w:r>
      <w:r w:rsidR="00D76319" w:rsidRPr="00BA2B02">
        <w:rPr>
          <w:lang w:bidi="hi-IN"/>
        </w:rPr>
        <w:t>.</w:t>
      </w:r>
    </w:p>
    <w:p w:rsidR="00DF6C0E" w:rsidRDefault="00B37F95" w:rsidP="008D0078">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B04C73">
        <w:rPr>
          <w:lang w:bidi="hi-IN"/>
        </w:rPr>
        <w:fldChar w:fldCharType="begin" w:fldLock="1"/>
      </w:r>
      <w:r w:rsidR="008D0078">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Wright 1988)" }, "properties" : { "noteIndex" : 0 }, "schema" : "https://github.com/citation-style-language/schema/raw/master/csl-citation.json" }</w:instrText>
      </w:r>
      <w:r w:rsidR="00B04C73">
        <w:rPr>
          <w:lang w:bidi="hi-IN"/>
        </w:rPr>
        <w:fldChar w:fldCharType="separate"/>
      </w:r>
      <w:r w:rsidR="00836CB4" w:rsidRPr="00836CB4">
        <w:rPr>
          <w:noProof/>
          <w:lang w:bidi="hi-IN"/>
        </w:rPr>
        <w:t>(Wright 1931; Wright 1988)</w:t>
      </w:r>
      <w:r w:rsidR="00B04C73">
        <w:rPr>
          <w:lang w:bidi="hi-IN"/>
        </w:rPr>
        <w:fldChar w:fldCharType="end"/>
      </w:r>
      <w:r w:rsidRPr="00B37F95">
        <w:rPr>
          <w:lang w:bidi="hi-IN"/>
        </w:rPr>
        <w:t xml:space="preserve">. His solution is valid </w:t>
      </w:r>
      <w:r w:rsidR="00B04C73">
        <w:rPr>
          <w:lang w:bidi="hi-IN"/>
        </w:rPr>
        <w:fldChar w:fldCharType="begin" w:fldLock="1"/>
      </w:r>
      <w:r w:rsidR="008D0078">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B04C73">
        <w:rPr>
          <w:lang w:bidi="hi-IN"/>
        </w:rPr>
        <w:fldChar w:fldCharType="separate"/>
      </w:r>
      <w:r w:rsidR="00663378" w:rsidRPr="00663378">
        <w:rPr>
          <w:noProof/>
          <w:lang w:bidi="hi-IN"/>
        </w:rPr>
        <w:t>(Crow et al. 1990; Wade and Goodnight 1991; Peck et al. 2000)</w:t>
      </w:r>
      <w:r w:rsidR="00B04C73">
        <w:rPr>
          <w:lang w:bidi="hi-IN"/>
        </w:rPr>
        <w:fldChar w:fldCharType="end"/>
      </w:r>
      <w:r>
        <w:rPr>
          <w:lang w:bidi="hi-IN"/>
        </w:rPr>
        <w:t xml:space="preserve"> </w:t>
      </w:r>
      <w:r w:rsidRPr="00B37F95">
        <w:rPr>
          <w:lang w:bidi="hi-IN"/>
        </w:rPr>
        <w:t>but possibly limited to specific parameter ranges</w:t>
      </w:r>
      <w:r>
        <w:rPr>
          <w:lang w:bidi="hi-IN"/>
        </w:rPr>
        <w:t xml:space="preserve"> </w:t>
      </w:r>
      <w:r w:rsidR="00B04C73" w:rsidRPr="00FB3C6B">
        <w:rPr>
          <w:lang w:bidi="hi-IN"/>
        </w:rPr>
        <w:fldChar w:fldCharType="begin" w:fldLock="1"/>
      </w:r>
      <w:r w:rsidR="008D0078">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B04C73" w:rsidRPr="00FB3C6B">
        <w:rPr>
          <w:lang w:bidi="hi-IN"/>
        </w:rPr>
        <w:fldChar w:fldCharType="separate"/>
      </w:r>
      <w:r w:rsidR="00663378" w:rsidRPr="00FB3C6B">
        <w:rPr>
          <w:noProof/>
          <w:lang w:bidi="hi-IN"/>
        </w:rPr>
        <w:t xml:space="preserve">(Moore and Tonsor 1994; Gavrilets 1996; Coyne et al. 2000; </w:t>
      </w:r>
      <w:r w:rsidR="00663378" w:rsidRPr="00FB3C6B">
        <w:rPr>
          <w:noProof/>
          <w:lang w:bidi="hi-IN"/>
        </w:rPr>
        <w:lastRenderedPageBreak/>
        <w:t>Whitlock and Phillips 2000)</w:t>
      </w:r>
      <w:r w:rsidR="00B04C73"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B04C73" w:rsidRPr="00FB3C6B">
        <w:rPr>
          <w:lang w:bidi="hi-IN"/>
        </w:rPr>
        <w:fldChar w:fldCharType="begin" w:fldLock="1"/>
      </w:r>
      <w:r w:rsidR="008D0078">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(Whitlock 1995)</w:t>
      </w:r>
      <w:r w:rsidR="00B04C73" w:rsidRPr="00FB3C6B">
        <w:rPr>
          <w:lang w:bidi="hi-IN"/>
        </w:rPr>
        <w:fldChar w:fldCharType="end"/>
      </w:r>
      <w:r w:rsidR="008A7A0A" w:rsidRPr="00FB3C6B">
        <w:rPr>
          <w:lang w:bidi="hi-IN"/>
        </w:rPr>
        <w:t xml:space="preserve">; environmental fluctuations </w:t>
      </w:r>
      <w:r w:rsidR="00B04C73" w:rsidRPr="00FB3C6B">
        <w:rPr>
          <w:lang w:bidi="hi-IN"/>
        </w:rPr>
        <w:fldChar w:fldCharType="begin" w:fldLock="1"/>
      </w:r>
      <w:r w:rsidR="008D0078">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(Whitlock 1997)</w:t>
      </w:r>
      <w:r w:rsidR="00B04C73" w:rsidRPr="00FB3C6B">
        <w:rPr>
          <w:lang w:bidi="hi-IN"/>
        </w:rPr>
        <w:fldChar w:fldCharType="end"/>
      </w:r>
      <w:r w:rsidR="008A7A0A" w:rsidRPr="00FB3C6B">
        <w:rPr>
          <w:lang w:bidi="hi-IN"/>
        </w:rPr>
        <w:t xml:space="preserve">; environmental heterogeneity </w:t>
      </w:r>
      <w:r w:rsidR="00B04C73" w:rsidRPr="00FB3C6B">
        <w:rPr>
          <w:lang w:bidi="hi-IN"/>
        </w:rPr>
        <w:fldChar w:fldCharType="begin" w:fldLock="1"/>
      </w:r>
      <w:r w:rsidR="008D0078">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(Hadany 2003)</w:t>
      </w:r>
      <w:r w:rsidR="00B04C73" w:rsidRPr="00FB3C6B">
        <w:rPr>
          <w:lang w:bidi="hi-IN"/>
        </w:rPr>
        <w:fldChar w:fldCharType="end"/>
      </w:r>
      <w:r w:rsidR="008A7A0A" w:rsidRPr="00FB3C6B">
        <w:rPr>
          <w:lang w:bidi="hi-IN"/>
        </w:rPr>
        <w:t xml:space="preserve">; fitness-associated recombination </w:t>
      </w:r>
      <w:r w:rsidR="00B04C73" w:rsidRPr="00FB3C6B">
        <w:rPr>
          <w:lang w:bidi="hi-IN"/>
        </w:rPr>
        <w:fldChar w:fldCharType="begin" w:fldLock="1"/>
      </w:r>
      <w:r w:rsidR="008D0078">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(Hadany and Beker 2003)</w:t>
      </w:r>
      <w:r w:rsidR="00B04C73" w:rsidRPr="00FB3C6B">
        <w:rPr>
          <w:lang w:bidi="hi-IN"/>
        </w:rPr>
        <w:fldChar w:fldCharType="end"/>
      </w:r>
      <w:r w:rsidR="008A7A0A" w:rsidRPr="00FB3C6B">
        <w:rPr>
          <w:lang w:bidi="hi-IN"/>
        </w:rPr>
        <w:t xml:space="preserve">; and intermediate recombination rates </w:t>
      </w:r>
      <w:r w:rsidR="00B04C73" w:rsidRPr="00FB3C6B">
        <w:rPr>
          <w:lang w:bidi="hi-IN"/>
        </w:rPr>
        <w:fldChar w:fldCharType="begin" w:fldLock="1"/>
      </w:r>
      <w:r w:rsidR="008D0078">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B04C73" w:rsidRPr="00FB3C6B">
        <w:rPr>
          <w:lang w:bidi="hi-IN"/>
        </w:rPr>
        <w:fldChar w:fldCharType="separate"/>
      </w:r>
      <w:r w:rsidR="008A7A0A" w:rsidRPr="00FB3C6B">
        <w:rPr>
          <w:noProof/>
          <w:lang w:bidi="hi-IN"/>
        </w:rPr>
        <w:t>(Weissman et al. 2010)</w:t>
      </w:r>
      <w:r w:rsidR="00B04C73"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B04C73" w:rsidRPr="00FB3C6B">
        <w:rPr>
          <w:lang w:bidi="hi-IN"/>
        </w:rPr>
        <w:fldChar w:fldCharType="begin" w:fldLock="1"/>
      </w:r>
      <w:r w:rsidR="008D0078">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B04C73" w:rsidRPr="00FB3C6B">
        <w:rPr>
          <w:lang w:bidi="hi-IN"/>
        </w:rPr>
        <w:fldChar w:fldCharType="separate"/>
      </w:r>
      <w:r w:rsidR="00914F9D" w:rsidRPr="00FB3C6B">
        <w:rPr>
          <w:noProof/>
          <w:lang w:bidi="hi-IN"/>
        </w:rPr>
        <w:t>(2005)</w:t>
      </w:r>
      <w:r w:rsidR="00B04C73"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B04C73" w:rsidRPr="00FB3C6B">
        <w:fldChar w:fldCharType="begin" w:fldLock="1"/>
      </w:r>
      <w:r w:rsidR="008D0078">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B04C73" w:rsidRPr="00FB3C6B">
        <w:fldChar w:fldCharType="separate"/>
      </w:r>
      <w:r w:rsidR="00663378" w:rsidRPr="00FB3C6B">
        <w:rPr>
          <w:noProof/>
        </w:rPr>
        <w:t>(Cirz and Romesberg 2007)</w:t>
      </w:r>
      <w:r w:rsidR="00B04C73"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B04C73" w:rsidRPr="00FB3C6B">
        <w:fldChar w:fldCharType="begin" w:fldLock="1"/>
      </w:r>
      <w:r w:rsidR="008D0078">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B04C73" w:rsidRPr="00FB3C6B">
        <w:fldChar w:fldCharType="separate"/>
      </w:r>
      <w:r w:rsidR="002D2649" w:rsidRPr="00FB3C6B">
        <w:rPr>
          <w:noProof/>
        </w:rPr>
        <w:t>(Schrag et al. 1997)</w:t>
      </w:r>
      <w:r w:rsidR="00B04C73"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8D0078">
      <w:pPr>
        <w:spacing w:line="480" w:lineRule="auto"/>
        <w:rPr>
          <w:lang w:bidi="hi-IN"/>
        </w:rPr>
      </w:pPr>
      <w:r>
        <w:rPr>
          <w:lang w:bidi="hi-IN"/>
        </w:rPr>
        <w:t xml:space="preserve">Stress-induced mutagenesis has been implicated as a driver of adaptive evolution for several decades </w:t>
      </w:r>
      <w:r w:rsidR="00B04C73">
        <w:rPr>
          <w:lang w:bidi="hi-IN"/>
        </w:rPr>
        <w:fldChar w:fldCharType="begin" w:fldLock="1"/>
      </w:r>
      <w:r w:rsidR="008D0078">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B04C73">
        <w:rPr>
          <w:lang w:bidi="hi-IN"/>
        </w:rPr>
        <w:fldChar w:fldCharType="separate"/>
      </w:r>
      <w:r w:rsidR="00434AEF" w:rsidRPr="00434AEF">
        <w:rPr>
          <w:noProof/>
          <w:lang w:bidi="hi-IN"/>
        </w:rPr>
        <w:t>(Cairns et al. 1988; Tenaillon et al. 2004; Rosenberg et al. 2012)</w:t>
      </w:r>
      <w:r w:rsidR="00B04C73">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lastRenderedPageBreak/>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8D0078">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A.F. Agrawal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961941" w:rsidRDefault="00961941" w:rsidP="008D0078">
      <w:pPr>
        <w:pStyle w:val="Heading1"/>
        <w:spacing w:line="480" w:lineRule="auto"/>
      </w:pPr>
      <w:bookmarkStart w:id="17" w:name="_Ref360530640"/>
      <w:bookmarkStart w:id="18" w:name="_Ref363980873"/>
      <w:r w:rsidRPr="00961941">
        <w:t>Appendixes</w:t>
      </w:r>
    </w:p>
    <w:p w:rsidR="00961941" w:rsidRDefault="00961941" w:rsidP="008D0078">
      <w:pPr>
        <w:pStyle w:val="Heading2"/>
        <w:numPr>
          <w:ilvl w:val="0"/>
          <w:numId w:val="0"/>
        </w:numPr>
        <w:spacing w:line="480" w:lineRule="auto"/>
        <w:ind w:left="357" w:hanging="357"/>
      </w:pPr>
      <w:r>
        <w:t xml:space="preserve">Appendix </w:t>
      </w:r>
      <w:bookmarkEnd w:id="17"/>
      <w:bookmarkEnd w:id="18"/>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961941"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Pr="00173C79">
        <w:rPr>
          <w:rFonts w:eastAsiaTheme="minorEastAsia"/>
        </w:rPr>
        <w:t>.</w:t>
      </w:r>
    </w:p>
    <w:p w:rsidR="00961941" w:rsidRPr="00560C54" w:rsidRDefault="00961941" w:rsidP="008D0078">
      <w:pPr>
        <w:spacing w:line="480" w:lineRule="auto"/>
      </w:pPr>
      <w:r w:rsidRPr="00173C79">
        <w:lastRenderedPageBreak/>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961941"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Pr>
          <w:rFonts w:eastAsiaTheme="minorEastAsia"/>
        </w:rPr>
        <w:t>.</w:t>
      </w:r>
    </w:p>
    <w:p w:rsidR="00961941" w:rsidRDefault="00961941" w:rsidP="008D0078">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4107DD">
        <w:tc>
          <w:tcPr>
            <w:tcW w:w="4500" w:type="pct"/>
            <w:tcBorders>
              <w:top w:val="nil"/>
              <w:left w:val="nil"/>
              <w:bottom w:val="nil"/>
              <w:right w:val="nil"/>
            </w:tcBorders>
            <w:vAlign w:val="center"/>
          </w:tcPr>
          <w:p w:rsidR="00961941" w:rsidRPr="00466C39" w:rsidRDefault="00961941"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961941"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m:t>
            </m:r>
            <m:r>
              <w:rPr>
                <w:rFonts w:ascii="Cambria Math" w:eastAsiaTheme="minorEastAsia" w:hAnsi="Cambria Math"/>
              </w:rPr>
              <m:t>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Pr="00466C39">
        <w:rPr>
          <w:rFonts w:eastAsiaTheme="minorEastAsia"/>
        </w:rPr>
        <w:t>,</w:t>
      </w:r>
    </w:p>
    <w:p w:rsidR="00961941" w:rsidRPr="00434AEF" w:rsidRDefault="00961941" w:rsidP="008D0078">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19" w:name="_Ref360530760"/>
      <w:bookmarkStart w:id="20" w:name="_Ref363980888"/>
      <w:r>
        <w:t>Appendix</w:t>
      </w:r>
      <w:bookmarkEnd w:id="19"/>
      <w:r>
        <w:t xml:space="preserve"> </w:t>
      </w:r>
      <w:bookmarkEnd w:id="20"/>
      <w:r w:rsidR="00C46C20">
        <w:t>B</w:t>
      </w:r>
      <w:r>
        <w:t>: Fixation of a double mutant</w:t>
      </w:r>
    </w:p>
    <w:p w:rsidR="00961941" w:rsidRDefault="00961941" w:rsidP="008D0078">
      <w:pPr>
        <w:spacing w:line="480" w:lineRule="auto"/>
        <w:rPr>
          <w:lang w:bidi="hi-IN"/>
        </w:rPr>
      </w:pPr>
      <w:r>
        <w:t xml:space="preserve">Following </w:t>
      </w:r>
      <w:proofErr w:type="spellStart"/>
      <w:r>
        <w:t>Eshel</w:t>
      </w:r>
      <w:proofErr w:type="spellEnd"/>
      <w:r>
        <w:t xml:space="preserve"> </w:t>
      </w:r>
      <w:r>
        <w:fldChar w:fldCharType="begin" w:fldLock="1"/>
      </w:r>
      <w:r w:rsidR="008D0078">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663378">
        <w:rPr>
          <w:noProof/>
        </w:rPr>
        <w:t>(1981)</w:t>
      </w:r>
      <w:r>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w:lastRenderedPageBreak/>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Pr="000448EE">
        <w:fldChar w:fldCharType="begin" w:fldLock="1"/>
      </w:r>
      <w:r w:rsidR="008D0078">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Nick H.", "non-dropping-particle" : "", "parse-names" : false, "suffix" : "" } ], "container-title" : "Genetics", "id" : "ITEM-1", "issue" : "1", "issued" : { "date-parts" : [ [ "2002", "9", "1" ] ] }, "note" : "\n        From Duplicate 1 ( \n        \n          The effect of deleterious alleles on adaptation in asexual populations.\n        \n         - Johnson, Toby; Barton, Nicholas H. )\n\n        \n        \n\n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\n\n        \n\n      ", "page" : "395-411", "title" : "The effect of deleterious alleles on adaptation in asexual populations.", "type" : "article-journal", "volume" : "162" }, "uris" : [ "http://www.mendeley.com/documents/?uuid=037431d5-ddd1-4423-a10e-528b2bc81e01" ] } ], "mendeley" : { "previouslyFormattedCitation" : "(Johnson and Barton 2002)" }, "properties" : { "noteIndex" : 0 }, "schema" : "https://github.com/citation-style-language/schema/raw/master/csl-citation.json" }</w:instrText>
      </w:r>
      <w:r w:rsidRPr="000448EE">
        <w:fldChar w:fldCharType="separate"/>
      </w:r>
      <w:r w:rsidRPr="000448EE">
        <w:rPr>
          <w:noProof/>
        </w:rPr>
        <w:t>(Johnson and Barton 2002)</w:t>
      </w:r>
      <w:r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proofErr w:type="spellStart"/>
      <w:r w:rsidRPr="00544FA2">
        <w:rPr>
          <w:i/>
          <w:iCs/>
        </w:rPr>
        <w:t>sH</w:t>
      </w:r>
      <w:proofErr w:type="spellEnd"/>
      <w:r>
        <w:t xml:space="preserve"> </w:t>
      </w:r>
      <w:r w:rsidRPr="00544FA2">
        <w:t>is</w:t>
      </w:r>
      <w:bookmarkStart w:id="21"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22" w:name="_Ref363980903"/>
      <w:r>
        <w:t xml:space="preserve">Appendix </w:t>
      </w:r>
      <w:bookmarkEnd w:id="21"/>
      <w:bookmarkEnd w:id="22"/>
      <w:r w:rsidR="00C46C20">
        <w:t>C</w:t>
      </w:r>
      <w:r>
        <w:t xml:space="preserve">: Fixation of a double mutant with </w:t>
      </w:r>
      <w:proofErr w:type="spellStart"/>
      <w:r>
        <w:t>SIM</w:t>
      </w:r>
      <w:r>
        <w:rPr>
          <w:vertAlign w:val="subscript"/>
        </w:rPr>
        <w:t>e</w:t>
      </w:r>
      <w:proofErr w:type="spellEnd"/>
    </w:p>
    <w:p w:rsidR="00961941" w:rsidRPr="00335E62" w:rsidRDefault="00961941" w:rsidP="008D0078">
      <w:pPr>
        <w:spacing w:line="480" w:lineRule="auto"/>
        <w:rPr>
          <w:lang w:bidi="hi-IN"/>
        </w:rPr>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Pr>
          <w:lang w:bidi="hi-IN"/>
        </w:rPr>
        <w:fldChar w:fldCharType="begin" w:fldLock="1"/>
      </w:r>
      <w:r w:rsidR="008D0078">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Pr>
          <w:lang w:bidi="hi-IN"/>
        </w:rPr>
        <w:fldChar w:fldCharType="separate"/>
      </w:r>
      <w:r w:rsidRPr="00663378">
        <w:rPr>
          <w:noProof/>
          <w:lang w:bidi="hi-IN"/>
        </w:rPr>
        <w:t>(Gordo and Dionisio 2005)</w:t>
      </w:r>
      <w:r>
        <w:rPr>
          <w:lang w:bidi="hi-IN"/>
        </w:rPr>
        <w:fldChar w:fldCharType="end"/>
      </w:r>
      <w:r>
        <w:rPr>
          <w:lang w:bidi="hi-IN"/>
        </w:rPr>
        <w:t xml:space="preserve"> is much faster than adaptation. Following the derivation in Appendix 2, the relative fitness of </w:t>
      </w:r>
      <w:proofErr w:type="spellStart"/>
      <w:r>
        <w:rPr>
          <w:lang w:bidi="hi-IN"/>
        </w:rPr>
        <w:t>SIM</w:t>
      </w:r>
      <w:r>
        <w:rPr>
          <w:vertAlign w:val="subscript"/>
          <w:lang w:bidi="hi-IN"/>
        </w:rPr>
        <w:t>e</w:t>
      </w:r>
      <w:proofErr w:type="spellEnd"/>
      <w:r>
        <w:rPr>
          <w:lang w:bidi="hi-IN"/>
        </w:rPr>
        <w:t xml:space="preserve"> is</w:t>
      </w:r>
    </w:p>
    <w:p w:rsidR="00961941" w:rsidRDefault="00961941"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961941"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961941"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Pr>
          <w:rFonts w:eastAsiaTheme="minorEastAsia"/>
          <w:lang w:bidi="hi-IN"/>
        </w:rPr>
        <w:t>.</w:t>
      </w:r>
    </w:p>
    <w:p w:rsidR="00961941" w:rsidRDefault="00961941" w:rsidP="008D0078">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961941"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961941"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Pr>
          <w:rFonts w:eastAsiaTheme="minorEastAsia"/>
          <w:lang w:bidi="hi-IN"/>
        </w:rPr>
        <w:t>.</w:t>
      </w:r>
    </w:p>
    <w:p w:rsidR="00C46C20" w:rsidRPr="00EE1F7D" w:rsidRDefault="00C46C20" w:rsidP="008D0078">
      <w:pPr>
        <w:pStyle w:val="Heading2"/>
        <w:numPr>
          <w:ilvl w:val="0"/>
          <w:numId w:val="0"/>
        </w:numPr>
        <w:spacing w:line="480" w:lineRule="auto"/>
        <w:ind w:left="357" w:hanging="357"/>
      </w:pPr>
      <w:r>
        <w:t xml:space="preserve">Online Appendix D: </w:t>
      </w:r>
      <w:r w:rsidRPr="00EE1F7D">
        <w:t>Mean fitness at the mutation-selection balance</w:t>
      </w:r>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 xml:space="preserve">Denote the frequency of individuals with </w:t>
      </w:r>
      <w:r w:rsidRPr="00EE1F7D">
        <w:rPr>
          <w:rFonts w:ascii="Palatino Linotype" w:hAnsi="Palatino Linotype"/>
          <w:i/>
          <w:iCs/>
          <w:lang w:bidi="hi-IN"/>
        </w:rPr>
        <w:t>x</w:t>
      </w:r>
      <w:r w:rsidRPr="00EE1F7D">
        <w:rPr>
          <w:rFonts w:ascii="Palatino Linotype" w:hAnsi="Palatino Linotype"/>
          <w:lang w:bidi="hi-IN"/>
        </w:rPr>
        <w:t xml:space="preserve"> deleterious </w:t>
      </w:r>
      <w:r>
        <w:rPr>
          <w:rFonts w:ascii="Palatino Linotype" w:hAnsi="Palatino Linotype"/>
          <w:lang w:bidi="hi-IN"/>
        </w:rPr>
        <w:t>alleles</w:t>
      </w:r>
      <w:r w:rsidRPr="00EE1F7D">
        <w:rPr>
          <w:rFonts w:ascii="Palatino Linotype" w:hAnsi="Palatino Linotype"/>
          <w:lang w:bidi="hi-IN"/>
        </w:rPr>
        <w:t xml:space="preserve"> by </w:t>
      </w:r>
      <w:proofErr w:type="spellStart"/>
      <w:proofErr w:type="gramStart"/>
      <w:r w:rsidRPr="00EE1F7D">
        <w:rPr>
          <w:rFonts w:ascii="Palatino Linotype" w:hAnsi="Palatino Linotype"/>
          <w:i/>
          <w:iCs/>
          <w:lang w:bidi="hi-IN"/>
        </w:rPr>
        <w:t>f</w:t>
      </w:r>
      <w:r w:rsidRPr="00EE1F7D">
        <w:rPr>
          <w:rFonts w:ascii="Palatino Linotype" w:hAnsi="Palatino Linotype"/>
          <w:i/>
          <w:iCs/>
          <w:vertAlign w:val="subscript"/>
          <w:lang w:bidi="hi-IN"/>
        </w:rPr>
        <w:t>x</w:t>
      </w:r>
      <w:proofErr w:type="spellEnd"/>
      <w:proofErr w:type="gramEnd"/>
      <w:r w:rsidRPr="00EE1F7D">
        <w:rPr>
          <w:rFonts w:ascii="Palatino Linotype" w:hAnsi="Palatino Linotype"/>
          <w:lang w:bidi="hi-IN"/>
        </w:rPr>
        <w:t xml:space="preserve">. The frequency of </w:t>
      </w:r>
      <w:r>
        <w:rPr>
          <w:rFonts w:ascii="Palatino Linotype" w:hAnsi="Palatino Linotype"/>
          <w:lang w:bidi="hi-IN"/>
        </w:rPr>
        <w:t xml:space="preserve">such </w:t>
      </w:r>
      <w:r w:rsidRPr="00EE1F7D">
        <w:rPr>
          <w:rFonts w:ascii="Palatino Linotype" w:hAnsi="Palatino Linotype"/>
          <w:lang w:bidi="hi-IN"/>
        </w:rPr>
        <w:t xml:space="preserve">individuals in the next generation </w:t>
      </w:r>
      <w:proofErr w:type="spellStart"/>
      <w:r w:rsidRPr="00EE1F7D">
        <w:rPr>
          <w:rFonts w:ascii="Palatino Linotype" w:hAnsi="Palatino Linotype"/>
          <w:i/>
          <w:iCs/>
          <w:lang w:bidi="hi-IN"/>
        </w:rPr>
        <w:t>f'</w:t>
      </w:r>
      <w:r w:rsidRPr="00EE1F7D">
        <w:rPr>
          <w:rFonts w:ascii="Palatino Linotype" w:hAnsi="Palatino Linotype"/>
          <w:i/>
          <w:iCs/>
          <w:vertAlign w:val="subscript"/>
          <w:lang w:bidi="hi-IN"/>
        </w:rPr>
        <w:t>x</w:t>
      </w:r>
      <w:proofErr w:type="spellEnd"/>
      <w:r w:rsidRPr="00EE1F7D">
        <w:rPr>
          <w:rFonts w:ascii="Palatino Linotype" w:hAnsi="Palatino Linotype"/>
          <w:lang w:bidi="hi-IN"/>
        </w:rPr>
        <w:t xml:space="preserve"> </w:t>
      </w:r>
      <w:r>
        <w:rPr>
          <w:rFonts w:ascii="Palatino Linotype" w:hAnsi="Palatino Linotype"/>
          <w:lang w:bidi="hi-IN"/>
        </w:rPr>
        <w:t>is given by</w:t>
      </w:r>
      <w:r w:rsidRPr="00EE1F7D">
        <w:rPr>
          <w:rFonts w:ascii="Palatino Linotype" w:hAnsi="Palatino Linotype"/>
          <w:lang w:bidi="hi-I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9"/>
        <w:gridCol w:w="2842"/>
        <w:gridCol w:w="2841"/>
      </w:tblGrid>
      <w:tr w:rsidR="00C46C20" w:rsidRPr="00EE1F7D" w:rsidTr="004107DD">
        <w:tc>
          <w:tcPr>
            <w:tcW w:w="2842" w:type="dxa"/>
          </w:tcPr>
          <w:p w:rsidR="00C46C20" w:rsidRPr="00EE1F7D" w:rsidRDefault="00C46C20" w:rsidP="008D0078">
            <w:pPr>
              <w:spacing w:line="480" w:lineRule="auto"/>
              <w:rPr>
                <w:rFonts w:ascii="Palatino Linotype" w:eastAsiaTheme="minorEastAsia" w:hAnsi="Palatino Linotype"/>
                <w:lang w:bidi="hi-IN"/>
              </w:rPr>
            </w:pPr>
          </w:p>
        </w:tc>
        <w:tc>
          <w:tcPr>
            <w:tcW w:w="2843" w:type="dxa"/>
          </w:tcPr>
          <w:p w:rsidR="00C46C20" w:rsidRPr="00EE1F7D" w:rsidRDefault="00C46C20" w:rsidP="008D0078">
            <w:pPr>
              <w:spacing w:line="480" w:lineRule="auto"/>
              <w:rPr>
                <w:rFonts w:ascii="Palatino Linotype" w:eastAsiaTheme="minorEastAsia" w:hAnsi="Palatino Linotype"/>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Pr="00EE1F7D">
              <w:rPr>
                <w:rFonts w:ascii="Palatino Linotype" w:eastAsiaTheme="minorEastAsia" w:hAnsi="Palatino Linotype"/>
                <w:lang w:bidi="hi-IN"/>
              </w:rPr>
              <w:t>,</w:t>
            </w:r>
          </w:p>
        </w:tc>
        <w:tc>
          <w:tcPr>
            <w:tcW w:w="2843" w:type="dxa"/>
          </w:tcPr>
          <w:p w:rsidR="00C46C20" w:rsidRPr="00EE1F7D" w:rsidRDefault="00C46C20" w:rsidP="008D0078">
            <w:pPr>
              <w:spacing w:line="480" w:lineRule="auto"/>
              <w:jc w:val="right"/>
              <w:rPr>
                <w:rFonts w:ascii="Palatino Linotype" w:eastAsiaTheme="minorEastAsia" w:hAnsi="Palatino Linotype"/>
                <w:lang w:bidi="hi-IN"/>
              </w:rPr>
            </w:pPr>
          </w:p>
        </w:tc>
      </w:tr>
    </w:tbl>
    <w:p w:rsidR="00C46C20" w:rsidRDefault="00C46C20" w:rsidP="008D0078">
      <w:pPr>
        <w:spacing w:line="480" w:lineRule="auto"/>
        <w:rPr>
          <w:rFonts w:ascii="Palatino Linotype" w:hAnsi="Palatino Linotype"/>
          <w:lang w:bidi="hi-IN"/>
        </w:rPr>
      </w:pPr>
      <w:proofErr w:type="gramStart"/>
      <w:r w:rsidRPr="00B120F8">
        <w:rPr>
          <w:rFonts w:ascii="Palatino Linotype" w:hAnsi="Palatino Linotype"/>
          <w:lang w:bidi="hi-IN"/>
        </w:rPr>
        <w:t>where</w:t>
      </w:r>
      <w:proofErr w:type="gramEnd"/>
      <w:r w:rsidRPr="00B120F8">
        <w:rPr>
          <w:rFonts w:ascii="Palatino Linotype" w:hAnsi="Palatino Linotype"/>
          <w:lang w:bidi="hi-IN"/>
        </w:rPr>
        <w:t xml:space="preserve"> </w:t>
      </w:r>
      <w:proofErr w:type="spellStart"/>
      <w:r w:rsidRPr="00B120F8">
        <w:rPr>
          <w:rFonts w:ascii="Palatino Linotype" w:hAnsi="Palatino Linotype"/>
          <w:i/>
          <w:iCs/>
          <w:lang w:bidi="hi-IN"/>
        </w:rPr>
        <w:t>m</w:t>
      </w:r>
      <w:r w:rsidRPr="00B120F8">
        <w:rPr>
          <w:rFonts w:ascii="Palatino Linotype" w:hAnsi="Palatino Linotype"/>
          <w:i/>
          <w:iCs/>
          <w:vertAlign w:val="subscript"/>
          <w:lang w:bidi="hi-IN"/>
        </w:rPr>
        <w:t>x,y</w:t>
      </w:r>
      <w:proofErr w:type="spellEnd"/>
      <w:r w:rsidRPr="00B120F8">
        <w:rPr>
          <w:rFonts w:ascii="Palatino Linotype" w:hAnsi="Palatino Linotype"/>
          <w:i/>
          <w:iCs/>
          <w:lang w:bidi="hi-IN"/>
        </w:rPr>
        <w:t xml:space="preserve"> </w:t>
      </w:r>
      <w:r w:rsidRPr="00B120F8">
        <w:rPr>
          <w:rFonts w:ascii="Palatino Linotype" w:hAnsi="Palatino Linotype"/>
          <w:lang w:bidi="hi-IN"/>
        </w:rPr>
        <w:t xml:space="preserve">is the transition probability from </w:t>
      </w:r>
      <w:r w:rsidRPr="00B120F8">
        <w:rPr>
          <w:rFonts w:ascii="Palatino Linotype" w:hAnsi="Palatino Linotype"/>
          <w:i/>
          <w:iCs/>
          <w:lang w:bidi="hi-IN"/>
        </w:rPr>
        <w:t>y</w:t>
      </w:r>
      <w:r w:rsidRPr="00B120F8">
        <w:rPr>
          <w:rFonts w:ascii="Palatino Linotype" w:hAnsi="Palatino Linotype"/>
          <w:lang w:bidi="hi-IN"/>
        </w:rPr>
        <w:t xml:space="preserve"> deleterious alleles to </w:t>
      </w:r>
      <w:r w:rsidRPr="00B120F8">
        <w:rPr>
          <w:rFonts w:ascii="Palatino Linotype" w:hAnsi="Palatino Linotype"/>
          <w:i/>
          <w:iCs/>
          <w:lang w:bidi="hi-IN"/>
        </w:rPr>
        <w:t>x</w:t>
      </w:r>
      <w:r w:rsidRPr="00B120F8">
        <w:rPr>
          <w:rFonts w:ascii="Palatino Linotype" w:hAnsi="Palatino Linotype"/>
          <w:lang w:bidi="hi-IN"/>
        </w:rPr>
        <w:t xml:space="preserve"> deleterious alleles and </w:t>
      </w:r>
      <m:oMath>
        <m:acc>
          <m:accPr>
            <m:chr m:val="̅"/>
            <m:ctrlPr>
              <w:rPr>
                <w:rFonts w:ascii="Cambria Math" w:hAnsi="Cambria Math"/>
                <w:i/>
                <w:lang w:bidi="hi-IN"/>
              </w:rPr>
            </m:ctrlPr>
          </m:accPr>
          <m:e>
            <m:r>
              <w:rPr>
                <w:rFonts w:ascii="Cambria Math" w:hAnsi="Cambria Math"/>
                <w:lang w:bidi="hi-IN"/>
              </w:rPr>
              <m:t>ω</m:t>
            </m:r>
          </m:e>
        </m:acc>
      </m:oMath>
      <w:r w:rsidRPr="00B120F8">
        <w:rPr>
          <w:rFonts w:ascii="Palatino Linotype" w:hAnsi="Palatino Linotype"/>
          <w:lang w:bidi="hi-IN"/>
        </w:rPr>
        <w:t xml:space="preserve"> is the population mean fitness. </w:t>
      </w:r>
    </w:p>
    <w:p w:rsidR="00C46C20" w:rsidRPr="00B120F8" w:rsidRDefault="00C46C20" w:rsidP="008D0078">
      <w:pPr>
        <w:spacing w:line="480" w:lineRule="auto"/>
        <w:rPr>
          <w:rFonts w:ascii="Palatino Linotype" w:hAnsi="Palatino Linotype"/>
        </w:rPr>
      </w:pPr>
      <w:r w:rsidRPr="00B120F8">
        <w:rPr>
          <w:rFonts w:ascii="Palatino Linotype" w:hAnsi="Palatino Linotype"/>
          <w:lang w:bidi="hi-IN"/>
        </w:rPr>
        <w:t xml:space="preserve">The term </w:t>
      </w:r>
      <w:proofErr w:type="spellStart"/>
      <w:r w:rsidRPr="00B120F8">
        <w:rPr>
          <w:rFonts w:ascii="Palatino Linotype" w:hAnsi="Palatino Linotype"/>
          <w:i/>
          <w:iCs/>
          <w:lang w:bidi="hi-IN"/>
        </w:rPr>
        <w:t>m</w:t>
      </w:r>
      <w:r w:rsidRPr="00B120F8">
        <w:rPr>
          <w:rFonts w:ascii="Palatino Linotype" w:hAnsi="Palatino Linotype"/>
          <w:i/>
          <w:iCs/>
          <w:vertAlign w:val="subscript"/>
          <w:lang w:bidi="hi-IN"/>
        </w:rPr>
        <w:t>x</w:t>
      </w:r>
      <w:proofErr w:type="gramStart"/>
      <w:r w:rsidRPr="00B120F8">
        <w:rPr>
          <w:rFonts w:ascii="Palatino Linotype" w:hAnsi="Palatino Linotype"/>
          <w:i/>
          <w:iCs/>
          <w:vertAlign w:val="subscript"/>
          <w:lang w:bidi="hi-IN"/>
        </w:rPr>
        <w:t>,y</w:t>
      </w:r>
      <w:proofErr w:type="spellEnd"/>
      <w:proofErr w:type="gramEnd"/>
      <w:r w:rsidRPr="00B120F8">
        <w:rPr>
          <w:rFonts w:ascii="Palatino Linotype" w:hAnsi="Palatino Linotype"/>
          <w:i/>
          <w:iCs/>
          <w:lang w:bidi="hi-IN"/>
        </w:rPr>
        <w:t xml:space="preserve"> </w:t>
      </w:r>
      <w:r w:rsidRPr="00B120F8">
        <w:rPr>
          <w:rFonts w:ascii="Palatino Linotype" w:hAnsi="Palatino Linotype"/>
          <w:lang w:bidi="hi-IN"/>
        </w:rPr>
        <w:t xml:space="preserve">consist of the fitness of individuals with </w:t>
      </w:r>
      <w:r w:rsidRPr="00B120F8">
        <w:rPr>
          <w:rFonts w:ascii="Palatino Linotype" w:hAnsi="Palatino Linotype"/>
          <w:i/>
          <w:iCs/>
          <w:lang w:bidi="hi-IN"/>
        </w:rPr>
        <w:t>y</w:t>
      </w:r>
      <w:r w:rsidRPr="00B120F8">
        <w:rPr>
          <w:rFonts w:ascii="Palatino Linotype" w:hAnsi="Palatino Linotype"/>
        </w:rPr>
        <w:t xml:space="preserve"> deleterious alleles, </w:t>
      </w:r>
      <w:proofErr w:type="spellStart"/>
      <w:r w:rsidRPr="00B120F8">
        <w:rPr>
          <w:rFonts w:ascii="Palatino Linotype" w:hAnsi="Palatino Linotype"/>
          <w:i/>
          <w:iCs/>
        </w:rPr>
        <w:t>ω</w:t>
      </w:r>
      <w:r w:rsidRPr="00B120F8">
        <w:rPr>
          <w:rFonts w:ascii="Palatino Linotype" w:hAnsi="Palatino Linotype"/>
          <w:i/>
          <w:iCs/>
          <w:vertAlign w:val="subscript"/>
        </w:rPr>
        <w:t>y</w:t>
      </w:r>
      <w:proofErr w:type="spellEnd"/>
      <w:r w:rsidRPr="00B120F8">
        <w:rPr>
          <w:rFonts w:ascii="Palatino Linotype" w:hAnsi="Palatino Linotype"/>
          <w:lang w:bidi="hi-IN"/>
        </w:rPr>
        <w:t xml:space="preserve">, </w:t>
      </w:r>
      <w:r w:rsidRPr="00B120F8">
        <w:rPr>
          <w:rFonts w:ascii="Palatino Linotype" w:hAnsi="Palatino Linotype"/>
        </w:rPr>
        <w:t>and the probability that the precise number of mutations occurred</w:t>
      </w:r>
      <w:r w:rsidRPr="00B120F8">
        <w:rPr>
          <w:rFonts w:ascii="Palatino Linotype" w:hAnsi="Palatino Linotype"/>
          <w:lang w:bidi="hi-IN"/>
        </w:rPr>
        <w:t xml:space="preserve">. Specifically, if </w:t>
      </w:r>
      <w:proofErr w:type="spellStart"/>
      <w:r w:rsidRPr="00B120F8">
        <w:rPr>
          <w:rFonts w:ascii="Palatino Linotype" w:hAnsi="Palatino Linotype"/>
          <w:i/>
          <w:iCs/>
          <w:lang w:bidi="hi-IN"/>
        </w:rPr>
        <w:t>y</w:t>
      </w:r>
      <w:r w:rsidRPr="00B120F8">
        <w:rPr>
          <w:rFonts w:ascii="Times New Roman" w:hAnsi="Times New Roman"/>
          <w:i/>
          <w:iCs/>
          <w:lang w:bidi="hi-IN"/>
        </w:rPr>
        <w:t>≥</w:t>
      </w:r>
      <w:r w:rsidRPr="00B120F8">
        <w:rPr>
          <w:rFonts w:ascii="Palatino Linotype" w:hAnsi="Palatino Linotype"/>
          <w:i/>
          <w:iCs/>
          <w:lang w:bidi="hi-IN"/>
        </w:rPr>
        <w:t>x</w:t>
      </w:r>
      <w:proofErr w:type="spellEnd"/>
      <w:r w:rsidRPr="00B120F8">
        <w:rPr>
          <w:rFonts w:ascii="Palatino Linotype" w:hAnsi="Palatino Linotype"/>
          <w:lang w:bidi="hi-IN"/>
        </w:rPr>
        <w:t xml:space="preserve"> then exactly </w:t>
      </w:r>
      <w:r w:rsidRPr="00B120F8">
        <w:rPr>
          <w:rFonts w:ascii="Palatino Linotype" w:hAnsi="Palatino Linotype"/>
          <w:i/>
          <w:iCs/>
          <w:lang w:bidi="hi-IN"/>
        </w:rPr>
        <w:t>y-x</w:t>
      </w:r>
      <w:r w:rsidRPr="00B120F8">
        <w:rPr>
          <w:rFonts w:ascii="Palatino Linotype" w:hAnsi="Palatino Linotype"/>
          <w:lang w:bidi="hi-IN"/>
        </w:rPr>
        <w:t xml:space="preserve"> beneficial mutation must occur; if </w:t>
      </w:r>
      <w:proofErr w:type="spellStart"/>
      <w:r w:rsidRPr="00B120F8">
        <w:rPr>
          <w:rFonts w:ascii="Palatino Linotype" w:hAnsi="Palatino Linotype"/>
          <w:i/>
          <w:iCs/>
          <w:lang w:bidi="hi-IN"/>
        </w:rPr>
        <w:t>y</w:t>
      </w:r>
      <w:r w:rsidRPr="00B120F8">
        <w:rPr>
          <w:rFonts w:ascii="Times New Roman" w:hAnsi="Times New Roman"/>
          <w:i/>
          <w:iCs/>
          <w:lang w:bidi="hi-IN"/>
        </w:rPr>
        <w:t>≤</w:t>
      </w:r>
      <w:r w:rsidRPr="00B120F8">
        <w:rPr>
          <w:rFonts w:ascii="Palatino Linotype" w:hAnsi="Palatino Linotype"/>
          <w:i/>
          <w:iCs/>
          <w:lang w:bidi="hi-IN"/>
        </w:rPr>
        <w:t>x</w:t>
      </w:r>
      <w:proofErr w:type="spellEnd"/>
      <w:r w:rsidRPr="00B120F8">
        <w:rPr>
          <w:rFonts w:ascii="Palatino Linotype" w:hAnsi="Palatino Linotype"/>
          <w:lang w:bidi="hi-IN"/>
        </w:rPr>
        <w:t xml:space="preserve"> then exactly </w:t>
      </w:r>
      <w:r w:rsidRPr="00B120F8">
        <w:rPr>
          <w:rFonts w:ascii="Palatino Linotype" w:hAnsi="Palatino Linotype"/>
          <w:i/>
          <w:iCs/>
          <w:lang w:bidi="hi-IN"/>
        </w:rPr>
        <w:t>x-y</w:t>
      </w:r>
      <w:r w:rsidRPr="00B120F8">
        <w:rPr>
          <w:rFonts w:ascii="Palatino Linotype" w:hAnsi="Palatino Linotype"/>
          <w:lang w:bidi="hi-IN"/>
        </w:rPr>
        <w:t xml:space="preserve"> deleterious mutations must occur:</w:t>
      </w:r>
    </w:p>
    <w:p w:rsidR="00C46C20" w:rsidRPr="00B120F8" w:rsidRDefault="00C46C20" w:rsidP="008D0078">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y&gt;x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∙P(no mutations),                                 y=x</m:t>
                </m:r>
              </m:e>
            </m:eqArr>
          </m:e>
        </m:d>
      </m:oMath>
      <w:r w:rsidRPr="00B120F8">
        <w:rPr>
          <w:rFonts w:ascii="Palatino Linotype" w:hAnsi="Palatino Linotype"/>
          <w:lang w:bidi="hi-IN"/>
        </w:rPr>
        <w:t>.</w:t>
      </w:r>
    </w:p>
    <w:p w:rsidR="00C46C20" w:rsidRPr="00EE1F7D" w:rsidRDefault="00C46C20" w:rsidP="008D0078">
      <w:pPr>
        <w:spacing w:line="480" w:lineRule="auto"/>
        <w:rPr>
          <w:rFonts w:ascii="Palatino Linotype" w:hAnsi="Palatino Linotype"/>
          <w:lang w:bidi="hi-IN"/>
        </w:rPr>
      </w:pPr>
      <w:r w:rsidRPr="00B120F8">
        <w:rPr>
          <w:rFonts w:ascii="Palatino Linotype" w:hAnsi="Palatino Linotype"/>
          <w:lang w:bidi="hi-IN"/>
        </w:rPr>
        <w:lastRenderedPageBreak/>
        <w:t>Using the probability mass function of a Poisson distribution, we can expand</w:t>
      </w:r>
      <w:r w:rsidRPr="00EE1F7D">
        <w:rPr>
          <w:rFonts w:ascii="Palatino Linotype" w:hAnsi="Palatino Linotype"/>
          <w:lang w:bidi="hi-IN"/>
        </w:rPr>
        <w:t xml:space="preserve"> the </w:t>
      </w:r>
      <w:r>
        <w:rPr>
          <w:rFonts w:ascii="Palatino Linotype" w:hAnsi="Palatino Linotype"/>
          <w:lang w:bidi="hi-IN"/>
        </w:rPr>
        <w:t>above equation to</w:t>
      </w:r>
    </w:p>
    <w:p w:rsidR="00C46C20" w:rsidRPr="00EE1F7D" w:rsidRDefault="00C46C20" w:rsidP="008D0078">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y-x</m:t>
                    </m:r>
                  </m:sup>
                </m:sSup>
              </m:num>
              <m:den>
                <m:d>
                  <m:dPr>
                    <m:ctrlPr>
                      <w:rPr>
                        <w:rFonts w:ascii="Cambria Math" w:hAnsi="Cambria Math"/>
                        <w:i/>
                        <w:lang w:bidi="hi-IN"/>
                      </w:rPr>
                    </m:ctrlPr>
                  </m:dPr>
                  <m:e>
                    <m:r>
                      <w:rPr>
                        <w:rFonts w:ascii="Cambria Math" w:hAnsi="Cambria Math"/>
                        <w:lang w:bidi="hi-IN"/>
                      </w:rPr>
                      <m:t>y-x</m:t>
                    </m:r>
                  </m:e>
                </m:d>
                <m:r>
                  <w:rPr>
                    <w:rFonts w:ascii="Cambria Math" w:hAnsi="Cambria Math"/>
                    <w:lang w:bidi="hi-IN"/>
                  </w:rPr>
                  <m:t>!</m:t>
                </m:r>
              </m:den>
            </m:f>
          </m:e>
        </m:nary>
        <m:r>
          <w:rPr>
            <w:rFonts w:ascii="Cambria Math" w:hAnsi="Cambria Math"/>
            <w:lang w:bidi="hi-IN"/>
          </w:rPr>
          <m:t>,   ∀x≥0</m:t>
        </m:r>
      </m:oMath>
      <w:r w:rsidRPr="00EE1F7D">
        <w:rPr>
          <w:rFonts w:ascii="Palatino Linotype" w:hAnsi="Palatino Linotype"/>
          <w:lang w:bidi="hi-IN"/>
        </w:rPr>
        <w:t>,</w:t>
      </w:r>
    </w:p>
    <w:p w:rsidR="00C46C20" w:rsidRPr="00EE1F7D" w:rsidRDefault="00C46C20" w:rsidP="008D0078">
      <w:pPr>
        <w:spacing w:line="480" w:lineRule="auto"/>
        <w:rPr>
          <w:rFonts w:ascii="Palatino Linotype" w:hAnsi="Palatino Linotype"/>
        </w:rPr>
      </w:pPr>
      <w:proofErr w:type="gramStart"/>
      <w:r w:rsidRPr="00EE1F7D">
        <w:rPr>
          <w:rFonts w:ascii="Palatino Linotype" w:hAnsi="Palatino Linotype"/>
          <w:lang w:bidi="hi-IN"/>
        </w:rPr>
        <w:t>where</w:t>
      </w:r>
      <w:proofErr w:type="gramEnd"/>
      <w:r w:rsidRPr="00EE1F7D">
        <w:rPr>
          <w:rFonts w:ascii="Palatino Linotype" w:hAnsi="Palatino Linotype"/>
          <w:lang w:bidi="hi-IN"/>
        </w:rPr>
        <w:t xml:space="preserve"> </w:t>
      </w:r>
      <w:proofErr w:type="spellStart"/>
      <w:r w:rsidRPr="00EE1F7D">
        <w:rPr>
          <w:rFonts w:ascii="Palatino Linotype" w:hAnsi="Palatino Linotype"/>
          <w:i/>
          <w:iCs/>
        </w:rPr>
        <w:t>ω</w:t>
      </w:r>
      <w:r w:rsidRPr="00311C92">
        <w:rPr>
          <w:rFonts w:ascii="Palatino Linotype" w:hAnsi="Palatino Linotype"/>
          <w:i/>
          <w:iCs/>
          <w:vertAlign w:val="subscript"/>
          <w:lang w:bidi="hi-IN"/>
        </w:rPr>
        <w:t>y</w:t>
      </w:r>
      <w:proofErr w:type="spellEnd"/>
      <w:r w:rsidRPr="00EE1F7D">
        <w:rPr>
          <w:rFonts w:ascii="Palatino Linotype" w:hAnsi="Palatino Linotype"/>
          <w:lang w:bidi="hi-IN"/>
        </w:rPr>
        <w:t xml:space="preserve"> is the fitness</w:t>
      </w:r>
      <w:r>
        <w:rPr>
          <w:rFonts w:ascii="Palatino Linotype" w:hAnsi="Palatino Linotype"/>
          <w:lang w:bidi="hi-IN"/>
        </w:rPr>
        <w:t xml:space="preserve"> of individuals</w:t>
      </w:r>
      <w:r w:rsidRPr="00EE1F7D">
        <w:rPr>
          <w:rFonts w:ascii="Palatino Linotype" w:hAnsi="Palatino Linotype"/>
          <w:lang w:bidi="hi-IN"/>
        </w:rPr>
        <w:t xml:space="preserve"> with </w:t>
      </w:r>
      <w:r>
        <w:rPr>
          <w:rFonts w:ascii="Palatino Linotype" w:hAnsi="Palatino Linotype"/>
          <w:i/>
          <w:iCs/>
          <w:lang w:bidi="hi-IN"/>
        </w:rPr>
        <w:t>y</w:t>
      </w:r>
      <w:r w:rsidRPr="00EE1F7D">
        <w:rPr>
          <w:rFonts w:ascii="Palatino Linotype" w:hAnsi="Palatino Linotype"/>
          <w:i/>
          <w:iCs/>
          <w:lang w:bidi="hi-IN"/>
        </w:rPr>
        <w:t xml:space="preserve"> </w:t>
      </w:r>
      <w:r w:rsidRPr="00EE1F7D">
        <w:rPr>
          <w:rFonts w:ascii="Palatino Linotype" w:hAnsi="Palatino Linotype"/>
        </w:rPr>
        <w:t xml:space="preserve">deleterious </w:t>
      </w:r>
      <w:r>
        <w:rPr>
          <w:rFonts w:ascii="Palatino Linotype" w:hAnsi="Palatino Linotype"/>
        </w:rPr>
        <w:t>alleles</w:t>
      </w:r>
      <w:r w:rsidRPr="00EE1F7D">
        <w:rPr>
          <w:rFonts w:ascii="Palatino Linotype" w:hAnsi="Palatino Linotype"/>
        </w:rPr>
        <w:t xml:space="preserve">, </w:t>
      </w:r>
      <m:oMath>
        <m:r>
          <w:rPr>
            <w:rFonts w:ascii="Cambria Math" w:hAnsi="Cambria Math"/>
            <w:lang w:bidi="hi-IN"/>
          </w:rPr>
          <m:t xml:space="preserve"> </m:t>
        </m:r>
        <m:acc>
          <m:accPr>
            <m:chr m:val="̅"/>
            <m:ctrlPr>
              <w:rPr>
                <w:rFonts w:ascii="Cambria Math" w:hAnsi="Cambria Math"/>
                <w:i/>
                <w:lang w:bidi="hi-IN"/>
              </w:rPr>
            </m:ctrlPr>
          </m:accPr>
          <m:e>
            <m:r>
              <w:rPr>
                <w:rFonts w:ascii="Cambria Math" w:hAnsi="Cambria Math"/>
                <w:lang w:bidi="hi-IN"/>
              </w:rPr>
              <m:t>ω</m:t>
            </m:r>
          </m:e>
        </m:acc>
      </m:oMath>
      <w:r w:rsidRPr="00EE1F7D">
        <w:rPr>
          <w:rFonts w:ascii="Palatino Linotype" w:hAnsi="Palatino Linotype"/>
          <w:lang w:bidi="hi-IN"/>
        </w:rPr>
        <w:t xml:space="preserve"> is the population mean fitness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sidRPr="00EE1F7D">
        <w:rPr>
          <w:rFonts w:ascii="Palatino Linotype" w:hAnsi="Palatino Linotype"/>
          <w:lang w:bidi="hi-IN"/>
        </w:rPr>
        <w:t>),</w:t>
      </w:r>
      <w:r w:rsidRPr="00EE1F7D">
        <w:rPr>
          <w:rFonts w:ascii="Palatino Linotype" w:hAnsi="Palatino Linotype"/>
        </w:rPr>
        <w:t xml:space="preserve"> </w:t>
      </w:r>
      <w:r w:rsidRPr="00EE1F7D">
        <w:rPr>
          <w:rFonts w:ascii="Palatino Linotype" w:hAnsi="Palatino Linotype"/>
          <w:i/>
          <w:iCs/>
        </w:rPr>
        <w:t>δ</w:t>
      </w:r>
      <w:r w:rsidRPr="00EE1F7D">
        <w:rPr>
          <w:rFonts w:ascii="Palatino Linotype" w:hAnsi="Palatino Linotype"/>
        </w:rPr>
        <w:t xml:space="preserve"> and </w:t>
      </w:r>
      <w:r w:rsidRPr="00EE1F7D">
        <w:rPr>
          <w:rFonts w:ascii="Palatino Linotype" w:hAnsi="Palatino Linotype"/>
          <w:i/>
          <w:iCs/>
        </w:rPr>
        <w:t>β</w:t>
      </w:r>
      <w:r w:rsidRPr="00EE1F7D">
        <w:rPr>
          <w:rFonts w:ascii="Palatino Linotype" w:hAnsi="Palatino Linotype"/>
        </w:rPr>
        <w:t xml:space="preserve"> are the fraction of mutations that are deleterious and beneficial, respectively (</w:t>
      </w:r>
      <w:r w:rsidRPr="00EE1F7D">
        <w:rPr>
          <w:rFonts w:ascii="Palatino Linotype" w:hAnsi="Palatino Linotype"/>
          <w:i/>
          <w:iCs/>
        </w:rPr>
        <w:t>δ+β</w:t>
      </w:r>
      <w:r w:rsidRPr="00EE1F7D">
        <w:rPr>
          <w:rFonts w:ascii="Palatino Linotype" w:hAnsi="Palatino Linotype"/>
        </w:rPr>
        <w:t>=1 and 0</w:t>
      </w:r>
      <w:r w:rsidRPr="00EE1F7D">
        <w:rPr>
          <w:rFonts w:ascii="Palatino Linotype" w:hAnsi="Palatino Linotype" w:cs="Arial"/>
        </w:rPr>
        <w:t>≤</w:t>
      </w:r>
      <w:r w:rsidRPr="00EE1F7D">
        <w:rPr>
          <w:rFonts w:ascii="Palatino Linotype" w:hAnsi="Palatino Linotype"/>
          <w:i/>
          <w:iCs/>
        </w:rPr>
        <w:t>β</w:t>
      </w:r>
      <w:r w:rsidRPr="00EE1F7D">
        <w:rPr>
          <w:rFonts w:ascii="Palatino Linotype" w:hAnsi="Palatino Linotype"/>
        </w:rPr>
        <w:t>&lt;</w:t>
      </w:r>
      <w:r w:rsidRPr="00EE1F7D">
        <w:rPr>
          <w:rFonts w:ascii="Palatino Linotype" w:hAnsi="Palatino Linotype"/>
          <w:i/>
          <w:iCs/>
        </w:rPr>
        <w:t>δ</w:t>
      </w:r>
      <w:r w:rsidRPr="00EE1F7D">
        <w:rPr>
          <w:rFonts w:ascii="Palatino Linotype" w:hAnsi="Palatino Linotype" w:cs="Arial"/>
        </w:rPr>
        <w:t>≤</w:t>
      </w:r>
      <w:r w:rsidRPr="00EE1F7D">
        <w:rPr>
          <w:rFonts w:ascii="Palatino Linotype" w:hAnsi="Palatino Linotype"/>
        </w:rPr>
        <w:t>1</w:t>
      </w:r>
      <w:r w:rsidRPr="00EE1F7D">
        <w:rPr>
          <w:rFonts w:ascii="Palatino Linotype" w:hAnsi="Palatino Linotype"/>
          <w:i/>
          <w:iCs/>
        </w:rPr>
        <w:t>)</w:t>
      </w:r>
      <w:r>
        <w:rPr>
          <w:rFonts w:ascii="Palatino Linotype" w:hAnsi="Palatino Linotype"/>
        </w:rPr>
        <w:t>,</w:t>
      </w:r>
      <w:r w:rsidRPr="00EE1F7D">
        <w:rPr>
          <w:rFonts w:ascii="Palatino Linotype" w:hAnsi="Palatino Linotype"/>
        </w:rPr>
        <w:t xml:space="preserve"> and </w:t>
      </w:r>
      <w:proofErr w:type="spellStart"/>
      <w:r w:rsidRPr="00EE1F7D">
        <w:rPr>
          <w:rFonts w:ascii="Palatino Linotype" w:hAnsi="Palatino Linotype"/>
          <w:i/>
          <w:iCs/>
        </w:rPr>
        <w:t>U</w:t>
      </w:r>
      <w:r>
        <w:rPr>
          <w:rFonts w:ascii="Palatino Linotype" w:hAnsi="Palatino Linotype"/>
          <w:i/>
          <w:iCs/>
          <w:vertAlign w:val="subscript"/>
        </w:rPr>
        <w:t>y</w:t>
      </w:r>
      <w:proofErr w:type="spellEnd"/>
      <w:r w:rsidRPr="00EE1F7D">
        <w:rPr>
          <w:rFonts w:ascii="Palatino Linotype" w:hAnsi="Palatino Linotype"/>
          <w:vertAlign w:val="superscript"/>
        </w:rPr>
        <w:t xml:space="preserve"> </w:t>
      </w:r>
      <w:r w:rsidRPr="00EE1F7D">
        <w:rPr>
          <w:rFonts w:ascii="Palatino Linotype" w:hAnsi="Palatino Linotype"/>
        </w:rPr>
        <w:t xml:space="preserve">is the average number of new mutations </w:t>
      </w:r>
      <w:r>
        <w:rPr>
          <w:rFonts w:ascii="Palatino Linotype" w:hAnsi="Palatino Linotype"/>
        </w:rPr>
        <w:t xml:space="preserve">per generation </w:t>
      </w:r>
      <w:r w:rsidRPr="00EE1F7D">
        <w:rPr>
          <w:rFonts w:ascii="Palatino Linotype" w:hAnsi="Palatino Linotype"/>
        </w:rPr>
        <w:t xml:space="preserve">in an individual with </w:t>
      </w:r>
      <w:r>
        <w:rPr>
          <w:rFonts w:ascii="Palatino Linotype" w:hAnsi="Palatino Linotype"/>
          <w:i/>
          <w:iCs/>
        </w:rPr>
        <w:t>y</w:t>
      </w:r>
      <w:r w:rsidRPr="00EE1F7D">
        <w:rPr>
          <w:rFonts w:ascii="Palatino Linotype" w:hAnsi="Palatino Linotype"/>
        </w:rPr>
        <w:t xml:space="preserve"> deleterious </w:t>
      </w:r>
      <w:r>
        <w:rPr>
          <w:rFonts w:ascii="Palatino Linotype" w:hAnsi="Palatino Linotype"/>
        </w:rPr>
        <w:t>alleles</w:t>
      </w:r>
      <w:r w:rsidRPr="00EE1F7D">
        <w:rPr>
          <w:rFonts w:ascii="Palatino Linotype" w:hAnsi="Palatino Linotype"/>
        </w:rPr>
        <w:t>.</w:t>
      </w:r>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 xml:space="preserve">This can be written as a matrix equation by multiplying the frequencies vector </w:t>
      </w:r>
      <w:r w:rsidRPr="00EE1F7D">
        <w:rPr>
          <w:rFonts w:ascii="Palatino Linotype" w:hAnsi="Palatino Linotype"/>
          <w:i/>
          <w:iCs/>
          <w:lang w:bidi="hi-IN"/>
        </w:rPr>
        <w:t>f</w:t>
      </w:r>
      <w:r w:rsidRPr="00EE1F7D">
        <w:rPr>
          <w:rFonts w:ascii="Palatino Linotype" w:hAnsi="Palatino Linotype"/>
          <w:lang w:bidi="hi-IN"/>
        </w:rPr>
        <w:t xml:space="preserve"> </w:t>
      </w:r>
      <w:r>
        <w:rPr>
          <w:rFonts w:ascii="Palatino Linotype" w:hAnsi="Palatino Linotype"/>
          <w:lang w:bidi="hi-IN"/>
        </w:rPr>
        <w:t>and</w:t>
      </w:r>
      <w:r w:rsidRPr="00EE1F7D">
        <w:rPr>
          <w:rFonts w:ascii="Palatino Linotype" w:hAnsi="Palatino Linotype"/>
          <w:lang w:bidi="hi-IN"/>
        </w:rPr>
        <w:t xml:space="preserve"> the mutation-selection matrix </w:t>
      </w:r>
      <w:r w:rsidRPr="00EE1F7D">
        <w:rPr>
          <w:rFonts w:ascii="Palatino Linotype" w:hAnsi="Palatino Linotype"/>
          <w:i/>
          <w:iCs/>
          <w:lang w:bidi="hi-IN"/>
        </w:rPr>
        <w:t>M</w:t>
      </w:r>
      <w:r w:rsidRPr="00EE1F7D">
        <w:rPr>
          <w:rFonts w:ascii="Palatino Linotype" w:hAnsi="Palatino Linotype"/>
          <w:lang w:bidi="hi-IN"/>
        </w:rPr>
        <w:t>:</w:t>
      </w:r>
    </w:p>
    <w:p w:rsidR="00C46C20" w:rsidRPr="00EE1F7D" w:rsidRDefault="00C46C20" w:rsidP="008D0078">
      <w:pPr>
        <w:spacing w:line="480" w:lineRule="auto"/>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=Mf</m:t>
          </m:r>
        </m:oMath>
      </m:oMathPara>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 xml:space="preserve">At the mutation-selection balance (MSB), </w:t>
      </w:r>
      <w:r w:rsidRPr="00EE1F7D">
        <w:rPr>
          <w:rFonts w:ascii="Palatino Linotype" w:hAnsi="Palatino Linotype"/>
          <w:i/>
          <w:iCs/>
          <w:lang w:bidi="hi-IN"/>
        </w:rPr>
        <w:t>f*</w:t>
      </w:r>
      <w:r w:rsidRPr="00EE1F7D">
        <w:rPr>
          <w:rFonts w:ascii="Palatino Linotype" w:hAnsi="Palatino Linotype"/>
          <w:lang w:bidi="hi-IN"/>
        </w:rPr>
        <w:t xml:space="preserve"> </w:t>
      </w:r>
      <w:r>
        <w:rPr>
          <w:rFonts w:ascii="Palatino Linotype" w:hAnsi="Palatino Linotype"/>
          <w:lang w:bidi="hi-IN"/>
        </w:rPr>
        <w:t>solves the equation</w:t>
      </w:r>
      <w:r w:rsidRPr="00EE1F7D">
        <w:rPr>
          <w:rFonts w:ascii="Palatino Linotype" w:hAnsi="Palatino Linotype"/>
          <w:lang w:bidi="hi-IN"/>
        </w:rPr>
        <w:t xml:space="preserve"> (a star * denotes equilibrium quantities)</w:t>
      </w:r>
    </w:p>
    <w:p w:rsidR="00C46C20" w:rsidRPr="00EE1F7D" w:rsidRDefault="00C46C20" w:rsidP="008D0078">
      <w:pPr>
        <w:spacing w:line="480" w:lineRule="auto"/>
        <w:jc w:val="center"/>
        <w:rPr>
          <w:rFonts w:ascii="Palatino Linotype" w:hAnsi="Palatino Linotype"/>
          <w:lang w:bidi="hi-IN"/>
        </w:rPr>
      </w:pP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m:t>
        </m:r>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oMath>
      <w:r w:rsidRPr="00EE1F7D">
        <w:rPr>
          <w:rFonts w:ascii="Palatino Linotype" w:hAnsi="Palatino Linotype"/>
          <w:lang w:bidi="hi-IN"/>
        </w:rPr>
        <w:t>.</w:t>
      </w:r>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Without beneficial mutations (</w:t>
      </w:r>
      <w:r w:rsidRPr="00EE1F7D">
        <w:rPr>
          <w:rFonts w:ascii="Palatino Linotype" w:hAnsi="Palatino Linotype"/>
          <w:i/>
          <w:iCs/>
          <w:lang w:bidi="hi-IN"/>
        </w:rPr>
        <w:t>δ</w:t>
      </w:r>
      <w:r w:rsidRPr="00EE1F7D">
        <w:rPr>
          <w:rFonts w:ascii="Palatino Linotype" w:hAnsi="Palatino Linotype"/>
          <w:lang w:bidi="hi-IN"/>
        </w:rPr>
        <w:t xml:space="preserve">=1 and </w:t>
      </w:r>
      <w:r w:rsidRPr="00EE1F7D">
        <w:rPr>
          <w:rFonts w:ascii="Palatino Linotype" w:hAnsi="Palatino Linotype"/>
        </w:rPr>
        <w:t>β=0)</w:t>
      </w:r>
      <w:r w:rsidRPr="00EE1F7D">
        <w:rPr>
          <w:rFonts w:ascii="Palatino Linotype" w:hAnsi="Palatino Linotype"/>
          <w:lang w:bidi="hi-IN"/>
        </w:rPr>
        <w:t>, the above equation simplifies to</w:t>
      </w:r>
    </w:p>
    <w:p w:rsidR="00C46C20" w:rsidRPr="00EE1F7D" w:rsidRDefault="00C46C20" w:rsidP="008D0078">
      <w:pPr>
        <w:spacing w:line="480" w:lineRule="auto"/>
        <w:jc w:val="center"/>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   ∀x≥0</m:t>
          </m:r>
        </m:oMath>
      </m:oMathPara>
    </w:p>
    <w:p w:rsidR="00C46C20" w:rsidRDefault="00C46C20" w:rsidP="008D0078">
      <w:pPr>
        <w:spacing w:line="480" w:lineRule="auto"/>
        <w:rPr>
          <w:rFonts w:ascii="Palatino Linotype" w:hAnsi="Palatino Linotype"/>
          <w:lang w:bidi="hi-IN"/>
        </w:rPr>
      </w:pPr>
      <w:proofErr w:type="gramStart"/>
      <w:r>
        <w:rPr>
          <w:rFonts w:ascii="Palatino Linotype" w:hAnsi="Palatino Linotype"/>
          <w:lang w:bidi="hi-IN"/>
        </w:rPr>
        <w:t>and</w:t>
      </w:r>
      <w:proofErr w:type="gramEnd"/>
      <w:r w:rsidRPr="00EE1F7D">
        <w:rPr>
          <w:rFonts w:ascii="Palatino Linotype" w:hAnsi="Palatino Linotype"/>
          <w:lang w:bidi="hi-IN"/>
        </w:rPr>
        <w:t xml:space="preserve"> </w:t>
      </w:r>
      <w:r w:rsidRPr="00EE1F7D">
        <w:rPr>
          <w:rFonts w:ascii="Palatino Linotype" w:hAnsi="Palatino Linotype"/>
          <w:i/>
          <w:iCs/>
          <w:lang w:bidi="hi-IN"/>
        </w:rPr>
        <w:t>M</w:t>
      </w:r>
      <w:r w:rsidRPr="00EE1F7D">
        <w:rPr>
          <w:rFonts w:ascii="Palatino Linotype" w:hAnsi="Palatino Linotype"/>
          <w:lang w:bidi="hi-IN"/>
        </w:rPr>
        <w:t xml:space="preserve"> is a </w:t>
      </w:r>
      <w:r>
        <w:rPr>
          <w:rFonts w:ascii="Palatino Linotype" w:hAnsi="Palatino Linotype"/>
          <w:lang w:bidi="hi-IN"/>
        </w:rPr>
        <w:t xml:space="preserve">triangular </w:t>
      </w:r>
      <w:r w:rsidRPr="00EE1F7D">
        <w:rPr>
          <w:rFonts w:ascii="Palatino Linotype" w:hAnsi="Palatino Linotype"/>
          <w:lang w:bidi="hi-IN"/>
        </w:rPr>
        <w:t>matrix</w:t>
      </w:r>
      <w:r>
        <w:rPr>
          <w:rFonts w:ascii="Palatino Linotype" w:hAnsi="Palatino Linotype"/>
          <w:lang w:bidi="hi-IN"/>
        </w:rPr>
        <w:t xml:space="preserve">. In this case the </w:t>
      </w:r>
      <w:proofErr w:type="gramStart"/>
      <w:r>
        <w:rPr>
          <w:rFonts w:ascii="Palatino Linotype" w:hAnsi="Palatino Linotype"/>
          <w:lang w:bidi="hi-IN"/>
        </w:rPr>
        <w:t>population mean</w:t>
      </w:r>
      <w:proofErr w:type="gramEnd"/>
      <w:r>
        <w:rPr>
          <w:rFonts w:ascii="Palatino Linotype" w:hAnsi="Palatino Linotype"/>
          <w:lang w:bidi="hi-IN"/>
        </w:rPr>
        <w:t xml:space="preserve"> fitness can be found by solving the equation for </w:t>
      </w:r>
      <w:r>
        <w:rPr>
          <w:rFonts w:ascii="Palatino Linotype" w:hAnsi="Palatino Linotype"/>
          <w:i/>
          <w:iCs/>
          <w:lang w:bidi="hi-IN"/>
        </w:rPr>
        <w:t>f</w:t>
      </w:r>
      <w:r>
        <w:rPr>
          <w:rFonts w:ascii="Palatino Linotype" w:hAnsi="Palatino Linotype"/>
          <w:i/>
          <w:iCs/>
          <w:vertAlign w:val="subscript"/>
          <w:lang w:bidi="hi-IN"/>
        </w:rPr>
        <w:t>0</w:t>
      </w:r>
      <w:r w:rsidRPr="00EE1F7D">
        <w:rPr>
          <w:rFonts w:ascii="Palatino Linotype" w:hAnsi="Palatino Linotype"/>
          <w:lang w:bidi="hi-IN"/>
        </w:rPr>
        <w:t xml:space="preserve">: </w:t>
      </w:r>
    </w:p>
    <w:p w:rsidR="00C46C20" w:rsidRDefault="00C46C20" w:rsidP="008D0078">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0,0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oMath>
      <w:r>
        <w:rPr>
          <w:rFonts w:ascii="Palatino Linotype" w:hAnsi="Palatino Linotype"/>
          <w:lang w:bidi="hi-IN"/>
        </w:rPr>
        <w:t>,</w:t>
      </w:r>
    </w:p>
    <w:p w:rsidR="00C46C20" w:rsidRDefault="00C46C20" w:rsidP="008D0078">
      <w:pPr>
        <w:spacing w:line="480" w:lineRule="auto"/>
        <w:rPr>
          <w:rFonts w:ascii="Palatino Linotype" w:hAnsi="Palatino Linotype"/>
          <w:lang w:bidi="hi-IN"/>
        </w:rPr>
      </w:pPr>
      <w:proofErr w:type="gramStart"/>
      <w:r>
        <w:rPr>
          <w:rFonts w:ascii="Palatino Linotype" w:hAnsi="Palatino Linotype"/>
          <w:lang w:bidi="hi-IN"/>
        </w:rPr>
        <w:lastRenderedPageBreak/>
        <w:t>which</w:t>
      </w:r>
      <w:proofErr w:type="gramEnd"/>
      <w:r>
        <w:rPr>
          <w:rFonts w:ascii="Palatino Linotype" w:hAnsi="Palatino Linotype"/>
          <w:lang w:bidi="hi-IN"/>
        </w:rPr>
        <w:t xml:space="preserve"> means that the population mean fitness is equal to the product of the fitness of mutation-free individuals and the probability that a mutation-free individual does not mutate. </w:t>
      </w:r>
      <w:r w:rsidRPr="00EE1F7D">
        <w:rPr>
          <w:rFonts w:ascii="Palatino Linotype" w:hAnsi="Palatino Linotype"/>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Pr="00EE1F7D">
        <w:rPr>
          <w:rFonts w:ascii="Palatino Linotype" w:hAnsi="Palatino Linotype"/>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r>
          <w:rPr>
            <w:rFonts w:ascii="Cambria Math" w:hAnsi="Cambria Math"/>
            <w:lang w:bidi="hi-IN"/>
          </w:rPr>
          <m:t>=U</m:t>
        </m:r>
      </m:oMath>
      <w:r w:rsidRPr="00EE1F7D">
        <w:rPr>
          <w:rFonts w:ascii="Palatino Linotype" w:hAnsi="Palatino Linotype"/>
          <w:lang w:bidi="hi-IN"/>
        </w:rPr>
        <w:t xml:space="preserve"> (constant uniform mutation rate) then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-U</m:t>
            </m:r>
          </m:sup>
        </m:sSup>
      </m:oMath>
      <w:r>
        <w:rPr>
          <w:rFonts w:ascii="Palatino Linotype" w:hAnsi="Palatino Linotype"/>
          <w:lang w:bidi="hi-IN"/>
        </w:rPr>
        <w:t xml:space="preserve"> </w:t>
      </w:r>
      <w:r>
        <w:rPr>
          <w:rFonts w:ascii="Palatino Linotype" w:hAnsi="Palatino Linotype"/>
          <w:lang w:bidi="hi-IN"/>
        </w:rPr>
        <w:fldChar w:fldCharType="begin" w:fldLock="1"/>
      </w:r>
      <w:r w:rsidR="008D0078">
        <w:rPr>
          <w:rFonts w:ascii="Palatino Linotype" w:hAnsi="Palatino Linotype"/>
          <w:lang w:bidi="hi-IN"/>
        </w:rPr>
        <w:instrText>ADDIN CSL_CITATION { "citationItems" : [ { "id" : "ITEM-1", "itemData" : { "ISSN" : "0016-6731", "PMID" : "17248359",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Pr>
          <w:rFonts w:ascii="Palatino Linotype" w:hAnsi="Palatino Linotype"/>
          <w:lang w:bidi="hi-IN"/>
        </w:rPr>
        <w:fldChar w:fldCharType="separate"/>
      </w:r>
      <w:r w:rsidRPr="008C6F95">
        <w:rPr>
          <w:rFonts w:ascii="Palatino Linotype" w:hAnsi="Palatino Linotype"/>
          <w:noProof/>
          <w:lang w:bidi="hi-IN"/>
        </w:rPr>
        <w:t>(Kimura and Maruyama 1966)</w:t>
      </w:r>
      <w:r>
        <w:rPr>
          <w:rFonts w:ascii="Palatino Linotype" w:hAnsi="Palatino Linotype"/>
          <w:lang w:bidi="hi-IN"/>
        </w:rPr>
        <w:fldChar w:fldCharType="end"/>
      </w:r>
      <w:r>
        <w:rPr>
          <w:rFonts w:ascii="Palatino Linotype" w:hAnsi="Palatino Linotype"/>
          <w:lang w:bidi="hi-IN"/>
        </w:rPr>
        <w:t xml:space="preserve"> and by the forward substitution method the </w:t>
      </w:r>
      <w:r w:rsidRPr="00EE1F7D">
        <w:rPr>
          <w:rFonts w:ascii="Palatino Linotype" w:hAnsi="Palatino Linotype"/>
          <w:lang w:bidi="hi-IN"/>
        </w:rPr>
        <w:t xml:space="preserve">frequencies vector is </w:t>
      </w:r>
    </w:p>
    <w:p w:rsidR="00C46C20" w:rsidRDefault="00C46C20" w:rsidP="008D0078">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sup>
        </m:sSup>
        <m:f>
          <m:fPr>
            <m:type m:val="lin"/>
            <m:ctrlPr>
              <w:rPr>
                <w:rFonts w:ascii="Cambria Math" w:hAnsi="Cambria Math"/>
                <w:i/>
                <w:lang w:bidi="hi-IN"/>
              </w:rPr>
            </m:ctrlPr>
          </m:fPr>
          <m:num>
            <m:sSup>
              <m:sSupPr>
                <m:ctrlPr>
                  <w:rPr>
                    <w:rFonts w:ascii="Cambria Math" w:hAnsi="Cambria Math"/>
                    <w:i/>
                    <w:lang w:bidi="hi-IN"/>
                  </w:rPr>
                </m:ctrlPr>
              </m:sSupPr>
              <m:e>
                <m:d>
                  <m:dPr>
                    <m:ctrlPr>
                      <w:rPr>
                        <w:rFonts w:ascii="Cambria Math" w:hAnsi="Cambria Math"/>
                        <w:i/>
                        <w:lang w:bidi="hi-IN"/>
                      </w:rPr>
                    </m:ctrlPr>
                  </m:dPr>
                  <m:e>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e>
              <m:sup>
                <m:r>
                  <w:rPr>
                    <w:rFonts w:ascii="Cambria Math" w:hAnsi="Cambria Math"/>
                    <w:lang w:bidi="hi-IN"/>
                  </w:rPr>
                  <m:t>x</m:t>
                </m:r>
              </m:sup>
            </m:sSup>
          </m:num>
          <m:den>
            <m:r>
              <w:rPr>
                <w:rFonts w:ascii="Cambria Math" w:hAnsi="Cambria Math"/>
                <w:lang w:bidi="hi-IN"/>
              </w:rPr>
              <m:t>x!</m:t>
            </m:r>
          </m:den>
        </m:f>
      </m:oMath>
      <w:r w:rsidRPr="00EE1F7D">
        <w:rPr>
          <w:rFonts w:ascii="Palatino Linotype" w:hAnsi="Palatino Linotype"/>
          <w:lang w:bidi="hi-IN"/>
        </w:rPr>
        <w:t>,</w:t>
      </w:r>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 xml:space="preserve">that is, the number of deleterious mutations per individual is Poisson distributed with average </w:t>
      </w:r>
      <w:r w:rsidRPr="00EE1F7D">
        <w:rPr>
          <w:rFonts w:ascii="Palatino Linotype" w:hAnsi="Palatino Linotype"/>
          <w:i/>
          <w:iCs/>
          <w:lang w:bidi="hi-IN"/>
        </w:rPr>
        <w:t>U/s</w:t>
      </w:r>
      <w:r w:rsidRPr="00EE1F7D">
        <w:rPr>
          <w:rFonts w:ascii="Palatino Linotype" w:hAnsi="Palatino Linotype"/>
          <w:lang w:bidi="hi-IN"/>
        </w:rPr>
        <w:t xml:space="preserve"> </w:t>
      </w:r>
      <w:r w:rsidRPr="00EE1F7D">
        <w:rPr>
          <w:rFonts w:ascii="Palatino Linotype" w:hAnsi="Palatino Linotype"/>
          <w:lang w:bidi="hi-IN"/>
        </w:rPr>
        <w:fldChar w:fldCharType="begin" w:fldLock="1"/>
      </w:r>
      <w:r w:rsidR="008D0078">
        <w:rPr>
          <w:rFonts w:ascii="Palatino Linotype" w:hAnsi="Palatino Linotype"/>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EE1F7D">
        <w:rPr>
          <w:rFonts w:ascii="Palatino Linotype" w:hAnsi="Palatino Linotype"/>
          <w:lang w:bidi="hi-IN"/>
        </w:rPr>
        <w:fldChar w:fldCharType="separate"/>
      </w:r>
      <w:r w:rsidRPr="00D84EDB">
        <w:rPr>
          <w:rFonts w:ascii="Palatino Linotype" w:hAnsi="Palatino Linotype"/>
          <w:noProof/>
          <w:lang w:bidi="hi-IN"/>
        </w:rPr>
        <w:t>(Haigh 1978)</w:t>
      </w:r>
      <w:r w:rsidRPr="00EE1F7D">
        <w:rPr>
          <w:rFonts w:ascii="Palatino Linotype" w:hAnsi="Palatino Linotype"/>
          <w:lang w:bidi="hi-IN"/>
        </w:rPr>
        <w:fldChar w:fldCharType="end"/>
      </w:r>
      <w:r w:rsidRPr="00EE1F7D">
        <w:rPr>
          <w:rFonts w:ascii="Palatino Linotype" w:hAnsi="Palatino Linotype"/>
          <w:lang w:bidi="hi-IN"/>
        </w:rPr>
        <w:t xml:space="preserve">. </w:t>
      </w:r>
      <w:r w:rsidRPr="00EE1F7D">
        <w:rPr>
          <w:rFonts w:ascii="Palatino Linotype" w:hAnsi="Palatino Linotype"/>
        </w:rPr>
        <w:t xml:space="preserve">With constitutive mutagenesis (CM), the </w:t>
      </w:r>
      <w:r>
        <w:rPr>
          <w:rFonts w:ascii="Palatino Linotype" w:hAnsi="Palatino Linotype"/>
        </w:rPr>
        <w:t xml:space="preserve">population </w:t>
      </w:r>
      <w:r w:rsidRPr="00EE1F7D">
        <w:rPr>
          <w:rFonts w:ascii="Palatino Linotype" w:hAnsi="Palatino Linotype"/>
        </w:rPr>
        <w:t>mean fitness</w:t>
      </w:r>
      <w:r>
        <w:rPr>
          <w:rFonts w:ascii="Palatino Linotype" w:hAnsi="Palatino Linotype"/>
        </w:rPr>
        <w:t xml:space="preserve"> at the MSB</w:t>
      </w:r>
      <w:r w:rsidRPr="00EE1F7D">
        <w:rPr>
          <w:rFonts w:ascii="Palatino Linotype" w:hAnsi="Palatino Linotype"/>
        </w:rPr>
        <w:t xml:space="preserve"> </w:t>
      </w:r>
      <w:proofErr w:type="gramStart"/>
      <w:r>
        <w:rPr>
          <w:rFonts w:ascii="Palatino Linotype" w:hAnsi="Palatino Linotype"/>
        </w:rPr>
        <w:t xml:space="preserve">is </w:t>
      </w:r>
      <w:proofErr w:type="gramEnd"/>
      <m:oMath>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-τU</m:t>
            </m:r>
          </m:sup>
        </m:sSup>
      </m:oMath>
      <w:r>
        <w:rPr>
          <w:rFonts w:ascii="Palatino Linotype" w:hAnsi="Palatino Linotype"/>
        </w:rPr>
        <w:t>:</w:t>
      </w:r>
      <w:r w:rsidRPr="00EE1F7D">
        <w:rPr>
          <w:rFonts w:ascii="Palatino Linotype" w:hAnsi="Palatino Linotype"/>
        </w:rPr>
        <w:t xml:space="preserve"> it decays exponentially as a function of </w:t>
      </w:r>
      <w:r w:rsidRPr="00EE1F7D">
        <w:rPr>
          <w:rFonts w:ascii="Palatino Linotype" w:hAnsi="Palatino Linotype"/>
          <w:i/>
          <w:iCs/>
        </w:rPr>
        <w:t>τ</w:t>
      </w:r>
      <w:r w:rsidRPr="00EE1F7D">
        <w:rPr>
          <w:rFonts w:ascii="Palatino Linotype" w:hAnsi="Palatino Linotype"/>
        </w:rPr>
        <w:t xml:space="preserve"> the mutation rate fold increase. In contrast, stress-induced mutagenesis (SIM), as </w:t>
      </w:r>
      <w:r>
        <w:rPr>
          <w:rFonts w:ascii="Palatino Linotype" w:hAnsi="Palatino Linotype"/>
        </w:rPr>
        <w:t xml:space="preserve">shown by </w:t>
      </w:r>
      <w:r w:rsidRPr="00EE1F7D">
        <w:rPr>
          <w:rFonts w:ascii="Palatino Linotype" w:hAnsi="Palatino Linotype"/>
        </w:rPr>
        <w:t xml:space="preserve">Agrawal </w:t>
      </w:r>
      <w:r w:rsidRPr="00EE1F7D">
        <w:rPr>
          <w:rFonts w:ascii="Palatino Linotype" w:hAnsi="Palatino Linotype"/>
        </w:rPr>
        <w:fldChar w:fldCharType="begin" w:fldLock="1"/>
      </w:r>
      <w:r w:rsidR="008D0078">
        <w:rPr>
          <w:rFonts w:ascii="Palatino Linotype" w:hAnsi="Palatino Linotype"/>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Pr="00EE1F7D">
        <w:rPr>
          <w:rFonts w:ascii="Palatino Linotype" w:hAnsi="Palatino Linotype"/>
        </w:rPr>
        <w:fldChar w:fldCharType="separate"/>
      </w:r>
      <w:r w:rsidRPr="00AA429E">
        <w:rPr>
          <w:rFonts w:ascii="Palatino Linotype" w:hAnsi="Palatino Linotype"/>
          <w:noProof/>
        </w:rPr>
        <w:t>(2002)</w:t>
      </w:r>
      <w:r w:rsidRPr="00EE1F7D">
        <w:rPr>
          <w:rFonts w:ascii="Palatino Linotype" w:hAnsi="Palatino Linotype"/>
        </w:rPr>
        <w:fldChar w:fldCharType="end"/>
      </w:r>
      <w:r w:rsidRPr="00EE1F7D">
        <w:rPr>
          <w:rFonts w:ascii="Palatino Linotype" w:hAnsi="Palatino Linotype"/>
        </w:rPr>
        <w:t>, does not change the population mean fitness with res</w:t>
      </w:r>
      <w:r>
        <w:rPr>
          <w:rFonts w:ascii="Palatino Linotype" w:hAnsi="Palatino Linotype"/>
        </w:rPr>
        <w:t>pect to normal mutagenesis (NM). This is</w:t>
      </w:r>
      <w:r w:rsidRPr="00EE1F7D">
        <w:rPr>
          <w:rFonts w:ascii="Palatino Linotype" w:hAnsi="Palatino Linotype"/>
        </w:rPr>
        <w:t xml:space="preserve"> because the least loaded individuals (</w:t>
      </w:r>
      <w:r w:rsidRPr="00EE1F7D">
        <w:rPr>
          <w:rFonts w:ascii="Palatino Linotype" w:hAnsi="Palatino Linotype"/>
          <w:i/>
          <w:iCs/>
        </w:rPr>
        <w:t>x</w:t>
      </w:r>
      <w:r w:rsidRPr="00EE1F7D">
        <w:rPr>
          <w:rFonts w:ascii="Palatino Linotype" w:hAnsi="Palatino Linotype"/>
        </w:rPr>
        <w:t xml:space="preserve">=0), with fitness </w:t>
      </w:r>
      <w:r w:rsidRPr="00940E9C">
        <w:rPr>
          <w:rFonts w:ascii="Palatino Linotype" w:hAnsi="Palatino Linotype"/>
          <w:i/>
          <w:iCs/>
        </w:rPr>
        <w:t>ω</w:t>
      </w:r>
      <w:r w:rsidRPr="00940E9C">
        <w:rPr>
          <w:rFonts w:ascii="Palatino Linotype" w:hAnsi="Palatino Linotype"/>
          <w:vertAlign w:val="subscript"/>
        </w:rPr>
        <w:t>0</w:t>
      </w:r>
      <w:r w:rsidRPr="00EE1F7D">
        <w:rPr>
          <w:rFonts w:ascii="Palatino Linotype" w:hAnsi="Palatino Linotype"/>
        </w:rPr>
        <w:t xml:space="preserve">=1, also have the lowest mutation rate, </w:t>
      </w:r>
      <w:r w:rsidRPr="00EE1F7D">
        <w:rPr>
          <w:rFonts w:ascii="Palatino Linotype" w:hAnsi="Palatino Linotype"/>
          <w:i/>
          <w:iCs/>
        </w:rPr>
        <w:t>U</w:t>
      </w:r>
      <w:r w:rsidRPr="00EE1F7D">
        <w:rPr>
          <w:rFonts w:ascii="Palatino Linotype" w:hAnsi="Palatino Linotype"/>
        </w:rPr>
        <w:t xml:space="preserve">, and therefore the population mean fitness </w:t>
      </w:r>
      <w:proofErr w:type="gramStart"/>
      <w:r w:rsidRPr="00EE1F7D">
        <w:rPr>
          <w:rFonts w:ascii="Palatino Linotype" w:hAnsi="Palatino Linotype"/>
        </w:rPr>
        <w:t>is</w:t>
      </w:r>
      <w:r>
        <w:rPr>
          <w:rFonts w:ascii="Palatino Linotype" w:hAnsi="Palatino Linotype"/>
        </w:rPr>
        <w:t xml:space="preserve">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EE1F7D">
        <w:rPr>
          <w:rFonts w:ascii="Palatino Linotype" w:hAnsi="Palatino Linotype"/>
        </w:rPr>
        <w:t>.</w:t>
      </w:r>
    </w:p>
    <w:p w:rsidR="00C46C20" w:rsidRPr="00EE1F7D" w:rsidRDefault="00C46C20" w:rsidP="008D0078">
      <w:pPr>
        <w:spacing w:line="480" w:lineRule="auto"/>
        <w:rPr>
          <w:rFonts w:ascii="Palatino Linotype" w:hAnsi="Palatino Linotype"/>
          <w:lang w:bidi="hi-IN"/>
        </w:rPr>
      </w:pPr>
      <w:r w:rsidRPr="00EE1F7D">
        <w:rPr>
          <w:rFonts w:ascii="Palatino Linotype" w:hAnsi="Palatino Linotype"/>
          <w:lang w:bidi="hi-IN"/>
        </w:rPr>
        <w:t>With beneficial mutations (</w:t>
      </w:r>
      <w:r w:rsidRPr="00EE1F7D">
        <w:rPr>
          <w:rFonts w:ascii="Palatino Linotype" w:hAnsi="Palatino Linotype"/>
        </w:rPr>
        <w:t>β&gt;0)</w:t>
      </w:r>
      <w:r>
        <w:rPr>
          <w:rFonts w:ascii="Palatino Linotype" w:hAnsi="Palatino Linotype"/>
        </w:rPr>
        <w:t xml:space="preserve">, </w:t>
      </w:r>
      <w:r>
        <w:rPr>
          <w:rFonts w:ascii="Palatino Linotype" w:hAnsi="Palatino Linotype"/>
          <w:lang w:bidi="hi-IN"/>
        </w:rPr>
        <w:t xml:space="preserve">the matrix </w:t>
      </w:r>
      <w:r w:rsidRPr="00EE1F7D">
        <w:rPr>
          <w:rFonts w:ascii="Palatino Linotype" w:hAnsi="Palatino Linotype"/>
          <w:i/>
          <w:iCs/>
          <w:lang w:bidi="hi-IN"/>
        </w:rPr>
        <w:t>M</w:t>
      </w:r>
      <w:r w:rsidRPr="00EE1F7D">
        <w:rPr>
          <w:rFonts w:ascii="Palatino Linotype" w:hAnsi="Palatino Linotype"/>
          <w:lang w:bidi="hi-IN"/>
        </w:rPr>
        <w:t xml:space="preserve"> is a </w:t>
      </w:r>
      <w:r>
        <w:rPr>
          <w:rFonts w:ascii="Palatino Linotype" w:hAnsi="Palatino Linotype"/>
          <w:lang w:bidi="hi-IN"/>
        </w:rPr>
        <w:t xml:space="preserve">positive </w:t>
      </w:r>
      <w:r w:rsidRPr="00EE1F7D">
        <w:rPr>
          <w:rFonts w:ascii="Palatino Linotype" w:hAnsi="Palatino Linotype"/>
          <w:lang w:bidi="hi-IN"/>
        </w:rPr>
        <w:t>matrix,</w:t>
      </w:r>
      <w:r>
        <w:rPr>
          <w:rFonts w:ascii="Palatino Linotype" w:hAnsi="Palatino Linotype"/>
          <w:lang w:bidi="hi-IN"/>
        </w:rPr>
        <w:t xml:space="preserve"> and</w:t>
      </w:r>
      <w:r w:rsidRPr="00EE1F7D">
        <w:rPr>
          <w:rFonts w:ascii="Palatino Linotype" w:hAnsi="Palatino Linotype"/>
          <w:lang w:bidi="hi-IN"/>
        </w:rPr>
        <w:t xml:space="preserve"> by the </w:t>
      </w:r>
      <w:proofErr w:type="spellStart"/>
      <w:r w:rsidRPr="00EE1F7D">
        <w:rPr>
          <w:rFonts w:ascii="Palatino Linotype" w:hAnsi="Palatino Linotype"/>
          <w:i/>
          <w:iCs/>
          <w:lang w:bidi="hi-IN"/>
        </w:rPr>
        <w:t>Perron-Frobenius</w:t>
      </w:r>
      <w:proofErr w:type="spellEnd"/>
      <w:r w:rsidRPr="00EE1F7D">
        <w:rPr>
          <w:rFonts w:ascii="Palatino Linotype" w:hAnsi="Palatino Linotype"/>
          <w:i/>
          <w:iCs/>
          <w:lang w:bidi="hi-IN"/>
        </w:rPr>
        <w:t xml:space="preserve"> Theorem</w:t>
      </w:r>
      <w:r w:rsidRPr="00EE1F7D">
        <w:rPr>
          <w:rFonts w:ascii="Palatino Linotype" w:hAnsi="Palatino Linotype"/>
          <w:lang w:bidi="hi-IN"/>
        </w:rPr>
        <w:t xml:space="preserve"> </w:t>
      </w:r>
      <w:r w:rsidRPr="00EE1F7D">
        <w:rPr>
          <w:rFonts w:ascii="Palatino Linotype" w:hAnsi="Palatino Linotype"/>
          <w:lang w:bidi="hi-IN"/>
        </w:rPr>
        <w:fldChar w:fldCharType="begin" w:fldLock="1"/>
      </w:r>
      <w:r w:rsidR="008D0078">
        <w:rPr>
          <w:rFonts w:ascii="Palatino Linotype" w:hAnsi="Palatino Linotype"/>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sidRPr="00EE1F7D">
        <w:rPr>
          <w:rFonts w:ascii="Palatino Linotype" w:hAnsi="Palatino Linotype"/>
          <w:lang w:bidi="hi-IN"/>
        </w:rPr>
        <w:fldChar w:fldCharType="separate"/>
      </w:r>
      <w:r w:rsidRPr="00EE1F7D">
        <w:rPr>
          <w:rFonts w:ascii="Palatino Linotype" w:hAnsi="Palatino Linotype"/>
          <w:noProof/>
          <w:lang w:bidi="hi-IN"/>
        </w:rPr>
        <w:t>(Otto and Day 2007, p. 709)</w:t>
      </w:r>
      <w:r w:rsidRPr="00EE1F7D">
        <w:rPr>
          <w:rFonts w:ascii="Palatino Linotype" w:hAnsi="Palatino Linotype"/>
          <w:lang w:bidi="hi-IN"/>
        </w:rPr>
        <w:fldChar w:fldCharType="end"/>
      </w:r>
      <w:r w:rsidRPr="00EE1F7D">
        <w:rPr>
          <w:rFonts w:ascii="Palatino Linotype" w:hAnsi="Palatino Linotype"/>
          <w:lang w:bidi="hi-IN"/>
        </w:rPr>
        <w:t xml:space="preserve"> </w:t>
      </w: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oMath>
      <w:r w:rsidRPr="00EE1F7D">
        <w:rPr>
          <w:rFonts w:ascii="Palatino Linotype" w:hAnsi="Palatino Linotype"/>
          <w:lang w:bidi="hi-IN"/>
        </w:rPr>
        <w:t xml:space="preserve"> is the largest eigenvalue of </w:t>
      </w:r>
      <w:r w:rsidRPr="00EE1F7D">
        <w:rPr>
          <w:rFonts w:ascii="Palatino Linotype" w:hAnsi="Palatino Linotype"/>
          <w:i/>
          <w:iCs/>
          <w:lang w:bidi="hi-IN"/>
        </w:rPr>
        <w:t>M</w:t>
      </w:r>
      <w:r>
        <w:rPr>
          <w:rFonts w:ascii="Palatino Linotype" w:hAnsi="Palatino Linotype"/>
          <w:lang w:bidi="hi-IN"/>
        </w:rPr>
        <w:t xml:space="preserve"> </w:t>
      </w:r>
      <w:r w:rsidRPr="00EE1F7D">
        <w:rPr>
          <w:rFonts w:ascii="Palatino Linotype" w:hAnsi="Palatino Linotype"/>
          <w:lang w:bidi="hi-IN"/>
        </w:rPr>
        <w:t xml:space="preserve">and </w:t>
      </w:r>
      <w:r w:rsidRPr="00EE1F7D">
        <w:rPr>
          <w:rFonts w:ascii="Palatino Linotype" w:hAnsi="Palatino Linotype"/>
          <w:i/>
          <w:iCs/>
          <w:lang w:bidi="hi-IN"/>
        </w:rPr>
        <w:t>f*</w:t>
      </w:r>
      <w:r w:rsidRPr="00EE1F7D">
        <w:rPr>
          <w:rFonts w:ascii="Palatino Linotype" w:hAnsi="Palatino Linotype"/>
          <w:lang w:bidi="hi-IN"/>
        </w:rPr>
        <w:t xml:space="preserve"> is its unique </w:t>
      </w:r>
      <w:r>
        <w:rPr>
          <w:rFonts w:ascii="Palatino Linotype" w:hAnsi="Palatino Linotype"/>
          <w:lang w:bidi="hi-IN"/>
        </w:rPr>
        <w:t>positive</w:t>
      </w:r>
      <w:r w:rsidRPr="00EE1F7D">
        <w:rPr>
          <w:rFonts w:ascii="Palatino Linotype" w:hAnsi="Palatino Linotype"/>
          <w:lang w:bidi="hi-IN"/>
        </w:rPr>
        <w:t xml:space="preserve"> eigenvector with </w:t>
      </w:r>
      <m:oMath>
        <m:r>
          <w:rPr>
            <w:rFonts w:ascii="Cambria Math" w:hAnsi="Cambria Math"/>
            <w:lang w:bidi="hi-IN"/>
          </w:rPr>
          <m:t>∑f=1</m:t>
        </m:r>
      </m:oMath>
      <w:r w:rsidRPr="00EE1F7D">
        <w:rPr>
          <w:rFonts w:ascii="Palatino Linotype" w:hAnsi="Palatino Linotype"/>
          <w:lang w:bidi="hi-IN"/>
        </w:rPr>
        <w:t xml:space="preserve">. </w:t>
      </w:r>
    </w:p>
    <w:p w:rsidR="00C46C20" w:rsidRPr="00747917" w:rsidRDefault="00C46C20" w:rsidP="008D0078">
      <w:pPr>
        <w:spacing w:line="480" w:lineRule="auto"/>
        <w:rPr>
          <w:rFonts w:ascii="Palatino Linotype" w:hAnsi="Palatino Linotype"/>
          <w:lang w:bidi="hi-IN"/>
        </w:rPr>
      </w:pPr>
      <w:r>
        <w:rPr>
          <w:rFonts w:ascii="Palatino Linotype" w:hAnsi="Palatino Linotype"/>
          <w:lang w:bidi="hi-IN"/>
        </w:rPr>
        <w:t>This eigenvalue problem is hard to solve analytically, however, b</w:t>
      </w:r>
      <w:r w:rsidRPr="00EE1F7D">
        <w:rPr>
          <w:rFonts w:ascii="Palatino Linotype" w:hAnsi="Palatino Linotype"/>
          <w:lang w:bidi="hi-IN"/>
        </w:rPr>
        <w:t xml:space="preserve">y neglecting elements outside the main three diagonals of </w:t>
      </w:r>
      <w:r w:rsidRPr="00EE1F7D">
        <w:rPr>
          <w:rFonts w:ascii="Palatino Linotype" w:hAnsi="Palatino Linotype"/>
          <w:i/>
          <w:iCs/>
          <w:lang w:bidi="hi-IN"/>
        </w:rPr>
        <w:t>M</w:t>
      </w:r>
      <w:r w:rsidRPr="00EE1F7D">
        <w:rPr>
          <w:rFonts w:ascii="Palatino Linotype" w:hAnsi="Palatino Linotype"/>
          <w:lang w:bidi="hi-IN"/>
        </w:rPr>
        <w:t xml:space="preserve"> we have shown before </w:t>
      </w:r>
      <w:r w:rsidRPr="00EE1F7D">
        <w:rPr>
          <w:rFonts w:ascii="Palatino Linotype" w:hAnsi="Palatino Linotype"/>
          <w:lang w:bidi="hi-IN"/>
        </w:rPr>
        <w:fldChar w:fldCharType="begin" w:fldLock="1"/>
      </w:r>
      <w:r w:rsidR="008D0078">
        <w:rPr>
          <w:rFonts w:ascii="Palatino Linotype" w:hAnsi="Palatino Linotype"/>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EE1F7D">
        <w:rPr>
          <w:rFonts w:ascii="Palatino Linotype" w:hAnsi="Palatino Linotype"/>
          <w:lang w:bidi="hi-IN"/>
        </w:rPr>
        <w:fldChar w:fldCharType="separate"/>
      </w:r>
      <w:r w:rsidRPr="00D84EDB">
        <w:rPr>
          <w:rFonts w:ascii="Palatino Linotype" w:hAnsi="Palatino Linotype"/>
          <w:noProof/>
          <w:lang w:bidi="hi-IN"/>
        </w:rPr>
        <w:t>(Ram and Hadany 2012)</w:t>
      </w:r>
      <w:r w:rsidRPr="00EE1F7D">
        <w:rPr>
          <w:rFonts w:ascii="Palatino Linotype" w:hAnsi="Palatino Linotype"/>
          <w:lang w:bidi="hi-IN"/>
        </w:rPr>
        <w:fldChar w:fldCharType="end"/>
      </w:r>
      <w:r>
        <w:rPr>
          <w:rFonts w:ascii="Palatino Linotype" w:hAnsi="Palatino Linotype"/>
          <w:lang w:bidi="hi-IN"/>
        </w:rPr>
        <w:t xml:space="preserve"> that the population mean fitness increases with the mutation rate of individuals with a below–average fitness:</w:t>
      </w:r>
    </w:p>
    <w:p w:rsidR="00C46C20" w:rsidRPr="00EE1F7D" w:rsidRDefault="00C46C20" w:rsidP="008D0078">
      <w:pPr>
        <w:spacing w:line="480" w:lineRule="auto"/>
        <w:jc w:val="center"/>
        <w:rPr>
          <w:rFonts w:ascii="Palatino Linotype" w:hAnsi="Palatino Linotype"/>
          <w:lang w:bidi="hi-IN"/>
        </w:rPr>
      </w:pPr>
      <m:oMath>
        <m:r>
          <w:rPr>
            <w:rFonts w:ascii="Cambria Math" w:hAnsi="Cambria Math"/>
            <w:lang w:bidi="hi-IN"/>
          </w:rPr>
          <m:t>sign</m:t>
        </m:r>
        <m:f>
          <m:fPr>
            <m:ctrlPr>
              <w:rPr>
                <w:rFonts w:ascii="Cambria Math" w:hAnsi="Cambria Math"/>
                <w:i/>
                <w:lang w:bidi="hi-IN"/>
              </w:rPr>
            </m:ctrlPr>
          </m:fPr>
          <m:num>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num>
          <m:den>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den>
        </m:f>
        <m:r>
          <w:rPr>
            <w:rFonts w:ascii="Cambria Math" w:hAnsi="Cambria Math"/>
            <w:lang w:bidi="hi-IN"/>
          </w:rPr>
          <m:t>=sign(</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oMath>
      <w:r w:rsidRPr="00EE1F7D">
        <w:rPr>
          <w:rFonts w:ascii="Palatino Linotype" w:hAnsi="Palatino Linotype"/>
          <w:lang w:bidi="hi-IN"/>
        </w:rPr>
        <w:t>.</w:t>
      </w:r>
    </w:p>
    <w:p w:rsidR="00C46C20" w:rsidRDefault="00C46C20" w:rsidP="008D0078">
      <w:pPr>
        <w:spacing w:line="480" w:lineRule="auto"/>
        <w:rPr>
          <w:rFonts w:ascii="Palatino Linotype" w:hAnsi="Palatino Linotype"/>
        </w:rPr>
      </w:pPr>
      <w:r w:rsidRPr="00EE1F7D">
        <w:rPr>
          <w:rFonts w:ascii="Palatino Linotype" w:hAnsi="Palatino Linotype"/>
          <w:lang w:bidi="hi-IN"/>
        </w:rPr>
        <w:lastRenderedPageBreak/>
        <w:t xml:space="preserve">Nevertheless, this framework allows the </w:t>
      </w:r>
      <w:r>
        <w:rPr>
          <w:rFonts w:ascii="Palatino Linotype" w:hAnsi="Palatino Linotype"/>
          <w:lang w:bidi="hi-IN"/>
        </w:rPr>
        <w:t xml:space="preserve">numerical </w:t>
      </w:r>
      <w:r w:rsidRPr="00EE1F7D">
        <w:rPr>
          <w:rFonts w:ascii="Palatino Linotype" w:hAnsi="Palatino Linotype"/>
          <w:lang w:bidi="hi-IN"/>
        </w:rPr>
        <w:t xml:space="preserve">calculation of the population mean fitness for finite </w:t>
      </w:r>
      <w:r w:rsidRPr="00EE1F7D">
        <w:rPr>
          <w:rFonts w:ascii="Palatino Linotype" w:hAnsi="Palatino Linotype"/>
          <w:i/>
          <w:iCs/>
          <w:lang w:bidi="hi-IN"/>
        </w:rPr>
        <w:t>n</w:t>
      </w:r>
      <w:r w:rsidRPr="00EE1F7D">
        <w:rPr>
          <w:rFonts w:ascii="Palatino Linotype" w:hAnsi="Palatino Linotype"/>
          <w:lang w:bidi="hi-IN"/>
        </w:rPr>
        <w:t>-by-</w:t>
      </w:r>
      <w:r w:rsidRPr="00EE1F7D">
        <w:rPr>
          <w:rFonts w:ascii="Palatino Linotype" w:hAnsi="Palatino Linotype"/>
          <w:i/>
          <w:iCs/>
          <w:lang w:bidi="hi-IN"/>
        </w:rPr>
        <w:t xml:space="preserve">n </w:t>
      </w:r>
      <w:r>
        <w:rPr>
          <w:rFonts w:ascii="Palatino Linotype" w:hAnsi="Palatino Linotype"/>
          <w:lang w:bidi="hi-IN"/>
        </w:rPr>
        <w:t xml:space="preserve">mutation-selection </w:t>
      </w:r>
      <w:r w:rsidRPr="00EE1F7D">
        <w:rPr>
          <w:rFonts w:ascii="Palatino Linotype" w:hAnsi="Palatino Linotype"/>
          <w:lang w:bidi="hi-IN"/>
        </w:rPr>
        <w:t xml:space="preserve">matrices by defining </w:t>
      </w:r>
      <w:r w:rsidRPr="00EE1F7D">
        <w:rPr>
          <w:rFonts w:ascii="Palatino Linotype" w:hAnsi="Palatino Linotype"/>
          <w:i/>
          <w:iCs/>
          <w:lang w:bidi="hi-IN"/>
        </w:rPr>
        <w:t xml:space="preserve">n </w:t>
      </w:r>
      <w:r w:rsidRPr="00EE1F7D">
        <w:rPr>
          <w:rFonts w:ascii="Palatino Linotype" w:hAnsi="Palatino Linotype"/>
          <w:lang w:bidi="hi-IN"/>
        </w:rPr>
        <w:t xml:space="preserve">such </w:t>
      </w:r>
      <w:proofErr w:type="gramStart"/>
      <w:r w:rsidRPr="00EE1F7D">
        <w:rPr>
          <w:rFonts w:ascii="Palatino Linotype" w:hAnsi="Palatino Linotype"/>
          <w:lang w:bidi="hi-IN"/>
        </w:rPr>
        <w:t xml:space="preserve">that </w:t>
      </w:r>
      <w:proofErr w:type="gramEnd"/>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=0 ∀x≥n</m:t>
        </m:r>
      </m:oMath>
      <w:r>
        <w:rPr>
          <w:rFonts w:ascii="Palatino Linotype" w:hAnsi="Palatino Linotype"/>
          <w:lang w:bidi="hi-IN"/>
        </w:rPr>
        <w:t>. T</w:t>
      </w:r>
      <w:r w:rsidRPr="00EE1F7D">
        <w:rPr>
          <w:rFonts w:ascii="Palatino Linotype" w:hAnsi="Palatino Linotype"/>
          <w:lang w:bidi="hi-IN"/>
        </w:rPr>
        <w:t xml:space="preserve">he mean fitness of populations with different mutational strategies </w:t>
      </w:r>
      <w:r>
        <w:rPr>
          <w:rFonts w:ascii="Palatino Linotype" w:hAnsi="Palatino Linotype"/>
          <w:lang w:bidi="hi-IN"/>
        </w:rPr>
        <w:t xml:space="preserve">is then calculated </w:t>
      </w:r>
      <w:r w:rsidRPr="00EE1F7D">
        <w:rPr>
          <w:rFonts w:ascii="Palatino Linotype" w:hAnsi="Palatino Linotype"/>
          <w:lang w:bidi="hi-IN"/>
        </w:rPr>
        <w:t xml:space="preserve">by manipulating </w:t>
      </w:r>
      <w:r w:rsidRPr="00EE1F7D">
        <w:rPr>
          <w:rFonts w:ascii="Palatino Linotype" w:hAnsi="Palatino Linotype"/>
          <w:i/>
          <w:iCs/>
          <w:lang w:bidi="hi-IN"/>
        </w:rPr>
        <w:t>U</w:t>
      </w:r>
      <w:r w:rsidRPr="00EE1F7D">
        <w:rPr>
          <w:rFonts w:ascii="Palatino Linotype" w:hAnsi="Palatino Linotype"/>
          <w:i/>
          <w:iCs/>
          <w:vertAlign w:val="subscript"/>
          <w:lang w:bidi="hi-IN"/>
        </w:rPr>
        <w:t>x</w:t>
      </w:r>
      <w:r w:rsidRPr="00EE1F7D">
        <w:rPr>
          <w:rFonts w:ascii="Palatino Linotype" w:hAnsi="Palatino Linotype"/>
          <w:lang w:bidi="hi-IN"/>
        </w:rPr>
        <w:t>.</w:t>
      </w:r>
      <w:r w:rsidRPr="00EE1F7D">
        <w:rPr>
          <w:rFonts w:ascii="Palatino Linotype" w:hAnsi="Palatino Linotype"/>
        </w:rPr>
        <w:t xml:space="preserve"> </w:t>
      </w:r>
    </w:p>
    <w:p w:rsidR="008A52D7" w:rsidRDefault="00C46C20" w:rsidP="008D0078">
      <w:pPr>
        <w:spacing w:line="480" w:lineRule="auto"/>
        <w:rPr>
          <w:rFonts w:ascii="Palatino Linotype" w:hAnsi="Palatino Linotype"/>
          <w:lang w:bidi="hi-IN"/>
        </w:rPr>
      </w:pPr>
      <w:r>
        <w:rPr>
          <w:rFonts w:ascii="Palatino Linotype" w:hAnsi="Palatino Linotype"/>
        </w:rPr>
        <w:t xml:space="preserve">Figure </w:t>
      </w:r>
      <w:r w:rsidR="008A52D7">
        <w:rPr>
          <w:rFonts w:ascii="Palatino Linotype" w:hAnsi="Palatino Linotype"/>
        </w:rPr>
        <w:t>C1</w:t>
      </w:r>
      <w:r>
        <w:rPr>
          <w:rFonts w:ascii="Palatino Linotype" w:hAnsi="Palatino Linotype"/>
        </w:rPr>
        <w:t xml:space="preserve"> shows </w:t>
      </w:r>
      <w:r w:rsidRPr="00EE1F7D">
        <w:rPr>
          <w:rFonts w:ascii="Palatino Linotype" w:hAnsi="Palatino Linotype"/>
        </w:rPr>
        <w:t xml:space="preserve">that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ascii="Palatino Linotype" w:hAnsi="Palatino Linotype"/>
        </w:rPr>
        <w:t xml:space="preserve"> </w:t>
      </w:r>
      <w:r w:rsidRPr="00EE1F7D">
        <w:rPr>
          <w:rFonts w:ascii="Palatino Linotype" w:hAnsi="Palatino Linotype"/>
        </w:rPr>
        <w:t xml:space="preserve">is a good approximation to the population mean fitness (because </w:t>
      </w:r>
      <m:oMath>
        <m:r>
          <w:rPr>
            <w:rFonts w:ascii="Cambria Math" w:hAnsi="Cambria Math"/>
          </w:rPr>
          <m:t>β≪δ&lt;1</m:t>
        </m:r>
      </m:oMath>
      <w:r w:rsidRPr="00EE1F7D">
        <w:rPr>
          <w:rFonts w:ascii="Palatino Linotype" w:hAnsi="Palatino Linotype"/>
        </w:rPr>
        <w:t xml:space="preserve">), </w:t>
      </w:r>
      <w:r>
        <w:rPr>
          <w:rFonts w:ascii="Palatino Linotype" w:hAnsi="Palatino Linotype"/>
        </w:rPr>
        <w:t>and that</w:t>
      </w:r>
      <w:r w:rsidRPr="00EE1F7D">
        <w:rPr>
          <w:rFonts w:ascii="Palatino Linotype" w:hAnsi="Palatino Linotype"/>
        </w:rPr>
        <w:t xml:space="preserve"> SIM </w:t>
      </w:r>
      <w:r>
        <w:rPr>
          <w:rFonts w:ascii="Palatino Linotype" w:hAnsi="Palatino Linotype"/>
        </w:rPr>
        <w:t xml:space="preserve">slightly </w:t>
      </w:r>
      <w:r w:rsidRPr="00EE1F7D">
        <w:rPr>
          <w:rFonts w:ascii="Palatino Linotype" w:hAnsi="Palatino Linotype"/>
        </w:rPr>
        <w:t>increase</w:t>
      </w:r>
      <w:r>
        <w:rPr>
          <w:rFonts w:ascii="Palatino Linotype" w:hAnsi="Palatino Linotype"/>
        </w:rPr>
        <w:t>s</w:t>
      </w:r>
      <w:r w:rsidRPr="00EE1F7D">
        <w:rPr>
          <w:rFonts w:ascii="Palatino Linotype" w:hAnsi="Palatino Linotype"/>
        </w:rPr>
        <w:t xml:space="preserve"> the population mean fitness with respect to NM</w:t>
      </w:r>
      <w:r>
        <w:rPr>
          <w:rFonts w:ascii="Palatino Linotype" w:hAnsi="Palatino Linotype"/>
        </w:rPr>
        <w:t>;</w:t>
      </w:r>
      <w:r w:rsidRPr="00EE1F7D">
        <w:rPr>
          <w:rFonts w:ascii="Palatino Linotype" w:hAnsi="Palatino Linotype"/>
        </w:rPr>
        <w:t xml:space="preserve"> a sufficient condition is that the mutation rate of individuals with below average fitness is increased</w:t>
      </w:r>
      <w:r>
        <w:rPr>
          <w:rFonts w:ascii="Palatino Linotype" w:hAnsi="Palatino Linotype"/>
        </w:rPr>
        <w:t xml:space="preserve"> </w:t>
      </w:r>
      <w:r>
        <w:rPr>
          <w:rFonts w:ascii="Palatino Linotype" w:hAnsi="Palatino Linotype"/>
        </w:rPr>
        <w:fldChar w:fldCharType="begin" w:fldLock="1"/>
      </w:r>
      <w:r w:rsidR="008D0078">
        <w:rPr>
          <w:rFonts w:ascii="Palatino Linotype" w:hAnsi="Palatino Linotype"/>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ascii="Palatino Linotype" w:hAnsi="Palatino Linotype"/>
        </w:rPr>
        <w:fldChar w:fldCharType="separate"/>
      </w:r>
      <w:r w:rsidRPr="00D84EDB">
        <w:rPr>
          <w:rFonts w:ascii="Palatino Linotype" w:hAnsi="Palatino Linotype"/>
          <w:noProof/>
        </w:rPr>
        <w:t>(Ram and Hadany 2012)</w:t>
      </w:r>
      <w:r>
        <w:rPr>
          <w:rFonts w:ascii="Palatino Linotype" w:hAnsi="Palatino Linotype"/>
        </w:rPr>
        <w:fldChar w:fldCharType="end"/>
      </w:r>
      <w:r w:rsidRPr="00EE1F7D">
        <w:rPr>
          <w:rFonts w:ascii="Palatino Linotype" w:hAnsi="Palatino Linotype"/>
        </w:rPr>
        <w:t xml:space="preserve">. Since we assume </w:t>
      </w:r>
      <w:proofErr w:type="gramStart"/>
      <w:r w:rsidRPr="00EE1F7D">
        <w:rPr>
          <w:rFonts w:ascii="Palatino Linotype" w:hAnsi="Palatino Linotype"/>
        </w:rPr>
        <w:t xml:space="preserve">that </w:t>
      </w:r>
      <w:proofErr w:type="gramEnd"/>
      <m:oMath>
        <m:r>
          <w:rPr>
            <w:rFonts w:ascii="Cambria Math" w:hAnsi="Cambria Math"/>
          </w:rPr>
          <m:t>U&lt;s</m:t>
        </m:r>
      </m:oMath>
      <w:r w:rsidRPr="00EE1F7D">
        <w:rPr>
          <w:rFonts w:ascii="Palatino Linotype" w:hAnsi="Palatino Linotype"/>
        </w:rPr>
        <w:t>,</w:t>
      </w:r>
      <w:r w:rsidRPr="00EE1F7D">
        <w:rPr>
          <w:rFonts w:ascii="Palatino Linotype" w:hAnsi="Palatino Linotype"/>
          <w:i/>
          <w:iCs/>
        </w:rPr>
        <w:t xml:space="preserve"> </w:t>
      </w:r>
      <w:r w:rsidRPr="00EE1F7D">
        <w:rPr>
          <w:rFonts w:ascii="Palatino Linotype" w:hAnsi="Palatino Linotype"/>
        </w:rPr>
        <w:t xml:space="preserve">then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≈1-U&gt;1-s</m:t>
        </m:r>
      </m:oMath>
      <w:r w:rsidRPr="00EE1F7D">
        <w:rPr>
          <w:rFonts w:ascii="Palatino Linotype" w:hAnsi="Palatino Linotype"/>
        </w:rPr>
        <w:t xml:space="preserve">. Therefore, </w:t>
      </w:r>
      <w:r>
        <w:rPr>
          <w:rFonts w:ascii="Palatino Linotype" w:hAnsi="Palatino Linotype"/>
        </w:rPr>
        <w:t>for</w:t>
      </w:r>
      <w:r w:rsidRPr="00EE1F7D">
        <w:rPr>
          <w:rFonts w:ascii="Palatino Linotype" w:hAnsi="Palatino Linotype"/>
        </w:rPr>
        <w:t xml:space="preserve"> SIM </w:t>
      </w:r>
      <w:r>
        <w:rPr>
          <w:rFonts w:ascii="Palatino Linotype" w:hAnsi="Palatino Linotype"/>
        </w:rPr>
        <w:t xml:space="preserve">to </w:t>
      </w:r>
      <w:r w:rsidRPr="00EE1F7D">
        <w:rPr>
          <w:rFonts w:ascii="Palatino Linotype" w:hAnsi="Palatino Linotype"/>
        </w:rPr>
        <w:t xml:space="preserve">increase the population mean fitness </w:t>
      </w:r>
      <w:r>
        <w:rPr>
          <w:rFonts w:ascii="Palatino Linotype" w:hAnsi="Palatino Linotype"/>
        </w:rPr>
        <w:t>it must increase</w:t>
      </w:r>
      <w:r w:rsidRPr="00EE1F7D">
        <w:rPr>
          <w:rFonts w:ascii="Palatino Linotype" w:hAnsi="Palatino Linotype"/>
        </w:rPr>
        <w:t xml:space="preserve"> the mutation rate in individuals with at least one deleterious mutation</w:t>
      </w:r>
      <w:r w:rsidRPr="00EE1F7D">
        <w:rPr>
          <w:rFonts w:ascii="Palatino Linotype" w:hAnsi="Palatino Linotype"/>
          <w:lang w:bidi="hi-IN"/>
        </w:rPr>
        <w:t>.</w:t>
      </w:r>
    </w:p>
    <w:p w:rsidR="008A52D7" w:rsidRDefault="008A52D7" w:rsidP="008D0078">
      <w:pPr>
        <w:spacing w:line="480" w:lineRule="auto"/>
        <w:rPr>
          <w:lang w:bidi="hi-IN"/>
        </w:rPr>
      </w:pPr>
      <w:r>
        <w:rPr>
          <w:lang w:bidi="hi-IN"/>
        </w:rPr>
        <w:br w:type="page"/>
      </w:r>
    </w:p>
    <w:p w:rsidR="008A52D7" w:rsidRDefault="008A52D7" w:rsidP="008D0078">
      <w:pPr>
        <w:spacing w:line="480" w:lineRule="auto"/>
        <w:jc w:val="center"/>
        <w:rPr>
          <w:b/>
          <w:bCs/>
          <w:sz w:val="20"/>
          <w:szCs w:val="20"/>
        </w:rPr>
      </w:pPr>
      <w:bookmarkStart w:id="23" w:name="_Ref363979903"/>
      <w:r>
        <w:rPr>
          <w:b/>
          <w:bCs/>
          <w:noProof/>
          <w:sz w:val="20"/>
          <w:szCs w:val="20"/>
        </w:rPr>
        <w:lastRenderedPageBreak/>
        <w:drawing>
          <wp:inline distT="0" distB="0" distL="0" distR="0" wp14:anchorId="06B6AC3F" wp14:editId="28FAAFCD">
            <wp:extent cx="5279390" cy="4222115"/>
            <wp:effectExtent l="0" t="0" r="0" b="6985"/>
            <wp:docPr id="11" name="Picture 11" descr="D:\workspace\ruggedsim\manuscript\ram_f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8A52D7" w:rsidRDefault="008A52D7" w:rsidP="008D0078">
      <w:pPr>
        <w:spacing w:line="480" w:lineRule="auto"/>
        <w:rPr>
          <w:sz w:val="20"/>
          <w:szCs w:val="20"/>
        </w:rPr>
      </w:pPr>
      <w:r>
        <w:rPr>
          <w:rFonts w:ascii="Palatino Linotype" w:hAnsi="Palatino Linotype"/>
          <w:b/>
          <w:bCs/>
          <w:sz w:val="20"/>
          <w:szCs w:val="20"/>
        </w:rPr>
        <w:t xml:space="preserve">Online </w:t>
      </w:r>
      <w:r w:rsidRPr="00733307">
        <w:rPr>
          <w:b/>
          <w:bCs/>
          <w:sz w:val="20"/>
          <w:szCs w:val="20"/>
        </w:rPr>
        <w:t>Figure</w:t>
      </w:r>
      <w:bookmarkEnd w:id="23"/>
      <w:r>
        <w:rPr>
          <w:b/>
          <w:bCs/>
          <w:sz w:val="20"/>
          <w:szCs w:val="20"/>
        </w:rPr>
        <w:t xml:space="preserve"> </w:t>
      </w:r>
      <w:r>
        <w:rPr>
          <w:b/>
          <w:bCs/>
          <w:sz w:val="20"/>
          <w:szCs w:val="20"/>
        </w:rPr>
        <w:t>C1</w:t>
      </w:r>
      <w:r w:rsidRPr="00733307">
        <w:rPr>
          <w:b/>
          <w:bCs/>
          <w:sz w:val="20"/>
          <w:szCs w:val="20"/>
        </w:rPr>
        <w:t xml:space="preserve"> – Mean fitness at the mutation-selection balance with stress-induced mutagenesis. </w:t>
      </w:r>
      <w:r w:rsidRPr="00733307">
        <w:rPr>
          <w:sz w:val="20"/>
          <w:szCs w:val="20"/>
        </w:rPr>
        <w:t xml:space="preserve">The brightness represents the fitness advantage of stress-induced mutagenesis over normal mutagenesis </w:t>
      </w:r>
      <m:oMath>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SIM</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e>
                </m:d>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den>
            </m:f>
          </m:e>
        </m:d>
      </m:oMath>
      <w:r w:rsidRPr="00733307">
        <w:rPr>
          <w:sz w:val="20"/>
          <w:szCs w:val="20"/>
        </w:rPr>
        <w:t xml:space="preserve"> at the mutation-selection balance. The x-axis is the fraction of mutations that are b</w:t>
      </w:r>
      <w:proofErr w:type="spellStart"/>
      <w:r w:rsidRPr="00733307">
        <w:rPr>
          <w:sz w:val="20"/>
          <w:szCs w:val="20"/>
        </w:rPr>
        <w:t>eneficial</w:t>
      </w:r>
      <w:proofErr w:type="spellEnd"/>
      <w:r w:rsidRPr="00733307">
        <w:rPr>
          <w:sz w:val="20"/>
          <w:szCs w:val="20"/>
        </w:rPr>
        <w:t xml:space="preserve"> </w:t>
      </w:r>
      <w:r w:rsidRPr="00733307">
        <w:rPr>
          <w:i/>
          <w:iCs/>
          <w:sz w:val="20"/>
          <w:szCs w:val="20"/>
        </w:rPr>
        <w:t>β</w:t>
      </w:r>
      <w:r>
        <w:rPr>
          <w:sz w:val="20"/>
          <w:szCs w:val="20"/>
        </w:rPr>
        <w:t xml:space="preserve">. </w:t>
      </w:r>
      <w:r w:rsidRPr="00733307">
        <w:rPr>
          <w:sz w:val="20"/>
          <w:szCs w:val="20"/>
        </w:rPr>
        <w:t>The</w:t>
      </w:r>
      <w:r>
        <w:rPr>
          <w:sz w:val="20"/>
          <w:szCs w:val="20"/>
        </w:rPr>
        <w:t xml:space="preserve"> </w:t>
      </w:r>
      <w:r w:rsidRPr="00733307">
        <w:rPr>
          <w:sz w:val="20"/>
          <w:szCs w:val="20"/>
        </w:rPr>
        <w:t>y-axis is the mutation rate fold increase under stress</w:t>
      </w:r>
      <w:r w:rsidRPr="00733307">
        <w:rPr>
          <w:i/>
          <w:iCs/>
          <w:sz w:val="20"/>
          <w:szCs w:val="20"/>
        </w:rPr>
        <w:t xml:space="preserve"> τ</w:t>
      </w:r>
      <w:r w:rsidRPr="00733307">
        <w:rPr>
          <w:sz w:val="20"/>
          <w:szCs w:val="20"/>
        </w:rPr>
        <w:t xml:space="preserve">. "X" marks the parameter set </w:t>
      </w:r>
      <w:r w:rsidRPr="00733307">
        <w:rPr>
          <w:i/>
          <w:iCs/>
          <w:sz w:val="20"/>
          <w:szCs w:val="20"/>
        </w:rPr>
        <w:t>β</w:t>
      </w:r>
      <w:r w:rsidRPr="00733307">
        <w:rPr>
          <w:sz w:val="20"/>
          <w:szCs w:val="20"/>
        </w:rPr>
        <w:t xml:space="preserve">=1/5000 and </w:t>
      </w:r>
      <w:r w:rsidRPr="00733307">
        <w:rPr>
          <w:i/>
          <w:iCs/>
          <w:sz w:val="20"/>
          <w:szCs w:val="20"/>
        </w:rPr>
        <w:t>τ</w:t>
      </w:r>
      <w:r w:rsidRPr="00733307">
        <w:rPr>
          <w:sz w:val="20"/>
          <w:szCs w:val="20"/>
        </w:rPr>
        <w:t>=10, in which the fitness advantage of SIM is ~5</w:t>
      </w:r>
      <w:r w:rsidRPr="00733307">
        <w:rPr>
          <w:sz w:val="20"/>
          <w:szCs w:val="20"/>
        </w:rPr>
        <w:sym w:font="Symbol" w:char="F0D7"/>
      </w:r>
      <w:r w:rsidRPr="00733307">
        <w:rPr>
          <w:sz w:val="20"/>
          <w:szCs w:val="20"/>
        </w:rPr>
        <w:t>10</w:t>
      </w:r>
      <w:r w:rsidRPr="00733307">
        <w:rPr>
          <w:sz w:val="20"/>
          <w:szCs w:val="20"/>
          <w:vertAlign w:val="superscript"/>
        </w:rPr>
        <w:t>-9</w:t>
      </w:r>
      <w:r w:rsidRPr="00733307">
        <w:rPr>
          <w:sz w:val="20"/>
          <w:szCs w:val="20"/>
        </w:rPr>
        <w:t>.</w:t>
      </w:r>
    </w:p>
    <w:p w:rsidR="00C46C20" w:rsidRDefault="00C46C20" w:rsidP="008D0078">
      <w:pPr>
        <w:spacing w:line="480" w:lineRule="auto"/>
        <w:rPr>
          <w:rFonts w:ascii="Palatino Linotype" w:hAnsi="Palatino Linotype"/>
          <w:lang w:bidi="hi-IN"/>
        </w:rPr>
      </w:pPr>
      <w:r>
        <w:rPr>
          <w:rFonts w:ascii="Palatino Linotype" w:hAnsi="Palatino Linotype"/>
          <w:lang w:bidi="hi-IN"/>
        </w:rPr>
        <w:br w:type="page"/>
      </w:r>
    </w:p>
    <w:p w:rsidR="00C46C20" w:rsidRPr="000448EE" w:rsidRDefault="00C46C20" w:rsidP="008D0078">
      <w:pPr>
        <w:pStyle w:val="Heading2"/>
        <w:numPr>
          <w:ilvl w:val="0"/>
          <w:numId w:val="0"/>
        </w:numPr>
        <w:spacing w:line="480" w:lineRule="auto"/>
        <w:ind w:left="357" w:hanging="357"/>
      </w:pPr>
      <w:bookmarkStart w:id="24" w:name="_Ref374377810"/>
      <w:r>
        <w:lastRenderedPageBreak/>
        <w:t xml:space="preserve">Online Appendix E: </w:t>
      </w:r>
      <w:r w:rsidRPr="000448EE">
        <w:t>Possible relationships between stress and mutation</w:t>
      </w:r>
      <w:bookmarkEnd w:id="24"/>
      <w:r w:rsidRPr="000448EE">
        <w:t xml:space="preserve"> </w:t>
      </w:r>
    </w:p>
    <w:p w:rsidR="00C46C20" w:rsidRDefault="00C46C20" w:rsidP="008D0078">
      <w:pPr>
        <w:spacing w:line="480" w:lineRule="auto"/>
        <w:rPr>
          <w:lang w:bidi="hi-IN"/>
        </w:rPr>
      </w:pPr>
      <w:r>
        <w:rPr>
          <w:lang w:bidi="hi-IN"/>
        </w:rPr>
        <w:t xml:space="preserve">In the main text </w:t>
      </w:r>
      <w:r w:rsidRPr="000448EE">
        <w:rPr>
          <w:lang w:bidi="hi-IN"/>
        </w:rPr>
        <w:t>we used a threshold relat</w:t>
      </w:r>
      <w:r w:rsidRPr="008F3447">
        <w:rPr>
          <w:lang w:bidi="hi-IN"/>
        </w:rPr>
        <w:t xml:space="preserve">ionship between stress and mutation: if fitness drops below a threshold (&lt;1 for SIM, </w:t>
      </w:r>
      <w:r w:rsidRPr="008F3447">
        <w:rPr>
          <w:rFonts w:ascii="Times New Roman" w:hAnsi="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w:t>
      </w:r>
      <w:r w:rsidRPr="00B1563A">
        <w:rPr>
          <w:lang w:bidi="hi-IN"/>
        </w:rPr>
        <w:t xml:space="preserve">increases </w:t>
      </w:r>
      <w:r w:rsidRPr="00B1563A">
        <w:rPr>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Pr>
          <w:lang w:bidi="hi-IN"/>
        </w:rPr>
        <w:fldChar w:fldCharType="begin" w:fldLock="1"/>
      </w:r>
      <w:r w:rsidR="008D0078">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has used a continuous relationship defined by a curvature parameter </w:t>
      </w:r>
      <w:r w:rsidRPr="00FD35E1">
        <w:rPr>
          <w:i/>
          <w:iCs/>
          <w:lang w:bidi="hi-IN"/>
        </w:rPr>
        <w:t>k</w:t>
      </w:r>
      <w:r>
        <w:rPr>
          <w:lang w:bidi="hi-IN"/>
        </w:rPr>
        <w:t xml:space="preserve">. This relationship defines the </w:t>
      </w:r>
      <w:r w:rsidRPr="000448EE">
        <w:rPr>
          <w:lang w:bidi="hi-IN"/>
        </w:rPr>
        <w:t xml:space="preserve">mutation rate for an individual with fitness </w:t>
      </w:r>
      <w:r w:rsidRPr="000448EE">
        <w:rPr>
          <w:i/>
          <w:iCs/>
          <w:lang w:bidi="hi-IN"/>
        </w:rPr>
        <w:t>ω</w:t>
      </w:r>
      <w:r w:rsidRPr="000448EE">
        <w:rPr>
          <w:lang w:bidi="hi-IN"/>
        </w:rPr>
        <w:t xml:space="preserve">, baseline mutation rate </w:t>
      </w:r>
      <w:r w:rsidRPr="000448EE">
        <w:rPr>
          <w:i/>
          <w:iCs/>
          <w:lang w:bidi="hi-IN"/>
        </w:rPr>
        <w:t>U</w:t>
      </w:r>
      <w:r w:rsidRPr="000448EE">
        <w:rPr>
          <w:lang w:bidi="hi-IN"/>
        </w:rPr>
        <w:t xml:space="preserve">, and a maximal mutation rate fold increase </w:t>
      </w:r>
      <w:r w:rsidRPr="000448EE">
        <w:rPr>
          <w:i/>
          <w:iCs/>
          <w:lang w:bidi="hi-IN"/>
        </w:rPr>
        <w:t>τ</w:t>
      </w:r>
      <w:r w:rsidRPr="000448EE">
        <w:rPr>
          <w:lang w:bidi="hi-IN"/>
        </w:rPr>
        <w:t xml:space="preserve"> as</w:t>
      </w:r>
    </w:p>
    <w:p w:rsidR="00C46C20" w:rsidRDefault="00C46C20" w:rsidP="008D0078">
      <w:pPr>
        <w:spacing w:line="480" w:lineRule="auto"/>
        <w:jc w:val="center"/>
        <w:rPr>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Pr="000448EE">
        <w:rPr>
          <w:lang w:bidi="hi-IN"/>
        </w:rPr>
        <w:t>.</w:t>
      </w:r>
    </w:p>
    <w:p w:rsidR="00C46C20" w:rsidRDefault="00C46C20" w:rsidP="008D0078">
      <w:pPr>
        <w:spacing w:line="480" w:lineRule="auto"/>
      </w:pPr>
      <w:r w:rsidRPr="000448EE">
        <w:rPr>
          <w:lang w:bidi="hi-IN"/>
        </w:rPr>
        <w:t xml:space="preserve">When </w:t>
      </w:r>
      <w:r w:rsidRPr="000448EE">
        <w:rPr>
          <w:i/>
          <w:iCs/>
          <w:lang w:bidi="hi-IN"/>
        </w:rPr>
        <w:t>k</w:t>
      </w:r>
      <w:r w:rsidRPr="000448EE">
        <w:rPr>
          <w:lang w:bidi="hi-IN"/>
        </w:rPr>
        <w:t xml:space="preserve"> approaches 0 this expression approaches </w:t>
      </w:r>
      <w:r w:rsidRPr="000448EE">
        <w:rPr>
          <w:i/>
          <w:iCs/>
          <w:lang w:bidi="hi-IN"/>
        </w:rPr>
        <w:t>U</w:t>
      </w:r>
      <w:r w:rsidRPr="000448EE">
        <w:rPr>
          <w:lang w:bidi="hi-IN"/>
        </w:rPr>
        <w:t xml:space="preserve">, corresponding to the NM strategy. When </w:t>
      </w:r>
      <w:r w:rsidRPr="000448EE">
        <w:rPr>
          <w:i/>
          <w:iCs/>
          <w:lang w:bidi="hi-IN"/>
        </w:rPr>
        <w:t xml:space="preserve">k </w:t>
      </w:r>
      <w:r w:rsidRPr="000448EE">
        <w:t xml:space="preserve">approaches infinity this expression approaches eq. </w:t>
      </w:r>
      <w:r>
        <w:t>1</w:t>
      </w:r>
      <w:r>
        <w:fldChar w:fldCharType="begin"/>
      </w:r>
      <w:r>
        <w:instrText xml:space="preserve"> REF _Ref374460264 \h  \* MERGEFORMAT </w:instrText>
      </w:r>
      <w:r w:rsidR="00D37700">
        <w:fldChar w:fldCharType="separate"/>
      </w:r>
      <w:r w:rsidR="00C47BD2" w:rsidRPr="00BA2B02">
        <w:t>(</w:t>
      </w:r>
      <w:r w:rsidR="00C47BD2">
        <w:rPr>
          <w:noProof/>
        </w:rPr>
        <w:t>1</w:t>
      </w:r>
      <w:r w:rsidR="00C47BD2" w:rsidRPr="00BA2B02">
        <w:t>)</w:t>
      </w:r>
      <w:r>
        <w:fldChar w:fldCharType="end"/>
      </w:r>
      <w:r w:rsidRPr="000448EE">
        <w:t xml:space="preserve">, corresponding to the SIM threshold strategy. See Figure </w:t>
      </w:r>
      <w:r w:rsidR="008A52D7">
        <w:t>E1</w:t>
      </w:r>
      <w:r w:rsidRPr="000448EE">
        <w:t xml:space="preserve"> for a plot of these continuous relationships for various values</w:t>
      </w:r>
      <w:r>
        <w:t xml:space="preserve"> of </w:t>
      </w:r>
      <w:r>
        <w:rPr>
          <w:i/>
          <w:iCs/>
        </w:rPr>
        <w:t>k</w:t>
      </w:r>
      <w:r>
        <w:t>.</w:t>
      </w:r>
    </w:p>
    <w:p w:rsidR="00C46C20" w:rsidRDefault="00C46C20" w:rsidP="008D0078">
      <w:pPr>
        <w:spacing w:line="480" w:lineRule="auto"/>
        <w:jc w:val="center"/>
        <w:rPr>
          <w:rFonts w:ascii="Palatino Linotype" w:hAnsi="Palatino Linotype"/>
        </w:rPr>
      </w:pPr>
      <w:r>
        <w:rPr>
          <w:rFonts w:ascii="Palatino Linotype" w:hAnsi="Palatino Linotype"/>
          <w:noProof/>
        </w:rPr>
        <w:lastRenderedPageBreak/>
        <w:drawing>
          <wp:inline distT="0" distB="0" distL="0" distR="0" wp14:anchorId="343706D1" wp14:editId="3E0D545F">
            <wp:extent cx="5271770" cy="4277995"/>
            <wp:effectExtent l="0" t="0" r="5080" b="8255"/>
            <wp:docPr id="8" name="Picture 8" descr="D:\workspace\ruggedsim\manuscript\ram_f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4277995"/>
                    </a:xfrm>
                    <a:prstGeom prst="rect">
                      <a:avLst/>
                    </a:prstGeom>
                    <a:noFill/>
                    <a:ln>
                      <a:noFill/>
                    </a:ln>
                  </pic:spPr>
                </pic:pic>
              </a:graphicData>
            </a:graphic>
          </wp:inline>
        </w:drawing>
      </w:r>
    </w:p>
    <w:p w:rsidR="00C46C20" w:rsidRDefault="00C46C20" w:rsidP="008D0078">
      <w:pPr>
        <w:spacing w:line="480" w:lineRule="auto"/>
        <w:rPr>
          <w:rFonts w:ascii="Palatino Linotype" w:hAnsi="Palatino Linotype"/>
          <w:sz w:val="20"/>
          <w:szCs w:val="20"/>
        </w:rPr>
      </w:pPr>
      <w:proofErr w:type="gramStart"/>
      <w:r>
        <w:rPr>
          <w:rFonts w:ascii="Palatino Linotype" w:hAnsi="Palatino Linotype"/>
          <w:b/>
          <w:bCs/>
          <w:sz w:val="20"/>
          <w:szCs w:val="20"/>
        </w:rPr>
        <w:t xml:space="preserve">Online </w:t>
      </w:r>
      <w:r w:rsidRPr="00A916BD">
        <w:rPr>
          <w:rFonts w:ascii="Palatino Linotype" w:hAnsi="Palatino Linotype"/>
          <w:b/>
          <w:bCs/>
          <w:sz w:val="20"/>
          <w:szCs w:val="20"/>
        </w:rPr>
        <w:t xml:space="preserve">Figure </w:t>
      </w:r>
      <w:r>
        <w:rPr>
          <w:rFonts w:ascii="Palatino Linotype" w:hAnsi="Palatino Linotype"/>
          <w:b/>
          <w:bCs/>
          <w:sz w:val="20"/>
          <w:szCs w:val="20"/>
        </w:rPr>
        <w:t>E1</w:t>
      </w:r>
      <w:r w:rsidRPr="00A916BD">
        <w:rPr>
          <w:rFonts w:ascii="Palatino Linotype" w:hAnsi="Palatino Linotype"/>
          <w:b/>
          <w:bCs/>
          <w:sz w:val="20"/>
          <w:szCs w:val="20"/>
        </w:rPr>
        <w:t>– Different relationships</w:t>
      </w:r>
      <w:r>
        <w:rPr>
          <w:rFonts w:ascii="Palatino Linotype" w:hAnsi="Palatino Linotype"/>
          <w:b/>
          <w:bCs/>
          <w:sz w:val="20"/>
          <w:szCs w:val="20"/>
        </w:rPr>
        <w:t xml:space="preserve"> between stress and mutation</w:t>
      </w:r>
      <w:r w:rsidRPr="00A916BD">
        <w:rPr>
          <w:rFonts w:ascii="Palatino Linotype" w:hAnsi="Palatino Linotype"/>
          <w:b/>
          <w:bCs/>
          <w:sz w:val="20"/>
          <w:szCs w:val="20"/>
        </w:rPr>
        <w:t>.</w:t>
      </w:r>
      <w:proofErr w:type="gramEnd"/>
      <w:r w:rsidRPr="00A916BD">
        <w:rPr>
          <w:rFonts w:ascii="Palatino Linotype" w:hAnsi="Palatino Linotype"/>
          <w:b/>
          <w:bCs/>
          <w:sz w:val="20"/>
          <w:szCs w:val="20"/>
        </w:rPr>
        <w:t xml:space="preserve"> </w:t>
      </w:r>
      <w:r w:rsidRPr="00A916BD">
        <w:rPr>
          <w:rFonts w:ascii="Palatino Linotype" w:hAnsi="Palatino Linotype"/>
          <w:sz w:val="20"/>
          <w:szCs w:val="20"/>
        </w:rPr>
        <w:t>The figure shows continuous relationships between fitness (x-axis) and mutation rate (y-axis) in solid lines and threshold relationships in dashed lines. The threshold relat</w:t>
      </w:r>
      <w:r>
        <w:rPr>
          <w:rFonts w:ascii="Palatino Linotype" w:hAnsi="Palatino Linotype"/>
          <w:sz w:val="20"/>
          <w:szCs w:val="20"/>
        </w:rPr>
        <w:t>ionship is defined in section 2</w:t>
      </w:r>
      <w:r w:rsidRPr="00A916BD">
        <w:rPr>
          <w:rFonts w:ascii="Palatino Linotype" w:hAnsi="Palatino Linotype"/>
          <w:sz w:val="20"/>
          <w:szCs w:val="20"/>
        </w:rPr>
        <w:t xml:space="preserve"> of the main text. The continuous relationships are defined in </w:t>
      </w:r>
      <w:r>
        <w:rPr>
          <w:rFonts w:ascii="Palatino Linotype" w:hAnsi="Palatino Linotype"/>
          <w:sz w:val="20"/>
          <w:szCs w:val="20"/>
        </w:rPr>
        <w:t>Supporting Text S4</w:t>
      </w:r>
      <w:r w:rsidRPr="00A916BD">
        <w:rPr>
          <w:rFonts w:ascii="Palatino Linotype" w:hAnsi="Palatino Linotype"/>
          <w:sz w:val="20"/>
          <w:szCs w:val="20"/>
        </w:rPr>
        <w:t xml:space="preserve">. Each panel shows a pair of relationships, with </w:t>
      </w:r>
      <w:r w:rsidRPr="00A916BD">
        <w:rPr>
          <w:rFonts w:ascii="Palatino Linotype" w:hAnsi="Palatino Linotype"/>
          <w:i/>
          <w:iCs/>
          <w:sz w:val="20"/>
          <w:szCs w:val="20"/>
        </w:rPr>
        <w:t>k</w:t>
      </w:r>
      <w:r w:rsidRPr="00A916BD">
        <w:rPr>
          <w:rFonts w:ascii="Palatino Linotype" w:hAnsi="Palatino Linotype"/>
          <w:sz w:val="20"/>
          <w:szCs w:val="20"/>
        </w:rPr>
        <w:t xml:space="preserve"> increasing from 1/10 (convex relationship), to 1 (linear relationship) to 10 and 100 (concave relationships). Each continuous relationship is compared with a threshold relationship that has the same mutation rate for </w:t>
      </w:r>
      <w:proofErr w:type="spellStart"/>
      <w:r w:rsidRPr="00A916BD">
        <w:rPr>
          <w:rFonts w:ascii="Palatino Linotype" w:hAnsi="Palatino Linotype"/>
          <w:sz w:val="20"/>
          <w:szCs w:val="20"/>
        </w:rPr>
        <w:t>wildtypes</w:t>
      </w:r>
      <w:proofErr w:type="spellEnd"/>
      <w:r>
        <w:rPr>
          <w:rFonts w:ascii="Palatino Linotype" w:hAnsi="Palatino Linotype"/>
          <w:sz w:val="20"/>
          <w:szCs w:val="20"/>
        </w:rPr>
        <w:t xml:space="preserve"> (</w:t>
      </w:r>
      <w:r>
        <w:rPr>
          <w:rFonts w:ascii="Palatino Linotype" w:hAnsi="Palatino Linotype"/>
          <w:i/>
          <w:iCs/>
          <w:sz w:val="20"/>
          <w:szCs w:val="20"/>
        </w:rPr>
        <w:t>ab/0</w:t>
      </w:r>
      <w:r>
        <w:rPr>
          <w:rFonts w:ascii="Palatino Linotype" w:hAnsi="Palatino Linotype"/>
          <w:sz w:val="20"/>
          <w:szCs w:val="20"/>
        </w:rPr>
        <w:t>)</w:t>
      </w:r>
      <w:r w:rsidRPr="00A916BD">
        <w:rPr>
          <w:rFonts w:ascii="Palatino Linotype" w:hAnsi="Palatino Linotype"/>
          <w:sz w:val="20"/>
          <w:szCs w:val="20"/>
        </w:rPr>
        <w:t xml:space="preserve"> and single mutants</w:t>
      </w:r>
      <w:r>
        <w:rPr>
          <w:rFonts w:ascii="Palatino Linotype" w:hAnsi="Palatino Linotype"/>
          <w:sz w:val="20"/>
          <w:szCs w:val="20"/>
        </w:rPr>
        <w:t xml:space="preserve"> (</w:t>
      </w:r>
      <w:r>
        <w:rPr>
          <w:rFonts w:ascii="Palatino Linotype" w:hAnsi="Palatino Linotype"/>
          <w:i/>
          <w:iCs/>
          <w:sz w:val="20"/>
          <w:szCs w:val="20"/>
        </w:rPr>
        <w:t>Ab/0</w:t>
      </w:r>
      <w:r>
        <w:rPr>
          <w:rFonts w:ascii="Palatino Linotype" w:hAnsi="Palatino Linotype"/>
          <w:sz w:val="20"/>
          <w:szCs w:val="20"/>
        </w:rPr>
        <w:t xml:space="preserve">, </w:t>
      </w:r>
      <w:proofErr w:type="spellStart"/>
      <w:r>
        <w:rPr>
          <w:rFonts w:ascii="Palatino Linotype" w:hAnsi="Palatino Linotype"/>
          <w:i/>
          <w:iCs/>
          <w:sz w:val="20"/>
          <w:szCs w:val="20"/>
        </w:rPr>
        <w:t>aB</w:t>
      </w:r>
      <w:proofErr w:type="spellEnd"/>
      <w:r>
        <w:rPr>
          <w:rFonts w:ascii="Palatino Linotype" w:hAnsi="Palatino Linotype"/>
          <w:i/>
          <w:iCs/>
          <w:sz w:val="20"/>
          <w:szCs w:val="20"/>
        </w:rPr>
        <w:t>/0</w:t>
      </w:r>
      <w:r>
        <w:rPr>
          <w:rFonts w:ascii="Palatino Linotype" w:hAnsi="Palatino Linotype"/>
          <w:sz w:val="20"/>
          <w:szCs w:val="20"/>
        </w:rPr>
        <w:t xml:space="preserve">, </w:t>
      </w:r>
      <w:proofErr w:type="gramStart"/>
      <w:r>
        <w:rPr>
          <w:rFonts w:ascii="Palatino Linotype" w:hAnsi="Palatino Linotype"/>
          <w:i/>
          <w:iCs/>
          <w:sz w:val="20"/>
          <w:szCs w:val="20"/>
        </w:rPr>
        <w:t>ab</w:t>
      </w:r>
      <w:proofErr w:type="gramEnd"/>
      <w:r>
        <w:rPr>
          <w:rFonts w:ascii="Palatino Linotype" w:hAnsi="Palatino Linotype"/>
          <w:i/>
          <w:iCs/>
          <w:sz w:val="20"/>
          <w:szCs w:val="20"/>
        </w:rPr>
        <w:t>/1</w:t>
      </w:r>
      <w:r>
        <w:rPr>
          <w:rFonts w:ascii="Palatino Linotype" w:hAnsi="Palatino Linotype"/>
          <w:sz w:val="20"/>
          <w:szCs w:val="20"/>
        </w:rPr>
        <w:t>)</w:t>
      </w:r>
      <w:r w:rsidRPr="00A916BD">
        <w:rPr>
          <w:rFonts w:ascii="Palatino Linotype" w:hAnsi="Palatino Linotype"/>
          <w:sz w:val="20"/>
          <w:szCs w:val="20"/>
        </w:rPr>
        <w:t xml:space="preserve">. Figure </w:t>
      </w:r>
      <w:r>
        <w:rPr>
          <w:rFonts w:ascii="Palatino Linotype" w:hAnsi="Palatino Linotype"/>
          <w:sz w:val="20"/>
          <w:szCs w:val="20"/>
        </w:rPr>
        <w:t>S5</w:t>
      </w:r>
      <w:r w:rsidRPr="00A916BD">
        <w:rPr>
          <w:rFonts w:ascii="Palatino Linotype" w:hAnsi="Palatino Linotype"/>
          <w:sz w:val="20"/>
          <w:szCs w:val="20"/>
        </w:rPr>
        <w:t xml:space="preserve"> shows that the adaptation rate with such threshold relationship approximates the adaptation rate with a continuous relationship.</w:t>
      </w:r>
    </w:p>
    <w:p w:rsidR="00C46C20" w:rsidRPr="002825FD" w:rsidRDefault="00C46C20" w:rsidP="008D0078">
      <w:pPr>
        <w:spacing w:line="480" w:lineRule="auto"/>
      </w:pPr>
    </w:p>
    <w:p w:rsidR="00C46C20" w:rsidRDefault="00C46C20" w:rsidP="008D0078">
      <w:pPr>
        <w:spacing w:line="480" w:lineRule="auto"/>
        <w:rPr>
          <w:lang w:bidi="hi-IN"/>
        </w:rPr>
      </w:pPr>
      <w:r>
        <w:lastRenderedPageBreak/>
        <w:t xml:space="preserve">Figure </w:t>
      </w:r>
      <w:r w:rsidR="008A52D7">
        <w:t>E2</w:t>
      </w:r>
      <w:r>
        <w:rPr>
          <w:lang w:bidi="hi-IN"/>
        </w:rPr>
        <w:t xml:space="preserve">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p w:rsidR="00C46C20" w:rsidRDefault="00C46C20" w:rsidP="008D0078">
      <w:pPr>
        <w:spacing w:line="480" w:lineRule="auto"/>
        <w:jc w:val="center"/>
        <w:rPr>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lang w:bidi="hi-IN"/>
        </w:rPr>
        <w:t>.</w:t>
      </w:r>
    </w:p>
    <w:p w:rsidR="008A52D7" w:rsidRDefault="00C46C20" w:rsidP="008D0078">
      <w:pPr>
        <w:spacing w:line="480" w:lineRule="auto"/>
        <w:rPr>
          <w:lang w:bidi="hi-IN"/>
        </w:rPr>
      </w:pPr>
      <w:r>
        <w:rPr>
          <w:lang w:bidi="hi-IN"/>
        </w:rPr>
        <w:t xml:space="preserve"> This is equivalent to using a </w:t>
      </w:r>
      <w:r>
        <w:t xml:space="preserve">threshold strategy with mutation rate </w:t>
      </w:r>
      <w:r w:rsidRPr="00815DEF">
        <w:t xml:space="preserve">increase </w:t>
      </w:r>
      <w:r w:rsidRPr="00815DEF">
        <w:rPr>
          <w:i/>
          <w:iCs/>
          <w:lang w:bidi="hi-IN"/>
        </w:rPr>
        <w:t>τ</w:t>
      </w:r>
      <w:r w:rsidRPr="00815DEF">
        <w:rPr>
          <w:lang w:bidi="hi-IN"/>
        </w:rPr>
        <w:t>-(</w:t>
      </w:r>
      <w:r w:rsidRPr="00815DEF">
        <w:rPr>
          <w:i/>
          <w:iCs/>
          <w:lang w:bidi="hi-IN"/>
        </w:rPr>
        <w:t>τ</w:t>
      </w:r>
      <w:r w:rsidRPr="00815DEF">
        <w:rPr>
          <w:lang w:bidi="hi-IN"/>
        </w:rPr>
        <w:t>-1</w:t>
      </w:r>
      <w:proofErr w:type="gramStart"/>
      <w:r w:rsidRPr="00815DEF">
        <w:rPr>
          <w:lang w:bidi="hi-IN"/>
        </w:rPr>
        <w:t>)(</w:t>
      </w:r>
      <w:proofErr w:type="gramEnd"/>
      <w:r w:rsidRPr="00815DEF">
        <w:rPr>
          <w:lang w:bidi="hi-IN"/>
        </w:rPr>
        <w:t>1-</w:t>
      </w:r>
      <w:r w:rsidRPr="00815DEF">
        <w:rPr>
          <w:i/>
          <w:iCs/>
          <w:lang w:bidi="hi-IN"/>
        </w:rPr>
        <w:t>s</w:t>
      </w:r>
      <w:r w:rsidRPr="00815DEF">
        <w:rPr>
          <w:lang w:bidi="hi-IN"/>
        </w:rPr>
        <w:t>)</w:t>
      </w:r>
      <w:r w:rsidRPr="00815DEF">
        <w:rPr>
          <w:i/>
          <w:iCs/>
          <w:vertAlign w:val="superscript"/>
          <w:lang w:bidi="hi-IN"/>
        </w:rPr>
        <w:t>k</w:t>
      </w:r>
      <w:r w:rsidRPr="00815DEF">
        <w:rPr>
          <w:lang w:bidi="hi-IN"/>
        </w:rPr>
        <w:t xml:space="preserve">. </w:t>
      </w:r>
      <w:r>
        <w:rPr>
          <w:lang w:bidi="hi-IN"/>
        </w:rPr>
        <w:t xml:space="preserve">The dashed lines in </w:t>
      </w:r>
      <w:r>
        <w:t xml:space="preserve">Figure </w:t>
      </w:r>
      <w:r w:rsidR="008A52D7">
        <w:t>E2</w:t>
      </w:r>
      <w:r>
        <w:t xml:space="preserve"> </w:t>
      </w:r>
      <w:r>
        <w:rPr>
          <w:lang w:bidi="hi-IN"/>
        </w:rPr>
        <w:t>demonstrate this approximation. The continuous strategies can be approximated by threshold strategies because the main factor determining the adaptation rate is the mutation rate increase o</w:t>
      </w:r>
      <w:r w:rsidRPr="00BA2B02">
        <w:rPr>
          <w:lang w:bidi="hi-IN"/>
        </w:rPr>
        <w:t>f</w:t>
      </w:r>
      <w:r>
        <w:rPr>
          <w:lang w:bidi="hi-IN"/>
        </w:rPr>
        <w:t xml:space="preserve"> the wildtype and the single mutants</w:t>
      </w:r>
      <w:r w:rsidRPr="00BA2B02">
        <w:rPr>
          <w:lang w:bidi="hi-IN"/>
        </w:rPr>
        <w:t xml:space="preserve"> </w:t>
      </w:r>
      <w:r>
        <w:rPr>
          <w:lang w:bidi="hi-IN"/>
        </w:rPr>
        <w:t>(</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Ab</w:t>
      </w:r>
      <w:r>
        <w:rPr>
          <w:lang w:bidi="hi-IN"/>
        </w:rPr>
        <w:t>)</w:t>
      </w:r>
      <w:r w:rsidRPr="00BA2B02">
        <w:rPr>
          <w:lang w:bidi="hi-IN"/>
        </w:rPr>
        <w:t>. This is because individuals with more than a single mutation do not have a significant contribution to adaptation.</w:t>
      </w:r>
    </w:p>
    <w:p w:rsidR="008A52D7" w:rsidRDefault="008A52D7" w:rsidP="008D0078">
      <w:pPr>
        <w:spacing w:line="480" w:lineRule="auto"/>
        <w:rPr>
          <w:lang w:bidi="hi-IN"/>
        </w:rPr>
      </w:pPr>
      <w:r>
        <w:rPr>
          <w:lang w:bidi="hi-IN"/>
        </w:rPr>
        <w:br w:type="page"/>
      </w:r>
    </w:p>
    <w:p w:rsidR="00C46C20" w:rsidRDefault="00C46C20" w:rsidP="008D0078">
      <w:pPr>
        <w:pStyle w:val="FigureLegend"/>
        <w:spacing w:line="480" w:lineRule="auto"/>
        <w:jc w:val="left"/>
        <w:rPr>
          <w:b/>
          <w:bCs/>
          <w:sz w:val="20"/>
          <w:szCs w:val="20"/>
        </w:rPr>
      </w:pPr>
      <w:r>
        <w:rPr>
          <w:b/>
          <w:bCs/>
          <w:noProof/>
          <w:sz w:val="20"/>
          <w:szCs w:val="20"/>
        </w:rPr>
        <w:lastRenderedPageBreak/>
        <w:drawing>
          <wp:inline distT="0" distB="0" distL="0" distR="0" wp14:anchorId="206A8F30" wp14:editId="3303F3A3">
            <wp:extent cx="5271770" cy="3578225"/>
            <wp:effectExtent l="0" t="0" r="5080" b="3175"/>
            <wp:docPr id="12" name="Picture 12" descr="D:\workspace\ruggedsim\manuscript\ram_f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3578225"/>
                    </a:xfrm>
                    <a:prstGeom prst="rect">
                      <a:avLst/>
                    </a:prstGeom>
                    <a:noFill/>
                    <a:ln>
                      <a:noFill/>
                    </a:ln>
                  </pic:spPr>
                </pic:pic>
              </a:graphicData>
            </a:graphic>
          </wp:inline>
        </w:drawing>
      </w:r>
    </w:p>
    <w:p w:rsidR="00C46C20" w:rsidRDefault="00C46C20" w:rsidP="008D0078">
      <w:pPr>
        <w:pStyle w:val="FigureLegend"/>
        <w:spacing w:line="480" w:lineRule="auto"/>
        <w:jc w:val="left"/>
        <w:rPr>
          <w:lang w:bidi="hi-IN"/>
        </w:rPr>
      </w:pPr>
      <w:proofErr w:type="gramStart"/>
      <w:r>
        <w:rPr>
          <w:rFonts w:ascii="Palatino Linotype" w:hAnsi="Palatino Linotype"/>
          <w:b/>
          <w:bCs/>
          <w:sz w:val="20"/>
          <w:szCs w:val="20"/>
        </w:rPr>
        <w:t xml:space="preserve">Online </w:t>
      </w:r>
      <w:r w:rsidRPr="00733307">
        <w:rPr>
          <w:b/>
          <w:bCs/>
          <w:sz w:val="20"/>
          <w:szCs w:val="20"/>
        </w:rPr>
        <w:t>Figure</w:t>
      </w:r>
      <w:r>
        <w:rPr>
          <w:b/>
          <w:bCs/>
          <w:sz w:val="20"/>
          <w:szCs w:val="20"/>
        </w:rPr>
        <w:t xml:space="preserve"> </w:t>
      </w:r>
      <w:r>
        <w:rPr>
          <w:b/>
          <w:bCs/>
          <w:sz w:val="20"/>
          <w:szCs w:val="20"/>
        </w:rPr>
        <w:t>E2</w:t>
      </w:r>
      <w:r w:rsidRPr="00733307">
        <w:rPr>
          <w:b/>
          <w:bCs/>
          <w:sz w:val="20"/>
          <w:szCs w:val="20"/>
        </w:rPr>
        <w:t xml:space="preserve"> – Complex adaptation with </w:t>
      </w:r>
      <w:r w:rsidRPr="0013483B">
        <w:rPr>
          <w:b/>
          <w:bCs/>
          <w:sz w:val="20"/>
          <w:szCs w:val="20"/>
        </w:rPr>
        <w:t xml:space="preserve">continuous relationship </w:t>
      </w:r>
      <w:r>
        <w:rPr>
          <w:b/>
          <w:bCs/>
          <w:sz w:val="20"/>
          <w:szCs w:val="20"/>
        </w:rPr>
        <w:t>stress-induced mutagenesis</w:t>
      </w:r>
      <w:r w:rsidRPr="00733307">
        <w:rPr>
          <w:b/>
          <w:bCs/>
          <w:sz w:val="20"/>
          <w:szCs w:val="20"/>
        </w:rPr>
        <w:t>.</w:t>
      </w:r>
      <w:proofErr w:type="gramEnd"/>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 xml:space="preserve">The solid line is an analytical approximation of SIM (same as in Figure 2). </w:t>
      </w:r>
      <w:r w:rsidRPr="00733307">
        <w:rPr>
          <w:sz w:val="20"/>
          <w:szCs w:val="20"/>
        </w:rPr>
        <w:t xml:space="preserve">Markers are the results of </w:t>
      </w:r>
      <w:r>
        <w:rPr>
          <w:sz w:val="20"/>
          <w:szCs w:val="20"/>
        </w:rPr>
        <w:t xml:space="preserve">simulations of </w:t>
      </w:r>
      <w:r w:rsidRPr="00733307">
        <w:rPr>
          <w:sz w:val="20"/>
          <w:szCs w:val="20"/>
        </w:rPr>
        <w:t>adaptation with SIM with different continuous relationships between fitness and mutation rate</w:t>
      </w:r>
      <w:r>
        <w:rPr>
          <w:sz w:val="20"/>
          <w:szCs w:val="20"/>
        </w:rPr>
        <w:t>. These continuous relationships are</w:t>
      </w:r>
      <w:r w:rsidRPr="00733307">
        <w:rPr>
          <w:sz w:val="20"/>
          <w:szCs w:val="20"/>
        </w:rPr>
        <w:t xml:space="preserve"> defined by </w:t>
      </w:r>
      <w:r>
        <w:rPr>
          <w:sz w:val="20"/>
          <w:szCs w:val="20"/>
        </w:rPr>
        <w:t xml:space="preserve">a </w:t>
      </w:r>
      <w:r w:rsidRPr="00733307">
        <w:rPr>
          <w:sz w:val="20"/>
          <w:szCs w:val="20"/>
        </w:rPr>
        <w:t xml:space="preserve">mutation rate fold increase </w:t>
      </w:r>
      <w:r w:rsidRPr="00733307">
        <w:rPr>
          <w:rFonts w:ascii="Times New Roman" w:hAnsi="Times New Roman"/>
          <w:i/>
          <w:iCs/>
          <w:sz w:val="20"/>
          <w:szCs w:val="20"/>
        </w:rPr>
        <w:t>τ</w:t>
      </w:r>
      <w:r w:rsidRPr="00733307">
        <w:rPr>
          <w:sz w:val="20"/>
          <w:szCs w:val="20"/>
        </w:rPr>
        <w:t xml:space="preserve">=10 </w:t>
      </w:r>
      <w:r>
        <w:rPr>
          <w:sz w:val="20"/>
          <w:szCs w:val="20"/>
        </w:rPr>
        <w:t xml:space="preserve">and </w:t>
      </w:r>
      <w:r w:rsidRPr="00733307">
        <w:rPr>
          <w:sz w:val="20"/>
          <w:szCs w:val="20"/>
        </w:rPr>
        <w:t xml:space="preserve">a curvature parameter </w:t>
      </w:r>
      <w:r w:rsidRPr="00733307">
        <w:rPr>
          <w:i/>
          <w:iCs/>
          <w:sz w:val="20"/>
          <w:szCs w:val="20"/>
        </w:rPr>
        <w:t>k</w:t>
      </w:r>
      <w:r w:rsidRPr="0035628B">
        <w:rPr>
          <w:sz w:val="20"/>
          <w:szCs w:val="20"/>
        </w:rPr>
        <w:t>=10</w:t>
      </w:r>
      <w:r>
        <w:rPr>
          <w:sz w:val="20"/>
          <w:szCs w:val="20"/>
        </w:rPr>
        <w:t>, 1, and 1/10, top to bottom</w:t>
      </w:r>
      <w:r w:rsidRPr="00733307">
        <w:rPr>
          <w:sz w:val="20"/>
          <w:szCs w:val="20"/>
        </w:rPr>
        <w:t xml:space="preserve"> (see </w:t>
      </w:r>
      <w:r>
        <w:rPr>
          <w:sz w:val="20"/>
          <w:szCs w:val="20"/>
        </w:rPr>
        <w:t>Supporting Text S4</w:t>
      </w:r>
      <w:r w:rsidRPr="00733307">
        <w:rPr>
          <w:sz w:val="20"/>
          <w:szCs w:val="20"/>
        </w:rPr>
        <w:t xml:space="preserve"> and Figure S3</w:t>
      </w:r>
      <w:r>
        <w:rPr>
          <w:sz w:val="20"/>
          <w:szCs w:val="20"/>
        </w:rPr>
        <w:t xml:space="preserve"> for more details on continuous SIM</w:t>
      </w:r>
      <w:r w:rsidRPr="00733307">
        <w:rPr>
          <w:sz w:val="20"/>
          <w:szCs w:val="20"/>
        </w:rPr>
        <w:t>)</w:t>
      </w:r>
      <w:r w:rsidRPr="00733307">
        <w:rPr>
          <w:b/>
          <w:bCs/>
          <w:sz w:val="20"/>
          <w:szCs w:val="20"/>
        </w:rPr>
        <w:t xml:space="preserve">. </w:t>
      </w:r>
      <w:r w:rsidRPr="00733307">
        <w:rPr>
          <w:sz w:val="20"/>
          <w:szCs w:val="20"/>
        </w:rPr>
        <w:t>Each dashed line is an approxim</w:t>
      </w:r>
      <w:r w:rsidRPr="000448EE">
        <w:rPr>
          <w:sz w:val="20"/>
          <w:szCs w:val="20"/>
        </w:rPr>
        <w:t xml:space="preserve">ation of a continuous SIM using a SIM threshold strategy (eq. </w:t>
      </w:r>
      <w:r w:rsidRPr="002D7219">
        <w:rPr>
          <w:sz w:val="20"/>
          <w:szCs w:val="20"/>
        </w:rPr>
        <w:t>13</w:t>
      </w:r>
      <w:r w:rsidRPr="002D7219">
        <w:rPr>
          <w:sz w:val="20"/>
          <w:szCs w:val="20"/>
        </w:rPr>
        <w:fldChar w:fldCharType="begin"/>
      </w:r>
      <w:r w:rsidRPr="002D7219">
        <w:rPr>
          <w:sz w:val="20"/>
          <w:szCs w:val="20"/>
        </w:rPr>
        <w:instrText xml:space="preserve"> REF _Ref375754011 \h  \* MERGEFORMAT </w:instrText>
      </w:r>
      <w:r w:rsidR="00D37700">
        <w:rPr>
          <w:sz w:val="20"/>
          <w:szCs w:val="20"/>
        </w:rPr>
        <w:fldChar w:fldCharType="separate"/>
      </w:r>
      <w:r w:rsidR="00C47BD2">
        <w:rPr>
          <w:sz w:val="20"/>
          <w:szCs w:val="20"/>
        </w:rPr>
        <w:t>Error! Reference source not found.</w:t>
      </w:r>
      <w:r w:rsidRPr="002D7219">
        <w:rPr>
          <w:sz w:val="20"/>
          <w:szCs w:val="20"/>
        </w:rPr>
        <w:fldChar w:fldCharType="end"/>
      </w:r>
      <w:r w:rsidRPr="000448EE">
        <w:rPr>
          <w:sz w:val="20"/>
          <w:szCs w:val="20"/>
        </w:rPr>
        <w:t xml:space="preserve">) with </w:t>
      </w:r>
      <w:r w:rsidRPr="000448EE">
        <w:rPr>
          <w:i/>
          <w:iCs/>
          <w:sz w:val="20"/>
          <w:szCs w:val="20"/>
        </w:rPr>
        <w:t>τ</w:t>
      </w:r>
      <w:r w:rsidRPr="000448EE">
        <w:rPr>
          <w:sz w:val="20"/>
          <w:szCs w:val="20"/>
        </w:rPr>
        <w:t>=</w:t>
      </w:r>
      <w:r w:rsidRPr="000448EE">
        <w:rPr>
          <w:sz w:val="20"/>
          <w:szCs w:val="20"/>
          <w:lang w:bidi="hi-IN"/>
        </w:rPr>
        <w:t xml:space="preserve">4.61, 1.45, and 1.05, top to bottom. The fit between the dashed lines and the </w:t>
      </w:r>
      <w:r>
        <w:rPr>
          <w:sz w:val="20"/>
          <w:szCs w:val="20"/>
          <w:lang w:bidi="hi-IN"/>
        </w:rPr>
        <w:t xml:space="preserve">corresponding </w:t>
      </w:r>
      <w:r w:rsidRPr="000448EE">
        <w:rPr>
          <w:sz w:val="20"/>
          <w:szCs w:val="20"/>
          <w:lang w:bidi="hi-IN"/>
        </w:rPr>
        <w:t>markers suggests that a threshold strategy captures the adaptive dynamics.</w:t>
      </w:r>
      <w:r>
        <w:rPr>
          <w:sz w:val="20"/>
          <w:szCs w:val="20"/>
          <w:lang w:bidi="hi-IN"/>
        </w:rPr>
        <w:t xml:space="preserve"> </w:t>
      </w:r>
      <w:r>
        <w:rPr>
          <w:sz w:val="20"/>
          <w:szCs w:val="20"/>
        </w:rPr>
        <w:t>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fldChar w:fldCharType="begin"/>
      </w:r>
      <w:r>
        <w:instrText xml:space="preserve"> REF _Ref358791100 \h  \* MERGEFORMAT </w:instrText>
      </w:r>
      <w:r>
        <w:fldChar w:fldCharType="separate"/>
      </w:r>
      <w:r w:rsidR="00C47BD2" w:rsidRPr="00C47BD2">
        <w:rPr>
          <w:sz w:val="20"/>
          <w:szCs w:val="20"/>
        </w:rPr>
        <w:t xml:space="preserve">Table </w:t>
      </w:r>
      <w:r w:rsidR="00C47BD2" w:rsidRPr="00C47BD2">
        <w:rPr>
          <w:sz w:val="20"/>
          <w:szCs w:val="20"/>
        </w:rPr>
        <w:t>1</w:t>
      </w:r>
      <w: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w:t>
      </w:r>
    </w:p>
    <w:p w:rsidR="00C46C20" w:rsidRDefault="00C46C20" w:rsidP="008D0078">
      <w:pPr>
        <w:spacing w:line="480" w:lineRule="auto"/>
        <w:rPr>
          <w:sz w:val="16"/>
          <w:szCs w:val="16"/>
          <w:lang w:bidi="hi-IN"/>
        </w:rPr>
      </w:pPr>
      <w:r>
        <w:rPr>
          <w:lang w:bidi="hi-IN"/>
        </w:rPr>
        <w:br w:type="page"/>
      </w:r>
    </w:p>
    <w:p w:rsidR="00C46C20" w:rsidRDefault="00C46C20" w:rsidP="008D0078">
      <w:pPr>
        <w:pStyle w:val="Heading2"/>
        <w:numPr>
          <w:ilvl w:val="0"/>
          <w:numId w:val="0"/>
        </w:numPr>
        <w:spacing w:line="480" w:lineRule="auto"/>
        <w:ind w:left="357" w:hanging="357"/>
      </w:pPr>
      <w:r>
        <w:lastRenderedPageBreak/>
        <w:t xml:space="preserve">Online Appendix F: </w:t>
      </w:r>
      <w:r w:rsidRPr="008F3447">
        <w:t>Competitions between mutational strategies</w:t>
      </w:r>
    </w:p>
    <w:p w:rsidR="00C46C20" w:rsidRPr="00BA2B02" w:rsidRDefault="00C46C20" w:rsidP="008D0078">
      <w:pPr>
        <w:spacing w:line="480" w:lineRule="auto"/>
      </w:pPr>
      <w:r w:rsidRPr="00020A87">
        <w:rPr>
          <w:lang w:bidi="hi-IN"/>
        </w:rPr>
        <w:t>We also simulated direct competitions between the different mutational strategies (NM, CM, and SIM). In these competitions</w:t>
      </w:r>
      <w:r>
        <w:rPr>
          <w:lang w:bidi="hi-IN"/>
        </w:rPr>
        <w:t xml:space="preserve">, </w:t>
      </w:r>
      <w:r w:rsidRPr="00020A87">
        <w:rPr>
          <w:lang w:bidi="hi-IN"/>
        </w:rPr>
        <w:t>half of the population alters its mutational strategy to an invading strategy</w:t>
      </w:r>
      <w:r>
        <w:rPr>
          <w:lang w:bidi="hi-IN"/>
        </w:rPr>
        <w:t xml:space="preserve"> at the time of the environmental change</w:t>
      </w:r>
      <w:r w:rsidRPr="00020A87">
        <w:rPr>
          <w:lang w:bidi="hi-IN"/>
        </w:rPr>
        <w:t xml:space="preserve">. </w:t>
      </w:r>
      <w:r>
        <w:rPr>
          <w:lang w:bidi="hi-IN"/>
        </w:rPr>
        <w:t>Each simulation</w:t>
      </w:r>
      <w:r w:rsidRPr="00020A87">
        <w:rPr>
          <w:lang w:bidi="hi-IN"/>
        </w:rPr>
        <w:t xml:space="preserve"> provides a sample of the frequency of the invading strategy</w:t>
      </w:r>
      <w:r>
        <w:rPr>
          <w:lang w:bidi="hi-IN"/>
        </w:rPr>
        <w:t xml:space="preserve"> </w:t>
      </w:r>
      <w:r w:rsidRPr="00020A87">
        <w:rPr>
          <w:lang w:bidi="hi-IN"/>
        </w:rPr>
        <w:t xml:space="preserve">after the </w:t>
      </w:r>
      <w:r>
        <w:rPr>
          <w:lang w:bidi="hi-IN"/>
        </w:rPr>
        <w:t xml:space="preserve">appearance and subsequent </w:t>
      </w:r>
      <w:r w:rsidRPr="00020A87">
        <w:rPr>
          <w:lang w:bidi="hi-IN"/>
        </w:rPr>
        <w:t xml:space="preserve">fixation or extinction of the double mutant </w:t>
      </w:r>
      <w:r w:rsidRPr="00020A87">
        <w:rPr>
          <w:i/>
          <w:iCs/>
          <w:lang w:bidi="hi-IN"/>
        </w:rPr>
        <w:t>AB</w:t>
      </w:r>
      <w:r>
        <w:rPr>
          <w:lang w:bidi="hi-IN"/>
        </w:rPr>
        <w:t>.</w:t>
      </w:r>
      <w:r w:rsidRPr="00020A87">
        <w:rPr>
          <w:lang w:bidi="hi-IN"/>
        </w:rPr>
        <w:t xml:space="preserve"> If the average final frequency is significantly lower or higher than</w:t>
      </w:r>
      <w:r w:rsidRPr="00BA2B02">
        <w:rPr>
          <w:lang w:bidi="hi-IN"/>
        </w:rPr>
        <w:t xml:space="preserve"> 50% we consider the invading strategy disfavored or favored by </w:t>
      </w:r>
      <w:r>
        <w:rPr>
          <w:lang w:bidi="hi-IN"/>
        </w:rPr>
        <w:t xml:space="preserve">natural </w:t>
      </w:r>
      <w:r w:rsidRPr="00BA2B02">
        <w:rPr>
          <w:lang w:bidi="hi-IN"/>
        </w:rPr>
        <w:t xml:space="preserve">selection over the initial strategy. </w:t>
      </w:r>
      <w:r>
        <w:rPr>
          <w:lang w:bidi="hi-IN"/>
        </w:rPr>
        <w:t>S</w:t>
      </w:r>
      <w:r w:rsidRPr="00BA2B02">
        <w:rPr>
          <w:lang w:bidi="hi-IN"/>
        </w:rPr>
        <w:t xml:space="preserve">tatistical significance </w:t>
      </w:r>
      <w:r>
        <w:rPr>
          <w:lang w:bidi="hi-IN"/>
        </w:rPr>
        <w:t xml:space="preserve">was calculated </w:t>
      </w:r>
      <w:r w:rsidRPr="00BA2B02">
        <w:rPr>
          <w:lang w:bidi="hi-IN"/>
        </w:rPr>
        <w:t>using a 1-sample 2-tailed t-test.</w:t>
      </w:r>
    </w:p>
    <w:p w:rsidR="00C46C20" w:rsidRDefault="00C46C20" w:rsidP="008D0078">
      <w:pPr>
        <w:spacing w:line="480" w:lineRule="auto"/>
        <w:rPr>
          <w:lang w:bidi="hi-IN"/>
        </w:rPr>
      </w:pPr>
      <w:r>
        <w:t xml:space="preserve">Figure </w:t>
      </w:r>
      <w:r>
        <w:t>F1</w:t>
      </w:r>
      <w:r>
        <w:t xml:space="preserve"> </w:t>
      </w:r>
      <w:r w:rsidRPr="008F3447">
        <w:rPr>
          <w:lang w:bidi="hi-IN"/>
        </w:rPr>
        <w:t>summarizes the competitions. CM clearly loses to both SIM and NM (first and</w:t>
      </w:r>
      <w:r>
        <w:rPr>
          <w:lang w:bidi="hi-IN"/>
        </w:rPr>
        <w:t xml:space="preserve"> second panels from the right). SIM is significantly advantageous over NM when the mutation rate increase is large enough (</w:t>
      </w:r>
      <w:r w:rsidRPr="00B1563A">
        <w:rPr>
          <w:i/>
          <w:iCs/>
          <w:lang w:bidi="hi-IN"/>
        </w:rPr>
        <w:t>τ</w:t>
      </w:r>
      <w:r>
        <w:rPr>
          <w:lang w:bidi="hi-IN"/>
        </w:rPr>
        <w:t xml:space="preserve">&gt;2; 2-tail t-test, P&lt;0.0015). </w:t>
      </w:r>
    </w:p>
    <w:p w:rsidR="008A52D7" w:rsidRDefault="00C46C20" w:rsidP="008D0078">
      <w:pPr>
        <w:spacing w:line="480" w:lineRule="auto"/>
        <w:rPr>
          <w:lang w:bidi="hi-IN"/>
        </w:rPr>
      </w:pPr>
      <w:r>
        <w:rPr>
          <w:lang w:bidi="hi-IN"/>
        </w:rPr>
        <w:t xml:space="preserve">These results show that the evolutionary advantage of SIM at the population-level corresponds to an individual-level advantage and can lead to the evolution of stress-induced mutagenesis by natural selection, even when constitutive mutagenesis is strongly disfavored. This is consistent with previous results in smooth fitness landscapes </w:t>
      </w:r>
      <w:r>
        <w:rPr>
          <w:lang w:bidi="hi-IN"/>
        </w:rPr>
        <w:fldChar w:fldCharType="begin" w:fldLock="1"/>
      </w:r>
      <w:r w:rsidR="008D007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lang w:bidi="hi-IN"/>
        </w:rPr>
        <w:fldChar w:fldCharType="separate"/>
      </w:r>
      <w:r w:rsidRPr="004F715E">
        <w:rPr>
          <w:noProof/>
          <w:lang w:bidi="hi-IN"/>
        </w:rPr>
        <w:t>(Ram and Hadany 2012)</w:t>
      </w:r>
      <w:r>
        <w:rPr>
          <w:lang w:bidi="hi-IN"/>
        </w:rPr>
        <w:fldChar w:fldCharType="end"/>
      </w:r>
      <w:r>
        <w:rPr>
          <w:lang w:bidi="hi-IN"/>
        </w:rPr>
        <w:t>.</w:t>
      </w:r>
    </w:p>
    <w:p w:rsidR="008A52D7" w:rsidRDefault="008A52D7" w:rsidP="008D0078">
      <w:pPr>
        <w:spacing w:line="480" w:lineRule="auto"/>
        <w:rPr>
          <w:lang w:bidi="hi-IN"/>
        </w:rPr>
      </w:pPr>
      <w:r>
        <w:rPr>
          <w:lang w:bidi="hi-IN"/>
        </w:rPr>
        <w:br w:type="page"/>
      </w:r>
    </w:p>
    <w:p w:rsidR="00C46C20" w:rsidRDefault="00C46C20" w:rsidP="008D0078">
      <w:pPr>
        <w:pStyle w:val="Caption"/>
        <w:spacing w:line="480" w:lineRule="auto"/>
        <w:rPr>
          <w:rFonts w:eastAsiaTheme="minorHAnsi"/>
          <w:smallCaps w:val="0"/>
          <w:color w:val="auto"/>
          <w:spacing w:val="0"/>
          <w:sz w:val="20"/>
          <w:szCs w:val="20"/>
          <w:lang w:bidi="he-IL"/>
        </w:rPr>
      </w:pPr>
      <w:bookmarkStart w:id="25" w:name="_Ref374366687"/>
      <w:r>
        <w:rPr>
          <w:rFonts w:eastAsiaTheme="minorHAnsi"/>
          <w:smallCaps w:val="0"/>
          <w:noProof/>
          <w:color w:val="auto"/>
          <w:spacing w:val="0"/>
          <w:sz w:val="20"/>
          <w:szCs w:val="20"/>
          <w:lang w:bidi="he-IL"/>
        </w:rPr>
        <w:lastRenderedPageBreak/>
        <w:drawing>
          <wp:inline distT="0" distB="0" distL="0" distR="0" wp14:anchorId="39A68DD4" wp14:editId="459BE125">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C46C20" w:rsidRPr="0013483B" w:rsidRDefault="00C46C20" w:rsidP="008D0078">
      <w:pPr>
        <w:spacing w:line="480" w:lineRule="auto"/>
        <w:rPr>
          <w:sz w:val="20"/>
          <w:szCs w:val="20"/>
          <w:lang w:bidi="hi-IN"/>
        </w:rPr>
      </w:pPr>
      <w:r>
        <w:rPr>
          <w:rFonts w:ascii="Palatino Linotype" w:hAnsi="Palatino Linotype"/>
          <w:b/>
          <w:bCs/>
          <w:sz w:val="20"/>
          <w:szCs w:val="20"/>
        </w:rPr>
        <w:t xml:space="preserve">Online </w:t>
      </w:r>
      <w:r w:rsidRPr="0013483B">
        <w:rPr>
          <w:b/>
          <w:bCs/>
          <w:sz w:val="20"/>
          <w:szCs w:val="20"/>
          <w:lang w:bidi="hi-IN"/>
        </w:rPr>
        <w:t xml:space="preserve">Figure </w:t>
      </w:r>
      <w:bookmarkEnd w:id="25"/>
      <w:r>
        <w:rPr>
          <w:b/>
          <w:bCs/>
          <w:sz w:val="20"/>
          <w:szCs w:val="20"/>
          <w:lang w:bidi="hi-IN"/>
        </w:rPr>
        <w:t>F1</w:t>
      </w:r>
      <w:r w:rsidRPr="0013483B">
        <w:rPr>
          <w:b/>
          <w:bCs/>
          <w:sz w:val="20"/>
          <w:szCs w:val="20"/>
          <w:lang w:bidi="hi-IN"/>
        </w:rPr>
        <w:t xml:space="preserve"> – Direct competitions between three mutational strategies.</w:t>
      </w:r>
      <w:r w:rsidRPr="0013483B">
        <w:rPr>
          <w:sz w:val="20"/>
          <w:szCs w:val="20"/>
          <w:lang w:bidi="hi-IN"/>
        </w:rPr>
        <w:t xml:space="preserve"> The figure shows the average final frequency of (from right to left): stress-induced mutagenesis (SIM) vs. constitutive mutagenesis (CM); CM vs. normal mutagenesis (NM); SIM vs. NM; and NM vs. NM (control). Initial frequencies are always 0.5. Several mutation rate fold increases are shown on the x-axis. SIM defeats CM and is significantly advantageous over NM when τ&gt;2 (2-tail t-test, P&lt;0.0015). </w:t>
      </w:r>
      <w:proofErr w:type="gramStart"/>
      <w:r w:rsidRPr="0013483B">
        <w:rPr>
          <w:sz w:val="20"/>
          <w:szCs w:val="20"/>
          <w:lang w:bidi="hi-IN"/>
        </w:rPr>
        <w:t>CM losses to NM and SIM (P≈0).</w:t>
      </w:r>
      <w:proofErr w:type="gramEnd"/>
      <w:r w:rsidRPr="0013483B">
        <w:rPr>
          <w:sz w:val="20"/>
          <w:szCs w:val="20"/>
          <w:lang w:bidi="hi-IN"/>
        </w:rPr>
        <w:t xml:space="preserve"> Therefore, SIM is favored by selection over both NM and CM. Changing roles between resident and invader didn't a</w:t>
      </w:r>
      <w:r>
        <w:rPr>
          <w:sz w:val="20"/>
          <w:szCs w:val="20"/>
          <w:lang w:bidi="hi-IN"/>
        </w:rPr>
        <w:t>ffect the results (not shown).</w:t>
      </w:r>
      <w:r w:rsidRPr="0013483B">
        <w:rPr>
          <w:sz w:val="20"/>
          <w:szCs w:val="20"/>
          <w:lang w:bidi="hi-IN"/>
        </w:rPr>
        <w:t xml:space="preserve"> Error bars represent the standard error of the mean (500 simulations per point). Parameters (see Table 1): U=0.0004, s=0.05, β=0.0002, H=2, N=106.</w:t>
      </w:r>
    </w:p>
    <w:p w:rsidR="00961941" w:rsidRDefault="00961941" w:rsidP="008D0078">
      <w:pPr>
        <w:spacing w:line="480" w:lineRule="auto"/>
        <w:rPr>
          <w:lang w:bidi="hi-IN"/>
        </w:rPr>
      </w:pPr>
      <w:r>
        <w:rPr>
          <w:lang w:bidi="hi-IN"/>
        </w:rPr>
        <w:br w:type="page"/>
      </w:r>
    </w:p>
    <w:p w:rsidR="00347C94" w:rsidRDefault="005B46B9" w:rsidP="008D0078">
      <w:pPr>
        <w:pStyle w:val="Heading1"/>
        <w:spacing w:line="480" w:lineRule="auto"/>
      </w:pPr>
      <w:r>
        <w:lastRenderedPageBreak/>
        <w:t>Literature cited</w:t>
      </w:r>
    </w:p>
    <w:p w:rsidR="008D0078" w:rsidRPr="008D0078" w:rsidRDefault="00B04C73">
      <w:pPr>
        <w:pStyle w:val="NormalWeb"/>
        <w:divId w:val="65510865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8D0078" w:rsidRPr="008D0078">
        <w:rPr>
          <w:rFonts w:ascii="Palatino Linotype" w:hAnsi="Palatino Linotype"/>
          <w:noProof/>
          <w:sz w:val="22"/>
        </w:rPr>
        <w:t>Agrawal, A. F. 2002. Genetic loads under fitness-dependent mutation rates. Journal of Evolutionary Biology 15:1004–1010.</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Al Mamun, A. A. M., M.-J. Lombardo, C. Shee, A. M. Lisewski, C. Gonzalez, D. Lin, R. B. Nehring, et al. 2012. Identity and function of a large gene network underlying mutagenic repair of DNA breaks. Science 338:1344–8.</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 xml:space="preserve">Baharoglu, Z., and D. Mazel. 2011. </w:t>
      </w:r>
      <w:r w:rsidRPr="008D0078">
        <w:rPr>
          <w:rFonts w:ascii="Palatino Linotype" w:hAnsi="Palatino Linotype"/>
          <w:i/>
          <w:iCs/>
          <w:noProof/>
          <w:sz w:val="22"/>
        </w:rPr>
        <w:t>Vibrio cholerae</w:t>
      </w:r>
      <w:r w:rsidRPr="008D0078">
        <w:rPr>
          <w:rFonts w:ascii="Palatino Linotype" w:hAnsi="Palatino Linotype"/>
          <w:noProof/>
          <w:sz w:val="22"/>
        </w:rPr>
        <w:t xml:space="preserve"> triggers SOS and mutagenesis in response to a wide range of antibiotics: a route towards multiresistance. Antimicrobial agents and chemotherapy 55:2438–41.</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 xml:space="preserve">Berg, O. G. 1996. Selection intensity for codon bias and the effective population size of </w:t>
      </w:r>
      <w:r w:rsidRPr="008D0078">
        <w:rPr>
          <w:rFonts w:ascii="Palatino Linotype" w:hAnsi="Palatino Linotype"/>
          <w:i/>
          <w:iCs/>
          <w:noProof/>
          <w:sz w:val="22"/>
        </w:rPr>
        <w:t>Escherichia coli</w:t>
      </w:r>
      <w:r w:rsidRPr="008D0078">
        <w:rPr>
          <w:rFonts w:ascii="Palatino Linotype" w:hAnsi="Palatino Linotype"/>
          <w:noProof/>
          <w:sz w:val="22"/>
        </w:rPr>
        <w:t>. Genetics 142:1379–82.</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Bjedov, I., O. Tenaillon, B. Gérard, V. Souza, E. Denamur, M. Radman, F. Taddei, et al. 2003. Stress-induced mutagenesis in bacteria. Science 300:1404–9.</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Bristow, R. G., and R. P. Hill. 2008. Hypoxia and metabolism: Hypoxia, DNA repair and genetic instability. Nature reviews. Cancer 8:180–92.</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Cairns, J., J. Overbaugh, and S. Miller. 1988. The origin of mutants. Nature 335:142–5.</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Cirz, R. T., and F. E. Romesberg. 2007. Controlling mutation: intervening in evolution as a therapeutic strategy. Critical reviews in biochemistry and molecular biology 42:341–54.</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Coyne, J. A., N. H. Barton, and M. Turelli. 2000. Is Wright’s shifting balance process important in evolution? Evolution 54:306–317.</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Crow, J. F., W. R. Engels, and C. Denniston. 1990. Phase Three of Wright’s Shifting-Balance Theory. Evolution 44:233.</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Dawson, K. J. 1998. Evolutionarily stable mutation rates. Journal of theoretical biology 194:143–57.</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De Visser, J. A. G. M. 2002. The fate of microbial mutators. Microbiology (Reading, England) 148:1247–52.</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 xml:space="preserve">Debora, B. N., L. E. Vidales, R. Ramírez, M. Ramírez, E. A. Robleto, R. E. Yasbin, and M. Pedraza-Reyes. 2010. Mismatch Repair Modulation of MutY Activity Drives </w:t>
      </w:r>
      <w:r w:rsidRPr="008D0078">
        <w:rPr>
          <w:rFonts w:ascii="Palatino Linotype" w:hAnsi="Palatino Linotype"/>
          <w:i/>
          <w:iCs/>
          <w:noProof/>
          <w:sz w:val="22"/>
        </w:rPr>
        <w:t>Bacillus subtilis</w:t>
      </w:r>
      <w:r w:rsidRPr="008D0078">
        <w:rPr>
          <w:rFonts w:ascii="Palatino Linotype" w:hAnsi="Palatino Linotype"/>
          <w:noProof/>
          <w:sz w:val="22"/>
        </w:rPr>
        <w:t xml:space="preserve"> Stationary-Phase Mutagenesis. Journal of bacteriology 193:236–45.</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lastRenderedPageBreak/>
        <w:t>Denamur, E., and I. Matic. 2006. Evolution of mutation rates in bacteria. Molecular microbiology 60:820–7.</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Drake, J. W., B. Charlesworth, D. Charlesworth, and J. F. Crow. 1998. Rates of spontaneous mutation. Genetics 148:1667–86.</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Eshel, I. 1981. On the survival probability of a slightly advantageous mutant gene with a general distribution of progeny size - a branching process model. Journal of Mathematical Biology 12:355–362.</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Fisher, R. A. 1930. The Genetical Theory of Natural Selection (p. 272). Clarendon Press, Oxford.</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Foster, P. L. 2007. Stress-induced mutagenesis in bacteria. Critical reviews in biochemistry and molecular biology 42:373–97.</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 xml:space="preserve">Funchain, P., A. Yeung, J. L. Stewart, R. Lin, M. M. Slupska, and J. H. Miller. 2000. The consequences of growth of a mutator strain of </w:t>
      </w:r>
      <w:r w:rsidRPr="008D0078">
        <w:rPr>
          <w:rFonts w:ascii="Palatino Linotype" w:hAnsi="Palatino Linotype"/>
          <w:i/>
          <w:iCs/>
          <w:noProof/>
          <w:sz w:val="22"/>
        </w:rPr>
        <w:t>Escherichia coli</w:t>
      </w:r>
      <w:r w:rsidRPr="008D0078">
        <w:rPr>
          <w:rFonts w:ascii="Palatino Linotype" w:hAnsi="Palatino Linotype"/>
          <w:noProof/>
          <w:sz w:val="22"/>
        </w:rPr>
        <w:t xml:space="preserve"> as measured by loss of function among multiple gene targets and loss of fitness. Genetics 154:959–70.</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Galhardo, R. S., P. J. Hastings, and S. M. Rosenberg. 2007. Mutation as a stress response and the regulation of evolvability. Critical reviews in biochemistry and molecular biology 42:399–435.</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Gavrilets, S. 1996. On phase three of the shifting-balance theory. Evolution 50:1034–1041.</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 xml:space="preserve">Gentile, C. F., S.-C. Yu, S. A. Serrano, P. J. Gerrish, and P. D. Sniegowski. 2011. Competition between high- and higher-mutating strains of </w:t>
      </w:r>
      <w:r w:rsidRPr="008D0078">
        <w:rPr>
          <w:rFonts w:ascii="Palatino Linotype" w:hAnsi="Palatino Linotype"/>
          <w:i/>
          <w:iCs/>
          <w:noProof/>
          <w:sz w:val="22"/>
        </w:rPr>
        <w:t>Escherichia coli</w:t>
      </w:r>
      <w:r w:rsidRPr="008D0078">
        <w:rPr>
          <w:rFonts w:ascii="Palatino Linotype" w:hAnsi="Palatino Linotype"/>
          <w:noProof/>
          <w:sz w:val="22"/>
        </w:rPr>
        <w:t>. Biology letters 7:422–4.</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Gessler, D. D. G. 1995. The constraints of finite size in asexual populations and the rate of the ratchet. Genetical Research 66:241.</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Giraud, A., M. Radman, I. Matic, and F. Taddei. 2001b. The rise and fall of mutator bacteria. Current Opinion in Microbiology 4:582–585.</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Goho, S., and G. Bell. 2000. Mild environmental stress elicits mutations affecting fitness in Chlamydomonas. Proceedings of the Royal Society B: Biological Sciences 267:123–9.</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Gordo, I., and F. Dionisio. 2005. Nonequilibrium model for estimating parameters of deleterious mutations. Physical Review E 71:18–21.</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lastRenderedPageBreak/>
        <w:t>Gordo, I., L. Perfeito, and A. Sousa. 2011. Fitness effects of mutations in bacteria. Journal of molecular microbiology and biotechnology 21:20–35.</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Hadany, L. 2003. Adaptive peak shifts in a heterogenous environment. Theoretical Population Biology 63:41–51.</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Hadany, L., and T. Beker. 2003. Fitness-associated recombination on rugged adaptive landscapes. Journal of evolutionary biology 16:862–870.</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Haigh, J. 1978. The accumulation of deleterious genes in a population - Muller’s Ratchet. Theoretical Population Biology 14:251–267.</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Hall, L. M. C., and S. K. Henderson-Begg. 2006. Hypermutable bacteria isolated from humans--a critical analysis. Microbiology (Reading, England) 152:2505–14.</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 xml:space="preserve">Heidenreich, E. 2007. Adaptive mutation in </w:t>
      </w:r>
      <w:r w:rsidRPr="008D0078">
        <w:rPr>
          <w:rFonts w:ascii="Palatino Linotype" w:hAnsi="Palatino Linotype"/>
          <w:i/>
          <w:iCs/>
          <w:noProof/>
          <w:sz w:val="22"/>
        </w:rPr>
        <w:t>Saccharomyces cerevisiae</w:t>
      </w:r>
      <w:r w:rsidRPr="008D0078">
        <w:rPr>
          <w:rFonts w:ascii="Palatino Linotype" w:hAnsi="Palatino Linotype"/>
          <w:noProof/>
          <w:sz w:val="22"/>
        </w:rPr>
        <w:t>. Critical reviews in biochemistry and molecular biology 42:285–311.</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 xml:space="preserve">Henderson-Begg, S. K., D. M. Livermore, and L. M. C. Hall. 2006. Effect of subinhibitory concentrations of antibiotics on mutation frequency in </w:t>
      </w:r>
      <w:r w:rsidRPr="008D0078">
        <w:rPr>
          <w:rFonts w:ascii="Palatino Linotype" w:hAnsi="Palatino Linotype"/>
          <w:i/>
          <w:iCs/>
          <w:noProof/>
          <w:sz w:val="22"/>
        </w:rPr>
        <w:t>Streptococcus pneumoniae</w:t>
      </w:r>
      <w:r w:rsidRPr="008D0078">
        <w:rPr>
          <w:rFonts w:ascii="Palatino Linotype" w:hAnsi="Palatino Linotype"/>
          <w:noProof/>
          <w:sz w:val="22"/>
        </w:rPr>
        <w:t>. The Journal of antimicrobial chemotherapy 57:849–54.</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Johnson, T., and N. H. N. H. Barton. 2002. The effect of deleterious alleles on adaptation in asexual populations. Genetics 162:395–411.</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Kang, J. M., N. M. Iovine, and M. J. Blaser. 2006. A paradigm for direct stress-induced mutation in prokaryotes. The FASEB journal : official publication of the Federation of American Societies for Experimental Biology 20:2476–85.</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Katz, S., and R. Hershberg. 2013. Elevated mutagenesis does not explain the increased frequency of antibiotic resistant mutants in starved aging colonies. PLoS genetics 9:e1003968.</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Kessler, D., and H. Levine. 1998. Mutator Dynamics on a Smooth Evolutionary Landscape. Physical Review Letters 80:2012–2015.</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 xml:space="preserve">Kibota, T. T., and M. Lynch. 1996. Estimate of the genomic mutation rate deleterious to overall fitness in </w:t>
      </w:r>
      <w:r w:rsidRPr="008D0078">
        <w:rPr>
          <w:rFonts w:ascii="Palatino Linotype" w:hAnsi="Palatino Linotype"/>
          <w:i/>
          <w:iCs/>
          <w:noProof/>
          <w:sz w:val="22"/>
        </w:rPr>
        <w:t>E. coli</w:t>
      </w:r>
      <w:r w:rsidRPr="008D0078">
        <w:rPr>
          <w:rFonts w:ascii="Palatino Linotype" w:hAnsi="Palatino Linotype"/>
          <w:noProof/>
          <w:sz w:val="22"/>
        </w:rPr>
        <w:t>. Nature 381:694–6.</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Kimura, M. 1967. On the evolutionary adjustment of spontaneous mutation rates. Genetical Research 9:23–34.</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Kimura, M., and T. Maruyama. 1966. The mutational load with epistatic gene interactions in fitness. Genetics 54:1337–51.</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Kivisaar, M. 2010. Mechanisms of stationary-phase mutagenesis in bacteria: mutational processes in pseudomonads. FEMS microbiology letters 312:1–14.</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lastRenderedPageBreak/>
        <w:t>Leigh, E. G. J. 1970. Natural Selection and Mutability. The American Naturalist 104:301–305.</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Liberman, U., and M. W. Feldman. 1986. Modifiers of mutation rate: a general reduction principle. Theoretical population biology 30:125–42.</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Loh, E., J. J. Salk, and L. A. Loeb. 2010. Optimization of DNA polymerase mutation rates during bacterial evolution. Proceedings of the National Academy of Sciences 107:1154–9.</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Lynch, M., R. Bürger, D. Butcher, and W. Gabriel. 1993. The mutational meltdown in asexual populations. The Journal of heredity 84:339–44.</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 xml:space="preserve">Matsuba, C., D. G. Ostrow, M. P. Salomon, A. Tolani, and C. F. Baer. 2012. Temperature, stress and spontaneous mutation in </w:t>
      </w:r>
      <w:r w:rsidRPr="008D0078">
        <w:rPr>
          <w:rFonts w:ascii="Palatino Linotype" w:hAnsi="Palatino Linotype"/>
          <w:i/>
          <w:iCs/>
          <w:noProof/>
          <w:sz w:val="22"/>
        </w:rPr>
        <w:t>Caenorhabditis briggsae</w:t>
      </w:r>
      <w:r w:rsidRPr="008D0078">
        <w:rPr>
          <w:rFonts w:ascii="Palatino Linotype" w:hAnsi="Palatino Linotype"/>
          <w:noProof/>
          <w:sz w:val="22"/>
        </w:rPr>
        <w:t xml:space="preserve"> and </w:t>
      </w:r>
      <w:r w:rsidRPr="008D0078">
        <w:rPr>
          <w:rFonts w:ascii="Palatino Linotype" w:hAnsi="Palatino Linotype"/>
          <w:i/>
          <w:iCs/>
          <w:noProof/>
          <w:sz w:val="22"/>
        </w:rPr>
        <w:t>Caenorhabditis elegans</w:t>
      </w:r>
      <w:r w:rsidRPr="008D0078">
        <w:rPr>
          <w:rFonts w:ascii="Palatino Linotype" w:hAnsi="Palatino Linotype"/>
          <w:noProof/>
          <w:sz w:val="22"/>
        </w:rPr>
        <w:t>. Biology letters 8–12.</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Maynard Smith, J., and J. Haigh. 1974. The hitch-hiking effect of a favourable gene. Genetical Research 23:23–35.</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 xml:space="preserve">Montanari, S., A. Oliver, P. Salerno, A. Mena, G. Bertoni, B. Tümmler, L. Cariani, et al. 2007. Biological cost of hypermutation in </w:t>
      </w:r>
      <w:r w:rsidRPr="008D0078">
        <w:rPr>
          <w:rFonts w:ascii="Palatino Linotype" w:hAnsi="Palatino Linotype"/>
          <w:i/>
          <w:iCs/>
          <w:noProof/>
          <w:sz w:val="22"/>
        </w:rPr>
        <w:t>Pseudomonas aeruginosa</w:t>
      </w:r>
      <w:r w:rsidRPr="008D0078">
        <w:rPr>
          <w:rFonts w:ascii="Palatino Linotype" w:hAnsi="Palatino Linotype"/>
          <w:noProof/>
          <w:sz w:val="22"/>
        </w:rPr>
        <w:t xml:space="preserve"> strains from patients with cystic fibrosis. Microbiology (Reading, England) 153:1445–54.</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Moore, F. B.-G., and S. J. Tonsor. 1994. A Simulation of Wright’s Shifting-Balance Process: Migration and the Three Phases. Evolution 48:69.</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Obolski, U., and L. Hadany. 2012. Implications of stress-induced genetic variation for minimizing multidrug resistance in bacteria. BMC Medicine 10:1–30.</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Otto, S. P., and T. Day. 2007. A biologist’s guide to mathematical modeling in ecology and evolution (p. 732). Princeton University Press.</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Patwa, Z., and L. M. Wahl. 2008. The fixation probability of beneficial mutations. Journal of the Royal Society, Interface / the Royal Society 5:1279–89.</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Peck, S. L., S. P. Ellner, and F. Gould. 2000. Varying migration and deme size and the feasibility of the shifting balance. Evolution 54:324–7.</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Ponder, R. G., N. C. Fonville, and S. M. Rosenberg. 2005. A switch from high-fidelity to error-prone DNA double-strand break repair underlies stress-induced mutation. Molecular cell 19:791–804.</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 xml:space="preserve">Pupo, G. M., and B. J. Richardson. 1995. Biochemical genetics of a natural population of </w:t>
      </w:r>
      <w:r w:rsidRPr="008D0078">
        <w:rPr>
          <w:rFonts w:ascii="Palatino Linotype" w:hAnsi="Palatino Linotype"/>
          <w:i/>
          <w:iCs/>
          <w:noProof/>
          <w:sz w:val="22"/>
        </w:rPr>
        <w:t>Escherichia coli</w:t>
      </w:r>
      <w:r w:rsidRPr="008D0078">
        <w:rPr>
          <w:rFonts w:ascii="Palatino Linotype" w:hAnsi="Palatino Linotype"/>
          <w:noProof/>
          <w:sz w:val="22"/>
        </w:rPr>
        <w:t>: seasonal changes in alleles and haplotypes. Microbiology (Reading, England) 141:1037–44.</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lastRenderedPageBreak/>
        <w:t>Ram, Y., and L. Hadany. 2012. The evolution of stress-induced hypermutation in asexual populations. Evolution 66:2315–28.</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Rodriguez, G. P., N. V Romanova, G. Bao, N. C. Rouf, Y. W. Kow, and G. F. Crouse. 2012. Mismatch repair-dependent mutagenesis in nondividing cells. Proceedings of the National Academy of Sciences 109:6153–8.</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 xml:space="preserve">Rosenberg, S. M., C. Shee, R. L. Frisch, and P. J. Hastings. 2012. Stress-induced mutation via DNA breaks in </w:t>
      </w:r>
      <w:r w:rsidRPr="008D0078">
        <w:rPr>
          <w:rFonts w:ascii="Palatino Linotype" w:hAnsi="Palatino Linotype"/>
          <w:i/>
          <w:iCs/>
          <w:noProof/>
          <w:sz w:val="22"/>
        </w:rPr>
        <w:t>Escherichia coli</w:t>
      </w:r>
      <w:r w:rsidRPr="008D0078">
        <w:rPr>
          <w:rFonts w:ascii="Palatino Linotype" w:hAnsi="Palatino Linotype"/>
          <w:noProof/>
          <w:sz w:val="22"/>
        </w:rPr>
        <w:t>: A molecular mechanism with implications for evolution and medicine. BioEssays 1–8.</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 xml:space="preserve">Schrag, S. J., V. Perrot, and B. R. Levin. 1997. Adaptation to the fitness costs of antibiotic resistance in </w:t>
      </w:r>
      <w:r w:rsidRPr="008D0078">
        <w:rPr>
          <w:rFonts w:ascii="Palatino Linotype" w:hAnsi="Palatino Linotype"/>
          <w:i/>
          <w:iCs/>
          <w:noProof/>
          <w:sz w:val="22"/>
        </w:rPr>
        <w:t>Escherichia coli</w:t>
      </w:r>
      <w:r w:rsidRPr="008D0078">
        <w:rPr>
          <w:rFonts w:ascii="Palatino Linotype" w:hAnsi="Palatino Linotype"/>
          <w:noProof/>
          <w:sz w:val="22"/>
        </w:rPr>
        <w:t>. Proceedings of the Royal Society B: Biological Sciences 264:1287–91.</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Sharp, N. P., and A. F. Agrawal. 2012. Evidence for elevated mutation rates in low-quality genotypes. Proceedings of the National Academy of Sciences 109:6142–6.</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Shaw, F. H., and C. F. Baer. 2011. Fitness-dependent mutation rates in finite populations. Journal of evolutionary biology 24:1677–84.</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 xml:space="preserve">Shee, C., J. L. Gibson, M. C. Darrow, C. Gonzalez, and S. M. Rosenberg. 2011. Impact of a stress-inducible switch to mutagenic repair of DNA breaks on mutation in </w:t>
      </w:r>
      <w:r w:rsidRPr="008D0078">
        <w:rPr>
          <w:rFonts w:ascii="Palatino Linotype" w:hAnsi="Palatino Linotype"/>
          <w:i/>
          <w:iCs/>
          <w:noProof/>
          <w:sz w:val="22"/>
        </w:rPr>
        <w:t>Escherichia coli</w:t>
      </w:r>
      <w:r w:rsidRPr="008D0078">
        <w:rPr>
          <w:rFonts w:ascii="Palatino Linotype" w:hAnsi="Palatino Linotype"/>
          <w:noProof/>
          <w:sz w:val="22"/>
        </w:rPr>
        <w:t>. Proceedings of the National Academy of Sciences 108:13659–13664.</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Shor, E., C. a. Fox, and J. R. Broach. 2013. The yeast environmental stress response regulates mutagenesis induced by proteotoxic stress. PLoS genetics 9:e1003680.</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Sniegowski, P. D., P. J. Gerrish, T. Johnson, and A. Shaver. 2000. The evolution of mutation rates: separating causes from consequences. BioEssays 22:1057–66.</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Sniegowski, P. D., P. J. Gerrish, and R. E. Lenski. 1997. Evolution of high mutation rates in experimental populations of E. coli. Nature 387:703–5.</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Taddei, F., M. Radman, J. Maynard Smith, B. Toupance, P.-H. Gouyon, and B. Godelle. 1997. Role of mutator alleles in adaptive evolution. Nature 387:700–2.</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Tenaillon, O., E. Denamur, and I. Matic. 2004. Evolutionary significance of stress-induced mutagenesis in bacteria. Trends in microbiology 12:264–70.</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Tenaillon, O., H. Le Nagard, B. Godelle, and F. Taddei. 2000. Mutators and sex in bacteria: conflict between adaptive strategies. Proceedings of the National Academy of Sciences 97:10465–70.</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lastRenderedPageBreak/>
        <w:t>Torres-Barceló, C., G. Cabot, A. Oliver, A. Buckling, and R. C. MacLean. 2013. A trade-off between oxidative stress resistance and DNA repair plays a role in the evolution of elevated mutation rates in bacteria. Proceedings of the Royal Society B: Biological Sciences 280:20130007.</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Wade, M. J., and C. J. Goodnight. 1991. Wright’s shifting balance theory: an experimental study. Science 253:1015–8.</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Weinreich, D. M., and L. Chao. 2005. Rapid evolutionary escape by large populations from local fitness peaks is likely in nature. Evolution 59:1175–82.</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Weissman, D. B., M. W. Feldman, and D. S. Fisher. 2010. The rate of fitness-valley crossing in sexual populations. Genetics 186:1389–410.</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Whitlock, M. C. 1995. Variance-induced peak shifts. Evolution 49:252.</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Whitlock, M. C. 1997. Founder effects and peak shifts without genetic drift: adaptive peak shifts occur easily when environments fluctuate slightly. Evolution 51:1044.</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Whitlock, M. C., and P. C. Phillips. 2000. The exquisite corpse: a shifting view of the shifting balance. Trends in Ecology &amp; Evolution 15:347–348.</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 xml:space="preserve">Wielgoss, S., J. E. Barrick, O. Tenaillon, S. Cruveiller, B. Chane-Woon-Ming, C. Médigue, R. E. Lenski, et al. 2011. Mutation rate inferred from synonymous substitutions in a long-term evolution experiment with </w:t>
      </w:r>
      <w:r w:rsidRPr="008D0078">
        <w:rPr>
          <w:rFonts w:ascii="Palatino Linotype" w:hAnsi="Palatino Linotype"/>
          <w:i/>
          <w:iCs/>
          <w:noProof/>
          <w:sz w:val="22"/>
        </w:rPr>
        <w:t>Escherichia coli</w:t>
      </w:r>
      <w:r w:rsidRPr="008D0078">
        <w:rPr>
          <w:rFonts w:ascii="Palatino Linotype" w:hAnsi="Palatino Linotype"/>
          <w:noProof/>
          <w:sz w:val="22"/>
        </w:rPr>
        <w:t>. G3: Genes, Genomes, Genetics 1:183–186.</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Wielgoss, S., J. E. Barrick, O. Tenaillon, M. J. Wiser, W. J. Dittmar, S. Cruveiller, B. Chane-Woon-Ming, et al. 2012. Mutation rate dynamics in a bacterial population reflect tension between adaptation and genetic load. Proceedings of the National Academy of Sciences 110:222–227.</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Wright, S. 1931. Evolution in Mendelian Populations. Genetics 16:97–159.</w:t>
      </w:r>
    </w:p>
    <w:p w:rsidR="008D0078" w:rsidRPr="008D0078" w:rsidRDefault="008D0078">
      <w:pPr>
        <w:pStyle w:val="NormalWeb"/>
        <w:divId w:val="655108655"/>
        <w:rPr>
          <w:rFonts w:ascii="Palatino Linotype" w:hAnsi="Palatino Linotype"/>
          <w:noProof/>
          <w:sz w:val="22"/>
        </w:rPr>
      </w:pPr>
      <w:r w:rsidRPr="008D0078">
        <w:rPr>
          <w:rFonts w:ascii="Palatino Linotype" w:hAnsi="Palatino Linotype"/>
          <w:noProof/>
          <w:sz w:val="22"/>
        </w:rPr>
        <w:t xml:space="preserve">Wright, S. 1988. Surfaces of selective value revisited. American Naturalist 131:115–123. </w:t>
      </w:r>
    </w:p>
    <w:p w:rsidR="008F2169" w:rsidRDefault="00B04C73" w:rsidP="008D0078">
      <w:pPr>
        <w:pStyle w:val="NormalWeb"/>
        <w:divId w:val="355158609"/>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26" w:name="_Ref358791100"/>
      <w:r>
        <w:t xml:space="preserve">Table </w:t>
      </w:r>
      <w:r>
        <w:fldChar w:fldCharType="begin"/>
      </w:r>
      <w:r w:rsidRPr="00E1623D">
        <w:instrText xml:space="preserve"> SEQ Table \* ARABIC </w:instrText>
      </w:r>
      <w:r>
        <w:fldChar w:fldCharType="separate"/>
      </w:r>
      <w:r w:rsidR="00C47BD2">
        <w:rPr>
          <w:noProof/>
        </w:rPr>
        <w:t>1</w:t>
      </w:r>
      <w:r>
        <w:rPr>
          <w:noProof/>
        </w:rPr>
        <w:fldChar w:fldCharType="end"/>
      </w:r>
      <w:bookmarkEnd w:id="26"/>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4107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4107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8D0078">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Pr="00663378">
              <w:rPr>
                <w:noProof/>
              </w:rPr>
              <w:t>(Kibota and Lynch 1996; Gordo et al. 2011)</w:t>
            </w:r>
            <w:r>
              <w:fldChar w:fldCharType="end"/>
            </w:r>
          </w:p>
        </w:tc>
      </w:tr>
      <w:tr w:rsidR="00961941" w:rsidTr="004107DD">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8D0078">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Pr="00663378">
              <w:rPr>
                <w:noProof/>
              </w:rPr>
              <w:t>(Gordo et al. 2011)</w:t>
            </w:r>
            <w:r>
              <w:fldChar w:fldCharType="end"/>
            </w:r>
          </w:p>
        </w:tc>
      </w:tr>
      <w:tr w:rsidR="00961941" w:rsidTr="004107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8D0078">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663378">
              <w:rPr>
                <w:noProof/>
              </w:rPr>
              <w:t>(Drake et al. 1998; Wielgoss et al. 2011)</w:t>
            </w:r>
            <w:r>
              <w:fldChar w:fldCharType="end"/>
            </w:r>
          </w:p>
        </w:tc>
      </w:tr>
      <w:tr w:rsidR="00961941" w:rsidTr="004107DD">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8D0078">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Pr="00663378">
              <w:rPr>
                <w:noProof/>
              </w:rPr>
              <w:t>(Gordo et al. 2011)</w:t>
            </w:r>
            <w:r>
              <w:fldChar w:fldCharType="end"/>
            </w:r>
          </w:p>
        </w:tc>
      </w:tr>
      <w:tr w:rsidR="00961941" w:rsidTr="004107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8D0078">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663378">
              <w:rPr>
                <w:noProof/>
              </w:rPr>
              <w:t>(Bjedov et al. 2003; Hall and Henderson-Begg 2006)</w:t>
            </w:r>
            <w:r>
              <w:fldChar w:fldCharType="end"/>
            </w:r>
          </w:p>
        </w:tc>
      </w:tr>
      <w:tr w:rsidR="00961941" w:rsidTr="004107DD">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8D0078">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663378">
              <w:rPr>
                <w:noProof/>
              </w:rPr>
              <w:t>(Pupo and Richardson 1995; Berg 1996)</w:t>
            </w:r>
            <w:r w:rsidRPr="00EA316D">
              <w:fldChar w:fldCharType="end"/>
            </w:r>
          </w:p>
        </w:tc>
      </w:tr>
    </w:tbl>
    <w:p w:rsidR="00961941" w:rsidRDefault="00961941" w:rsidP="008D0078">
      <w:pPr>
        <w:spacing w:line="480" w:lineRule="auto"/>
      </w:pPr>
      <w:r>
        <w:softHyphen/>
      </w:r>
      <w:r>
        <w:softHyphen/>
      </w:r>
      <w:r>
        <w:softHyphen/>
      </w:r>
    </w:p>
    <w:p w:rsidR="00961941" w:rsidRDefault="00961941" w:rsidP="008D0078">
      <w:pPr>
        <w:spacing w:line="480" w:lineRule="auto"/>
      </w:pPr>
      <w:r>
        <w:br w:type="page"/>
      </w:r>
    </w:p>
    <w:p w:rsidR="00A44E2F" w:rsidRDefault="00A44E2F" w:rsidP="008D0078">
      <w:pPr>
        <w:pStyle w:val="Heading1"/>
        <w:spacing w:line="480" w:lineRule="auto"/>
        <w:rPr>
          <w:noProof/>
        </w:rPr>
      </w:pPr>
      <w:r>
        <w:rPr>
          <w:noProof/>
        </w:rPr>
        <w:lastRenderedPageBreak/>
        <w:t>Supporting figures</w:t>
      </w:r>
    </w:p>
    <w:p w:rsidR="00C46C20" w:rsidRPr="00EE1F7D" w:rsidRDefault="00C46C20" w:rsidP="008D0078">
      <w:pPr>
        <w:keepNext/>
        <w:spacing w:line="480" w:lineRule="auto"/>
        <w:jc w:val="center"/>
        <w:rPr>
          <w:rFonts w:ascii="Palatino Linotype" w:hAnsi="Palatino Linotype"/>
          <w:noProof/>
        </w:rPr>
      </w:pPr>
      <w:r>
        <w:rPr>
          <w:rFonts w:ascii="Palatino Linotype" w:hAnsi="Palatino Linotype"/>
          <w:noProof/>
        </w:rPr>
        <w:drawing>
          <wp:inline distT="0" distB="0" distL="0" distR="0" wp14:anchorId="7D107661" wp14:editId="7B9A50F5">
            <wp:extent cx="5279390" cy="4222115"/>
            <wp:effectExtent l="0" t="0" r="0" b="6985"/>
            <wp:docPr id="10" name="Picture 10" descr="D:\workspace\ruggedsim\manuscript\ram_f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S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C46C20" w:rsidRPr="00A916BD" w:rsidRDefault="00C46C20" w:rsidP="008D0078">
      <w:pPr>
        <w:keepNext/>
        <w:spacing w:line="480" w:lineRule="auto"/>
        <w:rPr>
          <w:rFonts w:ascii="Palatino Linotype" w:hAnsi="Palatino Linotype"/>
          <w:b/>
          <w:bCs/>
          <w:sz w:val="20"/>
          <w:szCs w:val="20"/>
        </w:rPr>
      </w:pPr>
      <w:bookmarkStart w:id="27" w:name="_Ref360183807"/>
      <w:r>
        <w:rPr>
          <w:rFonts w:ascii="Palatino Linotype" w:hAnsi="Palatino Linotype"/>
          <w:b/>
          <w:bCs/>
          <w:sz w:val="20"/>
          <w:szCs w:val="20"/>
        </w:rPr>
        <w:t xml:space="preserve">Online </w:t>
      </w:r>
      <w:r w:rsidRPr="00A916BD">
        <w:rPr>
          <w:rFonts w:ascii="Palatino Linotype" w:hAnsi="Palatino Linotype"/>
          <w:b/>
          <w:bCs/>
          <w:sz w:val="20"/>
          <w:szCs w:val="20"/>
        </w:rPr>
        <w:t>Figure S</w:t>
      </w:r>
      <w:bookmarkEnd w:id="27"/>
      <w:r w:rsidRPr="00A916BD">
        <w:rPr>
          <w:rFonts w:ascii="Palatino Linotype" w:hAnsi="Palatino Linotype"/>
          <w:b/>
          <w:bCs/>
          <w:sz w:val="20"/>
          <w:szCs w:val="20"/>
        </w:rPr>
        <w:t>1</w:t>
      </w:r>
      <w:r w:rsidRPr="00A916BD">
        <w:rPr>
          <w:rFonts w:ascii="Palatino Linotype" w:hAnsi="Palatino Linotype"/>
          <w:b/>
          <w:bCs/>
          <w:noProof/>
          <w:sz w:val="20"/>
          <w:szCs w:val="20"/>
        </w:rPr>
        <w:t xml:space="preserve"> – Waiting time for the appearance of a double mutant </w:t>
      </w:r>
      <w:r w:rsidRPr="00A916BD">
        <w:rPr>
          <w:rFonts w:ascii="Palatino Linotype" w:hAnsi="Palatino Linotype"/>
          <w:sz w:val="20"/>
          <w:szCs w:val="20"/>
        </w:rPr>
        <w:t xml:space="preserve">as a function of the mutation rate fold increase </w:t>
      </w:r>
      <w:r w:rsidRPr="00A916BD">
        <w:rPr>
          <w:rFonts w:ascii="Palatino Linotype" w:hAnsi="Palatino Linotype"/>
          <w:i/>
          <w:iCs/>
          <w:sz w:val="20"/>
          <w:szCs w:val="20"/>
        </w:rPr>
        <w:t>τ</w:t>
      </w:r>
      <w:r w:rsidRPr="00A916BD">
        <w:rPr>
          <w:rFonts w:ascii="Palatino Linotype" w:hAnsi="Palatino Linotype"/>
          <w:sz w:val="20"/>
          <w:szCs w:val="20"/>
        </w:rPr>
        <w:t>. Normal</w:t>
      </w:r>
      <w:r>
        <w:rPr>
          <w:rFonts w:ascii="Palatino Linotype" w:hAnsi="Palatino Linotype"/>
          <w:sz w:val="20"/>
          <w:szCs w:val="20"/>
        </w:rPr>
        <w:t xml:space="preserve"> </w:t>
      </w:r>
      <w:r w:rsidRPr="00A916BD">
        <w:rPr>
          <w:rFonts w:ascii="Palatino Linotype" w:hAnsi="Palatino Linotype"/>
          <w:sz w:val="20"/>
          <w:szCs w:val="20"/>
        </w:rPr>
        <w:t>mutagenesis (</w:t>
      </w:r>
      <w:r>
        <w:rPr>
          <w:rFonts w:ascii="Palatino Linotype" w:hAnsi="Palatino Linotype"/>
          <w:sz w:val="20"/>
          <w:szCs w:val="20"/>
        </w:rPr>
        <w:t xml:space="preserve">NM) is </w:t>
      </w:r>
      <w:r w:rsidRPr="00A916BD">
        <w:rPr>
          <w:rFonts w:ascii="Palatino Linotype" w:hAnsi="Palatino Linotype"/>
          <w:i/>
          <w:iCs/>
          <w:sz w:val="20"/>
          <w:szCs w:val="20"/>
        </w:rPr>
        <w:t>τ</w:t>
      </w:r>
      <w:r>
        <w:rPr>
          <w:rFonts w:ascii="Palatino Linotype" w:hAnsi="Palatino Linotype"/>
          <w:sz w:val="20"/>
          <w:szCs w:val="20"/>
        </w:rPr>
        <w:t>=1</w:t>
      </w:r>
      <w:r w:rsidRPr="00A916BD">
        <w:rPr>
          <w:rFonts w:ascii="Palatino Linotype" w:hAnsi="Palatino Linotype"/>
          <w:sz w:val="20"/>
          <w:szCs w:val="20"/>
        </w:rPr>
        <w:t>;</w:t>
      </w:r>
      <w:r>
        <w:rPr>
          <w:rFonts w:ascii="Palatino Linotype" w:hAnsi="Palatino Linotype"/>
          <w:sz w:val="20"/>
          <w:szCs w:val="20"/>
        </w:rPr>
        <w:t xml:space="preserve"> constitutive mutagenesis</w:t>
      </w:r>
      <w:r w:rsidRPr="00A916BD">
        <w:rPr>
          <w:rFonts w:ascii="Palatino Linotype" w:hAnsi="Palatino Linotype"/>
          <w:sz w:val="20"/>
          <w:szCs w:val="20"/>
        </w:rPr>
        <w:t xml:space="preserve"> </w:t>
      </w:r>
      <w:r>
        <w:rPr>
          <w:rFonts w:ascii="Palatino Linotype" w:hAnsi="Palatino Linotype"/>
          <w:sz w:val="20"/>
          <w:szCs w:val="20"/>
        </w:rPr>
        <w:t xml:space="preserve">(CM) in </w:t>
      </w:r>
      <w:r w:rsidRPr="00A916BD">
        <w:rPr>
          <w:rFonts w:ascii="Palatino Linotype" w:hAnsi="Palatino Linotype"/>
          <w:sz w:val="20"/>
          <w:szCs w:val="20"/>
        </w:rPr>
        <w:t xml:space="preserve">red; </w:t>
      </w:r>
      <w:r>
        <w:rPr>
          <w:rFonts w:ascii="Palatino Linotype" w:hAnsi="Palatino Linotype"/>
          <w:sz w:val="20"/>
          <w:szCs w:val="20"/>
        </w:rPr>
        <w:t xml:space="preserve">stress-induced mutagenesis (SIM) in </w:t>
      </w:r>
      <w:r w:rsidRPr="00A916BD">
        <w:rPr>
          <w:rFonts w:ascii="Palatino Linotype" w:hAnsi="Palatino Linotype"/>
          <w:sz w:val="20"/>
          <w:szCs w:val="20"/>
        </w:rPr>
        <w:t>blue. Lines are analytic approximations (</w:t>
      </w:r>
      <w:proofErr w:type="spellStart"/>
      <w:r w:rsidRPr="00A916BD">
        <w:rPr>
          <w:rFonts w:ascii="Palatino Linotype" w:hAnsi="Palatino Linotype"/>
          <w:sz w:val="20"/>
          <w:szCs w:val="20"/>
        </w:rPr>
        <w:t>eqs</w:t>
      </w:r>
      <w:proofErr w:type="spellEnd"/>
      <w:r w:rsidRPr="00A916BD">
        <w:rPr>
          <w:rFonts w:ascii="Palatino Linotype" w:hAnsi="Palatino Linotype"/>
          <w:sz w:val="20"/>
          <w:szCs w:val="20"/>
        </w:rPr>
        <w:t>. 2, 3 in main text)</w:t>
      </w:r>
      <w:r>
        <w:rPr>
          <w:rFonts w:ascii="Palatino Linotype" w:hAnsi="Palatino Linotype"/>
          <w:sz w:val="20"/>
          <w:szCs w:val="20"/>
        </w:rPr>
        <w:t>. M</w:t>
      </w:r>
      <w:r w:rsidRPr="00A916BD">
        <w:rPr>
          <w:rFonts w:ascii="Palatino Linotype" w:hAnsi="Palatino Linotype"/>
          <w:sz w:val="20"/>
          <w:szCs w:val="20"/>
        </w:rPr>
        <w:t xml:space="preserve">arkers are means of simulation results - black circles for the standard simulations, white triangles for alternative simulations in which </w:t>
      </w:r>
      <w:r w:rsidRPr="00A916BD">
        <w:rPr>
          <w:rFonts w:ascii="Palatino Linotype" w:hAnsi="Palatino Linotype"/>
          <w:i/>
          <w:iCs/>
          <w:sz w:val="20"/>
          <w:szCs w:val="20"/>
        </w:rPr>
        <w:t>AB</w:t>
      </w:r>
      <w:r w:rsidRPr="00A916BD">
        <w:rPr>
          <w:rFonts w:ascii="Palatino Linotype" w:hAnsi="Palatino Linotype"/>
          <w:sz w:val="20"/>
          <w:szCs w:val="20"/>
        </w:rPr>
        <w:t xml:space="preserve"> cannot appear on deleterious backgrounds. The standard error of the mean was too small to show. </w:t>
      </w:r>
      <w:proofErr w:type="gramStart"/>
      <w:r w:rsidRPr="00A916BD">
        <w:rPr>
          <w:rFonts w:ascii="Palatino Linotype" w:hAnsi="Palatino Linotype"/>
          <w:sz w:val="20"/>
          <w:szCs w:val="20"/>
        </w:rPr>
        <w:t>At least 1,000 simulation</w:t>
      </w:r>
      <w:r>
        <w:rPr>
          <w:rFonts w:ascii="Palatino Linotype" w:hAnsi="Palatino Linotype"/>
          <w:sz w:val="20"/>
          <w:szCs w:val="20"/>
        </w:rPr>
        <w:t>s</w:t>
      </w:r>
      <w:r w:rsidRPr="00A916BD">
        <w:rPr>
          <w:rFonts w:ascii="Palatino Linotype" w:hAnsi="Palatino Linotype"/>
          <w:sz w:val="20"/>
          <w:szCs w:val="20"/>
        </w:rPr>
        <w:t xml:space="preserve"> per point.</w:t>
      </w:r>
      <w:proofErr w:type="gramEnd"/>
      <w:r w:rsidRPr="00A916BD">
        <w:rPr>
          <w:rFonts w:ascii="Palatino Linotype" w:hAnsi="Palatino Linotype"/>
          <w:sz w:val="20"/>
          <w:szCs w:val="20"/>
        </w:rPr>
        <w:t xml:space="preserve"> Both axes are in log scale. The appearance time decreases as a function of </w:t>
      </w:r>
      <w:r w:rsidRPr="00A916BD">
        <w:rPr>
          <w:rFonts w:ascii="Palatino Linotype" w:hAnsi="Palatino Linotype"/>
          <w:i/>
          <w:iCs/>
          <w:sz w:val="20"/>
          <w:szCs w:val="20"/>
        </w:rPr>
        <w:t>τ</w:t>
      </w:r>
      <w:r w:rsidRPr="00A916BD">
        <w:rPr>
          <w:rFonts w:ascii="Palatino Linotype" w:hAnsi="Palatino Linotype"/>
          <w:sz w:val="20"/>
          <w:szCs w:val="20"/>
          <w:vertAlign w:val="superscript"/>
        </w:rPr>
        <w:t>2</w:t>
      </w:r>
      <w:r w:rsidRPr="00A916BD">
        <w:rPr>
          <w:rFonts w:ascii="Palatino Linotype" w:hAnsi="Palatino Linotype"/>
          <w:sz w:val="20"/>
          <w:szCs w:val="20"/>
        </w:rPr>
        <w:t xml:space="preserve"> and </w:t>
      </w:r>
      <w:r w:rsidRPr="00A916BD">
        <w:rPr>
          <w:rFonts w:ascii="Palatino Linotype" w:hAnsi="Palatino Linotype"/>
          <w:i/>
          <w:iCs/>
          <w:sz w:val="20"/>
          <w:szCs w:val="20"/>
        </w:rPr>
        <w:t>τ</w:t>
      </w:r>
      <w:r w:rsidRPr="00A916BD">
        <w:rPr>
          <w:rFonts w:ascii="Palatino Linotype" w:hAnsi="Palatino Linotype"/>
          <w:sz w:val="20"/>
          <w:szCs w:val="20"/>
        </w:rPr>
        <w:t xml:space="preserve"> with CM and SIM, respectively. Appearance time is slightly longer if </w:t>
      </w:r>
      <w:r w:rsidRPr="00A916BD">
        <w:rPr>
          <w:rFonts w:ascii="Palatino Linotype" w:hAnsi="Palatino Linotype"/>
          <w:i/>
          <w:iCs/>
          <w:sz w:val="20"/>
          <w:szCs w:val="20"/>
        </w:rPr>
        <w:t>AB</w:t>
      </w:r>
      <w:r w:rsidRPr="00A916BD">
        <w:rPr>
          <w:rFonts w:ascii="Palatino Linotype" w:hAnsi="Palatino Linotype"/>
          <w:sz w:val="20"/>
          <w:szCs w:val="20"/>
        </w:rPr>
        <w:t xml:space="preserve"> </w:t>
      </w:r>
      <w:r>
        <w:rPr>
          <w:rFonts w:ascii="Palatino Linotype" w:hAnsi="Palatino Linotype"/>
          <w:sz w:val="20"/>
          <w:szCs w:val="20"/>
        </w:rPr>
        <w:t xml:space="preserve">only appears on </w:t>
      </w:r>
      <w:r w:rsidRPr="00A916BD">
        <w:rPr>
          <w:rFonts w:ascii="Palatino Linotype" w:hAnsi="Palatino Linotype"/>
          <w:sz w:val="20"/>
          <w:szCs w:val="20"/>
        </w:rPr>
        <w:t>unloaded background (white triangles) which explains the difference between the analytic approximations and the simulation results for SIM in Figure 2. Parameters are the same as in Figure 2.</w:t>
      </w:r>
    </w:p>
    <w:p w:rsidR="00C46C20" w:rsidRPr="00EE1F7D" w:rsidRDefault="00C46C20" w:rsidP="008D0078">
      <w:pPr>
        <w:spacing w:line="480" w:lineRule="auto"/>
        <w:jc w:val="center"/>
        <w:rPr>
          <w:rFonts w:ascii="Palatino Linotype" w:hAnsi="Palatino Linotype"/>
          <w:noProof/>
        </w:rPr>
      </w:pPr>
      <w:r>
        <w:rPr>
          <w:rFonts w:ascii="Palatino Linotype" w:hAnsi="Palatino Linotype"/>
          <w:noProof/>
        </w:rPr>
        <w:lastRenderedPageBreak/>
        <w:drawing>
          <wp:inline distT="0" distB="0" distL="0" distR="0" wp14:anchorId="6A20D298" wp14:editId="083BFA59">
            <wp:extent cx="5271770" cy="4516120"/>
            <wp:effectExtent l="0" t="0" r="5080" b="0"/>
            <wp:docPr id="9" name="Picture 9" descr="D:\workspace\ruggedsim\manuscript\ram_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4516120"/>
                    </a:xfrm>
                    <a:prstGeom prst="rect">
                      <a:avLst/>
                    </a:prstGeom>
                    <a:noFill/>
                    <a:ln>
                      <a:noFill/>
                    </a:ln>
                  </pic:spPr>
                </pic:pic>
              </a:graphicData>
            </a:graphic>
          </wp:inline>
        </w:drawing>
      </w:r>
    </w:p>
    <w:p w:rsidR="00733307" w:rsidRDefault="00C46C20" w:rsidP="008D0078">
      <w:pPr>
        <w:spacing w:line="480" w:lineRule="auto"/>
        <w:rPr>
          <w:sz w:val="20"/>
          <w:szCs w:val="20"/>
          <w:lang w:bidi="hi-IN"/>
        </w:rPr>
      </w:pPr>
      <w:r w:rsidRPr="00A916BD">
        <w:rPr>
          <w:rFonts w:ascii="Palatino Linotype" w:hAnsi="Palatino Linotype"/>
          <w:noProof/>
          <w:sz w:val="20"/>
          <w:szCs w:val="20"/>
        </w:rPr>
        <w:t xml:space="preserve"> </w:t>
      </w:r>
      <w:bookmarkStart w:id="28" w:name="_Ref360562760"/>
      <w:r>
        <w:rPr>
          <w:rFonts w:ascii="Palatino Linotype" w:hAnsi="Palatino Linotype"/>
          <w:b/>
          <w:bCs/>
          <w:sz w:val="20"/>
          <w:szCs w:val="20"/>
        </w:rPr>
        <w:t xml:space="preserve">Online </w:t>
      </w:r>
      <w:r w:rsidRPr="00A916BD">
        <w:rPr>
          <w:rFonts w:ascii="Palatino Linotype" w:hAnsi="Palatino Linotype"/>
          <w:b/>
          <w:bCs/>
          <w:sz w:val="20"/>
          <w:szCs w:val="20"/>
        </w:rPr>
        <w:t>Figure S</w:t>
      </w:r>
      <w:bookmarkEnd w:id="28"/>
      <w:r w:rsidRPr="00A916BD">
        <w:rPr>
          <w:rFonts w:ascii="Palatino Linotype" w:hAnsi="Palatino Linotype"/>
          <w:b/>
          <w:bCs/>
          <w:sz w:val="20"/>
          <w:szCs w:val="20"/>
        </w:rPr>
        <w:t>2 – Fixation probability</w:t>
      </w:r>
      <w:r w:rsidRPr="00A916BD">
        <w:rPr>
          <w:rFonts w:ascii="Palatino Linotype" w:hAnsi="Palatino Linotype"/>
          <w:sz w:val="20"/>
          <w:szCs w:val="20"/>
        </w:rPr>
        <w:t xml:space="preserve"> </w:t>
      </w:r>
      <w:r w:rsidRPr="00A916BD">
        <w:rPr>
          <w:rFonts w:ascii="Palatino Linotype" w:hAnsi="Palatino Linotype"/>
          <w:b/>
          <w:bCs/>
          <w:sz w:val="20"/>
          <w:szCs w:val="20"/>
        </w:rPr>
        <w:t xml:space="preserve">of the double mutant </w:t>
      </w:r>
      <w:r w:rsidRPr="00A916BD">
        <w:rPr>
          <w:rFonts w:ascii="Palatino Linotype" w:hAnsi="Palatino Linotype"/>
          <w:b/>
          <w:bCs/>
          <w:i/>
          <w:iCs/>
          <w:sz w:val="20"/>
          <w:szCs w:val="20"/>
        </w:rPr>
        <w:t>AB</w:t>
      </w:r>
      <w:r w:rsidRPr="00A916BD">
        <w:rPr>
          <w:rFonts w:ascii="Palatino Linotype" w:hAnsi="Palatino Linotype"/>
          <w:sz w:val="20"/>
          <w:szCs w:val="20"/>
        </w:rPr>
        <w:t xml:space="preserve"> as a function of the mutation rate fold increase </w:t>
      </w:r>
      <w:r w:rsidRPr="00A916BD">
        <w:rPr>
          <w:rFonts w:ascii="Palatino Linotype" w:hAnsi="Palatino Linotype"/>
          <w:i/>
          <w:iCs/>
          <w:sz w:val="20"/>
          <w:szCs w:val="20"/>
        </w:rPr>
        <w:t>τ</w:t>
      </w:r>
      <w:r w:rsidRPr="00A916BD">
        <w:rPr>
          <w:rFonts w:ascii="Palatino Linotype" w:hAnsi="Palatino Linotype"/>
          <w:sz w:val="20"/>
          <w:szCs w:val="20"/>
        </w:rPr>
        <w:t xml:space="preserve"> with three mutational strategies: constitutive mutagenesis (CM; top panels in red), stress-induced mutagenesis (SIM; middle panels in blue) and stress-induced mutagenesis with environmental stress (</w:t>
      </w:r>
      <w:proofErr w:type="spellStart"/>
      <w:r w:rsidRPr="00A916BD">
        <w:rPr>
          <w:rFonts w:ascii="Palatino Linotype" w:hAnsi="Palatino Linotype"/>
          <w:sz w:val="20"/>
          <w:szCs w:val="20"/>
        </w:rPr>
        <w:t>SIM</w:t>
      </w:r>
      <w:r w:rsidRPr="00A916BD">
        <w:rPr>
          <w:rFonts w:ascii="Palatino Linotype" w:hAnsi="Palatino Linotype"/>
          <w:sz w:val="20"/>
          <w:szCs w:val="20"/>
          <w:vertAlign w:val="subscript"/>
        </w:rPr>
        <w:t>e</w:t>
      </w:r>
      <w:proofErr w:type="spellEnd"/>
      <w:r w:rsidRPr="00A916BD">
        <w:rPr>
          <w:rFonts w:ascii="Palatino Linotype" w:hAnsi="Palatino Linotype"/>
          <w:sz w:val="20"/>
          <w:szCs w:val="20"/>
        </w:rPr>
        <w:t>; bottom panels in green</w:t>
      </w:r>
      <w:r>
        <w:rPr>
          <w:rFonts w:ascii="Palatino Linotype" w:hAnsi="Palatino Linotype"/>
          <w:sz w:val="20"/>
          <w:szCs w:val="20"/>
        </w:rPr>
        <w:t>; see section 3.5</w:t>
      </w:r>
      <w:r w:rsidRPr="00A916BD">
        <w:rPr>
          <w:rFonts w:ascii="Palatino Linotype" w:hAnsi="Palatino Linotype"/>
          <w:sz w:val="20"/>
          <w:szCs w:val="20"/>
        </w:rPr>
        <w:t xml:space="preserve"> in main text). Dashed lines are analytic approximations; black error bars represent simulation results with 95% confidence interval of the mean (at least 1,000 </w:t>
      </w:r>
      <w:r>
        <w:rPr>
          <w:rFonts w:ascii="Palatino Linotype" w:hAnsi="Palatino Linotype"/>
          <w:sz w:val="20"/>
          <w:szCs w:val="20"/>
        </w:rPr>
        <w:t>simulations</w:t>
      </w:r>
      <w:r w:rsidRPr="00A916BD">
        <w:rPr>
          <w:rFonts w:ascii="Palatino Linotype" w:hAnsi="Palatino Linotype"/>
          <w:sz w:val="20"/>
          <w:szCs w:val="20"/>
        </w:rPr>
        <w:t xml:space="preserve"> per point; computed with bootstrap with 10,000 samples per point); solid lines are the logistic regression lines computed from the simulation results. The three left panels are results of the standard simulations. The three right panels are results of simulations in which </w:t>
      </w:r>
      <w:r w:rsidRPr="00A916BD">
        <w:rPr>
          <w:rFonts w:ascii="Palatino Linotype" w:hAnsi="Palatino Linotype"/>
          <w:i/>
          <w:iCs/>
          <w:sz w:val="20"/>
          <w:szCs w:val="20"/>
        </w:rPr>
        <w:t>AB</w:t>
      </w:r>
      <w:r w:rsidRPr="00A916BD">
        <w:rPr>
          <w:rFonts w:ascii="Palatino Linotype" w:hAnsi="Palatino Linotype"/>
          <w:sz w:val="20"/>
          <w:szCs w:val="20"/>
        </w:rPr>
        <w:t xml:space="preserve"> cannot appear on deleterious backgrounds - in these cases there is no significant difference between the simulation results and our analytic approximations (compare solid and dashed lines; regression slope tests with α=0.05). However, if </w:t>
      </w:r>
      <w:r w:rsidRPr="00A916BD">
        <w:rPr>
          <w:rFonts w:ascii="Palatino Linotype" w:hAnsi="Palatino Linotype"/>
          <w:i/>
          <w:iCs/>
          <w:sz w:val="20"/>
          <w:szCs w:val="20"/>
        </w:rPr>
        <w:t xml:space="preserve">AB </w:t>
      </w:r>
      <w:r w:rsidRPr="00A916BD">
        <w:rPr>
          <w:rFonts w:ascii="Palatino Linotype" w:hAnsi="Palatino Linotype"/>
          <w:sz w:val="20"/>
          <w:szCs w:val="20"/>
        </w:rPr>
        <w:t xml:space="preserve">can appear on a deleterious background </w:t>
      </w:r>
      <w:r w:rsidRPr="00A916BD">
        <w:rPr>
          <w:rFonts w:ascii="Palatino Linotype" w:hAnsi="Palatino Linotype"/>
          <w:sz w:val="20"/>
          <w:szCs w:val="20"/>
        </w:rPr>
        <w:lastRenderedPageBreak/>
        <w:t>(left panels) then its fixation probability is lower</w:t>
      </w:r>
      <w:r>
        <w:rPr>
          <w:rFonts w:ascii="Palatino Linotype" w:hAnsi="Palatino Linotype"/>
          <w:sz w:val="20"/>
          <w:szCs w:val="20"/>
        </w:rPr>
        <w:t xml:space="preserve"> </w:t>
      </w:r>
      <w:r>
        <w:rPr>
          <w:rFonts w:ascii="Palatino Linotype" w:hAnsi="Palatino Linotype"/>
          <w:sz w:val="20"/>
          <w:szCs w:val="20"/>
        </w:rPr>
        <w:fldChar w:fldCharType="begin" w:fldLock="1"/>
      </w:r>
      <w:r w:rsidR="008D0078">
        <w:rPr>
          <w:rFonts w:ascii="Palatino Linotype" w:hAnsi="Palatino Linotype"/>
          <w:sz w:val="20"/>
          <w:szCs w:val="20"/>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Nick H.", "non-dropping-particle" : "", "parse-names" : false, "suffix" : "" } ], "container-title" : "Genetics", "id" : "ITEM-1", "issue" : "1", "issued" : { "date-parts" : [ [ "2002", "9", "1" ] ] }, "note" : "\n        From Duplicate 1 ( \n        \n          The effect of deleterious alleles on adaptation in asexual populations.\n        \n         - Johnson, Toby; Barton, Nicholas H. )\n\n        \n        \n\n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\n\n        \n\n      ", "page" : "395-411", "title" : "The effect of deleterious alleles on adaptation in asexual populations.", "type" : "article-journal", "volume" : "162" }, "uris" : [ "http://www.mendeley.com/documents/?uuid=037431d5-ddd1-4423-a10e-528b2bc81e01" ] } ], "mendeley" : { "previouslyFormattedCitation" : "(Johnson and Barton 2002)" }, "properties" : { "noteIndex" : 0 }, "schema" : "https://github.com/citation-style-language/schema/raw/master/csl-citation.json" }</w:instrText>
      </w:r>
      <w:r>
        <w:rPr>
          <w:rFonts w:ascii="Palatino Linotype" w:hAnsi="Palatino Linotype"/>
          <w:sz w:val="20"/>
          <w:szCs w:val="20"/>
        </w:rPr>
        <w:fldChar w:fldCharType="separate"/>
      </w:r>
      <w:r w:rsidRPr="0035041D">
        <w:rPr>
          <w:rFonts w:ascii="Palatino Linotype" w:hAnsi="Palatino Linotype"/>
          <w:noProof/>
          <w:sz w:val="20"/>
          <w:szCs w:val="20"/>
        </w:rPr>
        <w:t>(Johnson and Barton 2002)</w:t>
      </w:r>
      <w:r>
        <w:rPr>
          <w:rFonts w:ascii="Palatino Linotype" w:hAnsi="Palatino Linotype"/>
          <w:sz w:val="20"/>
          <w:szCs w:val="20"/>
        </w:rPr>
        <w:fldChar w:fldCharType="end"/>
      </w:r>
      <w:r>
        <w:rPr>
          <w:rFonts w:ascii="Palatino Linotype" w:hAnsi="Palatino Linotype"/>
          <w:sz w:val="20"/>
          <w:szCs w:val="20"/>
        </w:rPr>
        <w:t xml:space="preserve">. </w:t>
      </w:r>
      <w:r w:rsidRPr="00A916BD">
        <w:rPr>
          <w:rFonts w:ascii="Palatino Linotype" w:hAnsi="Palatino Linotype"/>
          <w:sz w:val="20"/>
          <w:szCs w:val="20"/>
        </w:rPr>
        <w:t>For</w:t>
      </w:r>
      <w:r>
        <w:rPr>
          <w:rFonts w:ascii="Palatino Linotype" w:hAnsi="Palatino Linotype"/>
          <w:sz w:val="20"/>
          <w:szCs w:val="20"/>
        </w:rPr>
        <w:t xml:space="preserve"> </w:t>
      </w:r>
      <w:r w:rsidRPr="00A916BD">
        <w:rPr>
          <w:rFonts w:ascii="Palatino Linotype" w:hAnsi="Palatino Linotype"/>
          <w:sz w:val="20"/>
          <w:szCs w:val="20"/>
        </w:rPr>
        <w:t xml:space="preserve">example, the fixation probability of </w:t>
      </w:r>
      <w:r w:rsidRPr="00A916BD">
        <w:rPr>
          <w:rFonts w:ascii="Palatino Linotype" w:hAnsi="Palatino Linotype"/>
          <w:i/>
          <w:iCs/>
          <w:sz w:val="20"/>
          <w:szCs w:val="20"/>
        </w:rPr>
        <w:t xml:space="preserve">AB </w:t>
      </w:r>
      <w:r w:rsidRPr="00A916BD">
        <w:rPr>
          <w:sz w:val="20"/>
          <w:szCs w:val="20"/>
        </w:rPr>
        <w:t xml:space="preserve">with </w:t>
      </w:r>
      <w:r w:rsidRPr="00A916BD">
        <w:rPr>
          <w:rFonts w:ascii="Palatino Linotype" w:hAnsi="Palatino Linotype"/>
          <w:sz w:val="20"/>
          <w:szCs w:val="20"/>
        </w:rPr>
        <w:t xml:space="preserve">a single deleterious mutation </w:t>
      </w:r>
      <w:proofErr w:type="gramStart"/>
      <w:r w:rsidRPr="00A916BD">
        <w:rPr>
          <w:rFonts w:ascii="Palatino Linotype" w:hAnsi="Palatino Linotype"/>
          <w:sz w:val="20"/>
          <w:szCs w:val="20"/>
        </w:rPr>
        <w:t xml:space="preserve">is </w:t>
      </w:r>
      <w:proofErr w:type="gramEnd"/>
      <m:oMath>
        <m:sSub>
          <m:sSubPr>
            <m:ctrlPr>
              <w:rPr>
                <w:rFonts w:ascii="Cambria Math" w:hAnsi="Cambria Math"/>
                <w:i/>
                <w:sz w:val="20"/>
                <w:szCs w:val="20"/>
              </w:rPr>
            </m:ctrlPr>
          </m:sSubPr>
          <m:e>
            <m:r>
              <w:rPr>
                <w:rFonts w:ascii="Cambria Math" w:hAnsi="Cambria Math"/>
                <w:sz w:val="20"/>
                <w:szCs w:val="20"/>
              </w:rPr>
              <m:t>ρ</m:t>
            </m:r>
          </m:e>
          <m:sub>
            <m:f>
              <m:fPr>
                <m:type m:val="lin"/>
                <m:ctrlPr>
                  <w:rPr>
                    <w:rFonts w:ascii="Cambria Math" w:hAnsi="Cambria Math"/>
                    <w:i/>
                    <w:sz w:val="20"/>
                    <w:szCs w:val="20"/>
                  </w:rPr>
                </m:ctrlPr>
              </m:fPr>
              <m:num>
                <m:r>
                  <w:rPr>
                    <w:rFonts w:ascii="Cambria Math" w:hAnsi="Cambria Math"/>
                    <w:sz w:val="20"/>
                    <w:szCs w:val="20"/>
                  </w:rPr>
                  <m:t>AB</m:t>
                </m:r>
              </m:num>
              <m:den>
                <m:r>
                  <w:rPr>
                    <w:rFonts w:ascii="Cambria Math" w:hAnsi="Cambria Math"/>
                    <w:sz w:val="20"/>
                    <w:szCs w:val="20"/>
                  </w:rPr>
                  <m:t>1</m:t>
                </m:r>
              </m:den>
            </m:f>
          </m:sub>
        </m:sSub>
        <m:r>
          <w:rPr>
            <w:rFonts w:ascii="Cambria Math" w:hAnsi="Cambria Math"/>
            <w:sz w:val="20"/>
            <w:szCs w:val="20"/>
          </w:rPr>
          <m:t>=ρ</m:t>
        </m:r>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H</m:t>
                </m:r>
                <m:d>
                  <m:dPr>
                    <m:ctrlPr>
                      <w:rPr>
                        <w:rFonts w:ascii="Cambria Math" w:hAnsi="Cambria Math"/>
                        <w:i/>
                        <w:sz w:val="20"/>
                        <w:szCs w:val="20"/>
                      </w:rPr>
                    </m:ctrlPr>
                  </m:dPr>
                  <m:e>
                    <m:r>
                      <w:rPr>
                        <w:rFonts w:ascii="Cambria Math" w:hAnsi="Cambria Math"/>
                        <w:sz w:val="20"/>
                        <w:szCs w:val="20"/>
                      </w:rPr>
                      <m:t>1-s</m:t>
                    </m:r>
                  </m:e>
                </m:d>
              </m:den>
            </m:f>
          </m:e>
        </m:d>
        <m:r>
          <w:rPr>
            <w:rFonts w:ascii="Cambria Math" w:hAnsi="Cambria Math"/>
            <w:sz w:val="20"/>
            <w:szCs w:val="20"/>
          </w:rPr>
          <m:t>&lt;ρ</m:t>
        </m:r>
      </m:oMath>
      <w:r w:rsidRPr="00A916BD">
        <w:rPr>
          <w:rFonts w:ascii="Palatino Linotype" w:hAnsi="Palatino Linotype"/>
          <w:sz w:val="20"/>
          <w:szCs w:val="20"/>
        </w:rPr>
        <w:t>. In addition, the figure shows that SIM</w:t>
      </w:r>
      <w:r w:rsidRPr="00A916BD">
        <w:rPr>
          <w:rFonts w:ascii="Palatino Linotype" w:hAnsi="Palatino Linotype"/>
          <w:sz w:val="20"/>
          <w:szCs w:val="20"/>
          <w:vertAlign w:val="subscript"/>
        </w:rPr>
        <w:t>e</w:t>
      </w:r>
      <w:r w:rsidRPr="00A916BD">
        <w:rPr>
          <w:rFonts w:ascii="Palatino Linotype" w:hAnsi="Palatino Linotype"/>
          <w:sz w:val="20"/>
          <w:szCs w:val="20"/>
          <w:vertAlign w:val="subscript"/>
        </w:rPr>
        <w:softHyphen/>
        <w:t xml:space="preserve"> </w:t>
      </w:r>
      <w:r w:rsidRPr="00A916BD">
        <w:rPr>
          <w:rFonts w:ascii="Palatino Linotype" w:hAnsi="Palatino Linotype"/>
          <w:sz w:val="20"/>
          <w:szCs w:val="20"/>
        </w:rPr>
        <w:t>has a higher fixation probability than CM and SIM</w:t>
      </w:r>
      <w:r>
        <w:rPr>
          <w:rFonts w:ascii="Palatino Linotype" w:hAnsi="Palatino Linotype"/>
          <w:sz w:val="20"/>
          <w:szCs w:val="20"/>
        </w:rPr>
        <w:t>: t</w:t>
      </w:r>
      <w:r w:rsidRPr="00525311">
        <w:rPr>
          <w:rFonts w:ascii="Palatino Linotype" w:hAnsi="Palatino Linotype"/>
          <w:sz w:val="20"/>
          <w:szCs w:val="20"/>
        </w:rPr>
        <w:t xml:space="preserve">he green lines, representing </w:t>
      </w:r>
      <w:proofErr w:type="spellStart"/>
      <w:r w:rsidRPr="00525311">
        <w:rPr>
          <w:rFonts w:ascii="Palatino Linotype" w:hAnsi="Palatino Linotype"/>
          <w:sz w:val="20"/>
          <w:szCs w:val="20"/>
        </w:rPr>
        <w:t>SIM</w:t>
      </w:r>
      <w:r w:rsidRPr="00525311">
        <w:rPr>
          <w:rFonts w:ascii="Palatino Linotype" w:hAnsi="Palatino Linotype"/>
          <w:sz w:val="20"/>
          <w:szCs w:val="20"/>
          <w:vertAlign w:val="subscript"/>
        </w:rPr>
        <w:t>e</w:t>
      </w:r>
      <w:proofErr w:type="spellEnd"/>
      <w:r w:rsidRPr="00525311">
        <w:rPr>
          <w:rFonts w:ascii="Palatino Linotype" w:hAnsi="Palatino Linotype"/>
          <w:sz w:val="20"/>
          <w:szCs w:val="20"/>
        </w:rPr>
        <w:t>, are always higher than the red and blue lines representing CM and SIM</w:t>
      </w:r>
      <w:r w:rsidRPr="00A916BD">
        <w:rPr>
          <w:rFonts w:ascii="Palatino Linotype" w:hAnsi="Palatino Linotype"/>
          <w:sz w:val="20"/>
          <w:szCs w:val="20"/>
        </w:rPr>
        <w:t xml:space="preserve">. Parameters are the same as in Figure 2. </w:t>
      </w:r>
    </w:p>
    <w:sectPr w:rsidR="00733307" w:rsidSect="008F3447">
      <w:headerReference w:type="default" r:id="rId21"/>
      <w:footerReference w:type="default" r:id="rId22"/>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7CDC" w:rsidRDefault="00DC7CDC" w:rsidP="009A122D">
      <w:pPr>
        <w:spacing w:after="0" w:line="240" w:lineRule="auto"/>
      </w:pPr>
      <w:r>
        <w:separator/>
      </w:r>
    </w:p>
  </w:endnote>
  <w:endnote w:type="continuationSeparator" w:id="0">
    <w:p w:rsidR="00DC7CDC" w:rsidRDefault="00DC7CDC"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22DDA3BB-4FC5-4C7D-B743-18A54AEB9228}"/>
    <w:embedBold r:id="rId2" w:fontKey="{950F103A-E7F1-4799-BE39-4A84D1720345}"/>
    <w:embedItalic r:id="rId3" w:fontKey="{7BC8F723-D240-461C-A8B4-AA7BDE5548C9}"/>
    <w:embedBoldItalic r:id="rId4" w:fontKey="{85A21BE6-4EC1-4026-8E63-7E3C6046E11B}"/>
  </w:font>
  <w:font w:name="Tahoma">
    <w:panose1 w:val="020B0604030504040204"/>
    <w:charset w:val="00"/>
    <w:family w:val="swiss"/>
    <w:pitch w:val="variable"/>
    <w:sig w:usb0="E1002EFF" w:usb1="C000605B" w:usb2="00000029" w:usb3="00000000" w:csb0="000101FF" w:csb1="00000000"/>
    <w:embedRegular r:id="rId5" w:fontKey="{87F09C48-2108-4A5C-9206-053A23CC98D5}"/>
  </w:font>
  <w:font w:name="cmr10">
    <w:charset w:val="00"/>
    <w:family w:val="swiss"/>
    <w:pitch w:val="variable"/>
    <w:sig w:usb0="00000003" w:usb1="00000000" w:usb2="00000000" w:usb3="00000000" w:csb0="00000001" w:csb1="00000000"/>
    <w:embedRegular r:id="rId6" w:fontKey="{9C1E4A1B-A173-4D7A-83EA-D3ED25BBBF9E}"/>
  </w:font>
  <w:font w:name="Cambria Math">
    <w:panose1 w:val="02040503050406030204"/>
    <w:charset w:val="00"/>
    <w:family w:val="roman"/>
    <w:pitch w:val="variable"/>
    <w:sig w:usb0="E00002FF" w:usb1="420024FF" w:usb2="00000000" w:usb3="00000000" w:csb0="0000019F" w:csb1="00000000"/>
    <w:embedRegular r:id="rId7" w:fontKey="{169375D8-060C-468B-86C3-28565DBA2AE5}"/>
    <w:embedItalic r:id="rId8" w:fontKey="{4C0C2A7E-A5D7-4F52-BEDB-5D93AC6E98E8}"/>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622093" w:rsidRDefault="00622093">
        <w:pPr>
          <w:pStyle w:val="Footer"/>
          <w:jc w:val="center"/>
        </w:pPr>
        <w:r>
          <w:fldChar w:fldCharType="begin"/>
        </w:r>
        <w:r>
          <w:instrText xml:space="preserve"> PAGE   \* MERGEFORMAT </w:instrText>
        </w:r>
        <w:r>
          <w:fldChar w:fldCharType="separate"/>
        </w:r>
        <w:r w:rsidR="00C47BD2">
          <w:rPr>
            <w:noProof/>
          </w:rPr>
          <w:t>16</w:t>
        </w:r>
        <w:r>
          <w:rPr>
            <w:noProof/>
          </w:rPr>
          <w:fldChar w:fldCharType="end"/>
        </w:r>
      </w:p>
    </w:sdtContent>
  </w:sdt>
  <w:p w:rsidR="00622093" w:rsidRDefault="006220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7CDC" w:rsidRDefault="00DC7CDC" w:rsidP="009A122D">
      <w:pPr>
        <w:spacing w:after="0" w:line="240" w:lineRule="auto"/>
      </w:pPr>
      <w:r>
        <w:separator/>
      </w:r>
    </w:p>
  </w:footnote>
  <w:footnote w:type="continuationSeparator" w:id="0">
    <w:p w:rsidR="00DC7CDC" w:rsidRDefault="00DC7CDC"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093" w:rsidRDefault="00622093"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658B"/>
    <w:rsid w:val="00042973"/>
    <w:rsid w:val="00042B4C"/>
    <w:rsid w:val="00042C46"/>
    <w:rsid w:val="000448EE"/>
    <w:rsid w:val="00044F35"/>
    <w:rsid w:val="00045BF6"/>
    <w:rsid w:val="000526D6"/>
    <w:rsid w:val="000545AB"/>
    <w:rsid w:val="00054D21"/>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376"/>
    <w:rsid w:val="00171518"/>
    <w:rsid w:val="001725A7"/>
    <w:rsid w:val="001732C8"/>
    <w:rsid w:val="00173C79"/>
    <w:rsid w:val="00175D8E"/>
    <w:rsid w:val="001776D4"/>
    <w:rsid w:val="00184C3E"/>
    <w:rsid w:val="00185C6A"/>
    <w:rsid w:val="001910E3"/>
    <w:rsid w:val="001968C9"/>
    <w:rsid w:val="00197574"/>
    <w:rsid w:val="001975FE"/>
    <w:rsid w:val="00197CF4"/>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5628B"/>
    <w:rsid w:val="0035669E"/>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7A49"/>
    <w:rsid w:val="005316EE"/>
    <w:rsid w:val="00531BD5"/>
    <w:rsid w:val="00531CC2"/>
    <w:rsid w:val="00531D87"/>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5914"/>
    <w:rsid w:val="00587E54"/>
    <w:rsid w:val="00591266"/>
    <w:rsid w:val="005A2F68"/>
    <w:rsid w:val="005B0AD6"/>
    <w:rsid w:val="005B12CD"/>
    <w:rsid w:val="005B2FE1"/>
    <w:rsid w:val="005B46B9"/>
    <w:rsid w:val="005B487B"/>
    <w:rsid w:val="005B77E2"/>
    <w:rsid w:val="005C7620"/>
    <w:rsid w:val="005D511F"/>
    <w:rsid w:val="005D7A01"/>
    <w:rsid w:val="005E0580"/>
    <w:rsid w:val="005E19DB"/>
    <w:rsid w:val="005E3A59"/>
    <w:rsid w:val="005E7700"/>
    <w:rsid w:val="005F1227"/>
    <w:rsid w:val="005F1290"/>
    <w:rsid w:val="005F1B6B"/>
    <w:rsid w:val="005F2C16"/>
    <w:rsid w:val="005F2E8A"/>
    <w:rsid w:val="005F620D"/>
    <w:rsid w:val="005F6245"/>
    <w:rsid w:val="005F6C08"/>
    <w:rsid w:val="00600689"/>
    <w:rsid w:val="00602869"/>
    <w:rsid w:val="00607B56"/>
    <w:rsid w:val="00611840"/>
    <w:rsid w:val="00622093"/>
    <w:rsid w:val="006231EF"/>
    <w:rsid w:val="0062328A"/>
    <w:rsid w:val="00625517"/>
    <w:rsid w:val="00630B3C"/>
    <w:rsid w:val="00630F02"/>
    <w:rsid w:val="00633ED1"/>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30F34"/>
    <w:rsid w:val="008350C0"/>
    <w:rsid w:val="00836CB4"/>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52D7"/>
    <w:rsid w:val="008A6B5D"/>
    <w:rsid w:val="008A73E2"/>
    <w:rsid w:val="008A7A0A"/>
    <w:rsid w:val="008B7326"/>
    <w:rsid w:val="008D0078"/>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6C2E"/>
    <w:rsid w:val="009602F2"/>
    <w:rsid w:val="00960FAB"/>
    <w:rsid w:val="00961209"/>
    <w:rsid w:val="00961941"/>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4E2F"/>
    <w:rsid w:val="00A4786F"/>
    <w:rsid w:val="00A50635"/>
    <w:rsid w:val="00A533A9"/>
    <w:rsid w:val="00A575D7"/>
    <w:rsid w:val="00A579F7"/>
    <w:rsid w:val="00A67023"/>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0B48"/>
    <w:rsid w:val="00BF1957"/>
    <w:rsid w:val="00BF2DDC"/>
    <w:rsid w:val="00BF336A"/>
    <w:rsid w:val="00BF4446"/>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DD5"/>
    <w:rsid w:val="00CA3636"/>
    <w:rsid w:val="00CA58CA"/>
    <w:rsid w:val="00CA68FE"/>
    <w:rsid w:val="00CA7DA9"/>
    <w:rsid w:val="00CB0741"/>
    <w:rsid w:val="00CB2260"/>
    <w:rsid w:val="00CB2F61"/>
    <w:rsid w:val="00CB48E4"/>
    <w:rsid w:val="00CC0964"/>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3B17"/>
    <w:rsid w:val="00D2584A"/>
    <w:rsid w:val="00D26AEF"/>
    <w:rsid w:val="00D3015D"/>
    <w:rsid w:val="00D3522A"/>
    <w:rsid w:val="00D35D48"/>
    <w:rsid w:val="00D37700"/>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A55AA"/>
    <w:rsid w:val="00DA5E7F"/>
    <w:rsid w:val="00DB45BB"/>
    <w:rsid w:val="00DB52C0"/>
    <w:rsid w:val="00DB6D14"/>
    <w:rsid w:val="00DB6D2A"/>
    <w:rsid w:val="00DB72B7"/>
    <w:rsid w:val="00DB77BD"/>
    <w:rsid w:val="00DB7BB5"/>
    <w:rsid w:val="00DB7DD7"/>
    <w:rsid w:val="00DC713E"/>
    <w:rsid w:val="00DC7CDC"/>
    <w:rsid w:val="00DD0EC1"/>
    <w:rsid w:val="00DD62C4"/>
    <w:rsid w:val="00DD7A57"/>
    <w:rsid w:val="00DD7F71"/>
    <w:rsid w:val="00DE1C4B"/>
    <w:rsid w:val="00DE1F0E"/>
    <w:rsid w:val="00DE20E5"/>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41960"/>
    <w:rsid w:val="00E41B1B"/>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lilach.hadany@gmail.com"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99091-BE5B-4B2A-B08A-CD80A8265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49</Pages>
  <Words>53172</Words>
  <Characters>265864</Characters>
  <Application>Microsoft Office Word</Application>
  <DocSecurity>0</DocSecurity>
  <Lines>2215</Lines>
  <Paragraphs>636</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318400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29</cp:revision>
  <cp:lastPrinted>2014-04-06T12:49:00Z</cp:lastPrinted>
  <dcterms:created xsi:type="dcterms:W3CDTF">2014-04-01T10:25:00Z</dcterms:created>
  <dcterms:modified xsi:type="dcterms:W3CDTF">2014-04-06T12:49:00Z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http://www.zotero.org/styles/the-american-naturalist</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