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886250">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886250">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886250">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886250">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886250">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886250">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886250">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886250">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886250">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886250">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886250">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886250">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886250">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886250">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886250">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886250">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886250">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886250">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886250">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886250">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886250">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886250">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886250">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886250">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886250">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886250">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886250">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3F2D32">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3F2D32">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F2D32">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fldSimple w:instr=" SEQ Equation ">
              <w:r w:rsidRPr="00BA2B02">
                <w:rPr>
                  <w:noProof/>
                </w:rPr>
                <w:t>1</w:t>
              </w:r>
            </w:fldSimple>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t xml:space="preserve"> 3.3.</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886250">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w:t>
      </w:r>
      <w:r w:rsidR="00C37953">
        <w:t>s</w:t>
      </w:r>
      <w:r>
        <w:t xml:space="preserve">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C37953">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evolve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C37953">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and track the number of individuals in each class. The simulations start with a </w:t>
      </w:r>
      <w:r w:rsidR="00C37953">
        <w:t xml:space="preserve">single 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886250">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fldSimple w:instr=" SEQ Equation ">
              <w:r w:rsidRPr="00BA2B02">
                <w:rPr>
                  <w:noProof/>
                </w:rPr>
                <w:t>2</w:t>
              </w:r>
            </w:fldSimple>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 xml:space="preserve">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C03529"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84602B">
      <w:pPr>
        <w:spacing w:line="480" w:lineRule="auto"/>
      </w:pPr>
      <w:r>
        <w:t>Appendix 1 i</w:t>
      </w:r>
      <w:r w:rsidR="0084602B">
        <w:t>ncludes full derivations of the above</w:t>
      </w:r>
      <w:r>
        <w:t xml:space="preserv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88625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886250">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5316EE">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3.3).</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C03529"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C03529"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fldSimple w:instr=" SEQ Equation ">
              <w:r>
                <w:rPr>
                  <w:noProof/>
                </w:rPr>
                <w:t>7</w:t>
              </w:r>
            </w:fldSimple>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C03529"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84602B">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sidR="00886250">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84602B">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and </w:t>
      </w:r>
      <w:r>
        <w:t xml:space="preserve">the adaptation rate with SIM increases </w:t>
      </w:r>
      <w:r>
        <w:rPr>
          <w:rFonts w:eastAsiaTheme="minorEastAsia"/>
          <w:lang w:bidi="hi-IN"/>
        </w:rPr>
        <w:t xml:space="preserve">linearly </w:t>
      </w:r>
      <w:r>
        <w:t xml:space="preserve">with </w:t>
      </w:r>
      <w:r w:rsidRPr="00320207">
        <w:rPr>
          <w:i/>
          <w:iCs/>
        </w:rPr>
        <w:t>τ</w:t>
      </w:r>
      <w:r>
        <w:t>. In addition, b</w:t>
      </w:r>
      <w:r w:rsidR="00323C45">
        <w:t xml:space="preserve">ecause the fixation probability is the same for NM, CM and SIM, the difference in adaptation rate is due to differences in the appearance probability </w:t>
      </w:r>
      <w:r w:rsidR="00323C45">
        <w:rPr>
          <w:i/>
          <w:iCs/>
        </w:rPr>
        <w:t>q</w:t>
      </w:r>
      <w:r w:rsidR="00323C45">
        <w:t xml:space="preserve"> </w:t>
      </w:r>
      <w:r w:rsidR="00323C45" w:rsidRPr="00320207">
        <w:t>(</w:t>
      </w:r>
      <w:r w:rsidR="00323C45">
        <w:t>Figure S1), but see section 3.3 for a different scenario in which SIM</w:t>
      </w:r>
      <w:r>
        <w:t xml:space="preserve"> also</w:t>
      </w:r>
      <w:r w:rsidR="00323C45">
        <w:t xml:space="preserve"> increases the fixation probability.</w:t>
      </w:r>
    </w:p>
    <w:p w:rsidR="005316EE" w:rsidRDefault="005316EE" w:rsidP="00E74930">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w:t>
      </w:r>
      <w:r>
        <w:rPr>
          <w:lang w:bidi="hi-IN"/>
        </w:rPr>
        <w:lastRenderedPageBreak/>
        <w:t xml:space="preserve">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84602B">
        <w:rPr>
          <w:lang w:bidi="hi-IN"/>
        </w:rPr>
        <w:t xml:space="preserve">ar on a deleterious background - </w:t>
      </w:r>
      <w:r>
        <w:rPr>
          <w:i/>
          <w:iCs/>
          <w:lang w:bidi="hi-IN"/>
        </w:rPr>
        <w:t xml:space="preserve">AB/1 </w:t>
      </w:r>
      <w:r>
        <w:t xml:space="preserve">instead of </w:t>
      </w:r>
      <w:r>
        <w:rPr>
          <w:i/>
          <w:iCs/>
        </w:rPr>
        <w:t>AB/0</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 xml:space="preserve">(guaranteed </w:t>
      </w:r>
      <w:r w:rsidR="00335216">
        <w:t xml:space="preserve">when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886250">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"dropping-particle" : "", "family" : "Smith", "given" : "John Maynard", "non-dropping-particle" : "", "parse-names" : false, "suffix" : "" } ], "container-title" : "Genetical research", "id" : "ITEM-1", "issue" : "1", "issued" : { "date-parts" : [ [ "1974", "2", "14" ] ] }, "note" : "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 "page" : "23-35", "title" : "The hitch-hiking effect of a favourable gene.", "type" : "article-journal", "volume" : "23" }, "uris" : [ "http://www.mendeley.com/documents/?uuid=d8c03ac5-ef2c-4615-8c23-f42f7df4833c"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et al. 1974; Hartfield and Otto 2011)" }, "properties" : { "noteIndex" : 0 }, "schema" : "https://github.com/citation-style-language/schema/raw/master/csl-citation.json" }</w:instrText>
      </w:r>
      <w:r w:rsidR="00335216">
        <w:fldChar w:fldCharType="separate"/>
      </w:r>
      <w:r w:rsidR="00335216" w:rsidRPr="00335216">
        <w:rPr>
          <w:noProof/>
        </w:rPr>
        <w:t>(Maynard Smith et al.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 xml:space="preserve">Figure S2) </w:t>
      </w:r>
      <w:r w:rsidR="00335216">
        <w:t xml:space="preserve">and </w:t>
      </w:r>
      <w:proofErr w:type="gramStart"/>
      <w:r w:rsidR="00335216">
        <w:t>a lower population mean</w:t>
      </w:r>
      <w:proofErr w:type="gramEnd"/>
      <w:r w:rsidR="00335216">
        <w:t xml:space="preserve"> fitness after adaptation</w:t>
      </w:r>
      <w:r>
        <w:rPr>
          <w:lang w:bidi="hi-IN"/>
        </w:rPr>
        <w:t>.</w:t>
      </w:r>
    </w:p>
    <w:p w:rsidR="005316EE" w:rsidRDefault="005316EE" w:rsidP="00E74930">
      <w:pPr>
        <w:spacing w:line="480" w:lineRule="auto"/>
        <w:rPr>
          <w:rFonts w:eastAsiaTheme="minorEastAsia"/>
          <w:lang w:bidi="hi-IN"/>
        </w:rPr>
      </w:pPr>
      <w:r w:rsidRPr="00E74930">
        <w:rPr>
          <w:lang w:bidi="hi-IN"/>
        </w:rPr>
        <w:t>What happens when mutation is not weaker than selection? Figure XA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With CM, when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Pr="00E74930">
        <w:rPr>
          <w:rFonts w:eastAsiaTheme="minorEastAsia"/>
          <w:lang w:bidi="hi-IN"/>
        </w:rPr>
        <w:t xml:space="preserve">is over one </w:t>
      </w:r>
      <w:r w:rsidRPr="00E74930">
        <w:rPr>
          <w:rFonts w:eastAsiaTheme="minorEastAsia" w:cs="Times New Roman"/>
          <w:lang w:bidi="hi-IN"/>
        </w:rPr>
        <w:t>(</w:t>
      </w:r>
      <w:r w:rsidRPr="00E74930">
        <w:rPr>
          <w:rFonts w:eastAsiaTheme="minorEastAsia" w:cs="Times New Roman"/>
          <w:i/>
          <w:iCs/>
          <w:lang w:bidi="hi-IN"/>
        </w:rPr>
        <w:t>τ</w:t>
      </w:r>
      <w:r w:rsidRPr="00E74930">
        <w:rPr>
          <w:rFonts w:eastAsiaTheme="minorEastAsia"/>
          <w:lang w:bidi="hi-IN"/>
        </w:rPr>
        <w:t>&gt;10), adaptation is likely to occur on a deleterious background. Because our approximation</w:t>
      </w:r>
      <w:r>
        <w:rPr>
          <w:rFonts w:eastAsiaTheme="minorEastAsia"/>
          <w:lang w:bidi="hi-IN"/>
        </w:rPr>
        <w:t xml:space="preserve"> </w:t>
      </w:r>
      <w:r w:rsidR="00E74930">
        <w:rPr>
          <w:rFonts w:eastAsiaTheme="minorEastAsia"/>
          <w:lang w:bidi="hi-IN"/>
        </w:rPr>
        <w:t xml:space="preserve">neglects </w:t>
      </w:r>
      <w:r>
        <w:rPr>
          <w:rFonts w:eastAsiaTheme="minorEastAsia"/>
          <w:lang w:bidi="hi-IN"/>
        </w:rPr>
        <w:t>adaptation on deleterious backgrounds, it underestimates that actual adaptation rate.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resulting in a lower population mean fitness (Figure XB). </w:t>
      </w:r>
    </w:p>
    <w:p w:rsidR="005316EE" w:rsidRPr="006418C7" w:rsidRDefault="005316EE" w:rsidP="00D45CB2">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Pr>
          <w:lang w:bidi="hi-IN"/>
        </w:rPr>
        <w:t xml:space="preserve">Figure </w:t>
      </w:r>
      <w:r w:rsidR="00D45CB2">
        <w:rPr>
          <w:lang w:bidi="hi-IN"/>
        </w:rPr>
        <w:t>XA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C03529">
        <w:rPr>
          <w:lang w:bidi="hi-IN"/>
        </w:rPr>
        <w:t>the rate of complex adaptation</w:t>
      </w:r>
      <w:r w:rsidRPr="00BA2B02">
        <w:rPr>
          <w:lang w:bidi="hi-IN"/>
        </w:rPr>
        <w:t>.</w:t>
      </w:r>
    </w:p>
    <w:p w:rsidR="005316EE" w:rsidRPr="00020A87" w:rsidRDefault="005316EE" w:rsidP="00C03529">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88625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w:t>
      </w:r>
      <w:r w:rsidR="00C03529">
        <w:rPr>
          <w:lang w:bidi="hi-IN"/>
        </w:rPr>
        <w:t>explain</w:t>
      </w:r>
      <w:r w:rsidRPr="00020A87">
        <w:rPr>
          <w:lang w:bidi="hi-IN"/>
        </w:rPr>
        <w:t xml:space="preserve"> how this model </w:t>
      </w:r>
      <w:r w:rsidR="00C03529">
        <w:rPr>
          <w:lang w:bidi="hi-IN"/>
        </w:rPr>
        <w:t xml:space="preserve">is used </w:t>
      </w:r>
      <w:r w:rsidRPr="00020A87">
        <w:rPr>
          <w:lang w:bidi="hi-IN"/>
        </w:rPr>
        <w:t>to calculate the mean fitness of an asexual population with various mutational strategies.</w:t>
      </w:r>
    </w:p>
    <w:p w:rsidR="005316EE" w:rsidRPr="005950EE" w:rsidRDefault="005316EE" w:rsidP="00C03529">
      <w:pPr>
        <w:spacing w:line="480" w:lineRule="auto"/>
        <w:rPr>
          <w:lang w:bidi="hi-IN"/>
        </w:rPr>
      </w:pPr>
      <w:r>
        <w:rPr>
          <w:lang w:bidi="hi-IN"/>
        </w:rPr>
        <w:t>With CM, the</w:t>
      </w:r>
      <w:r w:rsidRPr="00020A87">
        <w:rPr>
          <w:lang w:bidi="hi-IN"/>
        </w:rPr>
        <w:t xml:space="preserve"> mutation rate is constant and uniform across the population, </w:t>
      </w:r>
      <w:r>
        <w:rPr>
          <w:lang w:bidi="hi-IN"/>
        </w:rPr>
        <w:t xml:space="preserve">and </w:t>
      </w:r>
      <w:r w:rsidRPr="00020A87">
        <w:rPr>
          <w:lang w:bidi="hi-IN"/>
        </w:rPr>
        <w:t xml:space="preserve">the </w:t>
      </w:r>
      <w:proofErr w:type="gramStart"/>
      <w:r w:rsidRPr="00020A87">
        <w:rPr>
          <w:lang w:bidi="hi-IN"/>
        </w:rPr>
        <w:t>population mean</w:t>
      </w:r>
      <w:proofErr w:type="gramEnd"/>
      <w:r w:rsidRPr="00020A87">
        <w:rPr>
          <w:lang w:bidi="hi-IN"/>
        </w:rPr>
        <w:t xml:space="preserve"> fitness mainly depends on the fitness and mutation rate of the fittest individuals</w:t>
      </w:r>
      <w:r>
        <w:rPr>
          <w:lang w:bidi="hi-IN"/>
        </w:rPr>
        <w:t xml:space="preserve">. Therefore, </w:t>
      </w:r>
      <w:r w:rsidRPr="00020A87">
        <w:rPr>
          <w:lang w:bidi="hi-IN"/>
        </w:rPr>
        <w:t xml:space="preserve">the </w:t>
      </w:r>
      <w:proofErr w:type="gramStart"/>
      <w:r w:rsidRPr="00020A87">
        <w:rPr>
          <w:lang w:bidi="hi-IN"/>
        </w:rPr>
        <w:t>population mean</w:t>
      </w:r>
      <w:proofErr w:type="gramEnd"/>
      <w:r w:rsidRPr="00020A87">
        <w:rPr>
          <w:lang w:bidi="hi-IN"/>
        </w:rPr>
        <w:t xml:space="preserve"> fitness decreases when the mutation rate increases</w:t>
      </w:r>
      <w:r>
        <w:rPr>
          <w:lang w:bidi="hi-IN"/>
        </w:rPr>
        <w:t xml:space="preserve"> - this decrease is</w:t>
      </w:r>
      <w:r w:rsidRPr="00020A87">
        <w:rPr>
          <w:lang w:bidi="hi-IN"/>
        </w:rPr>
        <w:t xml:space="preserve"> due to generation of deleterious mutations in the fittest individuals. </w:t>
      </w:r>
      <w:r>
        <w:rPr>
          <w:lang w:bidi="hi-IN"/>
        </w:rPr>
        <w:t>The adaptation rate, however, increases with</w:t>
      </w:r>
      <w:r w:rsidR="00C03529">
        <w:rPr>
          <w:lang w:bidi="hi-IN"/>
        </w:rPr>
        <w:t xml:space="preserve"> the</w:t>
      </w:r>
      <w:r>
        <w:rPr>
          <w:lang w:bidi="hi-IN"/>
        </w:rPr>
        <w:t xml:space="preserve"> mutation rate (eq. 7). This trade-off between </w:t>
      </w:r>
      <w:r>
        <w:rPr>
          <w:i/>
          <w:iCs/>
          <w:lang w:bidi="hi-IN"/>
        </w:rPr>
        <w:t>adaptability</w:t>
      </w:r>
      <w:r>
        <w:rPr>
          <w:lang w:bidi="hi-IN"/>
        </w:rPr>
        <w:t xml:space="preserve"> and </w:t>
      </w:r>
      <w:r>
        <w:rPr>
          <w:i/>
          <w:iCs/>
          <w:lang w:bidi="hi-IN"/>
        </w:rPr>
        <w:t>adaptedness</w:t>
      </w:r>
      <w:r>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Pr>
          <w:lang w:bidi="hi-IN"/>
        </w:rPr>
        <w:fldChar w:fldCharType="begin" w:fldLock="1"/>
      </w:r>
      <w:r w:rsidR="00886250">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Pr>
          <w:lang w:bidi="hi-IN"/>
        </w:rPr>
        <w:fldChar w:fldCharType="separate"/>
      </w:r>
      <w:r w:rsidRPr="005950EE">
        <w:rPr>
          <w:noProof/>
          <w:lang w:bidi="hi-IN"/>
        </w:rPr>
        <w:t>(Lynch et al. 1993)</w:t>
      </w:r>
      <w:r>
        <w:rPr>
          <w:lang w:bidi="hi-IN"/>
        </w:rPr>
        <w:fldChar w:fldCharType="end"/>
      </w:r>
      <w:r>
        <w:rPr>
          <w:lang w:bidi="hi-IN"/>
        </w:rPr>
        <w:t xml:space="preserve">. </w:t>
      </w:r>
    </w:p>
    <w:p w:rsidR="005316EE" w:rsidRDefault="005316EE" w:rsidP="00C03529">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(compensatory) mutations </w:t>
      </w:r>
      <w:r w:rsidR="00C03529">
        <w:rPr>
          <w:lang w:bidi="hi-IN"/>
        </w:rPr>
        <w:t>can occur</w:t>
      </w:r>
      <w:r w:rsidRPr="00BA2B02">
        <w:rPr>
          <w:lang w:bidi="hi-IN"/>
        </w:rPr>
        <w:t xml:space="preserve"> </w:t>
      </w:r>
      <w:r w:rsidRPr="00BA2B02">
        <w:rPr>
          <w:lang w:bidi="hi-IN"/>
        </w:rPr>
        <w:fldChar w:fldCharType="begin" w:fldLock="1"/>
      </w:r>
      <w:r w:rsidR="0088625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03529">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fold-increase.</w:t>
      </w:r>
    </w:p>
    <w:p w:rsidR="005316EE" w:rsidRPr="00C03529" w:rsidRDefault="005316EE" w:rsidP="00C03529">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w:t>
      </w:r>
      <w:r w:rsidRPr="00C03529">
        <w:lastRenderedPageBreak/>
        <w:t xml:space="preserve">fitness mainly depends on the mutation rate of fit individuals. In fact, with beneficial mutations the mean fitness with SIM with </w:t>
      </w:r>
      <w:r w:rsidRPr="00C03529">
        <w:rPr>
          <w:i/>
          <w:iCs/>
        </w:rPr>
        <w:t>τ</w:t>
      </w:r>
      <w:r w:rsidRPr="00C03529">
        <w:t xml:space="preserve">=96 is higher than that of NM by </w:t>
      </w:r>
      <w:r w:rsidRPr="00C03529">
        <w:rPr>
          <w:rFonts w:cs="Times New Roman"/>
        </w:rPr>
        <w:t>~</w:t>
      </w:r>
      <w:r w:rsidRPr="00C03529">
        <w:t>3</w:t>
      </w:r>
      <w:r w:rsidRPr="00C03529">
        <w:sym w:font="Symbol" w:char="F0D7"/>
      </w:r>
      <w:r w:rsidRPr="00C03529">
        <w:t>10</w:t>
      </w:r>
      <w:r w:rsidRPr="00C03529">
        <w:rPr>
          <w:vertAlign w:val="superscript"/>
        </w:rPr>
        <w:t>-8</w:t>
      </w:r>
      <w:r w:rsidRPr="00C03529">
        <w:t xml:space="preserve">. </w:t>
      </w:r>
    </w:p>
    <w:p w:rsidR="005316EE" w:rsidRPr="00BA2B02" w:rsidRDefault="005316EE" w:rsidP="005316EE">
      <w:pPr>
        <w:pStyle w:val="Heading2"/>
        <w:spacing w:line="480" w:lineRule="auto"/>
      </w:pPr>
      <w:r w:rsidRPr="00BA2B02">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C03529"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fldSimple w:instr=" SEQ Equation ">
              <w:r w:rsidRPr="00BA2B02">
                <w:rPr>
                  <w:noProof/>
                </w:rPr>
                <w:t>9</w:t>
              </w:r>
            </w:fldSimple>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88625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lastRenderedPageBreak/>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C03529"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5316EE" w:rsidRPr="008F3447" w:rsidRDefault="005316EE" w:rsidP="005316EE">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 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C03529"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fldSimple w:instr=" SEQ Equation ">
              <w:r w:rsidRPr="008F3447">
                <w:rPr>
                  <w:noProof/>
                </w:rPr>
                <w:t>11</w:t>
              </w:r>
            </w:fldSimple>
            <w:r w:rsidRPr="008F3447">
              <w:t>)</w:t>
            </w:r>
            <w:bookmarkEnd w:id="11"/>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t>Possible relationships between stress and mutation</w:t>
      </w:r>
      <w:bookmarkEnd w:id="12"/>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886250">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B1563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886250">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w:t>
      </w:r>
      <w:r w:rsidR="00E16366">
        <w:rPr>
          <w:lang w:bidi="hi-IN"/>
        </w:rPr>
        <w:lastRenderedPageBreak/>
        <w:t xml:space="preserve">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886250">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886250">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886250">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886250">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lastRenderedPageBreak/>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886250">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886250">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886250">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886250">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886250">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886250">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886250">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 xml:space="preserve">(Moore and Tonsor 1994; Gavrilets 1996; Coyne et al. 2000; </w:t>
      </w:r>
      <w:r w:rsidR="00663378" w:rsidRPr="00FB3C6B">
        <w:rPr>
          <w:noProof/>
          <w:lang w:bidi="hi-IN"/>
        </w:rPr>
        <w:lastRenderedPageBreak/>
        <w:t>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886250">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886250">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886250">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886250">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886250">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886250">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886250">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886250">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886250">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lastRenderedPageBreak/>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886250" w:rsidRPr="00886250" w:rsidRDefault="00AB4359">
      <w:pPr>
        <w:pStyle w:val="NormalWeb"/>
        <w:divId w:val="1940791027"/>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886250" w:rsidRPr="00886250">
        <w:rPr>
          <w:rFonts w:ascii="Palatino Linotype" w:hAnsi="Palatino Linotype"/>
          <w:noProof/>
          <w:sz w:val="22"/>
        </w:rPr>
        <w:t>Agrawal, A. F. 2002. Genetic loads under fitness-dependent mutation rates. J. Evol. Biol. 15:1004–1010.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Berg, O. G. 1996. Selection intensity for codon bias and the effective population size of </w:t>
      </w:r>
      <w:r w:rsidRPr="00886250">
        <w:rPr>
          <w:rFonts w:ascii="Palatino Linotype" w:hAnsi="Palatino Linotype"/>
          <w:i/>
          <w:iCs/>
          <w:noProof/>
          <w:sz w:val="22"/>
        </w:rPr>
        <w:t>Escherichia coli</w:t>
      </w:r>
      <w:r w:rsidRPr="00886250">
        <w:rPr>
          <w:rFonts w:ascii="Palatino Linotype" w:hAnsi="Palatino Linotype"/>
          <w:noProof/>
          <w:sz w:val="22"/>
        </w:rPr>
        <w:t>. Genetics 142:1379–82.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Bjedov, I., O. Tenaillon, B. Gérard, V. Souza, E. Denamur, M. Radman, F. Taddei, and I. Matic. 2003. Stress-induced mutagenesis in bacteria. Science 300:1404–9.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Bristow, R. G., and R. P. Hill. 2008. Hypoxia and metabolism: Hypoxia, DNA repair and genetic instability. Nat. Rev. Cancer 8:180–92.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Cairns, J., J. Overbaugh, and S. Miller. 1988. The origin of mutants. Nature 335:142–5.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Cirz, R. T., and F. E. Romesberg. 2007. Controlling mutation: intervening in evolution as a therapeutic strategy. Crit. Rev. Biochem. Mol. Biol. 42:341–54.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Coyne, J. A., N. H. Barton, and M. Turelli. 2000. Is Wright’s shifting balance process important in evolution? Evolution 54:306–317.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Crow, J. F., W. R. Engels, and C. Denniston. 1990. Phase Three of Wright’s Shifting-Balance Theory. Evolution 44:233.</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Dawson, K. J. 1998. Evolutionarily stable mutation rates. J. Theor. Biol. 194:143–57.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De Visser, J. A. G. M. 2002. The fate of microbial mutators. Microbiology 148:1247–52.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Debora, B. N., L. E. Vidales, R. Ramírez, M. Ramírez, E. A. Robleto, R. E. Yasbin, and M. Pedraza-Reyes. 2010. Mismatch Repair Modulation of MutY Activity Drives </w:t>
      </w:r>
      <w:r w:rsidRPr="00886250">
        <w:rPr>
          <w:rFonts w:ascii="Palatino Linotype" w:hAnsi="Palatino Linotype"/>
          <w:i/>
          <w:iCs/>
          <w:noProof/>
          <w:sz w:val="22"/>
        </w:rPr>
        <w:t>Bacillus subtilis</w:t>
      </w:r>
      <w:r w:rsidRPr="00886250">
        <w:rPr>
          <w:rFonts w:ascii="Palatino Linotype" w:hAnsi="Palatino Linotype"/>
          <w:noProof/>
          <w:sz w:val="22"/>
        </w:rPr>
        <w:t xml:space="preserve"> Stationary-Phase Mutagenesis. J. Bacteriol. 193:236–45.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Denamur, E., and I. Matic. 2006. Evolution of mutation rates in bacteria. Mol. Microbiol. 60:820–7.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Drake, J. W., B. Charlesworth, D. Charlesworth, and J. F. Crow. 1998. Rates of spontaneous mutation. Genetics 148:1667–86.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Fisher, R. A. 1930. The Genetical Theory of Natural Selection. Clarendon Press, Oxford.</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Foster, P. L. 2007. Stress-induced mutagenesis in bacteria. Crit. Rev. Biochem. Mol. Biol. 42:373–97.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Funchain, P., A. Yeung, J. L. Stewart, R. Lin, M. M. Slupska, and J. H. Miller. 2000. The consequences of growth of a mutator strain of </w:t>
      </w:r>
      <w:r w:rsidRPr="00886250">
        <w:rPr>
          <w:rFonts w:ascii="Palatino Linotype" w:hAnsi="Palatino Linotype"/>
          <w:i/>
          <w:iCs/>
          <w:noProof/>
          <w:sz w:val="22"/>
        </w:rPr>
        <w:t>Escherichia coli</w:t>
      </w:r>
      <w:r w:rsidRPr="00886250">
        <w:rPr>
          <w:rFonts w:ascii="Palatino Linotype" w:hAnsi="Palatino Linotype"/>
          <w:noProof/>
          <w:sz w:val="22"/>
        </w:rPr>
        <w:t xml:space="preserve"> as measured by loss of function among multiple gene targets and loss of fitness. Genetics 154:959–70.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Galhardo, R. S., P. J. Hastings, and S. M. Rosenberg. 2007. Mutation as a stress response and the regulation of evolvability. Crit. Rev. Biochem. Mol. Biol. 42:399–435.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Gavrilets, S. 1996. On phase three of the shifting-balance theory. Evolution 50:1034–1041.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Gentile, C. F., S.-C. Yu, S. A. Serrano, P. J. Gerrish, and P. D. Sniegowski. 2011. Competition between high- and higher-mutating strains of </w:t>
      </w:r>
      <w:r w:rsidRPr="00886250">
        <w:rPr>
          <w:rFonts w:ascii="Palatino Linotype" w:hAnsi="Palatino Linotype"/>
          <w:i/>
          <w:iCs/>
          <w:noProof/>
          <w:sz w:val="22"/>
        </w:rPr>
        <w:t>Escherichia coli</w:t>
      </w:r>
      <w:r w:rsidRPr="00886250">
        <w:rPr>
          <w:rFonts w:ascii="Palatino Linotype" w:hAnsi="Palatino Linotype"/>
          <w:noProof/>
          <w:sz w:val="22"/>
        </w:rPr>
        <w:t>. Biol. Lett. 7:422–4.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Giraud, A., M. Radman, I. Matic, and F. Taddei. 2001b. The rise and fall of mutator bacteria. Curr. Opin. Microbiol. 4:582–585.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Goho, S., and G. Bell. 2000. Mild environmental stress elicits mutations affecting fitness in Chlamydomonas. Proc. R. Soc. B Biol. Sci. 267:123–9.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Gordo, I., and F. Dionisio. 2005. Nonequilibrium model for estimating parameters of deleterious mutations. Phys. Rev. E 71:18–21.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Gordo, I., L. Perfeito, and A. Sousa. 2011. Fitness effects of mutations in bacteria. J. Mol. Microbiol. Biotechnol. 21:20–35.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Hadany, L. 2003. Adaptive peak shifts in a heterogenous environment. Theor. Popul. Biol. 63:41–51.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Hadany, L., and T. Beker. 2003. Fitness-associated recombination on rugged adaptive landscapes. J. Evol. Biol. 16:862–870.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Haigh, J. 1978. The accumulation of deleterious genes in a population - Muller’s Ratchet. Theor. Popul. Biol. 14:251–267.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Hall, L. M. C., and S. K. Henderson-Begg. 2006. Hypermutable bacteria isolated from humans--a critical analysis. Microbiology 152:2505–14.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Hartfield, M., and S. P. Otto. 2011. Recombination and hitchhiking of deleterious alleles. Evolution 65:2421–34.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Heidenreich, E. 2007. Adaptive mutation in </w:t>
      </w:r>
      <w:r w:rsidRPr="00886250">
        <w:rPr>
          <w:rFonts w:ascii="Palatino Linotype" w:hAnsi="Palatino Linotype"/>
          <w:i/>
          <w:iCs/>
          <w:noProof/>
          <w:sz w:val="22"/>
        </w:rPr>
        <w:t>Saccharomyces cerevisiae</w:t>
      </w:r>
      <w:r w:rsidRPr="00886250">
        <w:rPr>
          <w:rFonts w:ascii="Palatino Linotype" w:hAnsi="Palatino Linotype"/>
          <w:noProof/>
          <w:sz w:val="22"/>
        </w:rPr>
        <w:t>. Crit. Rev. Biochem. Mol. Biol. 42:285–311.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Henderson-Begg, S. K., D. M. Livermore, and L. M. C. Hall. 2006. Effect of subinhibitory concentrations of antibiotics on mutation frequency in </w:t>
      </w:r>
      <w:r w:rsidRPr="00886250">
        <w:rPr>
          <w:rFonts w:ascii="Palatino Linotype" w:hAnsi="Palatino Linotype"/>
          <w:i/>
          <w:iCs/>
          <w:noProof/>
          <w:sz w:val="22"/>
        </w:rPr>
        <w:t>Streptococcus pneumoniae</w:t>
      </w:r>
      <w:r w:rsidRPr="00886250">
        <w:rPr>
          <w:rFonts w:ascii="Palatino Linotype" w:hAnsi="Palatino Linotype"/>
          <w:noProof/>
          <w:sz w:val="22"/>
        </w:rPr>
        <w:t>. J. Antimicrob. Chemother. 57:849–54.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Kang, J. M., N. M. Iovine, and M. J. Blaser. 2006. A paradigm for direct stress-induced mutation in prokaryotes. FASEB J. 20:2476–85.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Kessler, D. A., and H. Levine. 1998. Mutator Dynamics on a Smooth Evolutionary Landscape. Phys. Rev. Lett. 80:2012–2015.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Kibota, T. T., and M. Lynch. 1996. Estimate of the genomic mutation rate deleterious to overall fitness in </w:t>
      </w:r>
      <w:r w:rsidRPr="00886250">
        <w:rPr>
          <w:rFonts w:ascii="Palatino Linotype" w:hAnsi="Palatino Linotype"/>
          <w:i/>
          <w:iCs/>
          <w:noProof/>
          <w:sz w:val="22"/>
        </w:rPr>
        <w:t>E. coli</w:t>
      </w:r>
      <w:r w:rsidRPr="00886250">
        <w:rPr>
          <w:rFonts w:ascii="Palatino Linotype" w:hAnsi="Palatino Linotype"/>
          <w:noProof/>
          <w:sz w:val="22"/>
        </w:rPr>
        <w:t>. Nature 381:694–6.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Kimura, M. 1967. On the evolutionary adjustment of spontaneous mutation rates. Genet. Res. 9:23–34.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Kivisaar, M. 2010. Mechanisms of stationary-phase mutagenesis in bacteria: mutational processes in pseudomonads. FEMS Microbiol. Lett. 312:1–14.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Leigh, E. G. J. 1970. Natural Selection and Mutability. Am. Nat. 104:301–305.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Liberman, U., and M. W. Feldman. 1986. Modifiers of mutation rate: a general reduction principle. Theor. Popul. Biol. 30:125–42.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Loh, E., J. J. Salk, and L. A. Loeb. 2010. Optimization of DNA polymerase mutation rates during bacterial evolution. Proc. Natl. Acad. Sci. 107:1154–9.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Lynch, M., R. Bürger, D. Butcher, and W. Gabriel. 1993. The mutational meltdown in asexual populations. J. Hered. 84:339–44.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Matsuba, C., D. G. Ostrow, M. P. Salomon, A. Tolani, and C. F. Baer. 2012. Temperature, stress and spontaneous mutation in </w:t>
      </w:r>
      <w:r w:rsidRPr="00886250">
        <w:rPr>
          <w:rFonts w:ascii="Palatino Linotype" w:hAnsi="Palatino Linotype"/>
          <w:i/>
          <w:iCs/>
          <w:noProof/>
          <w:sz w:val="22"/>
        </w:rPr>
        <w:t>Caenorhabditis briggsae</w:t>
      </w:r>
      <w:r w:rsidRPr="00886250">
        <w:rPr>
          <w:rFonts w:ascii="Palatino Linotype" w:hAnsi="Palatino Linotype"/>
          <w:noProof/>
          <w:sz w:val="22"/>
        </w:rPr>
        <w:t xml:space="preserve"> and </w:t>
      </w:r>
      <w:r w:rsidRPr="00886250">
        <w:rPr>
          <w:rFonts w:ascii="Palatino Linotype" w:hAnsi="Palatino Linotype"/>
          <w:i/>
          <w:iCs/>
          <w:noProof/>
          <w:sz w:val="22"/>
        </w:rPr>
        <w:t>Caenorhabditis elegans</w:t>
      </w:r>
      <w:r w:rsidRPr="00886250">
        <w:rPr>
          <w:rFonts w:ascii="Palatino Linotype" w:hAnsi="Palatino Linotype"/>
          <w:noProof/>
          <w:sz w:val="22"/>
        </w:rPr>
        <w:t>. Biol. Lett. 8–12.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Maynard Smith, J., J. Haigh, and J. M. Smith. 1974. The hitch-hiking effect of a favourable gene. Genet. Res. 23:23–35.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Montanari, S., A. Oliver, P. Salerno, A. Mena, G. Bertoni, B. Tümmler, L. Cariani, M. Conese, G. Döring, and A. Bragonzi. 2007. Biological cost of hypermutation in </w:t>
      </w:r>
      <w:r w:rsidRPr="00886250">
        <w:rPr>
          <w:rFonts w:ascii="Palatino Linotype" w:hAnsi="Palatino Linotype"/>
          <w:i/>
          <w:iCs/>
          <w:noProof/>
          <w:sz w:val="22"/>
        </w:rPr>
        <w:t>Pseudomonas aeruginosa</w:t>
      </w:r>
      <w:r w:rsidRPr="00886250">
        <w:rPr>
          <w:rFonts w:ascii="Palatino Linotype" w:hAnsi="Palatino Linotype"/>
          <w:noProof/>
          <w:sz w:val="22"/>
        </w:rPr>
        <w:t xml:space="preserve"> strains from patients with cystic fibrosis. Microbiology 153:1445–54.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Moore, F. B.-G., and S. J. Tonsor. 1994. A Simulation of Wright’s Shifting-Balance Process: Migration and the Three Phases. Evolution 48:69.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Obolski, U., and L. Hadany. 2012. Implications of stress-induced genetic variation for minimizing multidrug resistance in bacteria. BMC Med. 10:1–30.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Peck, S. L., S. P. Ellner, and F. Gould. 2000. Varying migration and deme size and the feasibility of the shifting balance. Evolution 54:324–7.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Ponder, R. G., N. C. Fonville, and S. M. Rosenberg. 2005. A switch from high-fidelity to error-prone DNA double-strand break repair underlies stress-induced mutation. Mol. Cell 19:791–804.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Pupo, G. M., and B. J. Richardson. 1995. Biochemical genetics of a natural population of </w:t>
      </w:r>
      <w:r w:rsidRPr="00886250">
        <w:rPr>
          <w:rFonts w:ascii="Palatino Linotype" w:hAnsi="Palatino Linotype"/>
          <w:i/>
          <w:iCs/>
          <w:noProof/>
          <w:sz w:val="22"/>
        </w:rPr>
        <w:t>Escherichia coli</w:t>
      </w:r>
      <w:r w:rsidRPr="00886250">
        <w:rPr>
          <w:rFonts w:ascii="Palatino Linotype" w:hAnsi="Palatino Linotype"/>
          <w:noProof/>
          <w:sz w:val="22"/>
        </w:rPr>
        <w:t>: seasonal changes in alleles and haplotypes. Microbiology 141:1037–44.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Ram, Y., and L. Hadany. 2012. The evolution of stress-induced hypermutation in asexual populations. Evolution 66:2315–28.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Rodriguez, G. P., N. V Romanova, G. Bao, N. C. Rouf, Y. W. Kow, and G. F. Crouse. 2012. Mismatch repair-dependent mutagenesis in nondividing cells. Proc. Natl. Acad. Sci. 109:6153–8.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 xml:space="preserve">Rosenberg, S. M., C. Shee, R. L. Frisch, and P. J. Hastings. 2012. Stress-induced mutation via DNA breaks in </w:t>
      </w:r>
      <w:r w:rsidRPr="00886250">
        <w:rPr>
          <w:rFonts w:ascii="Palatino Linotype" w:hAnsi="Palatino Linotype"/>
          <w:i/>
          <w:iCs/>
          <w:noProof/>
          <w:sz w:val="22"/>
        </w:rPr>
        <w:t>Escherichia coli</w:t>
      </w:r>
      <w:r w:rsidRPr="00886250">
        <w:rPr>
          <w:rFonts w:ascii="Palatino Linotype" w:hAnsi="Palatino Linotype"/>
          <w:noProof/>
          <w:sz w:val="22"/>
        </w:rPr>
        <w:t>: A molecular mechanism with implications for evolution and medicine. BioEssays 1–8.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Schrag, S. J., V. Perrot, and B. R. Levin. 1997. Adaptation to the fitness costs of antibiotic resistance in </w:t>
      </w:r>
      <w:r w:rsidRPr="00886250">
        <w:rPr>
          <w:rFonts w:ascii="Palatino Linotype" w:hAnsi="Palatino Linotype"/>
          <w:i/>
          <w:iCs/>
          <w:noProof/>
          <w:sz w:val="22"/>
        </w:rPr>
        <w:t>Escherichia coli</w:t>
      </w:r>
      <w:r w:rsidRPr="00886250">
        <w:rPr>
          <w:rFonts w:ascii="Palatino Linotype" w:hAnsi="Palatino Linotype"/>
          <w:noProof/>
          <w:sz w:val="22"/>
        </w:rPr>
        <w:t>. Proc. Biol. Sci. 264:1287–91.</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Sharp, N. P., and A. F. Agrawal. 2012. Evidence for elevated mutation rates in low-quality genotypes. Proc. Natl. Acad. Sci. 109:6142–6.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Shaw, F. H., and C. F. Baer. 2011. Fitness-dependent mutation rates in finite populations. J. Evol. Biol. 24:1677–84.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Shee, C., J. L. Gibson, M. C. Darrow, C. Gonzalez, and S. M. Rosenberg. 2011. Impact of a stress-inducible switch to mutagenic repair of DNA breaks on mutation in </w:t>
      </w:r>
      <w:r w:rsidRPr="00886250">
        <w:rPr>
          <w:rFonts w:ascii="Palatino Linotype" w:hAnsi="Palatino Linotype"/>
          <w:i/>
          <w:iCs/>
          <w:noProof/>
          <w:sz w:val="22"/>
        </w:rPr>
        <w:t>Escherichia coli</w:t>
      </w:r>
      <w:r w:rsidRPr="00886250">
        <w:rPr>
          <w:rFonts w:ascii="Palatino Linotype" w:hAnsi="Palatino Linotype"/>
          <w:noProof/>
          <w:sz w:val="22"/>
        </w:rPr>
        <w:t>. Proc. Natl. Acad. Sci. 108:13659–13664.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Shor, E., C. a. Fox, and J. R. Broach. 2013. The yeast environmental stress response regulates mutagenesis induced by proteotoxic stress. PLoS Genet. 9:e1003680.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Sniegowski, P. D., P. J. Gerrish, T. Johnson, and A. Shaver. 2000. The evolution of mutation rates: separating causes from consequences. BioEssays 22:1057–66.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Sniegowski, P. D., P. J. Gerrish, and R. E. Lenski. 1997. Evolution of high mutation rates in experimental populations of E. coli. Nature 387:703–5.</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Taddei, F., M. Radman, J. Maynard Smith, B. Toupance, P.-H. Gouyon, and B. Godelle. 1997. Role of mutator alleles in adaptive evolution. Nature 387:700–2.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Tenaillon, O., E. Denamur, and I. Matic. 2004. Evolutionary significance of stress-induced mutagenesis in bacteria. Trends Microbiol. 12:264–70.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Tenaillon, O., H. Le Nagard, B. Godelle, and F. Taddei. 2000. Mutators and sex in bacteria: conflict between adaptive strategies. Proc. Natl. Acad. Sci. 97:10465–70.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Wade, M. J., and C. J. Goodnight. 1991. Wright’s shifting balance theory: an experimental study. Science 253:1015–8.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lastRenderedPageBreak/>
        <w:t>Weinreich, D. M., and L. Chao. 2005. Rapid evolutionary escape by large populations from local fitness peaks is likely in nature. Evolution 59:1175–82.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Weissman, D. B., M. W. Feldman, and D. S. Fisher. 2010. The rate of fitness-valley crossing in sexual populations. Genetics 186:1389–410.</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Whitlock, M. C. 1997. Founder effects and peak shifts without genetic drift: adaptive peak shifts occur easily when environments fluctuate slightly. Evolution 51:1044.</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Whitlock, M. C. 1995. Variance-induced peak shifts. Evolution 49:252.</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Whitlock, M. C., and P. C. Phillips. 2000. The exquisite corpse: a shifting view of the shifting balance. Trends Ecol. Evol. 15:347–348.</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886250">
        <w:rPr>
          <w:rFonts w:ascii="Palatino Linotype" w:hAnsi="Palatino Linotype"/>
          <w:i/>
          <w:iCs/>
          <w:noProof/>
          <w:sz w:val="22"/>
        </w:rPr>
        <w:t>Escherichia coli</w:t>
      </w:r>
      <w:r w:rsidRPr="00886250">
        <w:rPr>
          <w:rFonts w:ascii="Palatino Linotype" w:hAnsi="Palatino Linotype"/>
          <w:noProof/>
          <w:sz w:val="22"/>
        </w:rPr>
        <w:t>. G3 1:183–186.</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Wright, S. 1931. Evolution in Mendelian Populations. Genetics 16:97–159.</w:t>
      </w:r>
    </w:p>
    <w:p w:rsidR="00886250" w:rsidRPr="00886250" w:rsidRDefault="00886250">
      <w:pPr>
        <w:pStyle w:val="NormalWeb"/>
        <w:divId w:val="1940791027"/>
        <w:rPr>
          <w:rFonts w:ascii="Palatino Linotype" w:hAnsi="Palatino Linotype"/>
          <w:noProof/>
          <w:sz w:val="22"/>
        </w:rPr>
      </w:pPr>
      <w:r w:rsidRPr="00886250">
        <w:rPr>
          <w:rFonts w:ascii="Palatino Linotype" w:hAnsi="Palatino Linotype"/>
          <w:noProof/>
          <w:sz w:val="22"/>
        </w:rPr>
        <w:t xml:space="preserve">Wright, S. 1988. Surfaces of selective value revisited. Am. Nat. 131:115–123. </w:t>
      </w:r>
    </w:p>
    <w:p w:rsidR="002E3785" w:rsidRDefault="00AB4359" w:rsidP="00886250">
      <w:pPr>
        <w:pStyle w:val="NormalWeb"/>
        <w:divId w:val="849564077"/>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C03529"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C03529"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C03529"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C03529"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886250">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886250">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C0352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C0352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C0352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C03529"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C03529"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0" w:name="_Ref354316371"/>
      <w:r>
        <w:rPr>
          <w:b/>
          <w:bCs/>
          <w:noProof/>
          <w:sz w:val="20"/>
          <w:szCs w:val="20"/>
        </w:rPr>
        <w:drawing>
          <wp:inline distT="0" distB="0" distL="0" distR="0" wp14:anchorId="2A8FB8F0" wp14:editId="66B6A055">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1"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0731D238" wp14:editId="1D5A730E">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1"/>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2" w:name="_Ref363979903"/>
      <w:r>
        <w:rPr>
          <w:b/>
          <w:bCs/>
          <w:noProof/>
          <w:sz w:val="20"/>
          <w:szCs w:val="20"/>
        </w:rPr>
        <w:lastRenderedPageBreak/>
        <w:drawing>
          <wp:inline distT="0" distB="0" distL="0" distR="0" wp14:anchorId="31FCA938" wp14:editId="44F4879C">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2"/>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74034356" wp14:editId="3C3B2803">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DB7DD7">
      <w:pPr>
        <w:pStyle w:val="FigureLegend"/>
        <w:spacing w:line="480" w:lineRule="auto"/>
        <w:jc w:val="left"/>
        <w:rPr>
          <w:rFonts w:eastAsiaTheme="minorEastAsia"/>
          <w:sz w:val="20"/>
          <w:szCs w:val="20"/>
          <w:lang w:bidi="hi-IN"/>
        </w:rPr>
      </w:pPr>
      <w:bookmarkStart w:id="23"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4" w:name="_Ref374366687"/>
      <w:r>
        <w:rPr>
          <w:rFonts w:eastAsiaTheme="minorHAnsi"/>
          <w:smallCaps w:val="0"/>
          <w:noProof/>
          <w:color w:val="auto"/>
          <w:spacing w:val="0"/>
          <w:sz w:val="20"/>
          <w:szCs w:val="20"/>
          <w:lang w:bidi="he-IL"/>
        </w:rPr>
        <w:lastRenderedPageBreak/>
        <w:drawing>
          <wp:inline distT="0" distB="0" distL="0" distR="0" wp14:anchorId="447AD8FA" wp14:editId="37E2B926">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4"/>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r>
        <w:rPr>
          <w:b/>
          <w:bCs/>
          <w:noProof/>
          <w:sz w:val="20"/>
          <w:szCs w:val="20"/>
        </w:rPr>
        <w:lastRenderedPageBreak/>
        <w:drawing>
          <wp:inline distT="0" distB="0" distL="0" distR="0" wp14:anchorId="0FE5C7D7" wp14:editId="7D303F32">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p>
    <w:p w:rsidR="00394551" w:rsidRPr="00886250" w:rsidRDefault="00210B00" w:rsidP="004C72D0">
      <w:pPr>
        <w:spacing w:line="480" w:lineRule="auto"/>
        <w:rPr>
          <w:noProof/>
          <w:sz w:val="20"/>
          <w:szCs w:val="20"/>
        </w:rPr>
      </w:pPr>
      <w:r w:rsidRPr="00886250">
        <w:rPr>
          <w:b/>
          <w:bCs/>
          <w:sz w:val="20"/>
          <w:szCs w:val="20"/>
        </w:rPr>
        <w:t xml:space="preserve">Figure </w:t>
      </w:r>
      <w:r w:rsidRPr="00886250">
        <w:rPr>
          <w:b/>
          <w:bCs/>
          <w:smallCaps/>
          <w:sz w:val="20"/>
          <w:szCs w:val="20"/>
        </w:rPr>
        <w:t>X</w:t>
      </w:r>
      <w:r w:rsidRPr="00886250">
        <w:rPr>
          <w:b/>
          <w:bCs/>
          <w:sz w:val="20"/>
          <w:szCs w:val="20"/>
        </w:rPr>
        <w:t xml:space="preserve"> – Adaptation with </w:t>
      </w:r>
      <w:r w:rsidR="00394551" w:rsidRPr="00886250">
        <w:rPr>
          <w:b/>
          <w:bCs/>
          <w:sz w:val="20"/>
          <w:szCs w:val="20"/>
        </w:rPr>
        <w:t>strong mutation</w:t>
      </w:r>
      <w:r w:rsidRPr="00886250">
        <w:rPr>
          <w:b/>
          <w:bCs/>
          <w:sz w:val="20"/>
          <w:szCs w:val="20"/>
        </w:rPr>
        <w:t>.</w:t>
      </w:r>
      <w:r w:rsidRPr="00886250">
        <w:rPr>
          <w:sz w:val="20"/>
          <w:szCs w:val="20"/>
        </w:rPr>
        <w:t xml:space="preserve"> </w:t>
      </w:r>
      <w:r w:rsidRPr="00886250">
        <w:rPr>
          <w:noProof/>
          <w:sz w:val="20"/>
          <w:szCs w:val="20"/>
        </w:rPr>
        <w:t xml:space="preserve">When </w:t>
      </w:r>
      <w:r w:rsidR="00394551" w:rsidRPr="00886250">
        <w:rPr>
          <w:noProof/>
          <w:sz w:val="20"/>
          <w:szCs w:val="20"/>
        </w:rPr>
        <w:t xml:space="preserve">the deleterious </w:t>
      </w:r>
      <w:r w:rsidRPr="00886250">
        <w:rPr>
          <w:noProof/>
          <w:sz w:val="20"/>
          <w:szCs w:val="20"/>
        </w:rPr>
        <w:t xml:space="preserve">mutation </w:t>
      </w:r>
      <w:r w:rsidR="00394551" w:rsidRPr="00886250">
        <w:rPr>
          <w:noProof/>
          <w:sz w:val="20"/>
          <w:szCs w:val="20"/>
        </w:rPr>
        <w:t xml:space="preserve">rate is high </w:t>
      </w:r>
      <w:r w:rsidRPr="00886250">
        <w:rPr>
          <w:noProof/>
          <w:sz w:val="20"/>
          <w:szCs w:val="20"/>
        </w:rPr>
        <w:t xml:space="preserve">– here </w:t>
      </w:r>
      <w:r w:rsidRPr="00886250">
        <w:rPr>
          <w:i/>
          <w:iCs/>
          <w:noProof/>
          <w:sz w:val="20"/>
          <w:szCs w:val="20"/>
        </w:rPr>
        <w:t>U=s</w:t>
      </w:r>
      <w:r w:rsidR="00394551" w:rsidRPr="00886250">
        <w:rPr>
          <w:i/>
          <w:iCs/>
          <w:noProof/>
          <w:sz w:val="20"/>
          <w:szCs w:val="20"/>
        </w:rPr>
        <w:t>/10</w:t>
      </w:r>
      <w:r w:rsidRPr="00886250">
        <w:rPr>
          <w:noProof/>
          <w:sz w:val="20"/>
          <w:szCs w:val="20"/>
        </w:rPr>
        <w:t xml:space="preserve"> – the adaptation process can lead to hitch-hiking of deleterious </w:t>
      </w:r>
      <w:r w:rsidR="00886250" w:rsidRPr="00886250">
        <w:rPr>
          <w:noProof/>
          <w:sz w:val="20"/>
          <w:szCs w:val="20"/>
        </w:rPr>
        <w:t>alleles</w:t>
      </w:r>
      <w:r w:rsidRPr="00886250">
        <w:rPr>
          <w:noProof/>
          <w:sz w:val="20"/>
          <w:szCs w:val="20"/>
        </w:rPr>
        <w:t xml:space="preserve">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NM (</w:t>
      </w:r>
      <w:r w:rsidRPr="00886250">
        <w:rPr>
          <w:i/>
          <w:iCs/>
          <w:sz w:val="20"/>
          <w:szCs w:val="20"/>
        </w:rPr>
        <w:t>τ</w:t>
      </w:r>
      <w:r w:rsidRPr="00886250">
        <w:rPr>
          <w:sz w:val="20"/>
          <w:szCs w:val="20"/>
        </w:rPr>
        <w:t xml:space="preserve">=1 and a black circle) is normal mutagenesis; CM (solid lines &amp; circles) is constitutive mutagenesis; SIM (solid lines &amp; squares) is stress-induced mutagenesis. Lines are analytic approximations; markers are the means of stochastic simulations results; error bars represent 95% confidence interval of the mean (at least 1,000 replicates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00886250" w:rsidRPr="00886250">
        <w:rPr>
          <w:sz w:val="20"/>
          <w:szCs w:val="20"/>
        </w:rPr>
        <w:t>=0.</w:t>
      </w:r>
      <w:r w:rsidRPr="00886250">
        <w:rPr>
          <w:sz w:val="20"/>
          <w:szCs w:val="20"/>
        </w:rPr>
        <w:t xml:space="preserve">002,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w:t>
      </w:r>
      <w:r w:rsidR="00394551" w:rsidRPr="00886250">
        <w:rPr>
          <w:rFonts w:eastAsiaTheme="minorEastAsia"/>
          <w:noProof/>
          <w:sz w:val="20"/>
          <w:szCs w:val="20"/>
        </w:rPr>
        <w:t xml:space="preserve">successful </w:t>
      </w:r>
      <w:r w:rsidRPr="00886250">
        <w:rPr>
          <w:rFonts w:eastAsiaTheme="minorEastAsia"/>
          <w:noProof/>
          <w:sz w:val="20"/>
          <w:szCs w:val="20"/>
        </w:rPr>
        <w:t xml:space="preserve">fixation of the dobule mutant as a function of the mutation rate increase </w:t>
      </w:r>
      <w:r w:rsidRPr="00886250">
        <w:rPr>
          <w:i/>
          <w:iCs/>
          <w:sz w:val="20"/>
          <w:szCs w:val="20"/>
        </w:rPr>
        <w:t>τ</w:t>
      </w:r>
      <w:r w:rsidRPr="00886250">
        <w:rPr>
          <w:sz w:val="20"/>
          <w:szCs w:val="20"/>
        </w:rPr>
        <w:t xml:space="preserve">. Solid lines are analytic approximations </w:t>
      </w:r>
      <w:r w:rsidR="00394551" w:rsidRPr="00886250">
        <w:rPr>
          <w:sz w:val="20"/>
          <w:szCs w:val="20"/>
        </w:rPr>
        <w:t>(neglecting</w:t>
      </w:r>
      <w:r w:rsidRPr="00886250">
        <w:rPr>
          <w:sz w:val="20"/>
          <w:szCs w:val="20"/>
        </w:rPr>
        <w:t xml:space="preserve"> adaptation from deleterious background</w:t>
      </w:r>
      <w:r w:rsidR="00886250">
        <w:rPr>
          <w:sz w:val="20"/>
          <w:szCs w:val="20"/>
        </w:rPr>
        <w:t xml:space="preserve"> – </w:t>
      </w:r>
      <w:r w:rsidR="00886250" w:rsidRPr="00886250">
        <w:rPr>
          <w:i/>
          <w:iCs/>
          <w:sz w:val="20"/>
          <w:szCs w:val="20"/>
        </w:rPr>
        <w:t>e</w:t>
      </w:r>
      <w:r w:rsidR="00886250" w:rsidRPr="00886250">
        <w:rPr>
          <w:i/>
          <w:iCs/>
          <w:sz w:val="20"/>
          <w:szCs w:val="20"/>
          <w:vertAlign w:val="superscript"/>
        </w:rPr>
        <w:t>-</w:t>
      </w:r>
      <w:proofErr w:type="spellStart"/>
      <w:r w:rsidR="00886250" w:rsidRPr="00886250">
        <w:rPr>
          <w:rFonts w:ascii="Times New Roman" w:hAnsi="Times New Roman" w:cs="Times New Roman"/>
          <w:i/>
          <w:iCs/>
          <w:sz w:val="20"/>
          <w:szCs w:val="20"/>
          <w:vertAlign w:val="superscript"/>
        </w:rPr>
        <w:t>τ</w:t>
      </w:r>
      <w:r w:rsidR="00886250" w:rsidRPr="00886250">
        <w:rPr>
          <w:i/>
          <w:iCs/>
          <w:sz w:val="20"/>
          <w:szCs w:val="20"/>
          <w:vertAlign w:val="superscript"/>
        </w:rPr>
        <w:t>U</w:t>
      </w:r>
      <w:proofErr w:type="spellEnd"/>
      <w:r w:rsidR="00886250">
        <w:rPr>
          <w:sz w:val="20"/>
          <w:szCs w:val="20"/>
        </w:rPr>
        <w:t>(1+</w:t>
      </w:r>
      <w:r w:rsidR="00886250" w:rsidRPr="00886250">
        <w:rPr>
          <w:i/>
          <w:iCs/>
          <w:sz w:val="20"/>
          <w:szCs w:val="20"/>
        </w:rPr>
        <w:t>sH</w:t>
      </w:r>
      <w:r w:rsidR="00886250">
        <w:rPr>
          <w:sz w:val="20"/>
          <w:szCs w:val="20"/>
        </w:rPr>
        <w:t>)</w:t>
      </w:r>
      <w:r w:rsidR="00394551" w:rsidRPr="00886250">
        <w:rPr>
          <w:sz w:val="20"/>
          <w:szCs w:val="20"/>
        </w:rPr>
        <w:t>)</w:t>
      </w:r>
      <w:r w:rsidRPr="00886250">
        <w:rPr>
          <w:sz w:val="20"/>
          <w:szCs w:val="20"/>
        </w:rPr>
        <w:t xml:space="preserve">; dotted lines with filled squares (SIM) and circles (CM) are the means of stochastic simulation results; dotted lines with triangles are predictions based on the genotype on which </w:t>
      </w:r>
      <w:r w:rsidRPr="00886250">
        <w:rPr>
          <w:i/>
          <w:iCs/>
          <w:sz w:val="20"/>
          <w:szCs w:val="20"/>
        </w:rPr>
        <w:t>AB</w:t>
      </w:r>
      <w:r w:rsidRPr="00886250">
        <w:rPr>
          <w:sz w:val="20"/>
          <w:szCs w:val="20"/>
        </w:rPr>
        <w:t xml:space="preserve"> appeared in the simulations, </w:t>
      </w:r>
      <w:r w:rsidR="00394551" w:rsidRPr="00886250">
        <w:rPr>
          <w:sz w:val="20"/>
          <w:szCs w:val="20"/>
        </w:rPr>
        <w:t xml:space="preserve">including MSB but </w:t>
      </w:r>
      <w:r w:rsidRPr="00886250">
        <w:rPr>
          <w:sz w:val="20"/>
          <w:szCs w:val="20"/>
        </w:rPr>
        <w:t>disregarding the effects of drift during the fixation process</w:t>
      </w:r>
      <w:r w:rsidR="00F912C7" w:rsidRPr="00886250">
        <w:rPr>
          <w:sz w:val="20"/>
          <w:szCs w:val="20"/>
        </w:rPr>
        <w:t xml:space="preserve"> – which </w:t>
      </w:r>
      <w:r w:rsidR="00394551" w:rsidRPr="00886250">
        <w:rPr>
          <w:sz w:val="20"/>
          <w:szCs w:val="20"/>
        </w:rPr>
        <w:t xml:space="preserve">only has </w:t>
      </w:r>
      <w:r w:rsidR="00F912C7" w:rsidRPr="00886250">
        <w:rPr>
          <w:sz w:val="20"/>
          <w:szCs w:val="20"/>
        </w:rPr>
        <w:t xml:space="preserve">a </w:t>
      </w:r>
      <w:r w:rsidR="00394551" w:rsidRPr="00886250">
        <w:rPr>
          <w:sz w:val="20"/>
          <w:szCs w:val="20"/>
        </w:rPr>
        <w:t xml:space="preserve">significant </w:t>
      </w:r>
      <w:r w:rsidR="00F912C7" w:rsidRPr="00886250">
        <w:rPr>
          <w:sz w:val="20"/>
          <w:szCs w:val="20"/>
        </w:rPr>
        <w:t xml:space="preserve">effect on CM due to higher mutation rates in the </w:t>
      </w:r>
      <w:r w:rsidR="00F912C7" w:rsidRPr="00886250">
        <w:rPr>
          <w:i/>
          <w:iCs/>
          <w:sz w:val="20"/>
          <w:szCs w:val="20"/>
        </w:rPr>
        <w:t>ab/0</w:t>
      </w:r>
      <w:r w:rsidR="00F912C7" w:rsidRPr="00886250">
        <w:rPr>
          <w:sz w:val="20"/>
          <w:szCs w:val="20"/>
        </w:rPr>
        <w:t xml:space="preserve"> genotype</w:t>
      </w:r>
      <w:r w:rsidRPr="00886250">
        <w:rPr>
          <w:sz w:val="20"/>
          <w:szCs w:val="20"/>
        </w:rPr>
        <w:t xml:space="preserve">. Error bars too small to </w:t>
      </w:r>
      <w:r w:rsidR="00F912C7" w:rsidRPr="00886250">
        <w:rPr>
          <w:sz w:val="20"/>
          <w:szCs w:val="20"/>
        </w:rPr>
        <w:t>see</w:t>
      </w:r>
      <w:r w:rsidRPr="00886250">
        <w:rPr>
          <w:sz w:val="20"/>
          <w:szCs w:val="20"/>
        </w:rPr>
        <w:t xml:space="preserve">. </w:t>
      </w:r>
      <w:r w:rsidR="004C72D0">
        <w:rPr>
          <w:sz w:val="20"/>
          <w:szCs w:val="20"/>
        </w:rPr>
        <w:t xml:space="preserve">Same </w:t>
      </w:r>
      <w:proofErr w:type="spellStart"/>
      <w:r w:rsidR="004C72D0">
        <w:rPr>
          <w:sz w:val="20"/>
          <w:szCs w:val="20"/>
        </w:rPr>
        <w:t>p</w:t>
      </w:r>
      <w:r w:rsidRPr="00886250">
        <w:rPr>
          <w:sz w:val="20"/>
          <w:szCs w:val="20"/>
        </w:rPr>
        <w:t>aramters</w:t>
      </w:r>
      <w:proofErr w:type="spellEnd"/>
      <w:r w:rsidRPr="00886250">
        <w:rPr>
          <w:sz w:val="20"/>
          <w:szCs w:val="20"/>
        </w:rPr>
        <w:t xml:space="preserve"> </w:t>
      </w:r>
      <w:bookmarkStart w:id="25" w:name="_GoBack"/>
      <w:bookmarkEnd w:id="25"/>
      <w:r w:rsidRPr="00886250">
        <w:rPr>
          <w:sz w:val="20"/>
          <w:szCs w:val="20"/>
        </w:rPr>
        <w:t>as in panel A.</w:t>
      </w:r>
      <w:r w:rsidR="00F912C7" w:rsidRPr="00886250">
        <w:rPr>
          <w:noProof/>
          <w:sz w:val="20"/>
          <w:szCs w:val="20"/>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86250">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8625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86250">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886250">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886250">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886250">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B2A" w:rsidRDefault="00C76B2A" w:rsidP="009A122D">
      <w:pPr>
        <w:spacing w:after="0" w:line="240" w:lineRule="auto"/>
      </w:pPr>
      <w:r>
        <w:separator/>
      </w:r>
    </w:p>
  </w:endnote>
  <w:endnote w:type="continuationSeparator" w:id="0">
    <w:p w:rsidR="00C76B2A" w:rsidRDefault="00C76B2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8B2C031-BF2A-4509-BA13-DF7148A90DAB}"/>
    <w:embedBold r:id="rId2" w:fontKey="{39D74038-D883-4BB2-A3E4-E3432BA6A791}"/>
    <w:embedItalic r:id="rId3" w:fontKey="{ABECCC6D-1834-4026-90B7-1C01C3546E40}"/>
    <w:embedBoldItalic r:id="rId4" w:fontKey="{EE3DACC8-CE35-4594-8EF9-8EC90246FF0A}"/>
  </w:font>
  <w:font w:name="Tahoma">
    <w:panose1 w:val="020B0604030504040204"/>
    <w:charset w:val="00"/>
    <w:family w:val="swiss"/>
    <w:pitch w:val="variable"/>
    <w:sig w:usb0="E1002EFF" w:usb1="C000605B" w:usb2="00000029" w:usb3="00000000" w:csb0="000101FF" w:csb1="00000000"/>
    <w:embedRegular r:id="rId5" w:fontKey="{D457AF96-6091-4593-96C6-D21B136EEB1A}"/>
  </w:font>
  <w:font w:name="cmr10">
    <w:charset w:val="00"/>
    <w:family w:val="swiss"/>
    <w:pitch w:val="variable"/>
    <w:sig w:usb0="00000003" w:usb1="00000000" w:usb2="00000000" w:usb3="00000000" w:csb0="00000001" w:csb1="00000000"/>
    <w:embedRegular r:id="rId6" w:fontKey="{62E19DCC-5CF1-4853-AB2E-311DF9932853}"/>
  </w:font>
  <w:font w:name="Cambria Math">
    <w:panose1 w:val="02040503050406030204"/>
    <w:charset w:val="00"/>
    <w:family w:val="roman"/>
    <w:pitch w:val="variable"/>
    <w:sig w:usb0="E00002FF" w:usb1="420024FF" w:usb2="00000000" w:usb3="00000000" w:csb0="0000019F" w:csb1="00000000"/>
    <w:embedItalic r:id="rId7" w:fontKey="{38588643-9655-444A-887F-CFF6C182C68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C03529" w:rsidRDefault="00C03529">
        <w:pPr>
          <w:pStyle w:val="Footer"/>
          <w:jc w:val="center"/>
        </w:pPr>
        <w:r>
          <w:fldChar w:fldCharType="begin"/>
        </w:r>
        <w:r>
          <w:instrText xml:space="preserve"> PAGE   \* MERGEFORMAT </w:instrText>
        </w:r>
        <w:r>
          <w:fldChar w:fldCharType="separate"/>
        </w:r>
        <w:r w:rsidR="004C72D0">
          <w:rPr>
            <w:noProof/>
          </w:rPr>
          <w:t>36</w:t>
        </w:r>
        <w:r>
          <w:rPr>
            <w:noProof/>
          </w:rPr>
          <w:fldChar w:fldCharType="end"/>
        </w:r>
      </w:p>
    </w:sdtContent>
  </w:sdt>
  <w:p w:rsidR="00C03529" w:rsidRDefault="00C035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B2A" w:rsidRDefault="00C76B2A" w:rsidP="009A122D">
      <w:pPr>
        <w:spacing w:after="0" w:line="240" w:lineRule="auto"/>
      </w:pPr>
      <w:r>
        <w:separator/>
      </w:r>
    </w:p>
  </w:footnote>
  <w:footnote w:type="continuationSeparator" w:id="0">
    <w:p w:rsidR="00C76B2A" w:rsidRDefault="00C76B2A"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529" w:rsidRDefault="00C03529"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2D0"/>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1957"/>
    <w:rsid w:val="00BF2DDC"/>
    <w:rsid w:val="00BF336A"/>
    <w:rsid w:val="00BF4446"/>
    <w:rsid w:val="00C00770"/>
    <w:rsid w:val="00C023C7"/>
    <w:rsid w:val="00C03529"/>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CF4F07"/>
    <w:rsid w:val="00D0129E"/>
    <w:rsid w:val="00D104F2"/>
    <w:rsid w:val="00D10D48"/>
    <w:rsid w:val="00D14529"/>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EF2BB-A686-4F88-8EE4-13873AB7A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37</Pages>
  <Words>46627</Words>
  <Characters>233135</Characters>
  <Application>Microsoft Office Word</Application>
  <DocSecurity>0</DocSecurity>
  <Lines>1942</Lines>
  <Paragraphs>558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279204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84</cp:revision>
  <dcterms:created xsi:type="dcterms:W3CDTF">2013-12-24T07:01:00Z</dcterms:created>
  <dcterms:modified xsi:type="dcterms:W3CDTF">2014-01-31T09:59:00Z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