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2630C5" w:rsidP="001033CA">
      <w:pPr>
        <w:pStyle w:val="Title"/>
        <w:ind w:firstLine="284"/>
        <w:jc w:val="center"/>
        <w:rPr>
          <w:sz w:val="48"/>
          <w:szCs w:val="40"/>
        </w:rPr>
      </w:pPr>
      <w:r w:rsidRPr="002630C5">
        <w:rPr>
          <w:sz w:val="48"/>
          <w:szCs w:val="40"/>
        </w:rPr>
        <w:t>Stress-induced mutagenesis,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5F1227">
        <w:rPr>
          <w:noProof/>
          <w:lang w:bidi="hi-IN"/>
        </w:rPr>
        <w:t>June 23,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625517" w:rsidP="00625517">
      <w:r>
        <w:t xml:space="preserve">Stress-induced mutagenesis (SIM), the phenomenon in which the mutation rate of stressed or maladapted individuals is increased, has been demonstrated in numerous species, both prokaryote and eukaryote </w:t>
      </w:r>
      <w:r>
        <w:fldChar w:fldCharType="begin" w:fldLock="1"/>
      </w:r>
      <w:r w:rsidR="00004B35">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Hastings, and Rosenberg 2007; Sharp and Agrawal 2012; MacLean, Torres-Barcel\u00f3, and Moxon 2013)" }, "properties" : { "noteIndex" : 0 }, "schema" : "https://github.com/citation-style-language/schema/raw/master/csl-citation.json" }</w:instrText>
      </w:r>
      <w:r>
        <w:fldChar w:fldCharType="separate"/>
      </w:r>
      <w:r w:rsidRPr="00625517">
        <w:rPr>
          <w:noProof/>
        </w:rPr>
        <w:t>(Galhardo, Hastings, and Rosenberg 2007; Sharp and Agrawal 2012; MacLean, Torres-Barceló, and Moxon 2013)</w:t>
      </w:r>
      <w:r>
        <w:fldChar w:fldCharType="end"/>
      </w:r>
      <w:r>
        <w:t xml:space="preserve">. More specifically, various stress responses have been shown to regulate increases in the mutation rate by shifting the cell to use error-prone DNA polymerases </w:t>
      </w:r>
      <w:r>
        <w:fldChar w:fldCharType="begin" w:fldLock="1"/>
      </w:r>
      <w:r w:rsidR="00004B35">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Fonville, and Rosenberg 2005)" }, "properties" : { "noteIndex" : 0 }, "schema" : "https://github.com/citation-style-language/schema/raw/master/csl-citation.json" }</w:instrText>
      </w:r>
      <w:r>
        <w:fldChar w:fldCharType="separate"/>
      </w:r>
      <w:r w:rsidRPr="00625517">
        <w:rPr>
          <w:noProof/>
        </w:rPr>
        <w:t>(Ponder, Fonville, and Rosenberg 2005)</w:t>
      </w:r>
      <w:r>
        <w:fldChar w:fldCharType="end"/>
      </w:r>
      <w:r>
        <w:t xml:space="preserve"> and by inhibiting the mismatch repair system </w:t>
      </w:r>
      <w:r>
        <w:fldChar w:fldCharType="begin" w:fldLock="1"/>
      </w:r>
      <w:r w:rsidR="00004B35">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625517" w:rsidRDefault="001307C7" w:rsidP="001307C7">
      <w:r>
        <w:t xml:space="preserve">There is both experimental, clinical and theoretical evidence that increased mutation rates have an effect on adaptation and that during adaptive evolution constitutive mutators - alleles that constitutively increase the mutation rate – can rise in frequency because of this effect </w:t>
      </w:r>
      <w:r>
        <w:fldChar w:fldCharType="begin" w:fldLock="1"/>
      </w:r>
      <w:r w:rsidR="00004B35">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these mutators suffer from the accumulation of deleterious mutations and are purged from the environment, leading to the idiom of "the rise and fall of the mutator allele" </w:t>
      </w:r>
      <w:r>
        <w:fldChar w:fldCharType="begin" w:fldLock="1"/>
      </w:r>
      <w:r w:rsidR="00004B35">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"mendeley" : { "previouslyFormattedCitation" : "(Taddei et al. 1997; Denamur and Matic 2006)" }, "properties" : { "noteIndex" : 0 }, "schema" : "https://github.com/citation-style-language/schema/raw/master/csl-citation.json" }</w:instrText>
      </w:r>
      <w:r>
        <w:fldChar w:fldCharType="separate"/>
      </w:r>
      <w:r w:rsidRPr="001307C7">
        <w:rPr>
          <w:noProof/>
        </w:rPr>
        <w:t>(Taddei et al. 1997; Denamur and Matic 2006)</w:t>
      </w:r>
      <w:r>
        <w:fldChar w:fldCharType="end"/>
      </w:r>
      <w:r>
        <w:t>. Therefore, it seems that the mutation rate must balance two traits – adaptability and adaptedness</w:t>
      </w:r>
      <w:r w:rsidR="00932C9B">
        <w:t>, was coined by Leigh</w:t>
      </w:r>
      <w:r>
        <w:t xml:space="preserve"> </w:t>
      </w:r>
      <w:r>
        <w:fldChar w:fldCharType="begin" w:fldLock="1"/>
      </w:r>
      <w:r w:rsidR="00004B35">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fldChar w:fldCharType="separate"/>
      </w:r>
      <w:r w:rsidR="00932C9B" w:rsidRPr="00932C9B">
        <w:rPr>
          <w:noProof/>
        </w:rPr>
        <w:t>(1970)</w:t>
      </w:r>
      <w:r>
        <w:fldChar w:fldCharType="end"/>
      </w:r>
      <w:r>
        <w:t>.</w:t>
      </w:r>
    </w:p>
    <w:p w:rsidR="001307C7" w:rsidRDefault="001307C7" w:rsidP="00932C9B">
      <w:r>
        <w:t xml:space="preserve">SIM is considered by many to have a meaningful impact on </w:t>
      </w:r>
      <w:r>
        <w:rPr>
          <w:i/>
          <w:iCs/>
        </w:rPr>
        <w:t xml:space="preserve">adaptability </w:t>
      </w:r>
      <w:r>
        <w:t xml:space="preserve">or </w:t>
      </w:r>
      <w:r>
        <w:rPr>
          <w:i/>
          <w:iCs/>
        </w:rPr>
        <w:t>evolvability</w:t>
      </w:r>
      <w:r>
        <w:t xml:space="preserve"> - the capacity of individuals and populations to evolve and adapt </w:t>
      </w:r>
      <w:r>
        <w:fldChar w:fldCharType="begin" w:fldLock="1"/>
      </w:r>
      <w:r w:rsidR="00004B35">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Denamur, and Matic 2004; Rosenberg et al. 2012)" }, "properties" : { "noteIndex" : 0 }, "schema" : "https://github.com/citation-style-language/schema/raw/master/csl-citation.json" }</w:instrText>
      </w:r>
      <w:r>
        <w:fldChar w:fldCharType="separate"/>
      </w:r>
      <w:r w:rsidRPr="00625517">
        <w:rPr>
          <w:noProof/>
        </w:rPr>
        <w:t>(Tenaillon, Denamur, and Matic 2004; Rosenberg et al. 2012)</w:t>
      </w:r>
      <w:r>
        <w:fldChar w:fldCharType="end"/>
      </w:r>
      <w:r>
        <w:t xml:space="preserve">, but there is currently no theoretical treatment of this effect. The effect of SIM on adaptedness – the capacity of populations to remain adapted to current environmental conditions – did receive theoretical treatment by </w:t>
      </w:r>
      <w:proofErr w:type="spellStart"/>
      <w:r>
        <w:t>Agrawal</w:t>
      </w:r>
      <w:proofErr w:type="spellEnd"/>
      <w:r>
        <w:t xml:space="preserve"> </w:t>
      </w:r>
      <w:r>
        <w:fldChar w:fldCharType="begin" w:fldLock="1"/>
      </w:r>
      <w:r w:rsidR="00004B35">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SIM doesn't affect the population mean fitness in constant environments. In a more recent work, we have showed that this if rare beneficial mutations can occur than SIM is slightly advantageous in a constant environment </w:t>
      </w:r>
      <w:r w:rsidR="00932C9B">
        <w:fldChar w:fldCharType="begin" w:fldLock="1"/>
      </w:r>
      <w:r w:rsidR="00004B35">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p>
    <w:p w:rsidR="00625517" w:rsidRDefault="00625517" w:rsidP="00932C9B">
      <w:pPr>
        <w:rPr>
          <w:lang w:bidi="hi-IN"/>
        </w:rPr>
      </w:pPr>
      <w:r>
        <w:t>Here, we analyze a population geneti</w:t>
      </w:r>
      <w:r w:rsidR="00932C9B">
        <w:t>c model of an asexual population</w:t>
      </w:r>
      <w:r>
        <w:t xml:space="preserve">. We derive analytical expressions that demonstrate that SIM increases </w:t>
      </w:r>
      <w:r w:rsidR="00932C9B">
        <w:t xml:space="preserve">both the mean fitness and the </w:t>
      </w:r>
      <w:r>
        <w:t xml:space="preserve">adaptation rate </w:t>
      </w:r>
      <w:r w:rsidR="00932C9B">
        <w:t>of asexual populations</w:t>
      </w:r>
      <w:r w:rsidR="00932C9B">
        <w:rPr>
          <w:lang w:bidi="hi-IN"/>
        </w:rPr>
        <w:t xml:space="preserve">. We compare SIM to CM and non-mutators (NM) to show that SIM is a more efficient mutational strategy, allowing individuals and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101FCD"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lastRenderedPageBreak/>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deleterious mutations is </w:t>
      </w:r>
      <w:r>
        <w:rPr>
          <w:i/>
          <w:iCs/>
          <w:lang w:bidi="hi-IN"/>
        </w:rPr>
        <w:t>(1-s</w:t>
      </w:r>
      <w:proofErr w:type="gramStart"/>
      <w:r>
        <w:rPr>
          <w:i/>
          <w:iCs/>
          <w:lang w:bidi="hi-IN"/>
        </w:rPr>
        <w:t>)</w:t>
      </w:r>
      <w:r w:rsidR="002B1207">
        <w:rPr>
          <w:i/>
          <w:iCs/>
          <w:vertAlign w:val="superscript"/>
          <w:lang w:bidi="hi-IN"/>
        </w:rPr>
        <w:t>x</w:t>
      </w:r>
      <w:proofErr w:type="gramEnd"/>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s&gt;U</w:t>
      </w:r>
      <w:r>
        <w:rPr>
          <w:lang w:bidi="hi-IN"/>
        </w:rPr>
        <w:t>.</w:t>
      </w:r>
      <w:r w:rsidR="002B1207">
        <w:rPr>
          <w:lang w:bidi="hi-IN"/>
        </w:rPr>
        <w:t xml:space="preserve"> </w:t>
      </w:r>
      <w:r w:rsidR="00401E4A">
        <w:rPr>
          <w:lang w:bidi="hi-IN"/>
        </w:rPr>
        <w:t xml:space="preserve">We consider three </w:t>
      </w:r>
      <w:r w:rsidR="00401E4A">
        <w:t>m</w:t>
      </w:r>
      <w:r w:rsidR="00101FCD">
        <w:t>utational strategies</w:t>
      </w:r>
      <w:r w:rsidR="00401E4A">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rsidR="00401E4A">
        <w:t>, the mutation rate fold increase</w:t>
      </w:r>
      <w:r w:rsidR="00101FCD">
        <w:t xml:space="preserve">; and stress-induced mutagenesis (SIM) where only </w:t>
      </w:r>
      <w:r w:rsidR="00401E4A">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401E4A" w:rsidP="00401E4A">
      <w:pPr>
        <w:rPr>
          <w:lang w:bidi="hi-IN"/>
        </w:rPr>
      </w:pPr>
      <w:r>
        <w:rPr>
          <w:lang w:bidi="hi-IN"/>
        </w:rPr>
        <w:t xml:space="preserve">We analyzed two models, one of evolution toward a </w:t>
      </w:r>
      <w:r w:rsidR="001033CA">
        <w:rPr>
          <w:lang w:bidi="hi-IN"/>
        </w:rPr>
        <w:t xml:space="preserve">mutation-selection balance </w:t>
      </w:r>
      <w:r>
        <w:rPr>
          <w:lang w:bidi="hi-IN"/>
        </w:rPr>
        <w:t xml:space="preserve">(MSB) </w:t>
      </w:r>
      <w:r w:rsidR="001033CA">
        <w:rPr>
          <w:lang w:bidi="hi-IN"/>
        </w:rPr>
        <w:t xml:space="preserve">in a constant environment, </w:t>
      </w:r>
      <w:r>
        <w:rPr>
          <w:lang w:bidi="hi-IN"/>
        </w:rPr>
        <w:t xml:space="preserve">the other of </w:t>
      </w:r>
      <w:r w:rsidR="001033CA">
        <w:rPr>
          <w:lang w:bidi="hi-IN"/>
        </w:rPr>
        <w:t xml:space="preserve">adaptive evolution </w:t>
      </w:r>
      <w:r>
        <w:rPr>
          <w:lang w:bidi="hi-IN"/>
        </w:rPr>
        <w:t xml:space="preserve">of a complex trait </w:t>
      </w:r>
      <w:r w:rsidR="001033CA">
        <w:rPr>
          <w:lang w:bidi="hi-IN"/>
        </w:rPr>
        <w:t xml:space="preserve">in a rugged fitness landscape. We </w:t>
      </w:r>
      <w:r>
        <w:rPr>
          <w:lang w:bidi="hi-IN"/>
        </w:rPr>
        <w:t xml:space="preserve">developed </w:t>
      </w:r>
      <w:r w:rsidR="001033CA">
        <w:rPr>
          <w:lang w:bidi="hi-IN"/>
        </w:rPr>
        <w:t xml:space="preserve">analytic approximations </w:t>
      </w:r>
      <w:r>
        <w:rPr>
          <w:lang w:bidi="hi-IN"/>
        </w:rPr>
        <w:t xml:space="preserve">for the adaptation rate and mean fitness of populations and used </w:t>
      </w:r>
      <w:r w:rsidR="001033CA">
        <w:rPr>
          <w:lang w:bidi="hi-IN"/>
        </w:rPr>
        <w:t>stochastic simulation</w:t>
      </w:r>
      <w:r>
        <w:rPr>
          <w:lang w:bidi="hi-IN"/>
        </w:rPr>
        <w:t>s</w:t>
      </w:r>
      <w:r w:rsidR="001033CA">
        <w:rPr>
          <w:lang w:bidi="hi-IN"/>
        </w:rPr>
        <w:t xml:space="preserve"> to </w:t>
      </w:r>
      <w:r>
        <w:rPr>
          <w:lang w:bidi="hi-IN"/>
        </w:rPr>
        <w:t>verify our approximations</w:t>
      </w:r>
      <w:r w:rsidR="001033CA">
        <w:rPr>
          <w:lang w:bidi="hi-IN"/>
        </w:rPr>
        <w:t>.</w:t>
      </w:r>
    </w:p>
    <w:p w:rsidR="001033CA" w:rsidRDefault="001033CA" w:rsidP="001033CA">
      <w:pPr>
        <w:pStyle w:val="Heading2"/>
      </w:pPr>
      <w:r>
        <w:t>Mutation-selection balance</w:t>
      </w:r>
    </w:p>
    <w:p w:rsidR="001033CA" w:rsidRDefault="002B1207" w:rsidP="00564668">
      <w:pPr>
        <w:rPr>
          <w:rFonts w:eastAsiaTheme="minorEastAsia"/>
          <w:lang w:bidi="hi-IN"/>
        </w:rPr>
      </w:pPr>
      <w:r>
        <w:rPr>
          <w:lang w:bidi="hi-IN"/>
        </w:rPr>
        <w:t xml:space="preserve">Denote the frequency, fitness and </w:t>
      </w:r>
      <w:r w:rsidR="00D82F82">
        <w:rPr>
          <w:lang w:bidi="hi-IN"/>
        </w:rPr>
        <w:t xml:space="preserve">deleterious </w:t>
      </w:r>
      <w:r>
        <w:rPr>
          <w:lang w:bidi="hi-IN"/>
        </w:rPr>
        <w:t xml:space="preserve">mutation rate of individuals with </w:t>
      </w:r>
      <w:r>
        <w:rPr>
          <w:i/>
          <w:iCs/>
          <w:lang w:bidi="hi-IN"/>
        </w:rPr>
        <w:t>x</w:t>
      </w:r>
      <w:r>
        <w:rPr>
          <w:lang w:bidi="hi-IN"/>
        </w:rPr>
        <w:t xml:space="preserve"> deleterious mutations </w:t>
      </w:r>
      <w:proofErr w:type="gramStart"/>
      <w:r>
        <w:rPr>
          <w:lang w:bidi="hi-IN"/>
        </w:rPr>
        <w:t xml:space="preserve">by </w:t>
      </w:r>
      <w:proofErr w:type="gramEnd"/>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sidR="00564668">
        <w:rPr>
          <w:lang w:bidi="hi-IN"/>
        </w:rPr>
        <w:t xml:space="preserve">Let us assume that a small fraction </w:t>
      </w:r>
      <m:oMath>
        <m:r>
          <w:rPr>
            <w:rFonts w:ascii="Cambria Math" w:hAnsi="Cambria Math"/>
            <w:lang w:bidi="hi-IN"/>
          </w:rPr>
          <m:t>β≪1</m:t>
        </m:r>
      </m:oMath>
      <w:r w:rsidR="00564668">
        <w:rPr>
          <w:rFonts w:eastAsiaTheme="minorEastAsia"/>
          <w:lang w:bidi="hi-IN"/>
        </w:rPr>
        <w:t xml:space="preserve"> of the mutations are back-mutations or beneficial mutations which reduce the number of deleterious mutations carried by an individual.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therefore be described by</w:t>
      </w:r>
      <w:r w:rsidR="00564668">
        <w:rPr>
          <w:rFonts w:eastAsiaTheme="minorEastAsia"/>
          <w:lang w:bidi="hi-IN"/>
        </w:rPr>
        <w:t xml:space="preserve"> (</w:t>
      </w:r>
      <w:proofErr w:type="gramStart"/>
      <w:r w:rsidR="00564668">
        <w:rPr>
          <w:rFonts w:eastAsiaTheme="minorEastAsia"/>
          <w:lang w:bidi="hi-IN"/>
        </w:rPr>
        <w:t xml:space="preserve">denoting </w:t>
      </w:r>
      <w:proofErr w:type="gramEnd"/>
      <m:oMath>
        <m:r>
          <w:rPr>
            <w:rFonts w:ascii="Cambria Math" w:eastAsiaTheme="minorEastAsia" w:hAnsi="Cambria Math"/>
            <w:lang w:bidi="hi-IN"/>
          </w:rPr>
          <m:t>δ=1-β</m:t>
        </m:r>
      </m:oMath>
      <w:r w:rsidR="00564668">
        <w:rPr>
          <w:rFonts w:eastAsiaTheme="minorEastAsia"/>
          <w:lang w:bidi="hi-IN"/>
        </w:rPr>
        <w:t>)</w:t>
      </w:r>
      <w:r>
        <w:rPr>
          <w:rFonts w:eastAsiaTheme="minorEastAsia"/>
          <w:lang w:bidi="hi-IN"/>
        </w:rPr>
        <w:t xml:space="preserve">: </w:t>
      </w:r>
    </w:p>
    <w:p w:rsidR="002B1207" w:rsidRDefault="005F1227"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564668">
      <w:pPr>
        <w:rPr>
          <w:rFonts w:eastAsiaTheme="minorEastAsia"/>
          <w:lang w:bidi="hi-IN"/>
        </w:rPr>
      </w:pPr>
      <w:r>
        <w:rPr>
          <w:rFonts w:eastAsiaTheme="minorEastAsia"/>
          <w:lang w:bidi="hi-IN"/>
        </w:rPr>
        <w:t>This can be written as a matrix equation by</w:t>
      </w:r>
      <w:r w:rsidR="00125157">
        <w:rPr>
          <w:rFonts w:eastAsiaTheme="minorEastAsia"/>
          <w:lang w:bidi="hi-IN"/>
        </w:rPr>
        <w:t xml:space="preserve"> multiplying the frequencies vector </w:t>
      </w:r>
      <w:r w:rsidR="00125157" w:rsidRPr="00125157">
        <w:rPr>
          <w:rFonts w:eastAsiaTheme="minorEastAsia"/>
          <w:lang w:bidi="hi-IN"/>
        </w:rPr>
        <w:t>f</w:t>
      </w:r>
      <w:r w:rsidR="00125157">
        <w:rPr>
          <w:rFonts w:eastAsiaTheme="minorEastAsia"/>
          <w:lang w:bidi="hi-IN"/>
        </w:rPr>
        <w:t xml:space="preserve"> by </w:t>
      </w:r>
      <w:r w:rsidR="00125157" w:rsidRPr="00125157">
        <w:rPr>
          <w:rFonts w:eastAsiaTheme="minorEastAsia"/>
          <w:lang w:bidi="hi-IN"/>
        </w:rPr>
        <w:t>the</w:t>
      </w:r>
      <w:r w:rsidR="00125157">
        <w:rPr>
          <w:rFonts w:eastAsiaTheme="minorEastAsia"/>
          <w:lang w:bidi="hi-IN"/>
        </w:rPr>
        <w:t xml:space="preserve"> mutation-selection matrix </w:t>
      </w:r>
      <w:r w:rsidR="00125157">
        <w:rPr>
          <w:rFonts w:eastAsiaTheme="minorEastAsia"/>
          <w:i/>
          <w:iCs/>
          <w:lang w:bidi="hi-IN"/>
        </w:rPr>
        <w:t>M</w:t>
      </w:r>
      <w:r>
        <w:rPr>
          <w:rFonts w:eastAsiaTheme="minorEastAsia"/>
          <w:lang w:bidi="hi-IN"/>
        </w:rPr>
        <w:t>:</w:t>
      </w:r>
    </w:p>
    <w:p w:rsidR="004A2989" w:rsidRPr="004A2989" w:rsidRDefault="005F1227"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4A2989" w:rsidP="005F1227">
      <w:pPr>
        <w:rPr>
          <w:rFonts w:eastAsiaTheme="minorEastAsia"/>
          <w:lang w:bidi="hi-IN"/>
        </w:rPr>
      </w:pPr>
      <w:r>
        <w:rPr>
          <w:rFonts w:eastAsiaTheme="minorEastAsia"/>
          <w:lang w:bidi="hi-IN"/>
        </w:rPr>
        <w:t xml:space="preserve">The MSB distribution of </w:t>
      </w:r>
      <w:r w:rsidRPr="004A2989">
        <w:rPr>
          <w:rFonts w:eastAsiaTheme="minorEastAsia"/>
          <w:i/>
          <w:iCs/>
          <w:lang w:bidi="hi-IN"/>
        </w:rPr>
        <w:t>x</w:t>
      </w:r>
      <w:r>
        <w:rPr>
          <w:rFonts w:eastAsiaTheme="minorEastAsia"/>
          <w:lang w:bidi="hi-IN"/>
        </w:rPr>
        <w:t xml:space="preserve"> </w:t>
      </w:r>
      <w:r>
        <w:rPr>
          <w:rFonts w:eastAsiaTheme="minorEastAsia"/>
          <w:i/>
          <w:iCs/>
          <w:lang w:bidi="hi-IN"/>
        </w:rPr>
        <w:t>f*</w:t>
      </w:r>
      <w:r w:rsidR="005F1227">
        <w:rPr>
          <w:rStyle w:val="FootnoteReference"/>
          <w:rFonts w:eastAsiaTheme="minorEastAsia"/>
          <w:lang w:bidi="hi-IN"/>
        </w:rPr>
        <w:footnoteReference w:id="1"/>
      </w:r>
      <w:r>
        <w:rPr>
          <w:rFonts w:eastAsiaTheme="minorEastAsia"/>
          <w:lang w:bidi="hi-IN"/>
        </w:rPr>
        <w:t xml:space="preserve"> fulfills</w:t>
      </w:r>
      <w:r w:rsidR="005F1227">
        <w:rPr>
          <w:rFonts w:eastAsiaTheme="minorEastAsia"/>
          <w:lang w:bidi="hi-IN"/>
        </w:rPr>
        <w:t xml:space="preserve"> ()</w:t>
      </w:r>
      <w:r>
        <w:rPr>
          <w:rFonts w:eastAsiaTheme="minorEastAsia"/>
          <w:lang w:bidi="hi-IN"/>
        </w:rPr>
        <w:t>:</w:t>
      </w:r>
    </w:p>
    <w:p w:rsidR="004A2989" w:rsidRPr="004A2989" w:rsidRDefault="005F1227"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Default="004A2989" w:rsidP="005F1227">
      <w:pPr>
        <w:rPr>
          <w:rFonts w:eastAsiaTheme="minorEastAsia"/>
          <w:lang w:bidi="hi-IN"/>
        </w:rPr>
      </w:pPr>
      <w:r>
        <w:rPr>
          <w:rFonts w:eastAsiaTheme="minorEastAsia"/>
          <w:i/>
          <w:iCs/>
          <w:lang w:bidi="hi-IN"/>
        </w:rPr>
        <w:t>M</w:t>
      </w:r>
      <w:r>
        <w:rPr>
          <w:rFonts w:eastAsiaTheme="minorEastAsia"/>
          <w:lang w:bidi="hi-IN"/>
        </w:rPr>
        <w:t xml:space="preserve"> is a positive matrix, and therefore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004B35">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w:t>
      </w:r>
      <w:r w:rsidR="005F1227">
        <w:rPr>
          <w:rFonts w:eastAsiaTheme="minorEastAsia"/>
          <w:lang w:bidi="hi-IN"/>
        </w:rPr>
        <w:t xml:space="preserve"> no</w:t>
      </w:r>
      <w:r>
        <w:rPr>
          <w:rFonts w:eastAsiaTheme="minorEastAsia"/>
          <w:lang w:bidi="hi-IN"/>
        </w:rPr>
        <w:t xml:space="preserve">n-negative eigenvector with </w:t>
      </w:r>
      <m:oMath>
        <m:r>
          <w:rPr>
            <w:rFonts w:ascii="Cambria Math" w:eastAsiaTheme="minorEastAsia" w:hAnsi="Cambria Math"/>
            <w:lang w:bidi="hi-IN"/>
          </w:rPr>
          <m:t>∑f=1</m:t>
        </m:r>
      </m:oMath>
      <w:r>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t xml:space="preserve">Without beneficial mutations, </w:t>
      </w:r>
      <w:r w:rsidR="004A2989" w:rsidRPr="005F1227">
        <w:rPr>
          <w:rFonts w:cs="Times New Roman"/>
          <w:i/>
          <w:iCs/>
          <w:lang w:bidi="hi-IN"/>
        </w:rPr>
        <w:t>δ=1</w:t>
      </w:r>
      <w:r w:rsidR="004A2989" w:rsidRPr="004A2989">
        <w:rPr>
          <w:rFonts w:cs="Times New Roman"/>
          <w:lang w:bidi="hi-IN"/>
        </w:rPr>
        <w:t xml:space="preserve"> </w:t>
      </w:r>
      <w:r w:rsidR="004A2989" w:rsidRPr="002B1207">
        <w:rPr>
          <w:lang w:bidi="hi-IN"/>
        </w:rPr>
        <w:t>and</w:t>
      </w:r>
      <w:r w:rsidR="004A2989" w:rsidRPr="002B1207">
        <w:rPr>
          <w:rFonts w:cs="Times New Roman"/>
          <w:lang w:bidi="hi-IN"/>
        </w:rPr>
        <w:t xml:space="preserve"> </w:t>
      </w:r>
      <w:r w:rsidR="004A2989" w:rsidRPr="005F1227">
        <w:rPr>
          <w:rFonts w:cs="Times New Roman"/>
          <w:i/>
          <w:iCs/>
          <w:lang w:bidi="hi-IN"/>
        </w:rPr>
        <w:t>β</w:t>
      </w:r>
      <w:r w:rsidR="004A2989" w:rsidRPr="005F1227">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5F1227"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1033CA" w:rsidRPr="00FC3218" w:rsidRDefault="00A03104" w:rsidP="00FC3218">
      <w:pPr>
        <w:rPr>
          <w:rFonts w:eastAsiaTheme="minorEastAsia"/>
          <w:lang w:bidi="hi-IN"/>
        </w:rPr>
      </w:pPr>
      <w:r>
        <w:rPr>
          <w:rFonts w:eastAsiaTheme="minorEastAsia"/>
          <w:lang w:bidi="hi-IN"/>
        </w:rPr>
        <w:lastRenderedPageBreak/>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limLow>
              <m:limLowPr>
                <m:ctrlPr>
                  <w:rPr>
                    <w:rFonts w:ascii="Cambria Math" w:hAnsi="Cambria Math"/>
                    <w:i/>
                    <w:lang w:bidi="hi-IN"/>
                  </w:rPr>
                </m:ctrlPr>
              </m:limLowPr>
              <m:e>
                <m:r>
                  <m:rPr>
                    <m:sty m:val="p"/>
                  </m:rPr>
                  <w:rPr>
                    <w:rFonts w:ascii="Cambria Math" w:hAnsi="Cambria Math"/>
                    <w:lang w:bidi="hi-IN"/>
                  </w:rPr>
                  <m:t>max</m:t>
                </m:r>
                <m:ctrlPr>
                  <w:rPr>
                    <w:rFonts w:ascii="Cambria Math" w:hAnsi="Cambria Math"/>
                    <w:lang w:bidi="hi-IN"/>
                  </w:rPr>
                </m:ctrlPr>
              </m:e>
              <m:lim>
                <m:r>
                  <w:rPr>
                    <w:rFonts w:ascii="Cambria Math" w:hAnsi="Cambria Math"/>
                    <w:lang w:bidi="hi-IN"/>
                  </w:rPr>
                  <m:t>z≥0</m:t>
                </m:r>
              </m:lim>
            </m:limLow>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r w:rsidR="00FC3218">
        <w:rPr>
          <w:rFonts w:eastAsiaTheme="minorEastAsia"/>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00FC3218">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sidR="00FC3218">
        <w:rPr>
          <w:rFonts w:eastAsiaTheme="minorEastAsia"/>
          <w:lang w:bidi="hi-IN"/>
        </w:rPr>
        <w:t xml:space="preserve"> then the frequencies vector has been shown to be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sidR="00FC3218">
        <w:rPr>
          <w:rFonts w:eastAsiaTheme="minorEastAsia"/>
          <w:lang w:bidi="hi-IN"/>
        </w:rPr>
        <w:t xml:space="preserve">, that is, the number of deleterious mutations per individual is Poisson distributed with an average </w:t>
      </w:r>
      <w:r w:rsidR="00FC3218">
        <w:rPr>
          <w:rFonts w:eastAsiaTheme="minorEastAsia"/>
          <w:i/>
          <w:iCs/>
          <w:lang w:bidi="hi-IN"/>
        </w:rPr>
        <w:t>U/s</w:t>
      </w:r>
      <w:r w:rsidR="00FC3218">
        <w:rPr>
          <w:rFonts w:eastAsiaTheme="minorEastAsia"/>
          <w:lang w:bidi="hi-IN"/>
        </w:rPr>
        <w:t xml:space="preserve"> </w:t>
      </w:r>
      <w:r w:rsidR="00FC3218">
        <w:rPr>
          <w:rFonts w:eastAsiaTheme="minorEastAsia"/>
          <w:lang w:bidi="hi-IN"/>
        </w:rPr>
        <w:fldChar w:fldCharType="begin" w:fldLock="1"/>
      </w:r>
      <w:r w:rsidR="00004B35">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00FC3218">
        <w:rPr>
          <w:rFonts w:eastAsiaTheme="minorEastAsia"/>
          <w:lang w:bidi="hi-IN"/>
        </w:rPr>
        <w:fldChar w:fldCharType="separate"/>
      </w:r>
      <w:r w:rsidR="00FC3218" w:rsidRPr="00FC3218">
        <w:rPr>
          <w:rFonts w:eastAsiaTheme="minorEastAsia"/>
          <w:noProof/>
          <w:lang w:bidi="hi-IN"/>
        </w:rPr>
        <w:t>(Haigh 1978)</w:t>
      </w:r>
      <w:r w:rsidR="00FC3218">
        <w:rPr>
          <w:rFonts w:eastAsiaTheme="minorEastAsia"/>
          <w:lang w:bidi="hi-IN"/>
        </w:rPr>
        <w:fldChar w:fldCharType="end"/>
      </w:r>
      <w:r w:rsidR="00FC3218">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With beneficial mutations this eigenvalue problem is harder to solve analytically. By neglecting elements outside the main three diagonals we have shown before </w:t>
      </w:r>
      <w:r>
        <w:rPr>
          <w:rFonts w:eastAsiaTheme="minorEastAsia"/>
          <w:lang w:bidi="hi-IN"/>
        </w:rPr>
        <w:fldChar w:fldCharType="begin" w:fldLock="1"/>
      </w:r>
      <w:r w:rsidR="00004B35">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calculate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sidR="0046652F">
        <w:rPr>
          <w:rFonts w:eastAsiaTheme="minorEastAsia"/>
          <w:lang w:bidi="hi-IN"/>
        </w:rPr>
        <w:t xml:space="preserve">matrices </w:t>
      </w:r>
      <w:r>
        <w:rPr>
          <w:rFonts w:eastAsiaTheme="minorEastAsia"/>
          <w:lang w:bidi="hi-IN"/>
        </w:rPr>
        <w:t xml:space="preserve">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46652F">
        <w:rPr>
          <w:rFonts w:eastAsiaTheme="minorEastAsia"/>
          <w:lang w:bidi="hi-IN"/>
        </w:rPr>
        <w:t xml:space="preserve"> – see Python code in Supplementary File X.</w:t>
      </w:r>
    </w:p>
    <w:p w:rsidR="000D56CE" w:rsidRDefault="001F5496" w:rsidP="000D56CE">
      <w:pPr>
        <w:pStyle w:val="Heading2"/>
        <w:rPr>
          <w:rFonts w:eastAsiaTheme="minorEastAsia"/>
        </w:rPr>
      </w:pPr>
      <w:r>
        <w:rPr>
          <w:rFonts w:eastAsiaTheme="minorEastAsia"/>
        </w:rPr>
        <w:t>Adaptation o</w:t>
      </w:r>
      <w:r w:rsidR="000D56CE">
        <w:rPr>
          <w:rFonts w:eastAsiaTheme="minorEastAsia"/>
        </w:rPr>
        <w:t>n a rugged fitness landscape</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Pr="00607B56" w:rsidRDefault="005F1227" w:rsidP="005F1227">
      <w:r>
        <w:t xml:space="preserve">After the population has reached a MSB it undergoes adaptive evolution to an environmental change which altered that fitness of the </w:t>
      </w:r>
      <w:r w:rsidR="00607B56">
        <w:rPr>
          <w:i/>
          <w:iCs/>
        </w:rPr>
        <w:t>AB</w:t>
      </w:r>
      <w:r w:rsidR="00607B56">
        <w:t xml:space="preserve"> genotype </w:t>
      </w:r>
      <w:r>
        <w:t xml:space="preserve">from </w:t>
      </w:r>
      <w:r>
        <w:rPr>
          <w:i/>
          <w:iCs/>
        </w:rPr>
        <w:t>(1-s</w:t>
      </w:r>
      <w:proofErr w:type="gramStart"/>
      <w:r>
        <w:rPr>
          <w:i/>
          <w:iCs/>
        </w:rPr>
        <w:t>)</w:t>
      </w:r>
      <w:r w:rsidRPr="005F1227">
        <w:rPr>
          <w:i/>
          <w:iCs/>
          <w:vertAlign w:val="superscript"/>
        </w:rPr>
        <w:t>2</w:t>
      </w:r>
      <w:proofErr w:type="gramEnd"/>
      <w:r>
        <w:rPr>
          <w:i/>
          <w:iCs/>
        </w:rPr>
        <w:t xml:space="preserve"> </w:t>
      </w:r>
      <w:r>
        <w:t xml:space="preserve"> </w:t>
      </w:r>
      <w:r w:rsidR="00607B56" w:rsidRPr="005F1227">
        <w:rPr>
          <w:i/>
          <w:iCs/>
        </w:rPr>
        <w:t>1</w:t>
      </w:r>
      <w:r w:rsidR="00607B56">
        <w:rPr>
          <w:i/>
          <w:iCs/>
        </w:rPr>
        <w:t>+sH</w:t>
      </w:r>
      <w:r w:rsidR="00607B56">
        <w:t xml:space="preserve"> (</w:t>
      </w:r>
      <w:r w:rsidR="00607B56">
        <w:rPr>
          <w:i/>
          <w:iCs/>
        </w:rPr>
        <w:t>H</w:t>
      </w:r>
      <w:r w:rsidR="00607B56">
        <w:t xml:space="preserve"> is the double mutant relative advantage)</w:t>
      </w:r>
      <w:r>
        <w:t>, making it the optimal genotype (</w:t>
      </w:r>
      <w:r w:rsidRPr="005F1227">
        <w:fldChar w:fldCharType="begin"/>
      </w:r>
      <w:r w:rsidRPr="005F1227">
        <w:instrText xml:space="preserve"> REF _Ref354316371 \h </w:instrText>
      </w:r>
      <w:r w:rsidRPr="005F1227">
        <w:instrText xml:space="preserve"> \* MERGEFORMAT </w:instrText>
      </w:r>
      <w:r w:rsidRPr="005F1227">
        <w:fldChar w:fldCharType="separate"/>
      </w:r>
      <w:r w:rsidRPr="005F1227">
        <w:t>Figure 1</w:t>
      </w:r>
      <w:r w:rsidRPr="005F1227">
        <w:fldChar w:fldCharType="end"/>
      </w:r>
      <w:r>
        <w:t>)</w:t>
      </w:r>
      <w:r w:rsidR="00607B56">
        <w:t xml:space="preserve">. </w:t>
      </w:r>
      <w:r>
        <w:t xml:space="preserve">We study four different mutational strategies: NM, CM, </w:t>
      </w:r>
      <w:proofErr w:type="gramStart"/>
      <w:r>
        <w:t>SIM</w:t>
      </w:r>
      <w:proofErr w:type="gramEnd"/>
      <w:r>
        <w:t xml:space="preserve">-I with which </w:t>
      </w:r>
      <w:r w:rsidR="00607B56">
        <w:t xml:space="preserve">all genotypes except </w:t>
      </w:r>
      <w:proofErr w:type="spellStart"/>
      <w:r w:rsidR="00607B56">
        <w:rPr>
          <w:i/>
          <w:iCs/>
        </w:rPr>
        <w:t>ab</w:t>
      </w:r>
      <w:proofErr w:type="spellEnd"/>
      <w:r w:rsidR="00607B56">
        <w:t xml:space="preserve"> and </w:t>
      </w:r>
      <w:r w:rsidR="00607B56">
        <w:rPr>
          <w:i/>
          <w:iCs/>
        </w:rPr>
        <w:t>AB</w:t>
      </w:r>
      <w:r w:rsidR="00607B56">
        <w:t xml:space="preserve"> hypermutate</w:t>
      </w:r>
      <w:r>
        <w:t xml:space="preserve">, and SIM-II with which </w:t>
      </w:r>
      <w:r w:rsidR="00607B56">
        <w:t xml:space="preserve">all genotypes except </w:t>
      </w:r>
      <w:r w:rsidR="00607B56">
        <w:rPr>
          <w:i/>
          <w:iCs/>
        </w:rPr>
        <w:t>AB</w:t>
      </w:r>
      <w:r w:rsidR="00607B56">
        <w:t xml:space="preserve"> hypermutate.</w:t>
      </w:r>
    </w:p>
    <w:p w:rsidR="000D56CE" w:rsidRDefault="000D56CE" w:rsidP="00607B56">
      <w:r>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 and (ii) that the number of deleterious mutations per individual at the MSB is Poisson distributed. 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w:t>
      </w:r>
      <w:proofErr w:type="spellStart"/>
      <w:r>
        <w:t>i</w:t>
      </w:r>
      <w:proofErr w:type="spellEnd"/>
      <w:r>
        <w:t>) let individuals with accumulated deleterious mutations contribute to adaptation, and (ii) let the MSB evolve from a mutation-free population.</w:t>
      </w:r>
    </w:p>
    <w:p w:rsidR="000D56CE" w:rsidRDefault="000D56CE" w:rsidP="000D56CE">
      <w:pPr>
        <w:keepNext/>
        <w:jc w:val="center"/>
      </w:pPr>
      <w:r>
        <w:rPr>
          <w:noProof/>
        </w:rPr>
        <w:lastRenderedPageBreak/>
        <w:drawing>
          <wp:inline distT="0" distB="0" distL="0" distR="0" wp14:anchorId="5D1EF374" wp14:editId="076EA2AE">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D56CE" w:rsidRPr="000D56CE" w:rsidRDefault="000D56CE" w:rsidP="00607B56">
      <w:pPr>
        <w:pStyle w:val="FigureLegend"/>
        <w:rPr>
          <w:lang w:bidi="hi-IN"/>
        </w:rPr>
      </w:pPr>
      <w:bookmarkStart w:id="0" w:name="_Ref354316371"/>
      <w:r w:rsidRPr="000D56CE">
        <w:rPr>
          <w:b/>
          <w:bCs/>
        </w:rPr>
        <w:t xml:space="preserve">Figure </w:t>
      </w:r>
      <w:r w:rsidRPr="000D56CE">
        <w:rPr>
          <w:b/>
          <w:bCs/>
        </w:rPr>
        <w:fldChar w:fldCharType="begin"/>
      </w:r>
      <w:r w:rsidRPr="000D56CE">
        <w:rPr>
          <w:b/>
          <w:bCs/>
        </w:rPr>
        <w:instrText xml:space="preserve"> SEQ Figure \* ARABIC </w:instrText>
      </w:r>
      <w:r w:rsidRPr="000D56CE">
        <w:rPr>
          <w:b/>
          <w:bCs/>
        </w:rPr>
        <w:fldChar w:fldCharType="separate"/>
      </w:r>
      <w:r w:rsidR="009040D1">
        <w:rPr>
          <w:b/>
          <w:bCs/>
          <w:noProof/>
        </w:rPr>
        <w:t>1</w:t>
      </w:r>
      <w:r w:rsidRPr="000D56CE">
        <w:rPr>
          <w:b/>
          <w:bCs/>
        </w:rPr>
        <w:fldChar w:fldCharType="end"/>
      </w:r>
      <w:bookmarkEnd w:id="0"/>
      <w:r w:rsidRPr="000D56CE">
        <w:rPr>
          <w:b/>
          <w:bCs/>
        </w:rPr>
        <w:t xml:space="preserve"> – Adaptive landscape illustration.</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xml:space="preserve">, and in panel b also the number of deleterious alleles across the genome. Mutagenesis is induced in stressed genotypes (fitness </w:t>
      </w:r>
      <w:r w:rsidRPr="00607B56">
        <w:rPr>
          <w:i/>
          <w:iCs/>
        </w:rPr>
        <w:t>&lt;1</w:t>
      </w:r>
      <w:r w:rsidR="00607B56">
        <w:t xml:space="preserve"> or </w:t>
      </w:r>
      <w:r w:rsidR="00607B56" w:rsidRPr="00607B56">
        <w:rPr>
          <w:i/>
          <w:iCs/>
        </w:rPr>
        <w:t>&lt;1+sH</w:t>
      </w:r>
      <w:r w:rsidR="00607B56">
        <w:t>, depending on the scenario</w:t>
      </w:r>
      <w:r w:rsidRPr="000D56CE">
        <w:t xml:space="preserve">), indicated by ellipses, while adapted genotypes (fitness </w:t>
      </w:r>
      <w:r w:rsidR="00607B56">
        <w:rPr>
          <w:i/>
          <w:iCs/>
        </w:rPr>
        <w:t>&gt;</w:t>
      </w:r>
      <w:r w:rsidRPr="00607B56">
        <w:rPr>
          <w:i/>
          <w:iCs/>
        </w:rPr>
        <w:t>1</w:t>
      </w:r>
      <w:r w:rsidR="00607B56">
        <w:t xml:space="preserve"> or </w:t>
      </w:r>
      <w:r w:rsidR="00607B56" w:rsidRPr="00607B56">
        <w:rPr>
          <w:i/>
          <w:iCs/>
        </w:rPr>
        <w:t>&gt;1+sH</w:t>
      </w:r>
      <w:r w:rsidR="00607B56">
        <w:t>, depending on the scenario</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w:t>
      </w:r>
      <w:proofErr w:type="spellStart"/>
      <w:r w:rsidRPr="000D56CE">
        <w:t>colour</w:t>
      </w:r>
      <w:proofErr w:type="spellEnd"/>
      <w:r w:rsidRPr="000D56CE">
        <w:t xml:space="preserve"> represents fitness (see </w:t>
      </w:r>
      <w:proofErr w:type="spellStart"/>
      <w:r w:rsidRPr="000D56CE">
        <w:t>colourbar</w:t>
      </w:r>
      <w:proofErr w:type="spellEnd"/>
      <w:r w:rsidRPr="000D56CE">
        <w:t>), from pale brown for the fittest genotype (</w:t>
      </w:r>
      <w:r w:rsidRPr="000D56CE">
        <w:rPr>
          <w:i/>
          <w:iCs/>
        </w:rPr>
        <w:t>1+sH</w:t>
      </w:r>
      <w:r w:rsidRPr="000D56CE">
        <w:t xml:space="preserve">, where </w:t>
      </w:r>
      <w:r w:rsidRPr="000D56CE">
        <w:rPr>
          <w:i/>
          <w:iCs/>
        </w:rPr>
        <w:t>s=0.05</w:t>
      </w:r>
      <w:r w:rsidRPr="000D56CE">
        <w:t xml:space="preserve"> is the selection coefficient and </w:t>
      </w:r>
      <w:r w:rsidRPr="000D56CE">
        <w:rPr>
          <w:i/>
          <w:iCs/>
        </w:rPr>
        <w:t>H=2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0D56CE">
        <w:t>(</w:t>
      </w:r>
      <w:r w:rsidRPr="000D56CE">
        <w:rPr>
          <w:i/>
          <w:iCs/>
        </w:rPr>
        <w:t>(1-s</w:t>
      </w:r>
      <w:proofErr w:type="gramStart"/>
      <w:r w:rsidRPr="000D56CE">
        <w:rPr>
          <w:i/>
          <w:iCs/>
        </w:rPr>
        <w:t>)</w:t>
      </w:r>
      <w:r>
        <w:rPr>
          <w:i/>
          <w:iCs/>
          <w:vertAlign w:val="superscript"/>
        </w:rPr>
        <w:t>x</w:t>
      </w:r>
      <w:proofErr w:type="gramEnd"/>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0D56CE" w:rsidRDefault="000D56CE" w:rsidP="002D7506">
      <w:pPr>
        <w:pStyle w:val="Heading3"/>
      </w:pPr>
      <w:r>
        <w:t>Constraints on the parameter space</w:t>
      </w:r>
    </w:p>
    <w:p w:rsidR="000D56CE" w:rsidRDefault="000D56CE" w:rsidP="000D56CE">
      <w:r>
        <w:t>At the MSB, the frequency of wildtype (</w:t>
      </w:r>
      <w:proofErr w:type="spellStart"/>
      <w:r>
        <w:rPr>
          <w:i/>
          <w:iCs/>
        </w:rPr>
        <w:t>ab</w:t>
      </w:r>
      <w:proofErr w:type="spellEnd"/>
      <w:r>
        <w:t xml:space="preserve">) individuals </w:t>
      </w:r>
      <w:proofErr w:type="gramStart"/>
      <w:r>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+O(</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w:r>
        <w:rPr>
          <w:rFonts w:ascii="Times New Roman" w:hAnsi="Times New Roman"/>
        </w:rPr>
        <w:t xml:space="preserve">, </w:t>
      </w:r>
      <w:r>
        <w:t>the frequency of single mutants (</w:t>
      </w:r>
      <w:proofErr w:type="spellStart"/>
      <w:r>
        <w:rPr>
          <w:i/>
          <w:iCs/>
        </w:rPr>
        <w:t>Ab</w:t>
      </w:r>
      <w:proofErr w:type="spellEnd"/>
      <w:r>
        <w:t xml:space="preserve"> and </w:t>
      </w:r>
      <w:proofErr w:type="spellStart"/>
      <w:r>
        <w:rPr>
          <w:i/>
          <w:iCs/>
        </w:rPr>
        <w:t>aB</w:t>
      </w:r>
      <w:proofErr w:type="spellEnd"/>
      <w:r>
        <w:t xml:space="preserve"> combined) is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e>
        </m:d>
      </m:oMath>
      <w:r w:rsidRPr="00A8498D">
        <w:t xml:space="preserve"> </w:t>
      </w:r>
      <w:r>
        <w:t>and the frequency of double mutants (</w:t>
      </w:r>
      <w:r>
        <w:rPr>
          <w:i/>
          <w:iCs/>
        </w:rPr>
        <w:t>AB</w:t>
      </w:r>
      <w:r>
        <w:t xml:space="preserve">) 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w:r>
        <w:t>. Therefore, there are several constraints on the parameter range:</w:t>
      </w:r>
    </w:p>
    <w:p w:rsidR="000D56CE" w:rsidRDefault="000D56CE" w:rsidP="000D56CE">
      <w:pPr>
        <w:pStyle w:val="ListParagraph"/>
        <w:numPr>
          <w:ilvl w:val="0"/>
          <w:numId w:val="6"/>
        </w:numPr>
        <w:spacing w:after="0" w:line="312" w:lineRule="auto"/>
        <w:jc w:val="both"/>
      </w:pPr>
      <w:r>
        <w:t>The above MSB approximations are only valid when</w:t>
      </w:r>
      <w:r>
        <w:rPr>
          <w:i/>
          <w:iCs/>
        </w:rPr>
        <w:t xml:space="preserve"> </w:t>
      </w:r>
      <w:r>
        <w:rPr>
          <w:rFonts w:ascii="Times New Roman" w:hAnsi="Times New Roman"/>
          <w:i/>
          <w:iCs/>
        </w:rPr>
        <w:t xml:space="preserve">U/s&lt;1 </w:t>
      </w:r>
      <w:r>
        <w:rPr>
          <w:rFonts w:ascii="Times New Roman" w:hAnsi="Times New Roman"/>
        </w:rPr>
        <w:t xml:space="preserve">or </w:t>
      </w:r>
      <w:r>
        <w:rPr>
          <w:rFonts w:ascii="Times New Roman" w:hAnsi="Times New Roman"/>
          <w:i/>
          <w:iCs/>
        </w:rPr>
        <w:t>U&lt;</w:t>
      </w:r>
      <w:r>
        <w:rPr>
          <w:i/>
          <w:iCs/>
        </w:rPr>
        <w:t>s</w:t>
      </w:r>
      <w:r>
        <w:t>.</w:t>
      </w:r>
    </w:p>
    <w:p w:rsidR="000D56CE" w:rsidRDefault="000D56CE" w:rsidP="000D56CE">
      <w:pPr>
        <w:pStyle w:val="ListParagraph"/>
        <w:numPr>
          <w:ilvl w:val="0"/>
          <w:numId w:val="6"/>
        </w:numPr>
        <w:spacing w:after="0" w:line="312" w:lineRule="auto"/>
        <w:jc w:val="both"/>
      </w:pPr>
      <w:r>
        <w:t xml:space="preserve">If </w:t>
      </w:r>
      <w:proofErr w:type="gramStart"/>
      <w:r w:rsidRPr="00FD5294">
        <w:rPr>
          <w:i/>
          <w:iCs/>
        </w:rPr>
        <w:t>N</w:t>
      </w:r>
      <w:r>
        <w:t>(</w:t>
      </w:r>
      <w:proofErr w:type="gramEnd"/>
      <w:r w:rsidRPr="000769B9">
        <w:rPr>
          <w:rFonts w:ascii="Times New Roman" w:hAnsi="Times New Roman"/>
          <w:i/>
          <w:iCs/>
        </w:rPr>
        <w:t>µ/</w:t>
      </w:r>
      <w:r w:rsidRPr="000769B9">
        <w:rPr>
          <w:i/>
          <w:iCs/>
        </w:rPr>
        <w:t>s)</w:t>
      </w:r>
      <w:r w:rsidRPr="000769B9">
        <w:rPr>
          <w:i/>
          <w:iCs/>
          <w:vertAlign w:val="superscript"/>
        </w:rPr>
        <w:t>2</w:t>
      </w:r>
      <w:r w:rsidRPr="000769B9">
        <w:rPr>
          <w:rFonts w:ascii="Times New Roman" w:hAnsi="Times New Roman"/>
          <w:i/>
          <w:iCs/>
        </w:rPr>
        <w:t>&gt;</w:t>
      </w:r>
      <w:r w:rsidRPr="000769B9">
        <w:rPr>
          <w:i/>
          <w:iCs/>
        </w:rPr>
        <w:t>1</w:t>
      </w:r>
      <w:r>
        <w:t xml:space="preserve"> then there are double mutants in the population at the MSB and therefore adaptation will be rapid and will not require new mutations.</w:t>
      </w:r>
    </w:p>
    <w:p w:rsidR="000D56CE" w:rsidRPr="00183F36" w:rsidRDefault="000D56CE" w:rsidP="002D7506">
      <w:pPr>
        <w:pStyle w:val="ListParagraph"/>
        <w:numPr>
          <w:ilvl w:val="0"/>
          <w:numId w:val="6"/>
        </w:numPr>
        <w:spacing w:after="0" w:line="312" w:lineRule="auto"/>
        <w:jc w:val="both"/>
      </w:pPr>
      <w:r>
        <w:lastRenderedPageBreak/>
        <w:t xml:space="preserve">If </w:t>
      </w:r>
      <w:r w:rsidRPr="000769B9">
        <w:rPr>
          <w:i/>
          <w:iCs/>
        </w:rPr>
        <w:t>N</w:t>
      </w:r>
      <w:r w:rsidRPr="000769B9">
        <w:rPr>
          <w:rFonts w:ascii="Times New Roman" w:hAnsi="Times New Roman"/>
          <w:i/>
          <w:iCs/>
        </w:rPr>
        <w:t>µ/</w:t>
      </w:r>
      <w:r w:rsidRPr="000769B9">
        <w:rPr>
          <w:i/>
          <w:iCs/>
        </w:rPr>
        <w:t>s</w:t>
      </w:r>
      <w:r w:rsidRPr="000769B9">
        <w:rPr>
          <w:rFonts w:ascii="Times New Roman" w:hAnsi="Times New Roman"/>
          <w:i/>
          <w:iCs/>
        </w:rPr>
        <w:t>&lt;</w:t>
      </w:r>
      <w:r w:rsidRPr="000769B9">
        <w:rPr>
          <w:i/>
          <w:iCs/>
        </w:rPr>
        <w:t>1</w:t>
      </w:r>
      <w:r>
        <w:t xml:space="preserve"> then there are no single mutants at the MSB and double muta</w:t>
      </w:r>
      <w:r w:rsidR="002D7506">
        <w:t>n</w:t>
      </w:r>
      <w:r>
        <w:t xml:space="preserve">ts must be generated by a double mutation in a wildtype individual. </w:t>
      </w:r>
      <w:r w:rsidRPr="00183F36">
        <w:t>Therefore, increasing the mutation rate of individuals with fitness below 1 will have a much smaller effect than if single mutants were abundant.</w:t>
      </w:r>
    </w:p>
    <w:p w:rsidR="000D56CE" w:rsidRDefault="000D56CE" w:rsidP="000D56CE">
      <w:pPr>
        <w:pStyle w:val="ListParagraph"/>
        <w:numPr>
          <w:ilvl w:val="0"/>
          <w:numId w:val="6"/>
        </w:numPr>
        <w:spacing w:after="0" w:line="312" w:lineRule="auto"/>
        <w:jc w:val="both"/>
      </w:pPr>
      <w:r w:rsidRPr="00183F36">
        <w:t xml:space="preserve">If we assume that individuals </w:t>
      </w:r>
      <w:r>
        <w:t xml:space="preserve">that accumulated </w:t>
      </w:r>
      <w:r w:rsidRPr="00183F36">
        <w:t>deleterious mutations are "evolutionary dead-ends"</w:t>
      </w:r>
      <w:r>
        <w:t xml:space="preserve"> (figure 1a)</w:t>
      </w:r>
      <w:r w:rsidRPr="00183F36">
        <w:t xml:space="preserve"> and cannot be the origin of adaptation, then</w:t>
      </w:r>
      <w:r>
        <w:t xml:space="preserve"> the fraction of such individuals must be small - </w:t>
      </w:r>
      <w:r>
        <w:rPr>
          <w:rFonts w:ascii="Times New Roman" w:hAnsi="Times New Roman"/>
          <w:i/>
          <w:iCs/>
        </w:rPr>
        <w:t>U/s&lt;1</w:t>
      </w:r>
      <w:r>
        <w:t>. This is equal to the first constraint.</w:t>
      </w:r>
    </w:p>
    <w:p w:rsidR="000D56CE" w:rsidRDefault="000D56CE" w:rsidP="002D7506">
      <w:r>
        <w:t>Thes</w:t>
      </w:r>
      <w:r w:rsidR="002D7506">
        <w:t>e constraints are summarized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U&lt;s</m:t>
                </m:r>
              </m:oMath>
            </m:oMathPara>
          </w:p>
        </w:tc>
        <w:tc>
          <w:tcPr>
            <w:tcW w:w="500" w:type="pct"/>
            <w:vAlign w:val="center"/>
          </w:tcPr>
          <w:p w:rsidR="002D7506" w:rsidRDefault="002D7506" w:rsidP="00563FAB">
            <w:bookmarkStart w:id="1" w:name="_Ref358733007"/>
            <w:bookmarkStart w:id="2" w:name="_Ref354149705"/>
            <w:r>
              <w:t>(</w:t>
            </w:r>
            <w:r>
              <w:fldChar w:fldCharType="begin"/>
            </w:r>
            <w:r>
              <w:instrText xml:space="preserve"> SEQ Equation </w:instrText>
            </w:r>
            <w:r>
              <w:fldChar w:fldCharType="separate"/>
            </w:r>
            <w:r>
              <w:rPr>
                <w:noProof/>
              </w:rPr>
              <w:t>1</w:t>
            </w:r>
            <w:r>
              <w:fldChar w:fldCharType="end"/>
            </w:r>
            <w:bookmarkEnd w:id="1"/>
            <w:r>
              <w:t>)</w:t>
            </w:r>
            <w:bookmarkEnd w:id="2"/>
          </w:p>
        </w:tc>
      </w:tr>
      <w:tr w:rsidR="002D7506" w:rsidTr="00563FAB">
        <w:tc>
          <w:tcPr>
            <w:tcW w:w="4500" w:type="pct"/>
            <w:vAlign w:val="center"/>
          </w:tcPr>
          <w:p w:rsidR="002D7506" w:rsidRDefault="005F1227" w:rsidP="00563FAB">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2D7506" w:rsidRDefault="002D7506" w:rsidP="00563FAB">
            <w:bookmarkStart w:id="3" w:name="_Ref358733010"/>
            <w:bookmarkStart w:id="4" w:name="_Ref354129072"/>
            <w:r>
              <w:t>(</w:t>
            </w:r>
            <w:r>
              <w:fldChar w:fldCharType="begin"/>
            </w:r>
            <w:r>
              <w:instrText xml:space="preserve"> SEQ Equation </w:instrText>
            </w:r>
            <w:r>
              <w:fldChar w:fldCharType="separate"/>
            </w:r>
            <w:r>
              <w:rPr>
                <w:noProof/>
              </w:rPr>
              <w:t>2</w:t>
            </w:r>
            <w:r>
              <w:fldChar w:fldCharType="end"/>
            </w:r>
            <w:bookmarkEnd w:id="3"/>
            <w:r>
              <w:t>)</w:t>
            </w:r>
            <w:bookmarkEnd w:id="4"/>
          </w:p>
        </w:tc>
      </w:tr>
    </w:tbl>
    <w:p w:rsidR="000D56CE" w:rsidRDefault="002D7506" w:rsidP="000D56CE">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w:t>
      </w:r>
      <w:r w:rsidR="003F5091">
        <w:t xml:space="preserve">for </w:t>
      </w:r>
      <w:r w:rsidR="003F5091" w:rsidRPr="003F5091">
        <w:rPr>
          <w:i/>
          <w:iCs/>
        </w:rPr>
        <w:t>Escherichia</w:t>
      </w:r>
      <w:r w:rsidRPr="001A482B">
        <w:rPr>
          <w:i/>
          <w:iCs/>
        </w:rPr>
        <w:t xml:space="preserve"> coli</w:t>
      </w:r>
      <w:r>
        <w:t xml:space="preserve">. Taking the conservative estimations,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2D7506" w:rsidRDefault="002D7506" w:rsidP="002D7506">
      <w:pPr>
        <w:pStyle w:val="Caption"/>
        <w:keepNext/>
      </w:pPr>
      <w:bookmarkStart w:id="5" w:name="_Ref358791100"/>
      <w:r>
        <w:t xml:space="preserve">Table </w:t>
      </w:r>
      <w:r>
        <w:fldChar w:fldCharType="begin"/>
      </w:r>
      <w:r>
        <w:instrText xml:space="preserve"> SEQ Table \* ARABIC </w:instrText>
      </w:r>
      <w:r>
        <w:fldChar w:fldCharType="separate"/>
      </w:r>
      <w:r>
        <w:rPr>
          <w:noProof/>
        </w:rPr>
        <w:t>1</w:t>
      </w:r>
      <w:r>
        <w:fldChar w:fldCharType="end"/>
      </w:r>
      <w:bookmarkEnd w:id="5"/>
      <w:r>
        <w:t xml:space="preserve"> </w:t>
      </w:r>
      <w:r>
        <w:rPr>
          <w:rFonts w:ascii="Arial" w:hAnsi="Arial" w:cs="Arial"/>
        </w:rPr>
        <w:t>–</w:t>
      </w:r>
      <w:r>
        <w:t xml:space="preserve"> </w:t>
      </w:r>
      <w:r w:rsidRPr="00524B4A">
        <w:rPr>
          <w:b w:val="0"/>
          <w:bCs w:val="0"/>
        </w:rPr>
        <w:t>Model parameter</w:t>
      </w:r>
      <w:r>
        <w:rPr>
          <w:b w:val="0"/>
          <w:bCs w:val="0"/>
        </w:rPr>
        <w:t>s and estimated values for bacteria</w:t>
      </w:r>
    </w:p>
    <w:tbl>
      <w:tblPr>
        <w:tblStyle w:val="TableGrid"/>
        <w:tblW w:w="0" w:type="auto"/>
        <w:tblLook w:val="04A0" w:firstRow="1" w:lastRow="0" w:firstColumn="1" w:lastColumn="0" w:noHBand="0" w:noVBand="1"/>
      </w:tblPr>
      <w:tblGrid>
        <w:gridCol w:w="1896"/>
        <w:gridCol w:w="1896"/>
        <w:gridCol w:w="1897"/>
        <w:gridCol w:w="1897"/>
      </w:tblGrid>
      <w:tr w:rsidR="002D7506" w:rsidTr="00563FAB">
        <w:tc>
          <w:tcPr>
            <w:tcW w:w="1896" w:type="dxa"/>
            <w:vAlign w:val="center"/>
          </w:tcPr>
          <w:p w:rsidR="002D7506" w:rsidRDefault="002D7506" w:rsidP="00563FAB">
            <w:pPr>
              <w:jc w:val="center"/>
            </w:pPr>
            <w:r>
              <w:t>Symbol</w:t>
            </w:r>
          </w:p>
        </w:tc>
        <w:tc>
          <w:tcPr>
            <w:tcW w:w="1896" w:type="dxa"/>
            <w:vAlign w:val="center"/>
          </w:tcPr>
          <w:p w:rsidR="002D7506" w:rsidRDefault="002D7506" w:rsidP="00563FAB">
            <w:pPr>
              <w:jc w:val="center"/>
            </w:pPr>
            <w:r>
              <w:t>Name</w:t>
            </w:r>
          </w:p>
        </w:tc>
        <w:tc>
          <w:tcPr>
            <w:tcW w:w="1897" w:type="dxa"/>
            <w:vAlign w:val="center"/>
          </w:tcPr>
          <w:p w:rsidR="002D7506" w:rsidRDefault="002D7506" w:rsidP="00563FAB">
            <w:pPr>
              <w:jc w:val="center"/>
            </w:pPr>
            <w:r>
              <w:t>Estimate</w:t>
            </w:r>
          </w:p>
        </w:tc>
        <w:tc>
          <w:tcPr>
            <w:tcW w:w="1897" w:type="dxa"/>
            <w:vAlign w:val="center"/>
          </w:tcPr>
          <w:p w:rsidR="002D7506" w:rsidRDefault="002D7506" w:rsidP="00563FAB">
            <w:pPr>
              <w:jc w:val="center"/>
            </w:pPr>
            <w:r>
              <w:t>References</w:t>
            </w:r>
          </w:p>
        </w:tc>
      </w:tr>
      <w:tr w:rsidR="002D7506" w:rsidTr="00563FAB">
        <w:tc>
          <w:tcPr>
            <w:tcW w:w="1896" w:type="dxa"/>
            <w:vAlign w:val="center"/>
          </w:tcPr>
          <w:p w:rsidR="002D7506" w:rsidRPr="00524B4A" w:rsidRDefault="002D7506" w:rsidP="00563FAB">
            <w:pPr>
              <w:jc w:val="center"/>
              <w:rPr>
                <w:i/>
                <w:iCs/>
              </w:rPr>
            </w:pPr>
            <w:r w:rsidRPr="00524B4A">
              <w:rPr>
                <w:i/>
                <w:iCs/>
              </w:rPr>
              <w:t>s</w:t>
            </w:r>
          </w:p>
        </w:tc>
        <w:tc>
          <w:tcPr>
            <w:tcW w:w="1896" w:type="dxa"/>
            <w:vAlign w:val="center"/>
          </w:tcPr>
          <w:p w:rsidR="002D7506" w:rsidRDefault="002D7506" w:rsidP="00563FAB">
            <w:pPr>
              <w:jc w:val="center"/>
            </w:pPr>
            <w:r>
              <w:t>Selection coefficient</w:t>
            </w:r>
          </w:p>
        </w:tc>
        <w:tc>
          <w:tcPr>
            <w:tcW w:w="1897" w:type="dxa"/>
            <w:vAlign w:val="center"/>
          </w:tcPr>
          <w:p w:rsidR="002D7506" w:rsidRDefault="002D7506" w:rsidP="00563FAB">
            <w:pPr>
              <w:jc w:val="center"/>
            </w:pPr>
            <w:r>
              <w:t>0.001-0.03</w:t>
            </w:r>
          </w:p>
        </w:tc>
        <w:tc>
          <w:tcPr>
            <w:tcW w:w="1897" w:type="dxa"/>
            <w:vAlign w:val="center"/>
          </w:tcPr>
          <w:p w:rsidR="002D7506" w:rsidRDefault="002D7506" w:rsidP="00563FAB">
            <w:pPr>
              <w:jc w:val="center"/>
            </w:pPr>
            <w:r>
              <w:fldChar w:fldCharType="begin" w:fldLock="1"/>
            </w:r>
            <w:r w:rsidR="00004B35">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Perfeito, and Sousa 2011)" }, "properties" : { "noteIndex" : 0 }, "schema" : "https://github.com/citation-style-language/schema/raw/master/csl-citation.json" }</w:instrText>
            </w:r>
            <w:r>
              <w:fldChar w:fldCharType="separate"/>
            </w:r>
            <w:r w:rsidRPr="002D7506">
              <w:rPr>
                <w:noProof/>
              </w:rPr>
              <w:t>(Kibota and Lynch 1996; 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H</w:t>
            </w:r>
          </w:p>
        </w:tc>
        <w:tc>
          <w:tcPr>
            <w:tcW w:w="1896" w:type="dxa"/>
            <w:vAlign w:val="center"/>
          </w:tcPr>
          <w:p w:rsidR="002D7506" w:rsidRDefault="002D7506" w:rsidP="00563FAB">
            <w:pPr>
              <w:jc w:val="center"/>
            </w:pPr>
            <w:r>
              <w:t>Double mutant advantage</w:t>
            </w:r>
          </w:p>
        </w:tc>
        <w:tc>
          <w:tcPr>
            <w:tcW w:w="1897" w:type="dxa"/>
            <w:vAlign w:val="center"/>
          </w:tcPr>
          <w:p w:rsidR="002D7506" w:rsidRDefault="002D7506" w:rsidP="00563FAB">
            <w:pPr>
              <w:jc w:val="center"/>
            </w:pPr>
            <w:r>
              <w:t>1-10</w:t>
            </w:r>
          </w:p>
        </w:tc>
        <w:tc>
          <w:tcPr>
            <w:tcW w:w="1897" w:type="dxa"/>
            <w:vAlign w:val="center"/>
          </w:tcPr>
          <w:p w:rsidR="002D7506" w:rsidRDefault="002D7506" w:rsidP="00563FAB">
            <w:pPr>
              <w:jc w:val="center"/>
            </w:pPr>
            <w:r>
              <w:fldChar w:fldCharType="begin" w:fldLock="1"/>
            </w:r>
            <w:r w:rsidR="00004B35">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U</w:t>
            </w:r>
          </w:p>
        </w:tc>
        <w:tc>
          <w:tcPr>
            <w:tcW w:w="1896" w:type="dxa"/>
            <w:vAlign w:val="center"/>
          </w:tcPr>
          <w:p w:rsidR="002D7506" w:rsidRDefault="002D7506" w:rsidP="00563FAB">
            <w:pPr>
              <w:jc w:val="center"/>
            </w:pPr>
            <w:r>
              <w:t>Genomic deleterious mutation rate</w:t>
            </w:r>
          </w:p>
        </w:tc>
        <w:tc>
          <w:tcPr>
            <w:tcW w:w="1897" w:type="dxa"/>
            <w:vAlign w:val="center"/>
          </w:tcPr>
          <w:p w:rsidR="002D7506" w:rsidRDefault="002D7506" w:rsidP="00563FAB">
            <w:pPr>
              <w:jc w:val="center"/>
            </w:pPr>
            <w:r>
              <w:t>0.0004-0.003</w:t>
            </w:r>
          </w:p>
        </w:tc>
        <w:tc>
          <w:tcPr>
            <w:tcW w:w="1897" w:type="dxa"/>
            <w:vAlign w:val="center"/>
          </w:tcPr>
          <w:p w:rsidR="002D7506" w:rsidRDefault="002D7506" w:rsidP="00563FAB">
            <w:pPr>
              <w:jc w:val="center"/>
            </w:pPr>
            <w:r>
              <w:fldChar w:fldCharType="begin" w:fldLock="1"/>
            </w:r>
            <w:r w:rsidR="00004B35">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µ</w:t>
            </w:r>
          </w:p>
        </w:tc>
        <w:tc>
          <w:tcPr>
            <w:tcW w:w="1896" w:type="dxa"/>
            <w:vAlign w:val="center"/>
          </w:tcPr>
          <w:p w:rsidR="002D7506" w:rsidRDefault="002D7506" w:rsidP="00563FAB">
            <w:pPr>
              <w:jc w:val="center"/>
            </w:pPr>
            <w:r>
              <w:t>Site-specific beneficial mutation rate</w:t>
            </w:r>
          </w:p>
        </w:tc>
        <w:tc>
          <w:tcPr>
            <w:tcW w:w="1897" w:type="dxa"/>
            <w:vAlign w:val="center"/>
          </w:tcPr>
          <w:p w:rsidR="002D7506" w:rsidRDefault="002D7506" w:rsidP="00563FAB">
            <w:pPr>
              <w:jc w:val="center"/>
            </w:pPr>
            <w:r>
              <w:t>U/5000</w:t>
            </w:r>
          </w:p>
        </w:tc>
        <w:tc>
          <w:tcPr>
            <w:tcW w:w="1897" w:type="dxa"/>
            <w:vAlign w:val="center"/>
          </w:tcPr>
          <w:p w:rsidR="002D7506" w:rsidRDefault="002D7506" w:rsidP="00563FAB">
            <w:pPr>
              <w:jc w:val="center"/>
            </w:pPr>
            <w:r>
              <w:fldChar w:fldCharType="begin" w:fldLock="1"/>
            </w:r>
            <w:r w:rsidR="00004B35">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τ</w:t>
            </w:r>
          </w:p>
        </w:tc>
        <w:tc>
          <w:tcPr>
            <w:tcW w:w="1896" w:type="dxa"/>
            <w:vAlign w:val="center"/>
          </w:tcPr>
          <w:p w:rsidR="002D7506" w:rsidRDefault="002D7506" w:rsidP="00563FAB">
            <w:pPr>
              <w:jc w:val="center"/>
            </w:pPr>
            <w:r>
              <w:t>Fold-increase in mutation rate</w:t>
            </w:r>
          </w:p>
        </w:tc>
        <w:tc>
          <w:tcPr>
            <w:tcW w:w="1897" w:type="dxa"/>
            <w:vAlign w:val="center"/>
          </w:tcPr>
          <w:p w:rsidR="002D7506" w:rsidRDefault="002D7506" w:rsidP="00563FAB">
            <w:pPr>
              <w:jc w:val="center"/>
            </w:pPr>
            <w:r>
              <w:t>1-100</w:t>
            </w:r>
          </w:p>
        </w:tc>
        <w:tc>
          <w:tcPr>
            <w:tcW w:w="1897" w:type="dxa"/>
            <w:vAlign w:val="center"/>
          </w:tcPr>
          <w:p w:rsidR="002D7506" w:rsidRDefault="002D7506" w:rsidP="00563FAB">
            <w:pPr>
              <w:jc w:val="center"/>
            </w:pPr>
            <w:r>
              <w:fldChar w:fldCharType="begin" w:fldLock="1"/>
            </w:r>
            <w:r w:rsidR="00004B35">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N</w:t>
            </w:r>
          </w:p>
        </w:tc>
        <w:tc>
          <w:tcPr>
            <w:tcW w:w="1896" w:type="dxa"/>
            <w:vAlign w:val="center"/>
          </w:tcPr>
          <w:p w:rsidR="002D7506" w:rsidRDefault="002D7506" w:rsidP="00563FAB">
            <w:pPr>
              <w:jc w:val="center"/>
            </w:pPr>
            <w:r>
              <w:t>Population size</w:t>
            </w:r>
          </w:p>
        </w:tc>
        <w:tc>
          <w:tcPr>
            <w:tcW w:w="1897" w:type="dxa"/>
            <w:vAlign w:val="center"/>
          </w:tcPr>
          <w:p w:rsidR="002D7506" w:rsidRPr="000E4EA4" w:rsidRDefault="002D7506" w:rsidP="00563FAB">
            <w:pPr>
              <w:jc w:val="center"/>
              <w:rPr>
                <w:vertAlign w:val="superscript"/>
              </w:rPr>
            </w:pPr>
            <w:r>
              <w:t>10</w:t>
            </w:r>
            <w:r>
              <w:rPr>
                <w:vertAlign w:val="superscript"/>
              </w:rPr>
              <w:t>4</w:t>
            </w:r>
            <w:r>
              <w:t>-10</w:t>
            </w:r>
            <w:r>
              <w:rPr>
                <w:vertAlign w:val="superscript"/>
              </w:rPr>
              <w:t>10</w:t>
            </w:r>
          </w:p>
        </w:tc>
        <w:tc>
          <w:tcPr>
            <w:tcW w:w="1897" w:type="dxa"/>
            <w:vAlign w:val="center"/>
          </w:tcPr>
          <w:p w:rsidR="002D7506" w:rsidRDefault="002D7506" w:rsidP="00563FAB">
            <w:pPr>
              <w:jc w:val="center"/>
            </w:pPr>
          </w:p>
        </w:tc>
      </w:tr>
    </w:tbl>
    <w:p w:rsidR="002D7506" w:rsidRDefault="002D7506" w:rsidP="002D7506">
      <w:pPr>
        <w:pStyle w:val="Heading3"/>
      </w:pPr>
      <w:r>
        <w:t>Appearance of a double mutant</w:t>
      </w:r>
    </w:p>
    <w:p w:rsidR="002D7506" w:rsidRDefault="002D7506" w:rsidP="00925154">
      <w:r>
        <w:t>Because there are no double mutants (</w:t>
      </w:r>
      <w:r>
        <w:rPr>
          <w:i/>
          <w:iCs/>
        </w:rPr>
        <w:t>AB</w:t>
      </w:r>
      <w:r>
        <w:t>) at the time of the environmental change, double mutants can appear either via a double mu</w:t>
      </w:r>
      <w:r w:rsidR="003F5091">
        <w:t>tation in a wildtype individual</w:t>
      </w:r>
      <w:r>
        <w:t xml:space="preserve"> </w:t>
      </w:r>
      <w:proofErr w:type="spellStart"/>
      <w:r>
        <w:rPr>
          <w:i/>
          <w:iCs/>
        </w:rPr>
        <w:t>ab</w:t>
      </w:r>
      <w:proofErr w:type="spellEnd"/>
      <w:r>
        <w:t>, or via a sin</w:t>
      </w:r>
      <w:r w:rsidR="003F5091">
        <w:t>gle mutation in a single mutant</w:t>
      </w:r>
      <w:r>
        <w:t xml:space="preserve"> </w:t>
      </w:r>
      <w:proofErr w:type="spellStart"/>
      <w:r>
        <w:rPr>
          <w:i/>
          <w:iCs/>
        </w:rPr>
        <w:t>Ab</w:t>
      </w:r>
      <w:proofErr w:type="spellEnd"/>
      <w:r>
        <w:t xml:space="preserve"> or </w:t>
      </w:r>
      <w:proofErr w:type="spellStart"/>
      <w:r>
        <w:rPr>
          <w:i/>
          <w:iCs/>
        </w:rPr>
        <w:t>aB</w:t>
      </w:r>
      <w:proofErr w:type="spellEnd"/>
      <w:r>
        <w:rPr>
          <w:i/>
          <w:iCs/>
        </w:rPr>
        <w:t xml:space="preserve"> </w:t>
      </w:r>
      <w:r w:rsidRPr="00D65806">
        <w:t>(</w:t>
      </w:r>
      <w:r>
        <w:t xml:space="preserve">Figure 1a). We assume that at </w:t>
      </w:r>
      <w:r>
        <w:lastRenderedPageBreak/>
        <w:t xml:space="preserve">the MSB the number of deleterious mutations per individual follows a Poisson distribution </w:t>
      </w:r>
      <w:r w:rsidRPr="002D7506">
        <w:fldChar w:fldCharType="begin" w:fldLock="1"/>
      </w:r>
      <w:r w:rsidR="00004B35">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Pr="002D7506">
        <w:fldChar w:fldCharType="separate"/>
      </w:r>
      <w:r w:rsidRPr="002D7506">
        <w:rPr>
          <w:noProof/>
        </w:rPr>
        <w:t>(Haigh 1978)</w:t>
      </w:r>
      <w:r w:rsidRPr="002D7506">
        <w:fldChar w:fldCharType="end"/>
      </w:r>
      <w:r>
        <w:t xml:space="preserve">. Therefore, the frequencies of mutation-free wildtype </w:t>
      </w:r>
      <w:proofErr w:type="spellStart"/>
      <w:r>
        <w:rPr>
          <w:i/>
          <w:iCs/>
        </w:rPr>
        <w:t>ab</w:t>
      </w:r>
      <w:proofErr w:type="spellEnd"/>
      <w:r>
        <w:t xml:space="preserve"> and single mutants </w:t>
      </w:r>
      <w:proofErr w:type="spellStart"/>
      <w:r w:rsidRPr="00BB678E">
        <w:rPr>
          <w:i/>
          <w:iCs/>
        </w:rPr>
        <w:t>aB</w:t>
      </w:r>
      <w:proofErr w:type="spellEnd"/>
      <w:r>
        <w:t xml:space="preserve"> and </w:t>
      </w:r>
      <w:proofErr w:type="spellStart"/>
      <w:r w:rsidRPr="005F3FF6">
        <w:rPr>
          <w:i/>
          <w:iCs/>
        </w:rPr>
        <w:t>Ab</w:t>
      </w:r>
      <w:proofErr w:type="spellEnd"/>
      <w:r>
        <w:t xml:space="preserve"> </w:t>
      </w:r>
      <w:r w:rsidRPr="005F3FF6">
        <w:t>are</w:t>
      </w:r>
      <w:r>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t xml:space="preserve"> </w:t>
      </w:r>
      <w:proofErr w:type="gramStart"/>
      <w:r>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t xml:space="preserve">. The probability </w:t>
      </w:r>
      <w:r>
        <w:rPr>
          <w:i/>
          <w:iCs/>
        </w:rPr>
        <w:t>q</w:t>
      </w:r>
      <w:r>
        <w:t xml:space="preserve"> that a 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oMath>
            </m:oMathPara>
          </w:p>
        </w:tc>
        <w:tc>
          <w:tcPr>
            <w:tcW w:w="500" w:type="pct"/>
            <w:vAlign w:val="center"/>
          </w:tcPr>
          <w:p w:rsidR="002D7506" w:rsidRDefault="002D7506" w:rsidP="00563FAB">
            <w:bookmarkStart w:id="6" w:name="_Ref354134924"/>
            <w:r>
              <w:t>(</w:t>
            </w:r>
            <w:r>
              <w:fldChar w:fldCharType="begin"/>
            </w:r>
            <w:r>
              <w:instrText xml:space="preserve"> SEQ Equation </w:instrText>
            </w:r>
            <w:r>
              <w:fldChar w:fldCharType="separate"/>
            </w:r>
            <w:r>
              <w:rPr>
                <w:noProof/>
              </w:rPr>
              <w:t>3</w:t>
            </w:r>
            <w:r>
              <w:fldChar w:fldCharType="end"/>
            </w:r>
            <w:r>
              <w:t>)</w:t>
            </w:r>
            <w:bookmarkEnd w:id="6"/>
          </w:p>
        </w:tc>
      </w:tr>
    </w:tbl>
    <w:p w:rsidR="002D7506" w:rsidRDefault="003F5091" w:rsidP="00925154">
      <w:r>
        <w:t>With</w:t>
      </w:r>
      <w:r w:rsidR="00925154">
        <w:t xml:space="preserve"> SIM</w:t>
      </w:r>
      <w:r>
        <w:t>-I</w:t>
      </w:r>
      <w:r w:rsidR="002D7506">
        <w:t xml:space="preserve"> the mutation rate of single mutants </w:t>
      </w:r>
      <w:proofErr w:type="gramStart"/>
      <w:r w:rsidR="002D7506">
        <w:t>is</w:t>
      </w:r>
      <w:proofErr w:type="gramEnd"/>
      <w:r w:rsidR="002D7506">
        <w:t xml:space="preserve">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F5091" w:rsidP="002D7506">
            <w:pPr>
              <w:ind w:left="340"/>
            </w:pPr>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oMath>
            </m:oMathPara>
          </w:p>
        </w:tc>
        <w:tc>
          <w:tcPr>
            <w:tcW w:w="500" w:type="pct"/>
            <w:vAlign w:val="center"/>
          </w:tcPr>
          <w:p w:rsidR="002D7506" w:rsidRDefault="002D7506" w:rsidP="00563FAB">
            <w:bookmarkStart w:id="7" w:name="_Ref354134926"/>
            <w:r>
              <w:t>(</w:t>
            </w:r>
            <w:r>
              <w:fldChar w:fldCharType="begin"/>
            </w:r>
            <w:r>
              <w:instrText xml:space="preserve"> SEQ Equation </w:instrText>
            </w:r>
            <w:r>
              <w:fldChar w:fldCharType="separate"/>
            </w:r>
            <w:r>
              <w:rPr>
                <w:noProof/>
              </w:rPr>
              <w:t>4</w:t>
            </w:r>
            <w:r>
              <w:fldChar w:fldCharType="end"/>
            </w:r>
            <w:r>
              <w:t>)</w:t>
            </w:r>
            <w:bookmarkEnd w:id="7"/>
          </w:p>
        </w:tc>
      </w:tr>
    </w:tbl>
    <w:p w:rsidR="002D7506" w:rsidRDefault="002D7506" w:rsidP="002D7506">
      <w:r>
        <w:t>Note that stress-induction increases the transition from single mutants to other types, but does not significantly change the MSB frequency of single mutants, because this frequency is mainly determined by the mutation rate of the wildtype which does not hypermutate.</w:t>
      </w:r>
    </w:p>
    <w:p w:rsidR="002D7506" w:rsidRDefault="002D7506" w:rsidP="002D7506">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w:t>
      </w:r>
      <w:r w:rsidR="003F5091">
        <w:t>-I</w:t>
      </w:r>
      <w:r>
        <w:t>:</w:t>
      </w:r>
    </w:p>
    <w:p w:rsidR="002D7506" w:rsidRPr="00332A32" w:rsidRDefault="002D7506" w:rsidP="002D7506">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2D7506" w:rsidRPr="00AD20B2" w:rsidRDefault="005F1227"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2D7506" w:rsidRPr="00AD20B2" w:rsidRDefault="005F1227"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2D7506" w:rsidRPr="00AD20B2" w:rsidRDefault="005F1227"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m:oMathPara>
    </w:p>
    <w:p w:rsidR="002D7506" w:rsidRDefault="002D7506" w:rsidP="002D7506">
      <w:r>
        <w:t xml:space="preserve">The last step assumes that </w:t>
      </w:r>
      <w:r>
        <w:rPr>
          <w:i/>
          <w:iCs/>
        </w:rPr>
        <w:t>2s</w:t>
      </w:r>
      <w:r>
        <w:t xml:space="preserve"> is much larger than </w:t>
      </w:r>
      <w:r>
        <w:rPr>
          <w:i/>
          <w:iCs/>
        </w:rPr>
        <w:t>s</w:t>
      </w:r>
      <w:r>
        <w:rPr>
          <w:i/>
          <w:iCs/>
          <w:vertAlign w:val="superscript"/>
        </w:rPr>
        <w:t>2</w:t>
      </w:r>
      <w:r>
        <w:t xml:space="preserve"> and </w:t>
      </w:r>
      <w:proofErr w:type="spellStart"/>
      <w:r>
        <w:rPr>
          <w:i/>
          <w:iCs/>
        </w:rPr>
        <w:t>sU</w:t>
      </w:r>
      <w:proofErr w:type="spellEnd"/>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54774" w:rsidP="00354774">
            <w:pPr>
              <w:ind w:left="340"/>
            </w:pPr>
            <m:oMathPara>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vAlign w:val="center"/>
          </w:tcPr>
          <w:p w:rsidR="002D7506" w:rsidRDefault="002D7506" w:rsidP="00563FAB">
            <w:bookmarkStart w:id="8" w:name="_Ref354319257"/>
            <w:r>
              <w:t>(</w:t>
            </w:r>
            <w:r>
              <w:fldChar w:fldCharType="begin"/>
            </w:r>
            <w:r>
              <w:instrText xml:space="preserve"> SEQ Equation </w:instrText>
            </w:r>
            <w:r>
              <w:fldChar w:fldCharType="separate"/>
            </w:r>
            <w:r>
              <w:rPr>
                <w:noProof/>
              </w:rPr>
              <w:t>5</w:t>
            </w:r>
            <w:r>
              <w:fldChar w:fldCharType="end"/>
            </w:r>
            <w:r>
              <w:t>)</w:t>
            </w:r>
            <w:bookmarkEnd w:id="8"/>
          </w:p>
        </w:tc>
      </w:tr>
    </w:tbl>
    <w:p w:rsidR="002D7506" w:rsidRDefault="002D7506" w:rsidP="002D7506">
      <w:r>
        <w:t>For a population with SIM</w:t>
      </w:r>
      <w:r w:rsidR="003F5091">
        <w:t>-I</w:t>
      </w:r>
      <w:r>
        <w:t xml:space="preserve">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2D7506" w:rsidRPr="00AD20B2" w:rsidRDefault="003F5091" w:rsidP="002D7506">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2D7506" w:rsidRPr="0029554C" w:rsidRDefault="005F1227"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5F1227"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5F1227"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m:oMathPara>
    </w:p>
    <w:p w:rsidR="002D7506" w:rsidRDefault="002D7506" w:rsidP="002D7506">
      <w:r>
        <w:t xml:space="preserve">The last approximation assumes that </w:t>
      </w:r>
      <w:proofErr w:type="gramStart"/>
      <w:r>
        <w:rPr>
          <w:i/>
          <w:iCs/>
        </w:rPr>
        <w:t>Us</w:t>
      </w:r>
      <w:proofErr w:type="gramEnd"/>
      <w:r>
        <w:t xml:space="preserve"> is smaller than </w:t>
      </w:r>
      <w:r>
        <w:rPr>
          <w:i/>
          <w:iCs/>
        </w:rPr>
        <w:t>U</w:t>
      </w:r>
      <w:r>
        <w:t xml:space="preserve"> and that </w:t>
      </w:r>
      <w:proofErr w:type="spellStart"/>
      <w:r>
        <w:rPr>
          <w:rFonts w:ascii="Times New Roman" w:hAnsi="Times New Roman"/>
          <w:i/>
          <w:iCs/>
        </w:rPr>
        <w:t>τ</w:t>
      </w:r>
      <w:r>
        <w:rPr>
          <w:i/>
          <w:iCs/>
        </w:rPr>
        <w:t>U</w:t>
      </w:r>
      <w:proofErr w:type="spellEnd"/>
      <w:r>
        <w:t xml:space="preserve"> is much larger than </w:t>
      </w:r>
      <w:r w:rsidRPr="005579CA">
        <w:rPr>
          <w:rFonts w:ascii="Times New Roman" w:hAnsi="Times New Roman"/>
          <w:i/>
          <w:iCs/>
        </w:rPr>
        <w:t>µ</w:t>
      </w:r>
      <w:r w:rsidRPr="005579CA">
        <w:rPr>
          <w:i/>
          <w:iCs/>
        </w:rPr>
        <w:t>/s</w:t>
      </w:r>
      <w:r>
        <w:rPr>
          <w:i/>
          <w:iCs/>
        </w:rPr>
        <w:t>.</w:t>
      </w:r>
      <w:r>
        <w:t xml:space="preserve"> Now,</w:t>
      </w:r>
    </w:p>
    <w:p w:rsidR="002D7506" w:rsidRPr="005579CA" w:rsidRDefault="003F5091" w:rsidP="00354774">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m:oMathPara>
    </w:p>
    <w:p w:rsidR="002D7506" w:rsidRDefault="002D7506" w:rsidP="002D7506">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2D7506" w:rsidTr="00563FAB">
        <w:tc>
          <w:tcPr>
            <w:tcW w:w="4500" w:type="pct"/>
            <w:tcBorders>
              <w:top w:val="nil"/>
              <w:left w:val="nil"/>
              <w:bottom w:val="nil"/>
              <w:right w:val="nil"/>
            </w:tcBorders>
            <w:vAlign w:val="center"/>
          </w:tcPr>
          <w:p w:rsidR="002D7506" w:rsidRDefault="003F5091" w:rsidP="00354774">
            <w:pPr>
              <w:ind w:left="340"/>
              <w:jc w:val="center"/>
            </w:pPr>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tcBorders>
              <w:top w:val="nil"/>
              <w:left w:val="nil"/>
              <w:bottom w:val="nil"/>
              <w:right w:val="nil"/>
            </w:tcBorders>
            <w:vAlign w:val="center"/>
          </w:tcPr>
          <w:p w:rsidR="002D7506" w:rsidRDefault="002D7506" w:rsidP="00563FAB">
            <w:bookmarkStart w:id="9" w:name="_Ref354319499"/>
            <w:r>
              <w:t>(</w:t>
            </w:r>
            <w:r>
              <w:fldChar w:fldCharType="begin"/>
            </w:r>
            <w:r>
              <w:instrText xml:space="preserve"> SEQ Equation </w:instrText>
            </w:r>
            <w:r>
              <w:fldChar w:fldCharType="separate"/>
            </w:r>
            <w:r>
              <w:rPr>
                <w:noProof/>
              </w:rPr>
              <w:t>6</w:t>
            </w:r>
            <w:r>
              <w:fldChar w:fldCharType="end"/>
            </w:r>
            <w:r>
              <w:t>)</w:t>
            </w:r>
            <w:bookmarkEnd w:id="9"/>
          </w:p>
        </w:tc>
      </w:tr>
    </w:tbl>
    <w:p w:rsidR="002D7506" w:rsidRPr="00AB0448" w:rsidRDefault="002D7506" w:rsidP="003F5091">
      <w:pPr>
        <w:rPr>
          <w:rFonts w:eastAsiaTheme="minorEastAsia"/>
        </w:rPr>
      </w:pPr>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2D7506" w:rsidRDefault="002D7506" w:rsidP="003F5091">
      <w:pPr>
        <w:pStyle w:val="Heading3"/>
      </w:pPr>
      <w:bookmarkStart w:id="10" w:name="_Ref354319797"/>
      <w:r>
        <w:t xml:space="preserve">Fixation probability with stress-induced </w:t>
      </w:r>
      <w:bookmarkEnd w:id="10"/>
      <w:r w:rsidR="003F5091">
        <w:t>mutagenesis</w:t>
      </w:r>
    </w:p>
    <w:p w:rsidR="003F5091" w:rsidRDefault="002D7506" w:rsidP="003F5091">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Pr>
          <w:rFonts w:cstheme="majorBidi"/>
        </w:rPr>
        <w:fldChar w:fldCharType="begin"/>
      </w:r>
      <w:r>
        <w:rPr>
          <w:rFonts w:cstheme="majorBidi"/>
        </w:rPr>
        <w:instrText xml:space="preserve"> REF _Ref354129072 \h </w:instrText>
      </w:r>
      <w:r>
        <w:rPr>
          <w:rFonts w:cstheme="majorBidi"/>
        </w:rPr>
      </w:r>
      <w:r>
        <w:rPr>
          <w:rFonts w:cstheme="majorBidi"/>
        </w:rPr>
        <w:fldChar w:fldCharType="separate"/>
      </w:r>
      <w:r>
        <w:t>(</w:t>
      </w:r>
      <w:r>
        <w:rPr>
          <w:noProof/>
        </w:rPr>
        <w:t>2</w:t>
      </w:r>
      <w:r>
        <w:t>)</w:t>
      </w:r>
      <w:r>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004B35">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w:t>
      </w:r>
      <w:r w:rsidR="003F5091">
        <w:t xml:space="preserve"> the fixation probability ρ of the double mutant is: </w:t>
      </w:r>
    </w:p>
    <w:tbl>
      <w:tblPr>
        <w:tblStyle w:val="TableGrid"/>
        <w:tblW w:w="5000" w:type="pct"/>
        <w:tblInd w:w="340" w:type="dxa"/>
        <w:tblLook w:val="04A0" w:firstRow="1" w:lastRow="0" w:firstColumn="1" w:lastColumn="0" w:noHBand="0" w:noVBand="1"/>
      </w:tblPr>
      <w:tblGrid>
        <w:gridCol w:w="7675"/>
        <w:gridCol w:w="853"/>
      </w:tblGrid>
      <w:tr w:rsidR="003F5091" w:rsidTr="000F2E02">
        <w:tc>
          <w:tcPr>
            <w:tcW w:w="4500" w:type="pct"/>
            <w:tcBorders>
              <w:top w:val="nil"/>
              <w:left w:val="nil"/>
              <w:bottom w:val="nil"/>
              <w:right w:val="nil"/>
            </w:tcBorders>
            <w:vAlign w:val="center"/>
          </w:tcPr>
          <w:p w:rsidR="003F5091" w:rsidRDefault="003F5091" w:rsidP="003F5091">
            <w:pPr>
              <w:ind w:left="340"/>
              <w:jc w:val="center"/>
            </w:pPr>
            <m:oMathPara>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m:oMathPara>
          </w:p>
        </w:tc>
        <w:tc>
          <w:tcPr>
            <w:tcW w:w="500" w:type="pct"/>
            <w:tcBorders>
              <w:top w:val="nil"/>
              <w:left w:val="nil"/>
              <w:bottom w:val="nil"/>
              <w:right w:val="nil"/>
            </w:tcBorders>
            <w:vAlign w:val="center"/>
          </w:tcPr>
          <w:p w:rsidR="003F5091" w:rsidRDefault="003F5091" w:rsidP="000F2E02">
            <w:r>
              <w:t>(</w:t>
            </w:r>
            <w:r>
              <w:fldChar w:fldCharType="begin"/>
            </w:r>
            <w:r>
              <w:instrText xml:space="preserve"> SEQ Equation </w:instrText>
            </w:r>
            <w:r>
              <w:fldChar w:fldCharType="separate"/>
            </w:r>
            <w:r>
              <w:rPr>
                <w:noProof/>
              </w:rPr>
              <w:t>7</w:t>
            </w:r>
            <w:r>
              <w:fldChar w:fldCharType="end"/>
            </w:r>
            <w:r>
              <w:t>)</w:t>
            </w:r>
          </w:p>
        </w:tc>
      </w:tr>
    </w:tbl>
    <w:p w:rsidR="003F5091" w:rsidRDefault="003F5091" w:rsidP="003F5091">
      <w:proofErr w:type="gramStart"/>
      <w:r>
        <w:t>where</w:t>
      </w:r>
      <w:proofErr w:type="gramEnd"/>
      <w:r>
        <w:t xml:space="preserve"> </w:t>
      </w:r>
      <w:r w:rsidRPr="003F5091">
        <w:rPr>
          <w:i/>
          <w:iCs/>
        </w:rPr>
        <w:t>α</w:t>
      </w:r>
      <w:r>
        <w:t xml:space="preserve"> is the fitness of the double mutant relative</w:t>
      </w:r>
      <w:r>
        <w:t xml:space="preser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tbl>
      <w:tblPr>
        <w:tblStyle w:val="TableGrid"/>
        <w:tblW w:w="5000" w:type="pct"/>
        <w:tblInd w:w="340" w:type="dxa"/>
        <w:tblLook w:val="04A0" w:firstRow="1" w:lastRow="0" w:firstColumn="1" w:lastColumn="0" w:noHBand="0" w:noVBand="1"/>
      </w:tblPr>
      <w:tblGrid>
        <w:gridCol w:w="7675"/>
        <w:gridCol w:w="853"/>
      </w:tblGrid>
      <w:tr w:rsidR="003F5091" w:rsidTr="000F2E02">
        <w:tc>
          <w:tcPr>
            <w:tcW w:w="4500" w:type="pct"/>
            <w:tcBorders>
              <w:top w:val="nil"/>
              <w:left w:val="nil"/>
              <w:bottom w:val="nil"/>
              <w:right w:val="nil"/>
            </w:tcBorders>
            <w:vAlign w:val="center"/>
          </w:tcPr>
          <w:p w:rsidR="003F5091" w:rsidRDefault="003F5091" w:rsidP="003F5091">
            <w:pPr>
              <w:ind w:left="340"/>
              <w:jc w:val="center"/>
            </w:pPr>
            <m:oMathPara>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m:oMathPara>
          </w:p>
        </w:tc>
        <w:tc>
          <w:tcPr>
            <w:tcW w:w="500" w:type="pct"/>
            <w:tcBorders>
              <w:top w:val="nil"/>
              <w:left w:val="nil"/>
              <w:bottom w:val="nil"/>
              <w:right w:val="nil"/>
            </w:tcBorders>
            <w:vAlign w:val="center"/>
          </w:tcPr>
          <w:p w:rsidR="003F5091" w:rsidRDefault="003F5091" w:rsidP="000F2E02">
            <w:r>
              <w:t>(</w:t>
            </w:r>
            <w:r>
              <w:fldChar w:fldCharType="begin"/>
            </w:r>
            <w:r>
              <w:instrText xml:space="preserve"> SEQ Equation </w:instrText>
            </w:r>
            <w:r>
              <w:fldChar w:fldCharType="separate"/>
            </w:r>
            <w:r>
              <w:rPr>
                <w:noProof/>
              </w:rPr>
              <w:t>8</w:t>
            </w:r>
            <w:r>
              <w:fldChar w:fldCharType="end"/>
            </w:r>
            <w:r>
              <w:t>)</w:t>
            </w:r>
          </w:p>
        </w:tc>
      </w:tr>
    </w:tbl>
    <w:p w:rsidR="003F5091" w:rsidRDefault="003F5091" w:rsidP="003F5091">
      <w:r>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population.</w:t>
      </w:r>
    </w:p>
    <w:p w:rsidR="002D7506" w:rsidRDefault="003F5091" w:rsidP="00544FA2">
      <w:r>
        <w:t>At this stage, double mutants are still very rate, so we can use the population mean fitness at the MSB. Without stress-induced mutagenesis, this evaluates to</w:t>
      </w:r>
      <w:r>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w:t>
      </w:r>
      <w:r w:rsidR="00544FA2">
        <w:t xml:space="preserve">(see </w:t>
      </w:r>
      <w:r>
        <w:fldChar w:fldCharType="begin"/>
      </w:r>
      <w:r>
        <w:instrText xml:space="preserve"> REF _Ref359745744 \r \h </w:instrText>
      </w:r>
      <w:r>
        <w:fldChar w:fldCharType="separate"/>
      </w:r>
      <w:r>
        <w:rPr>
          <w:rFonts w:hint="cs"/>
          <w:cs/>
        </w:rPr>
        <w:t>‎</w:t>
      </w:r>
      <w:r>
        <w:t>3.1</w:t>
      </w:r>
      <w:r>
        <w:fldChar w:fldCharType="end"/>
      </w:r>
      <w:r w:rsidR="00544FA2">
        <w:t>)</w:t>
      </w:r>
      <w:r>
        <w:t>.</w:t>
      </w:r>
      <w:r w:rsidR="002D7506">
        <w:t xml:space="preserve"> </w:t>
      </w:r>
      <w:r w:rsidR="00544FA2">
        <w:t>W</w:t>
      </w:r>
      <w:r w:rsidR="002D7506">
        <w:t>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44FA2">
            <m:oMathPara>
              <m:oMath>
                <m:r>
                  <w:rPr>
                    <w:rFonts w:ascii="Cambria Math" w:hAnsi="Cambria Math"/>
                  </w:rPr>
                  <m:t>ρ=</m:t>
                </m:r>
                <m:r>
                  <w:rPr>
                    <w:rFonts w:ascii="Cambria Math" w:hAnsi="Cambria Math"/>
                  </w:rPr>
                  <m:t>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2D7506" w:rsidRDefault="002D7506" w:rsidP="00563FAB">
            <w:bookmarkStart w:id="11" w:name="_Ref354316816"/>
            <w:r>
              <w:t>(</w:t>
            </w:r>
            <w:r>
              <w:fldChar w:fldCharType="begin"/>
            </w:r>
            <w:r>
              <w:instrText xml:space="preserve"> SEQ Equation </w:instrText>
            </w:r>
            <w:r>
              <w:fldChar w:fldCharType="separate"/>
            </w:r>
            <w:r>
              <w:rPr>
                <w:noProof/>
              </w:rPr>
              <w:t>9</w:t>
            </w:r>
            <w:r>
              <w:fldChar w:fldCharType="end"/>
            </w:r>
            <w:r>
              <w:t>)</w:t>
            </w:r>
            <w:bookmarkEnd w:id="11"/>
          </w:p>
        </w:tc>
      </w:tr>
    </w:tbl>
    <w:p w:rsidR="002D7506" w:rsidRPr="00CC2E91" w:rsidRDefault="00B72912" w:rsidP="00544FA2">
      <w:r>
        <w:t>A</w:t>
      </w:r>
      <w:r w:rsidR="002D7506">
        <w:t xml:space="preserve">ssuming </w:t>
      </w:r>
      <w:proofErr w:type="spellStart"/>
      <w:r w:rsidR="00544FA2" w:rsidRPr="00544FA2">
        <w:rPr>
          <w:i/>
          <w:iCs/>
        </w:rPr>
        <w:t>sH</w:t>
      </w:r>
      <w:proofErr w:type="spellEnd"/>
      <w:r w:rsidR="00544FA2">
        <w:t xml:space="preserve"> </w:t>
      </w:r>
      <w:r w:rsidR="002D7506" w:rsidRPr="00544FA2">
        <w:t>is</w:t>
      </w:r>
      <w:r w:rsidR="00544FA2">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B72912" w:rsidRDefault="00544FA2" w:rsidP="00544FA2">
            <m:oMathPara>
              <m:oMath>
                <m:r>
                  <w:rPr>
                    <w:rFonts w:ascii="Cambria Math" w:hAnsi="Cambria Math"/>
                  </w:rPr>
                  <w:lastRenderedPageBreak/>
                  <m:t>ρ</m:t>
                </m:r>
                <m:r>
                  <w:rPr>
                    <w:rFonts w:ascii="Cambria Math" w:hAnsi="Cambria Math"/>
                  </w:rPr>
                  <m:t>≈2sH</m:t>
                </m:r>
              </m:oMath>
            </m:oMathPara>
          </w:p>
        </w:tc>
        <w:tc>
          <w:tcPr>
            <w:tcW w:w="500" w:type="pct"/>
            <w:vAlign w:val="center"/>
          </w:tcPr>
          <w:p w:rsidR="002D7506" w:rsidRDefault="002D7506" w:rsidP="00563FAB">
            <w:bookmarkStart w:id="12" w:name="_Ref354134928"/>
            <w:r>
              <w:t>(</w:t>
            </w:r>
            <w:r>
              <w:fldChar w:fldCharType="begin"/>
            </w:r>
            <w:r>
              <w:instrText xml:space="preserve"> SEQ Equation </w:instrText>
            </w:r>
            <w:r>
              <w:fldChar w:fldCharType="separate"/>
            </w:r>
            <w:r>
              <w:rPr>
                <w:noProof/>
              </w:rPr>
              <w:t>10</w:t>
            </w:r>
            <w:r>
              <w:fldChar w:fldCharType="end"/>
            </w:r>
            <w:r>
              <w:t>)</w:t>
            </w:r>
            <w:bookmarkEnd w:id="12"/>
          </w:p>
        </w:tc>
      </w:tr>
    </w:tbl>
    <w:p w:rsidR="00544FA2" w:rsidRDefault="00544FA2" w:rsidP="00925154">
      <w:pPr>
        <w:rPr>
          <w:lang w:bidi="hi-IN"/>
        </w:rPr>
      </w:pPr>
      <w:r>
        <w:rPr>
          <w:lang w:bidi="hi-IN"/>
        </w:rPr>
        <w:t xml:space="preserve">which is a classic result of population genetics theory </w:t>
      </w:r>
      <w:r>
        <w:rPr>
          <w:lang w:bidi="hi-IN"/>
        </w:rPr>
        <w:fldChar w:fldCharType="begin" w:fldLock="1"/>
      </w:r>
      <w:r w:rsidR="00004B35">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B72912" w:rsidRDefault="00544FA2" w:rsidP="00544FA2">
      <w:pPr>
        <w:rPr>
          <w:lang w:bidi="hi-IN"/>
        </w:rPr>
      </w:pPr>
      <w:r>
        <w:rPr>
          <w:lang w:bidi="hi-IN"/>
        </w:rPr>
        <w:t>T</w:t>
      </w:r>
      <w:r w:rsidR="00B72912">
        <w:rPr>
          <w:lang w:bidi="hi-IN"/>
        </w:rPr>
        <w:t>he fixation probability with SIM</w:t>
      </w:r>
      <w:r>
        <w:rPr>
          <w:lang w:bidi="hi-IN"/>
        </w:rPr>
        <w:t>-I</w:t>
      </w:r>
      <w:r w:rsidR="00B72912">
        <w:rPr>
          <w:lang w:bidi="hi-IN"/>
        </w:rPr>
        <w:t xml:space="preserve"> equals that of NM and CM because the mutation rate of the wildtype </w:t>
      </w:r>
      <w:proofErr w:type="spellStart"/>
      <w:r w:rsidR="00B72912">
        <w:rPr>
          <w:i/>
          <w:iCs/>
          <w:lang w:bidi="hi-IN"/>
        </w:rPr>
        <w:t>ab</w:t>
      </w:r>
      <w:proofErr w:type="spellEnd"/>
      <w:r w:rsidR="00B72912">
        <w:rPr>
          <w:lang w:bidi="hi-IN"/>
        </w:rPr>
        <w:t xml:space="preserve"> equals that of the double mutant </w:t>
      </w:r>
      <w:r w:rsidR="00B72912">
        <w:rPr>
          <w:i/>
          <w:iCs/>
          <w:lang w:bidi="hi-IN"/>
        </w:rPr>
        <w:t>AB</w:t>
      </w:r>
      <w:r w:rsidR="00925154">
        <w:rPr>
          <w:lang w:bidi="hi-IN"/>
        </w:rPr>
        <w:t xml:space="preserve">. However, </w:t>
      </w:r>
      <w:r>
        <w:rPr>
          <w:lang w:bidi="hi-IN"/>
        </w:rPr>
        <w:t>with SIM-II</w:t>
      </w:r>
      <w:r w:rsidR="00925154">
        <w:rPr>
          <w:lang w:bidi="hi-IN"/>
        </w:rPr>
        <w:t xml:space="preserve"> the mutation rate of </w:t>
      </w:r>
      <w:proofErr w:type="spellStart"/>
      <w:r w:rsidR="00925154">
        <w:rPr>
          <w:i/>
          <w:iCs/>
          <w:lang w:bidi="hi-IN"/>
        </w:rPr>
        <w:t>ab</w:t>
      </w:r>
      <w:proofErr w:type="spellEnd"/>
      <w:r w:rsidR="00925154">
        <w:rPr>
          <w:lang w:bidi="hi-IN"/>
        </w:rPr>
        <w:t xml:space="preserve"> is higher than that of </w:t>
      </w:r>
      <w:r w:rsidR="00925154">
        <w:rPr>
          <w:i/>
          <w:iCs/>
          <w:lang w:bidi="hi-IN"/>
        </w:rPr>
        <w:t>AB</w:t>
      </w:r>
      <w:r w:rsidR="00925154">
        <w:rPr>
          <w:lang w:bidi="hi-IN"/>
        </w:rPr>
        <w:t xml:space="preserve"> and therefore </w:t>
      </w:r>
      <w:r w:rsidR="00925154">
        <w:rPr>
          <w:i/>
          <w:iCs/>
          <w:lang w:bidi="hi-IN"/>
        </w:rPr>
        <w:t>AB</w:t>
      </w:r>
      <w:r w:rsidR="00925154">
        <w:rPr>
          <w:lang w:bidi="hi-IN"/>
        </w:rPr>
        <w:t xml:space="preserve"> has an additional advantage due to the accumulation of deleterious mutations in the stressed population</w:t>
      </w:r>
      <w:r>
        <w:rPr>
          <w:lang w:bidi="hi-IN"/>
        </w:rPr>
        <w:t xml:space="preserve"> (we can assume the population reached a MSB after the environmental change because the convergence to MSB is much quicker </w:t>
      </w:r>
      <w:proofErr w:type="spellStart"/>
      <w:r>
        <w:rPr>
          <w:lang w:bidi="hi-IN"/>
        </w:rPr>
        <w:t>then</w:t>
      </w:r>
      <w:proofErr w:type="spellEnd"/>
      <w:r>
        <w:rPr>
          <w:lang w:bidi="hi-IN"/>
        </w:rPr>
        <w:t xml:space="preserve"> adaptation)</w:t>
      </w:r>
      <w:r w:rsidR="00925154">
        <w:rPr>
          <w:lang w:bidi="hi-IN"/>
        </w:rPr>
        <w:t>:</w:t>
      </w:r>
    </w:p>
    <w:p w:rsidR="00DE1C4B" w:rsidRPr="00DE1C4B" w:rsidRDefault="00544FA2"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hAnsi="Cambria Math"/>
                  <w:i/>
                  <w:lang w:bidi="hi-IN"/>
                </w:rPr>
              </m:ctrlPr>
            </m:fPr>
            <m:num>
              <m:r>
                <w:rPr>
                  <w:rFonts w:ascii="Cambria Math" w:hAnsi="Cambria Math"/>
                  <w:lang w:bidi="hi-IN"/>
                </w:rPr>
                <m:t>α-1</m:t>
              </m:r>
            </m:num>
            <m:den>
              <m:r>
                <w:rPr>
                  <w:rFonts w:ascii="Cambria Math" w:hAnsi="Cambria Math"/>
                  <w:lang w:bidi="hi-IN"/>
                </w:rPr>
                <m:t>α</m:t>
              </m:r>
            </m:den>
          </m:f>
          <m:r>
            <w:rPr>
              <w:rFonts w:ascii="Cambria Math" w:hAnsi="Cambria Math"/>
              <w:lang w:bidi="hi-IN"/>
            </w:rPr>
            <m:t>+o</m:t>
          </m:r>
          <m:d>
            <m:dPr>
              <m:ctrlPr>
                <w:rPr>
                  <w:rFonts w:ascii="Cambria Math" w:hAnsi="Cambria Math"/>
                  <w:i/>
                  <w:lang w:bidi="hi-IN"/>
                </w:rPr>
              </m:ctrlPr>
            </m:dPr>
            <m:e>
              <m:r>
                <w:rPr>
                  <w:rFonts w:ascii="Cambria Math" w:hAnsi="Cambria Math"/>
                  <w:lang w:bidi="hi-IN"/>
                </w:rPr>
                <m:t>α-1</m:t>
              </m:r>
            </m:e>
          </m:d>
        </m:oMath>
      </m:oMathPara>
    </w:p>
    <w:p w:rsidR="00DE1C4B" w:rsidRPr="00DE1C4B" w:rsidRDefault="00544FA2" w:rsidP="00544FA2">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SIM-II</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m:oMathPara>
    </w:p>
    <w:p w:rsidR="00DE1C4B" w:rsidRPr="00DE1C4B" w:rsidRDefault="00544FA2"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oMath>
      </m:oMathPara>
    </w:p>
    <w:p w:rsidR="00DE1C4B" w:rsidRPr="00DE1C4B" w:rsidRDefault="00544FA2"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m:oMathPara>
    </w:p>
    <w:p w:rsidR="00B82D73" w:rsidRDefault="00B82D73" w:rsidP="00B82D73">
      <w:pPr>
        <w:pStyle w:val="Heading3"/>
      </w:pPr>
      <w:r>
        <w:t>Adaptation rate</w:t>
      </w:r>
    </w:p>
    <w:p w:rsidR="00B82D73" w:rsidRDefault="00B82D73" w:rsidP="00B82D73">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The constraint </w:t>
      </w:r>
      <w:r>
        <w:fldChar w:fldCharType="begin"/>
      </w:r>
      <w:r>
        <w:instrText xml:space="preserve"> REF _Ref354129072 \h  \* MERGEFORMAT </w:instrText>
      </w:r>
      <w:r>
        <w:fldChar w:fldCharType="separate"/>
      </w:r>
      <w:r>
        <w:t>(</w:t>
      </w:r>
      <w:r>
        <w:rPr>
          <w:noProof/>
        </w:rPr>
        <w:t>2</w:t>
      </w:r>
      <w:r>
        <w:t>)</w: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p>
    <w:p w:rsidR="00B82D73" w:rsidRPr="00D516F5" w:rsidRDefault="00B82D73" w:rsidP="00B82D73">
      <w:r>
        <w:t>Once a double muta</w:t>
      </w:r>
      <w:r>
        <w:t xml:space="preserve">nt appears it has a probability </w:t>
      </w:r>
      <w:r w:rsidRPr="00B82D73">
        <w:rPr>
          <w:i/>
          <w:iCs/>
        </w:rPr>
        <w:t>ρ</w:t>
      </w:r>
      <w:r>
        <w:t xml:space="preserve"> t</w:t>
      </w:r>
      <w:r w:rsidRPr="00D516F5">
        <w:t>o go to fixation</w:t>
      </w:r>
      <w:r>
        <w:t xml:space="preserve">. </w:t>
      </w:r>
    </w:p>
    <w:p w:rsidR="00B82D73" w:rsidRDefault="00B82D73" w:rsidP="00B82D73">
      <w:r>
        <w:t xml:space="preserve">The time for adaptation </w:t>
      </w:r>
      <w:r w:rsidRPr="00145C26">
        <w:rPr>
          <w:i/>
          <w:iCs/>
        </w:rPr>
        <w:t>T</w:t>
      </w:r>
      <w:r>
        <w:t xml:space="preserve"> can be approximated by the waiting time for a double mutant </w:t>
      </w:r>
      <w:r>
        <w:t>who</w:t>
      </w:r>
      <w:r>
        <w:t xml:space="preserve"> will go to fixation</w:t>
      </w:r>
      <w:r>
        <w:t>,</w:t>
      </w:r>
      <w:r>
        <w:t xml:space="preserve"> </w:t>
      </w:r>
      <w:r>
        <w:rPr>
          <w:i/>
          <w:iCs/>
        </w:rPr>
        <w:t>T</w:t>
      </w:r>
      <w:r>
        <w:rPr>
          <w:i/>
          <w:iCs/>
          <w:vertAlign w:val="subscript"/>
        </w:rPr>
        <w:t>w</w:t>
      </w:r>
      <w:r>
        <w:t xml:space="preserve">. This is true as long as fixation </w:t>
      </w:r>
      <w:r>
        <w:t>is much</w:t>
      </w:r>
      <w:r>
        <w:t xml:space="preserve"> faster than mutation (guaranteed by </w:t>
      </w:r>
      <w:r w:rsidRPr="00B82D73">
        <w:rPr>
          <w:i/>
          <w:iCs/>
        </w:rPr>
        <w:t>µ</w:t>
      </w:r>
      <w:r w:rsidRPr="00B82D73">
        <w:rPr>
          <w:i/>
          <w:iCs/>
          <w:vertAlign w:val="superscript"/>
        </w:rPr>
        <w:t>2</w:t>
      </w:r>
      <w:r w:rsidRPr="00B82D73">
        <w:rPr>
          <w:i/>
          <w:iCs/>
        </w:rPr>
        <w:t>&lt;</w:t>
      </w:r>
      <w:r w:rsidRPr="0078136D">
        <w:rPr>
          <w:i/>
          <w:iCs/>
        </w:rPr>
        <w:t>2</w:t>
      </w:r>
      <w:r>
        <w:rPr>
          <w:rFonts w:ascii="Times New Roman" w:hAnsi="Times New Roman"/>
        </w:rPr>
        <w:t xml:space="preserve"> </w:t>
      </w:r>
      <w:r w:rsidRPr="0078136D">
        <w:t>which is a weaker constraint than</w:t>
      </w:r>
      <w:r>
        <w:rPr>
          <w:rFonts w:ascii="Times New Roman" w:hAnsi="Times New Roman"/>
        </w:rPr>
        <w:t xml:space="preserve"> that given by </w:t>
      </w:r>
      <w:r w:rsidRPr="00B82D73">
        <w:rPr>
          <w:rFonts w:ascii="Times New Roman" w:hAnsi="Times New Roman"/>
          <w:highlight w:val="yellow"/>
        </w:rPr>
        <w:t xml:space="preserve">Eq. </w:t>
      </w:r>
      <w:r w:rsidRPr="00B82D73">
        <w:rPr>
          <w:rFonts w:ascii="Times New Roman" w:hAnsi="Times New Roman"/>
          <w:highlight w:val="yellow"/>
        </w:rPr>
        <w:fldChar w:fldCharType="begin"/>
      </w:r>
      <w:r w:rsidRPr="00B82D73">
        <w:rPr>
          <w:rFonts w:ascii="Times New Roman" w:hAnsi="Times New Roman"/>
          <w:highlight w:val="yellow"/>
        </w:rPr>
        <w:instrText xml:space="preserve"> REF _Ref354149705 \h </w:instrText>
      </w:r>
      <w:r w:rsidRPr="00B82D73">
        <w:rPr>
          <w:rFonts w:ascii="Times New Roman" w:hAnsi="Times New Roman"/>
          <w:highlight w:val="yellow"/>
        </w:rPr>
      </w:r>
      <w:r>
        <w:rPr>
          <w:rFonts w:ascii="Times New Roman" w:hAnsi="Times New Roman"/>
          <w:highlight w:val="yellow"/>
        </w:rPr>
        <w:instrText xml:space="preserve"> \* MERGEFORMAT </w:instrText>
      </w:r>
      <w:r w:rsidRPr="00B82D73">
        <w:rPr>
          <w:rFonts w:ascii="Times New Roman" w:hAnsi="Times New Roman"/>
          <w:highlight w:val="yellow"/>
        </w:rPr>
        <w:fldChar w:fldCharType="separate"/>
      </w:r>
      <w:r w:rsidRPr="00B82D73">
        <w:rPr>
          <w:highlight w:val="yellow"/>
        </w:rPr>
        <w:t>(</w:t>
      </w:r>
      <w:r w:rsidRPr="00B82D73">
        <w:rPr>
          <w:noProof/>
          <w:highlight w:val="yellow"/>
        </w:rPr>
        <w:t>1</w:t>
      </w:r>
      <w:r w:rsidRPr="00B82D73">
        <w:rPr>
          <w:highlight w:val="yellow"/>
        </w:rPr>
        <w:t>)</w:t>
      </w:r>
      <w:r w:rsidRPr="00B82D73">
        <w:rPr>
          <w:rFonts w:ascii="Times New Roman" w:hAnsi="Times New Roman"/>
          <w:highlight w:val="yellow"/>
        </w:rPr>
        <w:fldChar w:fldCharType="end"/>
      </w:r>
      <w:r>
        <w:t xml:space="preserve">). </w:t>
      </w:r>
      <w:r>
        <w:rPr>
          <w:i/>
          <w:iCs/>
        </w:rPr>
        <w:t>T</w:t>
      </w:r>
      <w:r>
        <w:rPr>
          <w:i/>
          <w:iCs/>
          <w:vertAlign w:val="subscript"/>
        </w:rPr>
        <w:t>w</w:t>
      </w:r>
      <w:r>
        <w:t xml:space="preserve"> follows a geometri</w:t>
      </w:r>
      <w:r>
        <w:t xml:space="preserve">c distribution with probability </w:t>
      </w:r>
      <w:proofErr w:type="spellStart"/>
      <w:r w:rsidRPr="00B82D73">
        <w:rPr>
          <w:i/>
          <w:iCs/>
        </w:rPr>
        <w:t>Nqρ</w:t>
      </w:r>
      <w:proofErr w:type="spellEnd"/>
      <w:r w:rsidRPr="00B82D73">
        <w:t xml:space="preserve"> </w:t>
      </w:r>
      <w:r>
        <w:t>and therefore t</w:t>
      </w:r>
      <w:r>
        <w:t xml:space="preserve">he expected time for adaptation </w:t>
      </w:r>
      <w:r>
        <w:t>can be approximated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B82D73" w:rsidTr="000F2E02">
        <w:tc>
          <w:tcPr>
            <w:tcW w:w="4500" w:type="pct"/>
            <w:vAlign w:val="center"/>
          </w:tcPr>
          <w:p w:rsidR="00B82D73" w:rsidRDefault="00B82D73" w:rsidP="000F2E02">
            <m:oMathPara>
              <m:oMath>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≈1/Nq</m:t>
                </m:r>
                <m:r>
                  <w:rPr>
                    <w:rFonts w:ascii="Cambria Math" w:hAnsi="Cambria Math" w:cstheme="majorBidi"/>
                  </w:rPr>
                  <m:t>ρ</m:t>
                </m:r>
              </m:oMath>
            </m:oMathPara>
          </w:p>
        </w:tc>
        <w:tc>
          <w:tcPr>
            <w:tcW w:w="500" w:type="pct"/>
            <w:vAlign w:val="center"/>
          </w:tcPr>
          <w:p w:rsidR="00B82D73" w:rsidRDefault="00B82D73" w:rsidP="000F2E02">
            <w:bookmarkStart w:id="13" w:name="_Ref354319010"/>
            <w:r>
              <w:t>(</w:t>
            </w:r>
            <w:r>
              <w:fldChar w:fldCharType="begin"/>
            </w:r>
            <w:r>
              <w:instrText xml:space="preserve"> SEQ Equation </w:instrText>
            </w:r>
            <w:r>
              <w:fldChar w:fldCharType="separate"/>
            </w:r>
            <w:r>
              <w:rPr>
                <w:noProof/>
              </w:rPr>
              <w:t>11</w:t>
            </w:r>
            <w:r>
              <w:fldChar w:fldCharType="end"/>
            </w:r>
            <w:r>
              <w:t>)</w:t>
            </w:r>
            <w:bookmarkEnd w:id="13"/>
          </w:p>
        </w:tc>
      </w:tr>
    </w:tbl>
    <w:p w:rsidR="00B82D73" w:rsidRDefault="00B82D73" w:rsidP="00B82D73">
      <w:pPr>
        <w:rPr>
          <w:lang w:bidi="hi-IN"/>
        </w:rPr>
      </w:pPr>
      <w:r>
        <w:rPr>
          <w:lang w:bidi="hi-IN"/>
        </w:rPr>
        <w:t>The adaptation rate is the inverse of the expected adaptation time</w:t>
      </w:r>
    </w:p>
    <w:p w:rsidR="00B82D73" w:rsidRPr="00B82D73" w:rsidRDefault="00B82D73" w:rsidP="00B82D73">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p w:rsidR="001033CA" w:rsidRDefault="001033CA" w:rsidP="001033CA">
      <w:pPr>
        <w:pStyle w:val="Heading1"/>
        <w:rPr>
          <w:lang w:bidi="hi-IN"/>
        </w:rPr>
      </w:pPr>
      <w:r>
        <w:rPr>
          <w:lang w:bidi="hi-IN"/>
        </w:rPr>
        <w:lastRenderedPageBreak/>
        <w:t>Results</w:t>
      </w:r>
    </w:p>
    <w:p w:rsidR="001033CA" w:rsidRDefault="001033CA" w:rsidP="001033CA">
      <w:pPr>
        <w:pStyle w:val="Heading2"/>
      </w:pPr>
      <w:bookmarkStart w:id="14" w:name="_Ref359745744"/>
      <w:r>
        <w:t>Mutation-selection balance</w:t>
      </w:r>
      <w:bookmarkEnd w:id="14"/>
    </w:p>
    <w:p w:rsidR="00125157" w:rsidRPr="00125157" w:rsidRDefault="00125157" w:rsidP="00125157">
      <w:pPr>
        <w:rPr>
          <w:i/>
          <w:iCs/>
        </w:rPr>
      </w:pPr>
      <w:r>
        <w:t>Without beneficial mutations and</w:t>
      </w:r>
      <w:r w:rsidR="001033CA">
        <w:t xml:space="preserve"> with a mutation rate constant in time and uniform across the population,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oMath>
      <w:r w:rsidR="001033CA">
        <w:rPr>
          <w:vertAlign w:val="subscript"/>
        </w:rPr>
        <w:t xml:space="preserve"> </w:t>
      </w:r>
      <w:r w:rsidR="001033CA">
        <w:fldChar w:fldCharType="begin" w:fldLock="1"/>
      </w:r>
      <w:r w:rsidR="00004B35">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1033CA">
        <w:fldChar w:fldCharType="end"/>
      </w:r>
      <w:r w:rsidR="001033CA">
        <w:t xml:space="preserve">. </w:t>
      </w:r>
      <w:r>
        <w:t xml:space="preserve">Constitutive mutagenesis causes the population mean fitness to exponential decay as a function of the mutation rate fold-increase </w:t>
      </w:r>
      <w:r w:rsidRPr="00125157">
        <w:rPr>
          <w:i/>
          <w:iCs/>
        </w:rPr>
        <w:t>τ</w:t>
      </w:r>
      <w:r>
        <w:t xml:space="preserve">. Stress-induced mutagenesis, as was numerically shown by </w:t>
      </w:r>
      <w:proofErr w:type="spellStart"/>
      <w:r>
        <w:t>Agrawal</w:t>
      </w:r>
      <w:proofErr w:type="spellEnd"/>
      <w:r>
        <w:t xml:space="preserve"> </w:t>
      </w:r>
      <w:r>
        <w:fldChar w:fldCharType="begin" w:fldLock="1"/>
      </w:r>
      <w:r w:rsidR="00004B35">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xml:space="preserve">, does not change the population mean fitness with respect to NM, because the fittest individuals, with fitness </w:t>
      </w:r>
      <w:r>
        <w:rPr>
          <w:i/>
          <w:iCs/>
        </w:rPr>
        <w:t>1</w:t>
      </w:r>
      <w:r>
        <w:t xml:space="preserve">, also have the lowest mutation rate, </w:t>
      </w:r>
      <w:r>
        <w:rPr>
          <w:i/>
          <w:iCs/>
        </w:rPr>
        <w:t>U</w:t>
      </w:r>
      <w:r>
        <w:t xml:space="preserve">, and therefore the largest eigenvalue of the mutation-selection matrix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125157" w:rsidRDefault="001033CA" w:rsidP="00125157">
      <w:pPr>
        <w:rPr>
          <w:rFonts w:eastAsiaTheme="minorEastAsia"/>
        </w:rPr>
      </w:pPr>
      <w:r>
        <w:t>With beneficial mutations, this is still a good approximation, but the actual value of the population mean fitness is slightly higher</w:t>
      </w:r>
      <w:r w:rsidR="00125157">
        <w:t xml:space="preserve"> </w:t>
      </w:r>
      <w:proofErr w:type="gramStart"/>
      <w:r w:rsidR="00125157">
        <w:t xml:space="preserve">than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004B35">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setting </w:t>
      </w:r>
      <w:r w:rsidR="00125157" w:rsidRPr="00125157">
        <w:rPr>
          <w:rFonts w:eastAsiaTheme="minorEastAsia"/>
          <w:i/>
          <w:iCs/>
        </w:rPr>
        <w:t xml:space="preserve">π=1 </w:t>
      </w:r>
      <w:r w:rsidR="00125157">
        <w:rPr>
          <w:rFonts w:eastAsiaTheme="minorEastAsia"/>
        </w:rPr>
        <w:t>ensures that the condition is met and therefore SIM increases the population mean fitness. We explore the magnitude of this increase for specific parameter ranges in Fig. X.</w:t>
      </w:r>
    </w:p>
    <w:p w:rsidR="00354774" w:rsidRDefault="001F5496" w:rsidP="00354774">
      <w:pPr>
        <w:pStyle w:val="Heading2"/>
        <w:rPr>
          <w:rFonts w:eastAsiaTheme="minorEastAsia"/>
        </w:rPr>
      </w:pPr>
      <w:r>
        <w:rPr>
          <w:rFonts w:eastAsiaTheme="minorEastAsia"/>
        </w:rPr>
        <w:t>Adaptation o</w:t>
      </w:r>
      <w:r w:rsidR="00354774">
        <w:rPr>
          <w:rFonts w:eastAsiaTheme="minorEastAsia"/>
        </w:rPr>
        <w:t>n a rugged fitness landscape</w:t>
      </w:r>
    </w:p>
    <w:p w:rsidR="005F1227" w:rsidRPr="00B82D73" w:rsidRDefault="005F1227" w:rsidP="00B82D73">
      <w:pPr>
        <w:rPr>
          <w:i/>
          <w:iCs/>
          <w:lang w:bidi="hi-IN"/>
        </w:rPr>
      </w:pPr>
      <w:r>
        <w:t xml:space="preserve">We define two adaptive evolution scenarios: in scenario I, the appearance of a new carbon source which can only be utilized by the double mutant </w:t>
      </w:r>
      <w:r>
        <w:rPr>
          <w:i/>
          <w:iCs/>
        </w:rPr>
        <w:t>AB</w:t>
      </w:r>
      <w:r>
        <w:t xml:space="preserve"> appears, making the </w:t>
      </w:r>
      <w:r w:rsidRPr="00607B56">
        <w:rPr>
          <w:i/>
          <w:iCs/>
        </w:rPr>
        <w:t>AB</w:t>
      </w:r>
      <w:r>
        <w:t xml:space="preserve"> genotype the optimal one without affecting the fitness values of other genotypes</w:t>
      </w:r>
      <w:r w:rsidR="00B82D73">
        <w:t xml:space="preserve">, and therefore in this scenario SIM does not induce hypermutation in neither </w:t>
      </w:r>
      <w:r w:rsidR="00B82D73" w:rsidRPr="00B82D73">
        <w:rPr>
          <w:i/>
          <w:iCs/>
        </w:rPr>
        <w:t xml:space="preserve">AB </w:t>
      </w:r>
      <w:r w:rsidR="00B82D73">
        <w:t xml:space="preserve">nor </w:t>
      </w:r>
      <w:r w:rsidR="00B82D73">
        <w:rPr>
          <w:i/>
          <w:iCs/>
        </w:rPr>
        <w:t>ab</w:t>
      </w:r>
      <w:r>
        <w:t xml:space="preserve">. In the second scenario, an antibiotic drug renders all genotypes less fit, and the double mutant </w:t>
      </w:r>
      <w:r w:rsidRPr="00607B56">
        <w:rPr>
          <w:i/>
          <w:iCs/>
        </w:rPr>
        <w:t>AB</w:t>
      </w:r>
      <w:r>
        <w:t>, which confers resistance to the drug, is the optimal genotype.</w:t>
      </w:r>
      <w:r w:rsidR="00B82D73">
        <w:t xml:space="preserve"> In this scenario SIM induces hypermutation in all genotypes except for </w:t>
      </w:r>
      <w:r w:rsidR="00B82D73">
        <w:rPr>
          <w:i/>
          <w:iCs/>
        </w:rPr>
        <w:t>AB</w:t>
      </w:r>
      <w:r w:rsidR="00B82D73" w:rsidRPr="00B82D73">
        <w:t>.</w:t>
      </w:r>
      <w:r w:rsidR="00B82D73">
        <w:t xml:space="preserve"> Therefore, when analyzing SIM we differ between SIM-I and SIM-II.</w:t>
      </w:r>
      <w:r w:rsidR="00B82D73">
        <w:rPr>
          <w:i/>
          <w:iCs/>
        </w:rPr>
        <w:t xml:space="preserve"> </w:t>
      </w:r>
    </w:p>
    <w:p w:rsidR="00354774" w:rsidRDefault="00354774" w:rsidP="00B82D73">
      <w:pPr>
        <w:rPr>
          <w:lang w:bidi="hi-IN"/>
        </w:rPr>
      </w:pPr>
      <w:r>
        <w:rPr>
          <w:lang w:bidi="hi-IN"/>
        </w:rPr>
        <w:t>The adaptation rate</w:t>
      </w:r>
      <w:r w:rsidR="00563FAB">
        <w:rPr>
          <w:lang w:bidi="hi-IN"/>
        </w:rPr>
        <w:t xml:space="preserve"> </w:t>
      </w:r>
      <w:r w:rsidR="00563FAB" w:rsidRPr="00563FAB">
        <w:rPr>
          <w:i/>
          <w:iCs/>
        </w:rPr>
        <w:t>ν</w:t>
      </w:r>
      <w:r>
        <w:rPr>
          <w:lang w:bidi="hi-IN"/>
        </w:rPr>
        <w:t xml:space="preserve"> is the inverse of the </w:t>
      </w:r>
      <w:r w:rsidR="00563FAB">
        <w:rPr>
          <w:lang w:bidi="hi-IN"/>
        </w:rPr>
        <w:t xml:space="preserve">expected </w:t>
      </w:r>
      <w:r>
        <w:rPr>
          <w:lang w:bidi="hi-IN"/>
        </w:rPr>
        <w:t xml:space="preserve">adaptation time which can be approximated, similar to, by </w:t>
      </w:r>
      <w:r>
        <w:rPr>
          <w:i/>
          <w:iCs/>
          <w:lang w:bidi="hi-IN"/>
        </w:rPr>
        <w:t>1/</w:t>
      </w:r>
      <w:proofErr w:type="spellStart"/>
      <w:r>
        <w:rPr>
          <w:i/>
          <w:iCs/>
          <w:lang w:bidi="hi-IN"/>
        </w:rPr>
        <w:t>N</w:t>
      </w:r>
      <w:r w:rsidRPr="005E3A59">
        <w:rPr>
          <w:i/>
          <w:iCs/>
        </w:rPr>
        <w:t>ρ</w:t>
      </w:r>
      <w:r>
        <w:rPr>
          <w:i/>
          <w:iCs/>
          <w:lang w:bidi="hi-IN"/>
        </w:rPr>
        <w:t>q</w:t>
      </w:r>
      <w:proofErr w:type="spellEnd"/>
      <w:r>
        <w:rPr>
          <w:lang w:bidi="hi-IN"/>
        </w:rPr>
        <w:t>:</w:t>
      </w:r>
    </w:p>
    <w:p w:rsidR="00563FAB" w:rsidRPr="00563FAB" w:rsidRDefault="005F1227" w:rsidP="005A2F68">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m:t>
          </m:r>
          <m:r>
            <w:rPr>
              <w:rFonts w:ascii="Cambria Math" w:hAnsi="Cambria Math"/>
              <w:lang w:bidi="hi-IN"/>
            </w:rPr>
            <m:t>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p w:rsidR="00354774" w:rsidRDefault="005F1227" w:rsidP="005A2F68">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oMath>
      </m:oMathPara>
    </w:p>
    <w:p w:rsidR="00354774" w:rsidRPr="00F27D77" w:rsidRDefault="005A2F68" w:rsidP="005A2F68">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f>
            <m:fPr>
              <m:ctrlPr>
                <w:rPr>
                  <w:rFonts w:ascii="Cambria Math" w:hAnsi="Cambria Math"/>
                  <w:i/>
                </w:rPr>
              </m:ctrlPr>
            </m:fPr>
            <m:num>
              <m:r>
                <w:rPr>
                  <w:rFonts w:ascii="Cambria Math" w:hAnsi="Cambria Math"/>
                </w:rPr>
                <m:t>2</m:t>
              </m:r>
              <m:ctrlPr>
                <w:rPr>
                  <w:rFonts w:ascii="Cambria Math" w:hAnsi="Cambria Math"/>
                  <w:i/>
                  <w:lang w:bidi="hi-IN"/>
                </w:rPr>
              </m:ctrlPr>
            </m:num>
            <m:den>
              <m:d>
                <m:dPr>
                  <m:ctrlPr>
                    <w:rPr>
                      <w:rFonts w:ascii="Cambria Math" w:hAnsi="Cambria Math"/>
                      <w:i/>
                    </w:rPr>
                  </m:ctrlPr>
                </m:dPr>
                <m:e>
                  <m:r>
                    <w:rPr>
                      <w:rFonts w:ascii="Cambria Math" w:hAnsi="Cambria Math"/>
                    </w:rPr>
                    <m:t>2-τU</m:t>
                  </m:r>
                </m:e>
              </m:d>
              <m:r>
                <w:rPr>
                  <w:rFonts w:ascii="Cambria Math" w:hAnsi="Cambria Math"/>
                </w:rPr>
                <m:t>τ</m:t>
              </m:r>
            </m:den>
          </m:f>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CM</m:t>
                  </m:r>
                </m:sub>
              </m:sSub>
            </m:num>
            <m:den>
              <m:r>
                <w:rPr>
                  <w:rFonts w:ascii="Cambria Math" w:hAnsi="Cambria Math"/>
                </w:rPr>
                <m:t>τ</m:t>
              </m:r>
            </m:den>
          </m:f>
        </m:oMath>
      </m:oMathPara>
    </w:p>
    <w:p w:rsidR="00F27D77" w:rsidRPr="00F27D77" w:rsidRDefault="005A2F68" w:rsidP="005A2F68">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r>
                <w:rPr>
                  <w:rFonts w:ascii="Cambria Math" w:eastAsiaTheme="minorEastAsia" w:hAnsi="Cambria Math"/>
                  <w:lang w:bidi="hi-IN"/>
                </w:rPr>
                <m:t>+</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m:oMathPara>
    </w:p>
    <w:p w:rsidR="005A2F68" w:rsidRPr="005A2F68" w:rsidRDefault="005A2F68" w:rsidP="005A2F68">
      <w:pPr>
        <w:rPr>
          <w:rFonts w:eastAsiaTheme="minorEastAsia"/>
          <w:lang w:bidi="hi-IN"/>
        </w:rPr>
      </w:pPr>
      <w:r>
        <w:rPr>
          <w:rFonts w:eastAsiaTheme="minorEastAsia"/>
          <w:lang w:bidi="hi-IN"/>
        </w:rPr>
        <w:lastRenderedPageBreak/>
        <w:t xml:space="preserve">The right-hand side approximations are for small values of </w:t>
      </w:r>
      <w:proofErr w:type="spellStart"/>
      <w:proofErr w:type="gramStart"/>
      <w:r w:rsidRPr="00AB0448">
        <w:rPr>
          <w:i/>
          <w:iCs/>
        </w:rPr>
        <w:t>τ</w:t>
      </w:r>
      <w:r>
        <w:rPr>
          <w:i/>
          <w:iCs/>
        </w:rPr>
        <w:t>U</w:t>
      </w:r>
      <w:proofErr w:type="spellEnd"/>
      <w:proofErr w:type="gramEnd"/>
      <w:r>
        <w:t>.</w:t>
      </w:r>
    </w:p>
    <w:p w:rsidR="00544FA2" w:rsidRDefault="00AB0448" w:rsidP="00B82D73">
      <w:pPr>
        <w:rPr>
          <w:rFonts w:eastAsiaTheme="minorEastAsia"/>
          <w:lang w:bidi="hi-IN"/>
        </w:rPr>
      </w:pPr>
      <w:r>
        <w:rPr>
          <w:rFonts w:eastAsiaTheme="minorEastAsia"/>
          <w:lang w:bidi="hi-IN"/>
        </w:rPr>
        <w:t xml:space="preserve">There are several interpretations we can make from these expressions. First, </w:t>
      </w:r>
      <w:r w:rsidR="005A2F68">
        <w:rPr>
          <w:rFonts w:eastAsiaTheme="minorEastAsia"/>
          <w:lang w:bidi="hi-IN"/>
        </w:rPr>
        <w:t xml:space="preserve">adaptation with CM is faster than with NM because of faster appearance of double mutants and an unchanged fixation probability. Second, </w:t>
      </w:r>
      <w:r w:rsidR="005A2F68">
        <w:t xml:space="preserve">adaptation with SIM-I is also faster than with NM, but not as fast as with CM because only single mutants </w:t>
      </w:r>
      <w:proofErr w:type="spellStart"/>
      <w:r w:rsidR="005A2F68">
        <w:rPr>
          <w:i/>
          <w:iCs/>
        </w:rPr>
        <w:t>aB</w:t>
      </w:r>
      <w:proofErr w:type="spellEnd"/>
      <w:r w:rsidR="005A2F68">
        <w:t xml:space="preserve"> and </w:t>
      </w:r>
      <w:proofErr w:type="spellStart"/>
      <w:r w:rsidR="005A2F68">
        <w:rPr>
          <w:i/>
          <w:iCs/>
        </w:rPr>
        <w:t>Ab</w:t>
      </w:r>
      <w:proofErr w:type="spellEnd"/>
      <w:r w:rsidR="005A2F68">
        <w:t xml:space="preserve"> hypermutate. Third, adaptation with SIM-II is the fastest, because the appearance of double mutants is the same as with CM but their fixation is more probable because of the difference in mutation rate between double mutants and the rest of the population.</w:t>
      </w:r>
      <w:r w:rsidR="00B82D73">
        <w:t xml:space="preserve"> Note that this advantage</w:t>
      </w:r>
      <w:r w:rsidR="00544FA2">
        <w:rPr>
          <w:rFonts w:eastAsiaTheme="minorEastAsia"/>
          <w:lang w:bidi="hi-IN"/>
        </w:rPr>
        <w:t xml:space="preserve"> increases linearly with </w:t>
      </w:r>
      <w:r w:rsidR="00544FA2" w:rsidRPr="00DE1C4B">
        <w:rPr>
          <w:i/>
          <w:iCs/>
        </w:rPr>
        <w:t>τ</w:t>
      </w:r>
      <w:r w:rsidR="00B82D73">
        <w:rPr>
          <w:rFonts w:eastAsiaTheme="minorEastAsia"/>
          <w:lang w:bidi="hi-IN"/>
        </w:rPr>
        <w:t>.</w:t>
      </w:r>
    </w:p>
    <w:p w:rsidR="00DB72B7" w:rsidRDefault="00B82D73" w:rsidP="000E60A3">
      <w:r>
        <w:rPr>
          <w:rFonts w:eastAsiaTheme="minorEastAsia"/>
          <w:lang w:bidi="hi-IN"/>
        </w:rPr>
        <w:t xml:space="preserve">These approximations, and therefore these results, all depend on the constraints above, of which the most important is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can be anything between 1 and 1,000</w:t>
      </w:r>
      <w:r w:rsidR="000E60A3">
        <w:t xml:space="preserve">. More generally, we can expect that is selection is strong and mutation rates are low, then CM and SIM will have a big advantage over NM. </w:t>
      </w:r>
    </w:p>
    <w:p w:rsidR="00AC687F" w:rsidRDefault="00AC687F" w:rsidP="00AC687F">
      <w:pPr>
        <w:pStyle w:val="Heading2"/>
      </w:pPr>
      <w:r>
        <w:t>Adaptability and adaptedness</w:t>
      </w:r>
    </w:p>
    <w:p w:rsidR="00AC687F" w:rsidRPr="00B85CA4" w:rsidRDefault="009040D1" w:rsidP="00B85CA4">
      <w:r>
        <w:rPr>
          <w:lang w:bidi="hi-IN"/>
        </w:rPr>
        <w:t>Figure X 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line through the figure) </w:t>
      </w:r>
      <w:r w:rsidR="005515F1">
        <w:rPr>
          <w:lang w:bidi="hi-IN"/>
        </w:rPr>
        <w:t xml:space="preserve">can be achieved using both CM and SIM. The highest mean fitness will always be attained with SIM (which even has a slight advantage over NM which cannot be seen in this figure).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5515F1">
        <w:rPr>
          <w:i/>
          <w:iCs/>
        </w:rPr>
        <w:t>&gt;s</w:t>
      </w:r>
      <w:r w:rsidR="005515F1">
        <w:rPr>
          <w:lang w:bidi="hi-IN"/>
        </w:rPr>
        <w:t xml:space="preserve">) the same adaptation rate can be achieved via a mixed strategy (dashed green line) in which the mutation rate of the entire population is increased by a low value and the mutation rate of stressed individuals in further increased by a higher value </w:t>
      </w:r>
      <w:r w:rsidR="005515F1" w:rsidRPr="005515F1">
        <w:fldChar w:fldCharType="begin" w:fldLock="1"/>
      </w:r>
      <w:r w:rsidR="00004B35">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5515F1" w:rsidRPr="005515F1">
        <w:fldChar w:fldCharType="separate"/>
      </w:r>
      <w:r w:rsidR="005515F1" w:rsidRPr="005515F1">
        <w:rPr>
          <w:noProof/>
        </w:rPr>
        <w:t>(Torres-Barceló et al. 2013)</w:t>
      </w:r>
      <w:r w:rsidR="005515F1" w:rsidRPr="005515F1">
        <w:fldChar w:fldCharType="end"/>
      </w:r>
      <w:r w:rsidR="005515F1" w:rsidRPr="005515F1">
        <w:t>.</w:t>
      </w:r>
      <w:r w:rsidR="00B85CA4">
        <w:t xml:space="preserve"> For example, a 50-fold increase in adaptation rate can be </w:t>
      </w:r>
      <w:r w:rsidR="005202A0">
        <w:t>achieved</w:t>
      </w:r>
      <w:r w:rsidR="00B85CA4">
        <w:t xml:space="preserve"> with CM with </w:t>
      </w:r>
      <w:r w:rsidR="00B85CA4" w:rsidRPr="00B85CA4">
        <w:rPr>
          <w:i/>
          <w:iCs/>
        </w:rPr>
        <w:t>τ=7</w:t>
      </w:r>
      <w:r w:rsidR="00B85CA4">
        <w:t xml:space="preserve">, SIM with </w:t>
      </w:r>
      <w:r w:rsidR="00B85CA4" w:rsidRPr="00B85CA4">
        <w:rPr>
          <w:i/>
          <w:iCs/>
        </w:rPr>
        <w:t>τ</w:t>
      </w:r>
      <w:r w:rsidR="00B85CA4">
        <w:rPr>
          <w:i/>
          <w:iCs/>
        </w:rPr>
        <w:t>=50</w:t>
      </w:r>
      <w:r w:rsidR="00B85CA4">
        <w:t xml:space="preserve"> or a mixed strategy with </w:t>
      </w:r>
      <w:r w:rsidR="00B85CA4" w:rsidRPr="00B85CA4">
        <w:rPr>
          <w:i/>
          <w:iCs/>
          <w:highlight w:val="yellow"/>
        </w:rPr>
        <w:t>τ</w:t>
      </w:r>
      <w:r w:rsidR="00B85CA4" w:rsidRPr="00B85CA4">
        <w:rPr>
          <w:i/>
          <w:iCs/>
          <w:highlight w:val="yellow"/>
          <w:vertAlign w:val="subscript"/>
        </w:rPr>
        <w:t>1</w:t>
      </w:r>
      <w:r w:rsidR="00B85CA4" w:rsidRPr="00B85CA4">
        <w:rPr>
          <w:i/>
          <w:iCs/>
          <w:highlight w:val="yellow"/>
        </w:rPr>
        <w:t>=</w:t>
      </w:r>
      <w:r w:rsidR="00B85CA4" w:rsidRPr="00B85CA4">
        <w:rPr>
          <w:i/>
          <w:iCs/>
          <w:highlight w:val="yellow"/>
        </w:rPr>
        <w:t xml:space="preserve">2 </w:t>
      </w:r>
      <w:r w:rsidR="00B85CA4" w:rsidRPr="00B85CA4">
        <w:rPr>
          <w:highlight w:val="yellow"/>
        </w:rPr>
        <w:t>and</w:t>
      </w:r>
      <w:r w:rsidR="00B85CA4" w:rsidRPr="00B85CA4">
        <w:rPr>
          <w:i/>
          <w:iCs/>
          <w:highlight w:val="yellow"/>
        </w:rPr>
        <w:t xml:space="preserve"> </w:t>
      </w:r>
      <w:r w:rsidR="00B85CA4" w:rsidRPr="00B85CA4">
        <w:rPr>
          <w:i/>
          <w:iCs/>
          <w:highlight w:val="yellow"/>
        </w:rPr>
        <w:t>τ</w:t>
      </w:r>
      <w:r w:rsidR="00B85CA4" w:rsidRPr="00B85CA4">
        <w:rPr>
          <w:i/>
          <w:iCs/>
          <w:highlight w:val="yellow"/>
          <w:vertAlign w:val="subscript"/>
        </w:rPr>
        <w:t>2</w:t>
      </w:r>
      <w:r w:rsidR="00B85CA4" w:rsidRPr="00B85CA4">
        <w:rPr>
          <w:i/>
          <w:iCs/>
          <w:highlight w:val="yellow"/>
        </w:rPr>
        <w:t>=</w:t>
      </w:r>
      <w:r w:rsidR="00B85CA4" w:rsidRPr="00B85CA4">
        <w:rPr>
          <w:i/>
          <w:iCs/>
          <w:highlight w:val="yellow"/>
        </w:rPr>
        <w:t>10</w:t>
      </w:r>
      <w:r w:rsidR="00B85CA4">
        <w:t xml:space="preserve">. The mutational burden will decrease the mean fitness 0.9972-fold with CM and </w:t>
      </w:r>
      <w:r w:rsidR="00B85CA4" w:rsidRPr="005202A0">
        <w:rPr>
          <w:highlight w:val="yellow"/>
        </w:rPr>
        <w:t>0.996-fold</w:t>
      </w:r>
      <w:r w:rsidR="00B85CA4">
        <w:t xml:space="preserve"> with the mixed strategy, but will not have an effect with SIM.</w:t>
      </w:r>
    </w:p>
    <w:p w:rsidR="009040D1" w:rsidRDefault="009040D1" w:rsidP="009040D1">
      <w:pPr>
        <w:rPr>
          <w:lang w:bidi="hi-IN"/>
        </w:rPr>
      </w:pPr>
    </w:p>
    <w:p w:rsidR="009040D1" w:rsidRDefault="009040D1" w:rsidP="009040D1">
      <w:pPr>
        <w:keepNext/>
      </w:pPr>
      <w:r>
        <w:rPr>
          <w:noProof/>
        </w:rPr>
        <w:lastRenderedPageBreak/>
        <w:drawing>
          <wp:inline distT="0" distB="0" distL="0" distR="0" wp14:anchorId="69AE8E2A" wp14:editId="6890DACA">
            <wp:extent cx="4660900" cy="3683000"/>
            <wp:effectExtent l="0" t="0" r="6350" b="0"/>
            <wp:docPr id="1" name="Picture 1" descr="D:\workspace\ruggedsim\manuscript\par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pareto.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768" t="9925" r="8902" b="2857"/>
                    <a:stretch/>
                  </pic:blipFill>
                  <pic:spPr bwMode="auto">
                    <a:xfrm>
                      <a:off x="0" y="0"/>
                      <a:ext cx="4658797" cy="3681338"/>
                    </a:xfrm>
                    <a:prstGeom prst="rect">
                      <a:avLst/>
                    </a:prstGeom>
                    <a:noFill/>
                    <a:ln>
                      <a:noFill/>
                    </a:ln>
                    <a:extLst>
                      <a:ext uri="{53640926-AAD7-44D8-BBD7-CCE9431645EC}">
                        <a14:shadowObscured xmlns:a14="http://schemas.microsoft.com/office/drawing/2010/main"/>
                      </a:ext>
                    </a:extLst>
                  </pic:spPr>
                </pic:pic>
              </a:graphicData>
            </a:graphic>
          </wp:inline>
        </w:drawing>
      </w:r>
    </w:p>
    <w:p w:rsidR="009040D1" w:rsidRDefault="009040D1" w:rsidP="00004B35">
      <w:pPr>
        <w:pStyle w:val="FigureLegend"/>
        <w:rPr>
          <w:lang w:bidi="hi-IN"/>
        </w:rPr>
      </w:pPr>
      <w:r w:rsidRPr="009040D1">
        <w:rPr>
          <w:b/>
          <w:bCs/>
        </w:rPr>
        <w:t xml:space="preserve">Figure </w:t>
      </w:r>
      <w:r w:rsidRPr="009040D1">
        <w:rPr>
          <w:b/>
          <w:bCs/>
        </w:rPr>
        <w:fldChar w:fldCharType="begin"/>
      </w:r>
      <w:r w:rsidRPr="009040D1">
        <w:rPr>
          <w:b/>
          <w:bCs/>
        </w:rPr>
        <w:instrText xml:space="preserve"> SEQ Figure \* ARABIC </w:instrText>
      </w:r>
      <w:r w:rsidRPr="009040D1">
        <w:rPr>
          <w:b/>
          <w:bCs/>
        </w:rPr>
        <w:fldChar w:fldCharType="separate"/>
      </w:r>
      <w:r w:rsidRPr="009040D1">
        <w:rPr>
          <w:b/>
          <w:bCs/>
          <w:noProof/>
        </w:rPr>
        <w:t>2</w:t>
      </w:r>
      <w:r w:rsidRPr="009040D1">
        <w:rPr>
          <w:b/>
          <w:bCs/>
        </w:rPr>
        <w:fldChar w:fldCharType="end"/>
      </w:r>
      <w:r w:rsidRPr="009040D1">
        <w:rPr>
          <w:b/>
          <w:bCs/>
          <w:noProof/>
        </w:rPr>
        <w:t xml:space="preserve"> - </w:t>
      </w:r>
      <w:r w:rsidR="006D14E9">
        <w:rPr>
          <w:b/>
          <w:bCs/>
          <w:noProof/>
        </w:rPr>
        <w:t>A</w:t>
      </w:r>
      <w:r w:rsidRPr="009040D1">
        <w:rPr>
          <w:b/>
          <w:bCs/>
          <w:noProof/>
        </w:rPr>
        <w:t>daptedness and adaptability.</w:t>
      </w:r>
      <w:r>
        <w:rPr>
          <w:b/>
          <w:bCs/>
          <w:noProof/>
        </w:rPr>
        <w:t xml:space="preserve"> </w:t>
      </w:r>
      <w:r>
        <w:rPr>
          <w:noProof/>
        </w:rPr>
        <w:t xml:space="preserve">The figure shows the population mean fitness and adaptation rate of a mutator compared to non-mutators (NM) on the </w:t>
      </w:r>
      <w:r>
        <w:rPr>
          <w:lang w:bidi="hi-IN"/>
        </w:rPr>
        <w:t>x-axis and y-axis, respectively. Constitutive mutators (CM; in red) increase the mutation rate of all individuals; Stress-induced mutators (SIM; in blue) increase the mutation rate of stressed or maladapted individuals; Mixed strategies (in</w:t>
      </w:r>
      <w:r w:rsidR="005515F1">
        <w:rPr>
          <w:lang w:bidi="hi-IN"/>
        </w:rPr>
        <w:t xml:space="preserve"> dashed</w:t>
      </w:r>
      <w:r>
        <w:rPr>
          <w:lang w:bidi="hi-IN"/>
        </w:rPr>
        <w:t xml:space="preserve"> green) </w:t>
      </w:r>
      <w:r w:rsidRPr="00004B35">
        <w:rPr>
          <w:highlight w:val="yellow"/>
          <w:lang w:bidi="hi-IN"/>
        </w:rPr>
        <w:t xml:space="preserve">increase the mutation rate of </w:t>
      </w:r>
      <w:r w:rsidRPr="00004B35">
        <w:rPr>
          <w:i/>
          <w:iCs/>
          <w:highlight w:val="yellow"/>
        </w:rPr>
        <w:t>α</w:t>
      </w:r>
      <w:r w:rsidRPr="00004B35">
        <w:rPr>
          <w:highlight w:val="yellow"/>
          <w:lang w:bidi="hi-IN"/>
        </w:rPr>
        <w:t xml:space="preserve"> of the individuals when stressed and of </w:t>
      </w:r>
      <w:r w:rsidRPr="00004B35">
        <w:rPr>
          <w:i/>
          <w:iCs/>
          <w:highlight w:val="yellow"/>
          <w:lang w:bidi="hi-IN"/>
        </w:rPr>
        <w:t>1-</w:t>
      </w:r>
      <w:r w:rsidRPr="00004B35">
        <w:rPr>
          <w:i/>
          <w:iCs/>
          <w:highlight w:val="yellow"/>
        </w:rPr>
        <w:t>α</w:t>
      </w:r>
      <w:r w:rsidRPr="00004B35">
        <w:rPr>
          <w:highlight w:val="yellow"/>
        </w:rPr>
        <w:t xml:space="preserve"> of the individuals constitutively</w:t>
      </w:r>
      <w:r>
        <w:t xml:space="preserve">. </w:t>
      </w:r>
      <w:proofErr w:type="gramStart"/>
      <w:r>
        <w:rPr>
          <w:rFonts w:ascii="Times New Roman" w:hAnsi="Times New Roman" w:cs="Times New Roman"/>
          <w:i/>
          <w:iCs/>
        </w:rPr>
        <w:t>τ</w:t>
      </w:r>
      <w:proofErr w:type="gramEnd"/>
      <w:r>
        <w:rPr>
          <w:i/>
          <w:iCs/>
        </w:rPr>
        <w:t xml:space="preserve"> </w:t>
      </w:r>
      <w:r>
        <w:t>is the mutation rate fold increase in hypermutating individuals.</w:t>
      </w:r>
      <w:r w:rsidR="00004B35">
        <w:t xml:space="preserve"> </w:t>
      </w:r>
      <w:r w:rsidR="006D14E9">
        <w:t>SIM breaks the adaptability-adaptedness trade-off of CM, increasing the adaptation rate without reducing the population mean fitness.</w:t>
      </w:r>
      <w:r w:rsidR="006D14E9">
        <w:rPr>
          <w:lang w:bidi="hi-IN"/>
        </w:rPr>
        <w:t xml:space="preserve"> Parameter values: </w:t>
      </w:r>
      <w:r w:rsidR="006D14E9">
        <w:rPr>
          <w:lang w:bidi="hi-IN"/>
        </w:rPr>
        <w:t xml:space="preserve">population size </w:t>
      </w:r>
      <w:r w:rsidR="006D14E9">
        <w:rPr>
          <w:i/>
          <w:iCs/>
          <w:lang w:bidi="hi-IN"/>
        </w:rPr>
        <w:t>N=10</w:t>
      </w:r>
      <w:r w:rsidR="006D14E9">
        <w:rPr>
          <w:i/>
          <w:iCs/>
          <w:vertAlign w:val="superscript"/>
          <w:lang w:bidi="hi-IN"/>
        </w:rPr>
        <w:t>6</w:t>
      </w:r>
      <w:r w:rsidR="006D14E9">
        <w:rPr>
          <w:lang w:bidi="hi-IN"/>
        </w:rPr>
        <w:t xml:space="preserve">, deleterious mutation rate </w:t>
      </w:r>
      <w:r w:rsidR="006D14E9">
        <w:rPr>
          <w:i/>
          <w:iCs/>
          <w:lang w:bidi="hi-IN"/>
        </w:rPr>
        <w:t>U=</w:t>
      </w:r>
      <w:r w:rsidR="006D14E9">
        <w:rPr>
          <w:i/>
          <w:iCs/>
          <w:lang w:bidi="hi-IN"/>
        </w:rPr>
        <w:softHyphen/>
        <w:t>0.0004</w:t>
      </w:r>
      <w:r w:rsidR="006D14E9">
        <w:rPr>
          <w:lang w:bidi="hi-IN"/>
        </w:rPr>
        <w:t xml:space="preserve">, site-specific mutation rate </w:t>
      </w:r>
      <w:r w:rsidR="006D14E9">
        <w:rPr>
          <w:rFonts w:ascii="Times New Roman" w:hAnsi="Times New Roman" w:cs="Times New Roman"/>
          <w:i/>
          <w:iCs/>
          <w:lang w:bidi="hi-IN"/>
        </w:rPr>
        <w:t>µ</w:t>
      </w:r>
      <w:r w:rsidR="006D14E9">
        <w:rPr>
          <w:i/>
          <w:iCs/>
          <w:lang w:bidi="hi-IN"/>
        </w:rPr>
        <w:t>=U/5000</w:t>
      </w:r>
      <w:r w:rsidR="006D14E9">
        <w:rPr>
          <w:lang w:bidi="hi-IN"/>
        </w:rPr>
        <w:t xml:space="preserve">, selection coefficient </w:t>
      </w:r>
      <w:r w:rsidR="006D14E9">
        <w:rPr>
          <w:i/>
          <w:iCs/>
          <w:lang w:bidi="hi-IN"/>
        </w:rPr>
        <w:t>s=0.05</w:t>
      </w:r>
      <w:r w:rsidR="006D14E9">
        <w:rPr>
          <w:lang w:bidi="hi-IN"/>
        </w:rPr>
        <w:t xml:space="preserve">, double mutant advantage </w:t>
      </w:r>
      <w:r w:rsidR="006D14E9">
        <w:rPr>
          <w:i/>
          <w:iCs/>
          <w:lang w:bidi="hi-IN"/>
        </w:rPr>
        <w:t>H=2</w:t>
      </w:r>
      <w:r w:rsidR="006D14E9">
        <w:rPr>
          <w:lang w:bidi="hi-IN"/>
        </w:rPr>
        <w:t>.</w:t>
      </w:r>
      <w:r w:rsidR="00004B35">
        <w:rPr>
          <w:lang w:bidi="hi-IN"/>
        </w:rPr>
        <w:t xml:space="preserve"> </w:t>
      </w:r>
      <w:r w:rsidR="00004B35" w:rsidRPr="00004B35">
        <w:rPr>
          <w:highlight w:val="yellow"/>
          <w:lang w:bidi="hi-IN"/>
        </w:rPr>
        <w:t>SIM-I/SIM-II</w:t>
      </w:r>
    </w:p>
    <w:p w:rsidR="00004B35" w:rsidRDefault="00004B35" w:rsidP="00004B35">
      <w:pPr>
        <w:pStyle w:val="Heading1"/>
        <w:rPr>
          <w:lang w:bidi="hi-IN"/>
        </w:rPr>
      </w:pPr>
      <w:r>
        <w:rPr>
          <w:lang w:bidi="hi-IN"/>
        </w:rPr>
        <w:t>Discussion</w:t>
      </w:r>
    </w:p>
    <w:p w:rsidR="00004B35" w:rsidRDefault="00004B35" w:rsidP="00004B35">
      <w:pPr>
        <w:rPr>
          <w:lang w:bidi="hi-IN"/>
        </w:rPr>
      </w:pPr>
      <w:r>
        <w:rPr>
          <w:lang w:bidi="hi-IN"/>
        </w:rPr>
        <w:t xml:space="preserve">We developed theoretical models to analyze the relative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w:t>
      </w:r>
      <w:proofErr w:type="gramStart"/>
      <w:r>
        <w:rPr>
          <w:lang w:bidi="hi-IN"/>
        </w:rPr>
        <w:t>mean</w:t>
      </w:r>
      <w:proofErr w:type="gramEnd"/>
      <w:r>
        <w:rPr>
          <w:lang w:bidi="hi-IN"/>
        </w:rPr>
        <w:t xml:space="preserve"> fitness. </w:t>
      </w:r>
    </w:p>
    <w:p w:rsidR="00004B35" w:rsidRPr="00004B35" w:rsidRDefault="00004B35" w:rsidP="00004B35">
      <w:pPr>
        <w:rPr>
          <w:lang w:bidi="hi-IN"/>
        </w:rPr>
      </w:pPr>
      <w:bookmarkStart w:id="15" w:name="_GoBack"/>
      <w:bookmarkEnd w:id="15"/>
    </w:p>
    <w:sectPr w:rsidR="00004B35" w:rsidRPr="00004B35" w:rsidSect="00753267">
      <w:footerReference w:type="default" r:id="rId12"/>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7EA5" w:rsidRDefault="00527EA5" w:rsidP="009A122D">
      <w:pPr>
        <w:spacing w:after="0" w:line="240" w:lineRule="auto"/>
      </w:pPr>
      <w:r>
        <w:separator/>
      </w:r>
    </w:p>
  </w:endnote>
  <w:endnote w:type="continuationSeparator" w:id="0">
    <w:p w:rsidR="00527EA5" w:rsidRDefault="00527EA5"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3BA5771C-F091-4CB3-A934-7AC5B540D9E9}"/>
    <w:embedBold r:id="rId2" w:fontKey="{BF1AB15C-7730-4AF7-BC28-E74809C5E2F8}"/>
    <w:embedItalic r:id="rId3" w:fontKey="{3C63E7F9-3A9D-4A36-A7D4-EFFD81AE43A4}"/>
    <w:embedBoldItalic r:id="rId4" w:fontKey="{4F7403F3-7F5B-4944-AC9B-FB7A9CF54F49}"/>
  </w:font>
  <w:font w:name="Tahoma">
    <w:panose1 w:val="020B0604030504040204"/>
    <w:charset w:val="00"/>
    <w:family w:val="swiss"/>
    <w:pitch w:val="variable"/>
    <w:sig w:usb0="E1002EFF" w:usb1="C000605B" w:usb2="00000029" w:usb3="00000000" w:csb0="000101FF" w:csb1="00000000"/>
    <w:embedRegular r:id="rId5" w:fontKey="{391F4195-67E5-4273-933F-8C75D7F70E2E}"/>
  </w:font>
  <w:font w:name="cmr10">
    <w:panose1 w:val="020B0500000000000000"/>
    <w:charset w:val="00"/>
    <w:family w:val="swiss"/>
    <w:pitch w:val="variable"/>
    <w:sig w:usb0="00000003" w:usb1="00000000" w:usb2="00000000" w:usb3="00000000" w:csb0="00000001" w:csb1="00000000"/>
    <w:embedRegular r:id="rId6" w:fontKey="{17B52C30-5FC4-4CBF-82A4-EE4A25A3D1B7}"/>
  </w:font>
  <w:font w:name="Cambria Math">
    <w:panose1 w:val="02040503050406030204"/>
    <w:charset w:val="00"/>
    <w:family w:val="roman"/>
    <w:pitch w:val="variable"/>
    <w:sig w:usb0="E00002FF" w:usb1="420024FF" w:usb2="00000000" w:usb3="00000000" w:csb0="0000019F" w:csb1="00000000"/>
    <w:embedRegular r:id="rId7" w:fontKey="{4F623E6A-26B3-49E2-ABF5-05E61CB11122}"/>
    <w:embedItalic r:id="rId8" w:fontKey="{3C7F127B-3546-4D72-A25A-85F7D0C56FFA}"/>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5F1227" w:rsidRDefault="005F1227">
        <w:pPr>
          <w:pStyle w:val="Footer"/>
          <w:jc w:val="center"/>
        </w:pPr>
        <w:r>
          <w:fldChar w:fldCharType="begin"/>
        </w:r>
        <w:r>
          <w:instrText xml:space="preserve"> PAGE   \* MERGEFORMAT </w:instrText>
        </w:r>
        <w:r>
          <w:fldChar w:fldCharType="separate"/>
        </w:r>
        <w:r w:rsidR="00004B35">
          <w:rPr>
            <w:noProof/>
          </w:rPr>
          <w:t>12</w:t>
        </w:r>
        <w:r>
          <w:rPr>
            <w:noProof/>
          </w:rPr>
          <w:fldChar w:fldCharType="end"/>
        </w:r>
      </w:p>
    </w:sdtContent>
  </w:sdt>
  <w:p w:rsidR="005F1227" w:rsidRDefault="005F12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7EA5" w:rsidRDefault="00527EA5" w:rsidP="009A122D">
      <w:pPr>
        <w:spacing w:after="0" w:line="240" w:lineRule="auto"/>
      </w:pPr>
      <w:r>
        <w:separator/>
      </w:r>
    </w:p>
  </w:footnote>
  <w:footnote w:type="continuationSeparator" w:id="0">
    <w:p w:rsidR="00527EA5" w:rsidRDefault="00527EA5" w:rsidP="009A122D">
      <w:pPr>
        <w:spacing w:after="0" w:line="240" w:lineRule="auto"/>
      </w:pPr>
      <w:r>
        <w:continuationSeparator/>
      </w:r>
    </w:p>
  </w:footnote>
  <w:footnote w:id="1">
    <w:p w:rsidR="005F1227" w:rsidRDefault="005F1227" w:rsidP="005F1227">
      <w:pPr>
        <w:pStyle w:val="FootnoteText"/>
      </w:pPr>
      <w:r>
        <w:rPr>
          <w:rStyle w:val="FootnoteReference"/>
        </w:rPr>
        <w:footnoteRef/>
      </w:r>
      <w:r>
        <w:t xml:space="preserve"> </w:t>
      </w:r>
      <w:r>
        <w:rPr>
          <w:rFonts w:eastAsiaTheme="minorEastAsia"/>
          <w:lang w:bidi="hi-IN"/>
        </w:rPr>
        <w:t xml:space="preserve">A star </w:t>
      </w:r>
      <w:r w:rsidRPr="005F1227">
        <w:rPr>
          <w:rFonts w:eastAsiaTheme="minorEastAsia"/>
          <w:i/>
          <w:iCs/>
          <w:lang w:bidi="hi-IN"/>
        </w:rPr>
        <w:t>*</w:t>
      </w:r>
      <w:r>
        <w:rPr>
          <w:rFonts w:eastAsiaTheme="minorEastAsia"/>
          <w:lang w:bidi="hi-IN"/>
        </w:rPr>
        <w:t xml:space="preserve"> denotes equilibrium values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4B35"/>
    <w:rsid w:val="00010EC0"/>
    <w:rsid w:val="00042C46"/>
    <w:rsid w:val="000545AB"/>
    <w:rsid w:val="0008670D"/>
    <w:rsid w:val="000C6518"/>
    <w:rsid w:val="000D56CE"/>
    <w:rsid w:val="000E60A3"/>
    <w:rsid w:val="00101FCD"/>
    <w:rsid w:val="001033CA"/>
    <w:rsid w:val="00125157"/>
    <w:rsid w:val="001307C7"/>
    <w:rsid w:val="001910E3"/>
    <w:rsid w:val="001C455A"/>
    <w:rsid w:val="001F5496"/>
    <w:rsid w:val="002135AE"/>
    <w:rsid w:val="0021470E"/>
    <w:rsid w:val="00245A8B"/>
    <w:rsid w:val="002630C5"/>
    <w:rsid w:val="00275A3C"/>
    <w:rsid w:val="002B1207"/>
    <w:rsid w:val="002D7506"/>
    <w:rsid w:val="00354774"/>
    <w:rsid w:val="00373875"/>
    <w:rsid w:val="003D42F5"/>
    <w:rsid w:val="003D4900"/>
    <w:rsid w:val="003F5091"/>
    <w:rsid w:val="00401E4A"/>
    <w:rsid w:val="0046652F"/>
    <w:rsid w:val="004A2989"/>
    <w:rsid w:val="005202A0"/>
    <w:rsid w:val="00527EA5"/>
    <w:rsid w:val="00544FA2"/>
    <w:rsid w:val="005515F1"/>
    <w:rsid w:val="00563FAB"/>
    <w:rsid w:val="00564668"/>
    <w:rsid w:val="005A2F68"/>
    <w:rsid w:val="005E3A59"/>
    <w:rsid w:val="005F1227"/>
    <w:rsid w:val="00607B56"/>
    <w:rsid w:val="00625517"/>
    <w:rsid w:val="006C02DB"/>
    <w:rsid w:val="006D14E9"/>
    <w:rsid w:val="00753267"/>
    <w:rsid w:val="007E25F3"/>
    <w:rsid w:val="007E6659"/>
    <w:rsid w:val="009040D1"/>
    <w:rsid w:val="00925154"/>
    <w:rsid w:val="00932C9B"/>
    <w:rsid w:val="009A122D"/>
    <w:rsid w:val="00A03104"/>
    <w:rsid w:val="00A70358"/>
    <w:rsid w:val="00A9277F"/>
    <w:rsid w:val="00AB0448"/>
    <w:rsid w:val="00AC498F"/>
    <w:rsid w:val="00AC687F"/>
    <w:rsid w:val="00B10C13"/>
    <w:rsid w:val="00B5286A"/>
    <w:rsid w:val="00B72912"/>
    <w:rsid w:val="00B82D73"/>
    <w:rsid w:val="00B85CA4"/>
    <w:rsid w:val="00B86C28"/>
    <w:rsid w:val="00B96911"/>
    <w:rsid w:val="00BA6231"/>
    <w:rsid w:val="00BF2DDC"/>
    <w:rsid w:val="00C2360B"/>
    <w:rsid w:val="00C555BC"/>
    <w:rsid w:val="00D3522A"/>
    <w:rsid w:val="00D40F2C"/>
    <w:rsid w:val="00D82F82"/>
    <w:rsid w:val="00DB72B7"/>
    <w:rsid w:val="00DE1C4B"/>
    <w:rsid w:val="00E466DE"/>
    <w:rsid w:val="00EA4F71"/>
    <w:rsid w:val="00EB3214"/>
    <w:rsid w:val="00EB5020"/>
    <w:rsid w:val="00F27D77"/>
    <w:rsid w:val="00F83F2E"/>
    <w:rsid w:val="00F8789F"/>
    <w:rsid w:val="00FC321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5D2"/>
    <w:rsid w:val="002B6B29"/>
    <w:rsid w:val="009455D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B6B29"/>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B6B2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F4E9A2-A095-4FBF-BD28-310E64DCE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2487</TotalTime>
  <Pages>12</Pages>
  <Words>16606</Words>
  <Characters>83031</Characters>
  <Application>Microsoft Office Word</Application>
  <DocSecurity>0</DocSecurity>
  <Lines>691</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40</cp:revision>
  <dcterms:created xsi:type="dcterms:W3CDTF">2013-06-18T10:07:00Z</dcterms:created>
  <dcterms:modified xsi:type="dcterms:W3CDTF">2013-06-23T09:07:00Z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http://www.zotero.org/styles/biology-letters</vt:lpwstr>
  </property>
  <property fmtid="{D5CDD505-2E9C-101B-9397-08002B2CF9AE}" pid="10" name="Mendeley Recent Style Name 2_1">
    <vt:lpwstr>Biology Letters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