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Between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r w:rsidRPr="0038310A">
        <w:rPr>
          <w:sz w:val="28"/>
          <w:szCs w:val="22"/>
        </w:rPr>
        <w:t>Yoav Ram and Lilach Hadany</w:t>
      </w:r>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Pr="00823689">
          <w:rPr>
            <w:rStyle w:val="Hyperlink"/>
            <w:lang w:bidi="hi-IN"/>
          </w:rPr>
          <w:t>lilach.haday@gmail.com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13F54">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313F54">
        <w:rPr>
          <w:lang w:bidi="hi-IN"/>
        </w:rPr>
        <w:t>X</w:t>
      </w:r>
      <w:r w:rsidR="00347C94">
        <w:rPr>
          <w:lang w:bidi="hi-IN"/>
        </w:rPr>
        <w:t xml:space="preserve"> figures, 1 table</w:t>
      </w:r>
    </w:p>
    <w:p w:rsidR="0038310A" w:rsidRDefault="00347C94" w:rsidP="00FB1726">
      <w:pPr>
        <w:spacing w:line="480" w:lineRule="auto"/>
        <w:ind w:firstLine="284"/>
        <w:rPr>
          <w:lang w:bidi="hi-IN"/>
        </w:rPr>
      </w:pPr>
      <w:r w:rsidRPr="0038310A">
        <w:rPr>
          <w:b/>
          <w:bCs/>
          <w:lang w:bidi="hi-IN"/>
        </w:rPr>
        <w:t>Data archiving</w:t>
      </w:r>
      <w:r w:rsidR="00FB1726">
        <w:rPr>
          <w:lang w:bidi="hi-IN"/>
        </w:rPr>
        <w:t>: Dryad</w:t>
      </w:r>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6D3220">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w:t>
      </w:r>
      <w:r w:rsidR="006D3220">
        <w:t>can be</w:t>
      </w:r>
      <w:r>
        <w:t xml:space="preserve"> an </w:t>
      </w:r>
      <w:r w:rsidR="008643AC">
        <w:t xml:space="preserve">adaptive </w:t>
      </w:r>
      <w:r>
        <w:t>trait</w:t>
      </w:r>
      <w:r w:rsidR="006D3220">
        <w:t xml:space="preserve"> </w:t>
      </w:r>
      <w:r w:rsidR="006D3220" w:rsidRPr="006D3220">
        <w:t>and provide quantitative predictions about the difference between different mutational strategies in adaptive evolution.</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663378">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0B0AFE">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00663378" w:rsidRPr="00663378">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xml:space="preserve">, leading to "the rise and fall of the mutator allele" </w:t>
      </w:r>
      <w:r w:rsidR="00CA7DA9">
        <w:fldChar w:fldCharType="begin" w:fldLock="1"/>
      </w:r>
      <w:r w:rsidR="000B0AFE">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"ITEM-2",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"ITEM-3",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"ITEM-3", "issue" : "9", "issued" : { "date-parts" : [ [ "1998", "3" ] ] }, "page" : "2012-2015", "title" : "Mutator Dynamics on a Smooth Evolutionary Landscape", "type" : "article-journal", "volume" : "80" }, "uris" : [ "http://www.mendeley.com/documents/?uuid=87e79d5f-65b8-40bf-8c34-1a7629afca5e" ] }, { "id" : "ITEM-4",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"ITEM-4", "issue" : "4", "issued" : { "date-parts" : [ [ "2006", "5" ] ] }, "page" : "820-7", "title" : "Evolution of mutation rates in bacteria.", "type" : "article-journal", "volume" : "60" }, "uris" : [ "http://www.mendeley.com/documents/?uuid=16f2f8bc-97da-47fa-ae1a-58603ba66bca" ] }, { "id" : "ITEM-5",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"ITEM-5",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Taddei et al. 1997; Kessler and Levine 1998; Denamur and Matic 2006; Wielgoss et al. 2012)" }, "properties" : { "noteIndex" : 0 }, "schema" : "https://github.com/citation-style-language/schema/raw/master/csl-citation.json" }</w:instrText>
      </w:r>
      <w:r w:rsidR="00CA7DA9">
        <w:fldChar w:fldCharType="separate"/>
      </w:r>
      <w:r w:rsidR="00271D8B" w:rsidRPr="00271D8B">
        <w:rPr>
          <w:noProof/>
        </w:rPr>
        <w:t>(Sniegowski et al. 1997; Taddei et al. 1997; Kessler and Levine 1998; Denamur and Matic 2006; Wielgoss et al. 2012)</w:t>
      </w:r>
      <w:r w:rsidR="00CA7DA9">
        <w:fldChar w:fldCharType="end"/>
      </w:r>
      <w:r>
        <w:t>.</w:t>
      </w:r>
      <w:r w:rsidR="0017087D">
        <w:t xml:space="preserve"> </w:t>
      </w:r>
      <w:r w:rsidR="00A725E6">
        <w:t xml:space="preserve">Leigh </w:t>
      </w:r>
      <w:r w:rsidR="00CA7DA9">
        <w:fldChar w:fldCharType="begin" w:fldLock="1"/>
      </w:r>
      <w:r w:rsidR="000B0AFE">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w:t>
      </w:r>
      <w:r w:rsidR="00A725E6">
        <w:lastRenderedPageBreak/>
        <w:t xml:space="preserve">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F052BD">
      <w:pPr>
        <w:spacing w:line="480" w:lineRule="auto"/>
      </w:pPr>
      <w:r>
        <w:t>Stress-induced mutagenesis (SIM)</w:t>
      </w:r>
      <w:r w:rsidR="00C2015F">
        <w:t>,</w:t>
      </w:r>
      <w:r>
        <w:t xml:space="preserve"> the increase of mutation rate</w:t>
      </w:r>
      <w:r w:rsidR="00C2015F">
        <w:t>s</w:t>
      </w:r>
      <w:r>
        <w:t xml:space="preserve"> in stressed or maladapted individuals, </w:t>
      </w:r>
      <w:r w:rsidR="00C2015F">
        <w:t>was</w:t>
      </w:r>
      <w:r>
        <w:t xml:space="preserve"> demonstrated in </w:t>
      </w:r>
      <w:r w:rsidR="00C2015F">
        <w:t>many</w:t>
      </w:r>
      <w:r>
        <w:t xml:space="preserve"> species, both prokaryote and eukaryote </w:t>
      </w:r>
      <w:r w:rsidR="00CA7DA9">
        <w:fldChar w:fldCharType="begin" w:fldLock="1"/>
      </w:r>
      <w:r w:rsidR="000B0AFE">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"ITEM-2",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"id" : "ITEM-3",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"ITEM-3", "issue" : "16", "issued" : { "date-parts" : [ [ "2012", "4", "17" ] ] }, "page" : "6142-6", "title" : "Evidence for elevated mutation rates in low-quality genotypes.", "type" : "article-journal", "volume" : "109" }, "uris" : [ "http://www.mendeley.com/documents/?uuid=ae5981bc-560e-47cc-9f70-ebd384c1b3ea" ] }, { "id" : "ITEM-4",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"ITEM-4", "issue" : "3", "issued" : { "date-parts" : [ [ "2013", "3", "12" ] ] }, "page" : "221-7", "publisher" : "Nature Publishing Group", "title" : "Evaluating evolutionary models of stress-induced mutagenesis in bacteria.", "type" : "article-journal", "volume" : "14" }, "uris" : [ "http://www.mendeley.com/documents/?uuid=eb0ec82e-9abe-4665-8ba6-346ddcabd4a9" ] }, { "id" : "ITEM-5",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"ITEM-5", "issue" : "5", "issued" : { "date-parts" : [ [ "2007" ] ] }, "page" : "399-435", "title" : "Mutation as a stress response and the regulation of evolvability.", "type" : "article-journal", "volume" : "42" }, "uris" : [ "http://www.mendeley.com/documents/?uuid=9fcd9085-9447-450a-a846-6665443b9611" ] } ], "mendeley" : { "previouslyFormattedCitation" : "(Goho and Bell 2000; Foster 2007; Galhardo et al. 2007; Sharp and Agrawal 2012; MacLean et al. 2013)" }, "properties" : { "noteIndex" : 0 }, "schema" : "https://github.com/citation-style-language/schema/raw/master/csl-citation.json" }</w:instrText>
      </w:r>
      <w:r w:rsidR="00CA7DA9">
        <w:fldChar w:fldCharType="separate"/>
      </w:r>
      <w:r w:rsidR="000B0AFE" w:rsidRPr="000B0AFE">
        <w:rPr>
          <w:noProof/>
        </w:rPr>
        <w:t>(Goho and Bell 2000; Foster 2007; Galhardo et al. 2007; Sharp and Agrawal 2012; MacLean et al. 2013)</w:t>
      </w:r>
      <w:r w:rsidR="00CA7DA9">
        <w:fldChar w:fldCharType="end"/>
      </w:r>
      <w:r w:rsidR="00F052BD">
        <w:t xml:space="preserve"> , including natural populations of </w:t>
      </w:r>
      <w:r w:rsidR="00F052BD">
        <w:rPr>
          <w:i/>
          <w:iCs/>
        </w:rPr>
        <w:t>Escherichia coli</w:t>
      </w:r>
      <w:r w:rsidR="00F052BD">
        <w:t xml:space="preserve"> </w:t>
      </w:r>
      <w:r w:rsidR="00F052BD">
        <w:fldChar w:fldCharType="begin" w:fldLock="1"/>
      </w:r>
      <w:r w:rsidR="000B0AFE">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F052BD">
        <w:fldChar w:fldCharType="separate"/>
      </w:r>
      <w:r w:rsidR="00F052BD" w:rsidRPr="00313F54">
        <w:rPr>
          <w:noProof/>
        </w:rPr>
        <w:t>(Bjedov et al. 2003)</w:t>
      </w:r>
      <w:r w:rsidR="00F052BD">
        <w:fldChar w:fldCharType="end"/>
      </w:r>
      <w:r>
        <w:t xml:space="preserve">. </w:t>
      </w:r>
      <w:r w:rsidR="00C2015F">
        <w:t xml:space="preserve">Several </w:t>
      </w:r>
      <w:r>
        <w:t>stress responses</w:t>
      </w:r>
      <w:r w:rsidR="00AE0B1E">
        <w:t xml:space="preserve"> </w:t>
      </w:r>
      <w:r>
        <w:t xml:space="preserve">regulate the mutation rate by shifting </w:t>
      </w:r>
      <w:r w:rsidR="00C2015F">
        <w:t>replication</w:t>
      </w:r>
      <w:r>
        <w:t xml:space="preserve"> to error-prone DNA polymerases </w:t>
      </w:r>
      <w:r w:rsidR="00CA7DA9">
        <w:fldChar w:fldCharType="begin" w:fldLock="1"/>
      </w:r>
      <w:r w:rsidR="000B0AFE">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0B0AFE">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hese stress responses include the SOS DNA-damage response, the RpoS-controlled general or starvation stress response</w:t>
      </w:r>
      <w:r w:rsidR="00C2015F">
        <w:t>,</w:t>
      </w:r>
      <w:r w:rsidR="00AE0B1E">
        <w:t xml:space="preserve"> and the RpoE membrane protein stress response </w:t>
      </w:r>
      <w:r w:rsidR="00CA7DA9">
        <w:fldChar w:fldCharType="begin" w:fldLock="1"/>
      </w:r>
      <w:r w:rsidR="000B0AFE">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r w:rsidR="00313F54">
        <w:t xml:space="preserve"> </w:t>
      </w:r>
    </w:p>
    <w:p w:rsidR="001307C7" w:rsidRPr="00A725E6" w:rsidRDefault="009770F6" w:rsidP="00033028">
      <w:pPr>
        <w:spacing w:line="480" w:lineRule="auto"/>
      </w:pPr>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CA7DA9">
        <w:fldChar w:fldCharType="begin" w:fldLock="1"/>
      </w:r>
      <w:r w:rsidR="000B0AFE">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663378" w:rsidRPr="00663378">
        <w:rPr>
          <w:noProof/>
        </w:rPr>
        <w:t>(Tenaillon et al. 2004;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t>was</w:t>
      </w:r>
      <w:r w:rsidR="00391853">
        <w:t xml:space="preserve"> </w:t>
      </w:r>
      <w:r>
        <w:t>modeled by Agrawal and later</w:t>
      </w:r>
      <w:r w:rsidR="00033028">
        <w:t xml:space="preserve"> by</w:t>
      </w:r>
      <w:r>
        <w:t xml:space="preserve"> Shaw and Baer</w:t>
      </w:r>
      <w:r w:rsidR="001307C7">
        <w:t xml:space="preserve"> </w:t>
      </w:r>
      <w:r w:rsidR="00CA7DA9">
        <w:fldChar w:fldCharType="begin" w:fldLock="1"/>
      </w:r>
      <w:r w:rsidR="000B0AFE">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00663378" w:rsidRPr="00663378">
        <w:rPr>
          <w:noProof/>
        </w:rPr>
        <w:t>(Agrawal 2002; Shaw and Baer 2011)</w:t>
      </w:r>
      <w:r w:rsidR="00CA7DA9">
        <w:fldChar w:fldCharType="end"/>
      </w:r>
      <w:r w:rsidR="001307C7">
        <w:t xml:space="preserve">, who showed </w:t>
      </w:r>
      <w:r w:rsidR="00932C9B">
        <w:t xml:space="preserve">that </w:t>
      </w:r>
      <w:r>
        <w:t>without beneficial mutat</w:t>
      </w:r>
      <w:r w:rsidR="00031C58">
        <w:t>ions</w:t>
      </w:r>
      <w:r>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w:t>
      </w:r>
      <w:r w:rsidR="00033028">
        <w:t xml:space="preserve">asexual </w:t>
      </w:r>
      <w:r w:rsidR="00031C58">
        <w:t xml:space="preserve">populations </w:t>
      </w:r>
      <w:r w:rsidR="00CA7DA9">
        <w:fldChar w:fldCharType="begin" w:fldLock="1"/>
      </w:r>
      <w:r w:rsidR="000B0AFE">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33028">
      <w:pPr>
        <w:spacing w:line="480" w:lineRule="auto"/>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33327A">
        <w:t>stress-induced,</w:t>
      </w:r>
      <w:r w:rsidR="00625517">
        <w:t xml:space="preserve"> </w:t>
      </w:r>
      <w:r w:rsidR="00FC62DB">
        <w:rPr>
          <w:lang w:bidi="hi-IN"/>
        </w:rPr>
        <w:t xml:space="preserve">and constitutive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w:t>
      </w:r>
      <w:r w:rsidR="0033327A">
        <w:rPr>
          <w:lang w:bidi="hi-IN"/>
        </w:rPr>
        <w:lastRenderedPageBreak/>
        <w:t xml:space="preserve">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p>
    <w:p w:rsidR="002630C5" w:rsidRDefault="002630C5" w:rsidP="002A0DCC">
      <w:pPr>
        <w:pStyle w:val="Heading1"/>
        <w:spacing w:line="480" w:lineRule="auto"/>
        <w:rPr>
          <w:lang w:bidi="hi-IN"/>
        </w:rPr>
      </w:pPr>
      <w:bookmarkStart w:id="0" w:name="_Ref361735010"/>
      <w:r>
        <w:rPr>
          <w:lang w:bidi="hi-IN"/>
        </w:rPr>
        <w:t>Model</w:t>
      </w:r>
      <w:bookmarkEnd w:id="0"/>
    </w:p>
    <w:p w:rsidR="00A96D14" w:rsidRDefault="00A96D14" w:rsidP="002A0DCC">
      <w:pPr>
        <w:pStyle w:val="Heading2"/>
        <w:spacing w:line="480" w:lineRule="auto"/>
      </w:pPr>
      <w:r>
        <w:t>Overview</w:t>
      </w:r>
    </w:p>
    <w:p w:rsidR="00EF3BEC" w:rsidRDefault="001910E3" w:rsidP="002A0DCC">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r w:rsidR="00EF3BEC" w:rsidRPr="008F5983">
        <w:rPr>
          <w:lang w:bidi="hi-IN"/>
        </w:rPr>
        <w:t>=</w:t>
      </w:r>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2A0DCC">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2A0DCC">
      <w:pPr>
        <w:spacing w:line="480" w:lineRule="auto"/>
      </w:pPr>
      <w:r>
        <w:rPr>
          <w:lang w:bidi="hi-IN"/>
        </w:rPr>
        <w:t xml:space="preserve">We focus on two bi-allelic loci </w:t>
      </w:r>
      <w:r>
        <w:t xml:space="preserve">in which the wildtype genotype is </w:t>
      </w:r>
      <w:r>
        <w:rPr>
          <w:i/>
          <w:iCs/>
        </w:rPr>
        <w:t>ab</w:t>
      </w:r>
      <w:r>
        <w:t xml:space="preserve"> and its fitness is 1. Mutations at these loci change </w:t>
      </w:r>
      <w:r>
        <w:rPr>
          <w:i/>
          <w:iCs/>
        </w:rPr>
        <w:t>a</w:t>
      </w:r>
      <w:r>
        <w:t xml:space="preserve"> to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2A0DCC">
      <w:pPr>
        <w:spacing w:line="480" w:lineRule="auto"/>
      </w:pPr>
      <w:r>
        <w:lastRenderedPageBreak/>
        <w:t xml:space="preserve">The adaptation process can be separated to two </w:t>
      </w:r>
      <w:r>
        <w:softHyphen/>
      </w:r>
      <w:r>
        <w:softHyphen/>
      </w:r>
      <w:r>
        <w:softHyphen/>
      </w:r>
      <w:r>
        <w:softHyphen/>
        <w:t xml:space="preserve">distinct </w:t>
      </w:r>
      <w:r w:rsidR="005D7A01">
        <w:t>stages</w:t>
      </w:r>
      <w:r>
        <w:t>. In the first</w:t>
      </w:r>
      <w:r w:rsidR="005D7A01">
        <w:t xml:space="preserve"> stage</w:t>
      </w:r>
      <w:r>
        <w:t xml:space="preserve">, a double mutant </w:t>
      </w:r>
      <w:r>
        <w:rPr>
          <w:i/>
          <w:iCs/>
        </w:rPr>
        <w:t>AB</w:t>
      </w:r>
      <w:r>
        <w:t xml:space="preserve"> appears in the population</w:t>
      </w:r>
      <w:r w:rsidR="005D7A01">
        <w:t xml:space="preserve"> </w:t>
      </w:r>
      <w:r>
        <w:t>in a single copy. In the second</w:t>
      </w:r>
      <w:r w:rsidR="005D7A01">
        <w:t xml:space="preserve"> stage</w:t>
      </w:r>
      <w:r>
        <w:t>, the single copy of the double mutant avoids extinction, increases in frequency</w:t>
      </w:r>
      <w:r w:rsidR="005D7A01">
        <w:t>,</w:t>
      </w:r>
      <w:r>
        <w:t xml:space="preserve"> and goes to fixation. </w:t>
      </w:r>
    </w:p>
    <w:p w:rsidR="00CA58CA" w:rsidRDefault="000D56CE" w:rsidP="002A0DCC">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 xml:space="preserve">a), in which we assume that: (i) </w:t>
      </w:r>
      <w:r w:rsidR="00607B56">
        <w:t xml:space="preserve">genotypes </w:t>
      </w:r>
      <w:r>
        <w:t>with deleterious alleles</w:t>
      </w:r>
      <w:r w:rsidR="00607B56">
        <w:t xml:space="preserve"> (except </w:t>
      </w:r>
      <w:r w:rsidR="00607B56">
        <w:rPr>
          <w:i/>
          <w:iCs/>
        </w:rPr>
        <w:t>Ab</w:t>
      </w:r>
      <w:r w:rsidR="00607B56">
        <w:t xml:space="preserve"> and </w:t>
      </w:r>
      <w:r w:rsidR="00607B56">
        <w:rPr>
          <w:i/>
          <w:iCs/>
        </w:rPr>
        <w:t>aB</w:t>
      </w:r>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0B0AFE">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232C71" w:rsidRPr="00F03785" w:rsidRDefault="000D56CE" w:rsidP="002A0DCC">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(i) let individuals with deleterious mutations contribute to adaptation, and (ii) let the MSB evolve from a mutation-free population.</w:t>
      </w:r>
      <w:r w:rsidR="00F03785">
        <w:t xml:space="preserve"> </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A0DCC">
      <w:pPr>
        <w:pStyle w:val="Heading2"/>
        <w:spacing w:line="480" w:lineRule="auto"/>
      </w:pPr>
      <w:r>
        <w:t>Appearance of a double mutant</w:t>
      </w:r>
    </w:p>
    <w:p w:rsidR="00A95F28" w:rsidRDefault="00A95F28" w:rsidP="002A0DCC">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r w:rsidR="002D7506">
        <w:rPr>
          <w:i/>
          <w:iCs/>
        </w:rPr>
        <w:t xml:space="preserve">aB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 xml:space="preserve">that (i) if </w:t>
      </w:r>
      <w:r w:rsidR="0002786D" w:rsidRPr="00232C71">
        <w:rPr>
          <w:i/>
          <w:iCs/>
        </w:rPr>
        <w:t>N</w:t>
      </w:r>
      <w:r w:rsidR="0002786D" w:rsidRPr="0002786D">
        <w:rPr>
          <w:i/>
          <w:iCs/>
        </w:rPr>
        <w:t>(</w:t>
      </w:r>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w:t>
      </w:r>
      <w:r w:rsidR="0002786D" w:rsidRPr="00183F36">
        <w:lastRenderedPageBreak/>
        <w:t xml:space="preserve">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r w:rsidR="00CA58CA">
        <w:t>:</w:t>
      </w:r>
      <w:r w:rsidR="00CA58CA">
        <w:rPr>
          <w:rFonts w:eastAsiaTheme="minorEastAsia"/>
        </w:rPr>
        <w:t xml:space="preserve"> </w:t>
      </w:r>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2A0DCC">
      <w:pPr>
        <w:spacing w:line="480" w:lineRule="auto"/>
      </w:pPr>
      <w:r>
        <w:t>T</w:t>
      </w:r>
      <w:r w:rsidR="002D7506">
        <w:t xml:space="preserve">he frequencies of wildtype </w:t>
      </w:r>
      <w:r w:rsidR="002D7506">
        <w:rPr>
          <w:i/>
          <w:iCs/>
        </w:rPr>
        <w:t>ab</w:t>
      </w:r>
      <w:r w:rsidR="002D7506">
        <w:t xml:space="preserve"> and single mutants </w:t>
      </w:r>
      <w:r w:rsidR="002D7506" w:rsidRPr="00BB678E">
        <w:rPr>
          <w:i/>
          <w:iCs/>
        </w:rPr>
        <w:t>aB</w:t>
      </w:r>
      <w:r w:rsidR="002D7506">
        <w:t xml:space="preserve"> and </w:t>
      </w:r>
      <w:r w:rsidR="002D7506" w:rsidRPr="005F3FF6">
        <w:rPr>
          <w:i/>
          <w:iCs/>
        </w:rPr>
        <w:t>Ab</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and  </w:t>
      </w:r>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2A0DCC">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1"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1"/>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6244DA"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2"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2"/>
          </w:p>
        </w:tc>
      </w:tr>
    </w:tbl>
    <w:p w:rsidR="0002786D" w:rsidRDefault="005447DA" w:rsidP="003C66D8">
      <w:pPr>
        <w:spacing w:line="480" w:lineRule="auto"/>
      </w:pPr>
      <w:r>
        <w:t xml:space="preserve">The right-hand side of Eqs.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AC2BE1">
        <w:t xml:space="preserve"> (</w:t>
      </w:r>
      <w:r>
        <w:t xml:space="preserve">see </w:t>
      </w:r>
      <w:r w:rsidR="003C66D8">
        <w:t>Appendix 1</w:t>
      </w:r>
      <w:r w:rsidR="00AC2BE1">
        <w:t>)</w:t>
      </w:r>
      <w:r>
        <w:t>.</w:t>
      </w:r>
    </w:p>
    <w:p w:rsidR="002D7506" w:rsidRDefault="002D7506" w:rsidP="002A0DCC">
      <w:pPr>
        <w:pStyle w:val="Heading2"/>
        <w:spacing w:line="480" w:lineRule="auto"/>
      </w:pPr>
      <w:bookmarkStart w:id="3" w:name="_Ref354319797"/>
      <w:r>
        <w:t xml:space="preserve">Fixation probability with stress-induced </w:t>
      </w:r>
      <w:bookmarkEnd w:id="3"/>
      <w:r w:rsidR="003F5091">
        <w:t>mutagenesis</w:t>
      </w:r>
    </w:p>
    <w:p w:rsidR="005447DA" w:rsidRPr="005447DA" w:rsidRDefault="002D7506" w:rsidP="003C66D8">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Eshel </w:t>
      </w:r>
      <w:r w:rsidR="00CA7DA9">
        <w:fldChar w:fldCharType="begin" w:fldLock="1"/>
      </w:r>
      <w:r w:rsidR="000B0AFE">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4"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0B0AFE">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2A0DCC">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2A0DCC">
      <w:pPr>
        <w:pStyle w:val="Heading2"/>
        <w:spacing w:line="480" w:lineRule="auto"/>
      </w:pPr>
      <w:r>
        <w:t>Adaptation rate</w:t>
      </w:r>
      <w:bookmarkEnd w:id="4"/>
    </w:p>
    <w:p w:rsidR="00B82D73" w:rsidRPr="00D516F5" w:rsidRDefault="00B82D73" w:rsidP="00B1479E">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B1479E">
        <w:t xml:space="preserve">on </w:t>
      </w:r>
      <w:r w:rsidR="00B1479E" w:rsidRPr="00B1479E">
        <w:rPr>
          <w:i/>
          <w:iCs/>
        </w:rPr>
        <w:t>N</w:t>
      </w:r>
      <w:r w:rsidR="00B1479E">
        <w:t xml:space="preserve"> guarantees </w:t>
      </w:r>
      <w:r>
        <w:t xml:space="preserve">that </w:t>
      </w:r>
      <w:r w:rsidRPr="001752B4">
        <w:rPr>
          <w:i/>
          <w:iCs/>
        </w:rPr>
        <w:t>Nq</w:t>
      </w:r>
      <w:r>
        <w:t xml:space="preserve"> is very small and therefore this probability can be approximated by </w:t>
      </w:r>
      <w:r>
        <w:rPr>
          <w:i/>
          <w:iCs/>
        </w:rPr>
        <w:t>Nq</w:t>
      </w:r>
      <w:r>
        <w:t>.</w:t>
      </w:r>
      <w:r w:rsidR="005447DA">
        <w:t xml:space="preserve"> </w:t>
      </w:r>
      <w:r>
        <w:t xml:space="preserve">Once a double mutant appears it has a </w:t>
      </w:r>
      <w:r w:rsidR="008967F9">
        <w:t xml:space="preserve">oes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r w:rsidR="00CA58CA" w:rsidRPr="00CA58CA">
        <w:t>)</w:t>
      </w:r>
      <w:r w:rsidRPr="00CA58CA">
        <w:rPr>
          <w:vertAlign w:val="superscript"/>
        </w:rPr>
        <w:t>2</w:t>
      </w:r>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r w:rsidRPr="00CB2F61">
        <w:rPr>
          <w:i/>
          <w:iCs/>
        </w:rPr>
        <w:t>Nqρ</w:t>
      </w:r>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2A0DCC">
      <w:pPr>
        <w:spacing w:line="480" w:lineRule="auto"/>
      </w:pPr>
      <w:r w:rsidRPr="00A96D14">
        <w:t xml:space="preserve">We </w:t>
      </w:r>
      <w:r>
        <w:t>use</w:t>
      </w:r>
      <w:r w:rsidR="006911A5">
        <w:t>d</w:t>
      </w:r>
      <w:r>
        <w:t xml:space="preserve"> Wright-Fisher </w:t>
      </w:r>
      <w:r w:rsidR="006911A5">
        <w:t>simulations</w:t>
      </w:r>
      <w:r>
        <w:t xml:space="preserve"> with 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w:t>
      </w:r>
      <w:r>
        <w:lastRenderedPageBreak/>
        <w:t xml:space="preserve">are enough to get the average number of deleterious mutations per individual to 99.3% of </w:t>
      </w:r>
      <w:r w:rsidR="00CA58CA">
        <w:t>its</w:t>
      </w:r>
      <w:r>
        <w:t xml:space="preserve"> MSB value </w:t>
      </w:r>
      <w:r>
        <w:fldChar w:fldCharType="begin" w:fldLock="1"/>
      </w:r>
      <w:r w:rsidR="000B0AFE">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2A0DCC">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r w:rsidRPr="00A96D14">
        <w:rPr>
          <w:i/>
          <w:iCs/>
        </w:rPr>
        <w:t>s</w:t>
      </w:r>
      <w:r w:rsidRPr="00A96D14">
        <w:rPr>
          <w:rFonts w:hint="cs"/>
          <w:rtl/>
        </w:rPr>
        <w:t>(</w:t>
      </w:r>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r w:rsidR="00CD4474" w:rsidRPr="00CD4474">
        <w:rPr>
          <w:i/>
          <w:iCs/>
        </w:rPr>
        <w:t>f(AB)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r w:rsidR="006911A5">
        <w:rPr>
          <w:i/>
          <w:iCs/>
        </w:rPr>
        <w:t>Nq)</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 xml:space="preserve">. </w:t>
      </w:r>
    </w:p>
    <w:p w:rsidR="001033CA" w:rsidRDefault="001033CA" w:rsidP="002A0DCC">
      <w:pPr>
        <w:pStyle w:val="Heading1"/>
        <w:spacing w:line="480" w:lineRule="auto"/>
        <w:rPr>
          <w:lang w:bidi="hi-IN"/>
        </w:rPr>
      </w:pPr>
      <w:r>
        <w:rPr>
          <w:lang w:bidi="hi-IN"/>
        </w:rPr>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6244DA"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5"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5"/>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6244DA"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r>
              <w:t>(</w:t>
            </w:r>
            <w:r w:rsidR="006244DA">
              <w:fldChar w:fldCharType="begin"/>
            </w:r>
            <w:r w:rsidR="006244DA">
              <w:instrText xml:space="preserve"> SEQ Equation </w:instrText>
            </w:r>
            <w:r w:rsidR="006244DA">
              <w:fldChar w:fldCharType="separate"/>
            </w:r>
            <w:r w:rsidR="00CA58CA">
              <w:rPr>
                <w:noProof/>
              </w:rPr>
              <w:t>6</w:t>
            </w:r>
            <w:r w:rsidR="006244DA">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6244DA"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2A0DCC">
            <w:pPr>
              <w:spacing w:line="480" w:lineRule="auto"/>
            </w:pPr>
            <w:bookmarkStart w:id="6"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6"/>
          </w:p>
        </w:tc>
      </w:tr>
    </w:tbl>
    <w:p w:rsidR="005A2F68" w:rsidRPr="005A2F68" w:rsidRDefault="004C16E5" w:rsidP="002A0DCC">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r w:rsidR="005A2F68" w:rsidRPr="00AB0448">
        <w:rPr>
          <w:i/>
          <w:iCs/>
        </w:rPr>
        <w:t>τ</w:t>
      </w:r>
      <w:r w:rsidR="005A2F68">
        <w:rPr>
          <w:i/>
          <w:iCs/>
        </w:rPr>
        <w:t>U</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Pr>
          <w:rFonts w:eastAsiaTheme="minorEastAsia"/>
          <w:lang w:bidi="hi-IN"/>
        </w:rPr>
        <w:t>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2C490D">
      <w:pPr>
        <w:spacing w:line="480" w:lineRule="auto"/>
        <w:rPr>
          <w:rFonts w:eastAsiaTheme="minorEastAsia"/>
          <w:lang w:bidi="hi-IN"/>
        </w:rPr>
      </w:pPr>
      <w:r>
        <w:rPr>
          <w:rFonts w:eastAsiaTheme="minorEastAsia"/>
          <w:lang w:bidi="hi-IN"/>
        </w:rPr>
        <w:lastRenderedPageBreak/>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r w:rsidR="005A2F68">
        <w:rPr>
          <w:i/>
          <w:iCs/>
        </w:rPr>
        <w:t>aB</w:t>
      </w:r>
      <w:r w:rsidR="005A2F68">
        <w:t xml:space="preserve"> and </w:t>
      </w:r>
      <w:r w:rsidR="005A2F68">
        <w:rPr>
          <w:i/>
          <w:iCs/>
        </w:rPr>
        <w:t>Ab</w:t>
      </w:r>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320207" w:rsidRPr="00320207">
        <w:t>).</w:t>
      </w:r>
      <w:r w:rsidR="001C5D6C">
        <w:t xml:space="preserve"> See below for a different scenario in which SIM increases the fixation probability.</w:t>
      </w:r>
      <w:r w:rsidR="005A2F68">
        <w:t xml:space="preserve"> </w:t>
      </w:r>
    </w:p>
    <w:p w:rsidR="006D5802" w:rsidRDefault="00B82D73" w:rsidP="00C157F4">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U&lt;s</w:t>
      </w:r>
      <w:r w:rsidR="006D5802">
        <w:rPr>
          <w:lang w:bidi="hi-IN"/>
        </w:rPr>
        <w:t xml:space="preserve"> or that individuals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0B0AFE">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C157F4">
        <w:rPr>
          <w:lang w:bidi="hi-IN"/>
        </w:rPr>
        <w:t>Figure S2</w:t>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7F26D6">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0B0AFE">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of population</w:t>
      </w:r>
      <w:r w:rsidR="006456BB" w:rsidRPr="003757EA">
        <w:rPr>
          <w:lang w:bidi="hi-IN"/>
        </w:rPr>
        <w:t>s</w:t>
      </w:r>
      <w:r w:rsidRPr="003757EA">
        <w:rPr>
          <w:lang w:bidi="hi-IN"/>
        </w:rPr>
        <w:t xml:space="preserve"> with NM, CM and SIM </w:t>
      </w:r>
      <w:r w:rsidRPr="003757EA">
        <w:rPr>
          <w:lang w:bidi="hi-IN"/>
        </w:rPr>
        <w:lastRenderedPageBreak/>
        <w:t xml:space="preserve">(see </w:t>
      </w:r>
      <w:r w:rsidR="007F26D6">
        <w:rPr>
          <w:lang w:bidi="hi-IN"/>
        </w:rPr>
        <w:t>Figure 3 a</w:t>
      </w:r>
      <w:r w:rsidRPr="003757EA">
        <w:rPr>
          <w:lang w:bidi="hi-IN"/>
        </w:rPr>
        <w:t xml:space="preserve">nd </w:t>
      </w:r>
      <w:r w:rsidR="006456BB" w:rsidRPr="003757EA">
        <w:rPr>
          <w:lang w:bidi="hi-IN"/>
        </w:rPr>
        <w:t>s</w:t>
      </w:r>
      <w:r w:rsidRPr="003757EA">
        <w:rPr>
          <w:lang w:bidi="hi-IN"/>
        </w:rPr>
        <w:t>upporting information for more details) and used the model presented above to calculate adaptation rates.</w:t>
      </w:r>
    </w:p>
    <w:p w:rsidR="00AC687F" w:rsidRPr="00B7610D" w:rsidRDefault="00072D95" w:rsidP="002A0DCC">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r w:rsidR="005515F1" w:rsidRPr="005515F1">
        <w:rPr>
          <w:i/>
          <w:iCs/>
        </w:rPr>
        <w:t>τU</w:t>
      </w:r>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r w:rsidR="00B85CA4" w:rsidRPr="00A20806">
        <w:rPr>
          <w:i/>
          <w:iCs/>
        </w:rPr>
        <w:t>τ</w:t>
      </w:r>
      <w:r w:rsidR="00135B27" w:rsidRPr="00A20806">
        <w:rPr>
          <w:i/>
          <w:iCs/>
          <w:vertAlign w:val="subscript"/>
        </w:rPr>
        <w:t>CM</w:t>
      </w:r>
      <w:r w:rsidR="00000DD9">
        <w:t>=7</w:t>
      </w:r>
      <w:r w:rsidR="00B85CA4" w:rsidRPr="00D6393B">
        <w:rPr>
          <w:i/>
          <w:iCs/>
        </w:rPr>
        <w:t xml:space="preserve"> </w:t>
      </w:r>
      <w:r w:rsidR="00B85CA4" w:rsidRPr="00D6393B">
        <w:t>and</w:t>
      </w:r>
      <w:r w:rsidR="00B85CA4" w:rsidRPr="00D6393B">
        <w:rPr>
          <w:i/>
          <w:iCs/>
        </w:rPr>
        <w:t xml:space="preserve"> τ</w:t>
      </w:r>
      <w:r w:rsidR="00135B27" w:rsidRPr="00D6393B">
        <w:rPr>
          <w:i/>
          <w:iCs/>
          <w:vertAlign w:val="subscript"/>
        </w:rPr>
        <w:t>SIM</w:t>
      </w:r>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B32510" w:rsidRPr="00CE72C5" w:rsidRDefault="00042973" w:rsidP="002A0DCC">
      <w:pPr>
        <w:pStyle w:val="Heading2"/>
        <w:spacing w:line="480" w:lineRule="auto"/>
      </w:pPr>
      <w:r w:rsidRPr="00CE72C5">
        <w:t>Effect of environmental stress</w:t>
      </w:r>
    </w:p>
    <w:p w:rsidR="00042973" w:rsidRDefault="00FA72C5" w:rsidP="00663378">
      <w:pPr>
        <w:spacing w:line="480" w:lineRule="auto"/>
      </w:pPr>
      <w:r>
        <w:t>So far,</w:t>
      </w:r>
      <w:r w:rsidR="00042973">
        <w:t xml:space="preserve"> we considered stress </w:t>
      </w:r>
      <w:r w:rsidR="00CE72C5">
        <w:t xml:space="preserve">as </w:t>
      </w:r>
      <w:r w:rsidR="00042973">
        <w:t xml:space="preserve">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t>
      </w:r>
      <w:r w:rsidR="00CE72C5">
        <w:t>that</w:t>
      </w:r>
      <w:r w:rsidR="00042973">
        <w:t xml:space="preserve"> reduces the fitness of all </w:t>
      </w:r>
      <w:r w:rsidR="00CE72C5">
        <w:t xml:space="preserve">maladapted </w:t>
      </w:r>
      <w:r w:rsidR="00042973">
        <w:t>individuals, such as a new antibiotic drug</w:t>
      </w:r>
      <w:r>
        <w:t>.</w:t>
      </w:r>
      <w:r w:rsidR="002C54C0">
        <w:t xml:space="preserve"> This scenario has an important biological relevance, as SIM has been implicated in the </w:t>
      </w:r>
      <w:r w:rsidR="002C54C0">
        <w:lastRenderedPageBreak/>
        <w:t xml:space="preserve">evolution of drug resistance in bacteria and yeast </w:t>
      </w:r>
      <w:r w:rsidR="002C54C0">
        <w:fldChar w:fldCharType="begin" w:fldLock="1"/>
      </w:r>
      <w:r w:rsidR="000B0AFE">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663378" w:rsidRPr="00663378">
        <w:rPr>
          <w:noProof/>
        </w:rPr>
        <w:t>(Cirz and Romesberg 2007; Obolski and Hadany 2012; Shor et al. 2013)</w:t>
      </w:r>
      <w:r w:rsidR="002C54C0">
        <w:fldChar w:fldCharType="end"/>
      </w:r>
      <w:r w:rsidR="002C54C0">
        <w:t>.</w:t>
      </w:r>
      <w:r w:rsidR="00042973">
        <w:t xml:space="preserve"> </w:t>
      </w:r>
    </w:p>
    <w:p w:rsidR="00B32510" w:rsidRDefault="00B32510" w:rsidP="002A0DCC">
      <w:pPr>
        <w:spacing w:line="480" w:lineRule="auto"/>
      </w:pPr>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w:t>
      </w:r>
      <w:r w:rsidR="00CE72C5">
        <w:t xml:space="preserve"> again</w:t>
      </w:r>
      <w:r>
        <w:t>,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814BE5">
      <w:pPr>
        <w:spacing w:line="480" w:lineRule="auto"/>
        <w:rPr>
          <w:lang w:bidi="hi-IN"/>
        </w:rPr>
      </w:pPr>
      <w:r>
        <w:t>The adaptation rate</w:t>
      </w:r>
      <w:r w:rsidR="00CE72C5">
        <w:t xml:space="preserve"> with SIM</w:t>
      </w:r>
      <w:r w:rsidR="00814BE5">
        <w:t xml:space="preserve"> in this scenario is (see Appendix 3):</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6244DA"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7"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7"/>
          </w:p>
        </w:tc>
      </w:tr>
    </w:tbl>
    <w:p w:rsidR="00290173" w:rsidRDefault="00290173" w:rsidP="002A0DCC">
      <w:pPr>
        <w:spacing w:line="480" w:lineRule="auto"/>
      </w:pPr>
      <w:r>
        <w:t>T</w:t>
      </w:r>
      <w:r w:rsidR="00042973">
        <w:t>hat</w:t>
      </w:r>
      <w:r>
        <w:t xml:space="preserve"> is,</w:t>
      </w:r>
      <w:r w:rsidR="00042973">
        <w:t xml:space="preserve"> a</w:t>
      </w:r>
      <w:r w:rsidR="00B32510">
        <w:t xml:space="preserve">daptation with </w:t>
      </w:r>
      <w:r w:rsidR="00587E54">
        <w:rPr>
          <w:lang w:bidi="hi-IN"/>
        </w:rPr>
        <w:t>SIM</w:t>
      </w:r>
      <w:r w:rsidR="0095303A">
        <w:rPr>
          <w:vertAlign w:val="subscript"/>
          <w:lang w:bidi="hi-IN"/>
        </w:rPr>
        <w:t>e</w:t>
      </w:r>
      <w:r w:rsidR="00B32510">
        <w:t xml:space="preserve"> is </w:t>
      </w:r>
      <w:r w:rsidR="00042973">
        <w:t>faster than with CM</w:t>
      </w:r>
      <w:r>
        <w:t>. This is</w:t>
      </w:r>
      <w:r w:rsidR="00042973">
        <w:t xml:space="preserve"> </w:t>
      </w:r>
      <w:r w:rsidR="00B32510">
        <w:t xml:space="preserve">because </w:t>
      </w:r>
      <w:r w:rsidR="00042973">
        <w:t xml:space="preserve">(i)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with SIM</w:t>
      </w:r>
      <w:r w:rsidR="0095303A">
        <w:rPr>
          <w:vertAlign w:val="subscript"/>
        </w:rPr>
        <w:t>e</w:t>
      </w:r>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6244DA"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8"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8"/>
          </w:p>
        </w:tc>
      </w:tr>
    </w:tbl>
    <w:p w:rsidR="00B32510" w:rsidRDefault="00042973" w:rsidP="00E87B67">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r w:rsidR="00B32510" w:rsidRPr="00175D8E">
        <w:rPr>
          <w:rFonts w:eastAsiaTheme="minorEastAsia"/>
          <w:lang w:bidi="hi-IN"/>
        </w:rPr>
        <w:t>/</w:t>
      </w:r>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0B0AFE">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lastRenderedPageBreak/>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without compromising the population mean fitness</w:t>
      </w:r>
      <w:r w:rsidR="00C023C7">
        <w:rPr>
          <w:lang w:bidi="hi-IN"/>
        </w:rPr>
        <w:t xml:space="preserve"> in a constant environment</w:t>
      </w:r>
      <w:r>
        <w:rPr>
          <w:lang w:bidi="hi-IN"/>
        </w:rPr>
        <w:t xml:space="preserve">. </w:t>
      </w:r>
    </w:p>
    <w:p w:rsidR="0007409B" w:rsidRDefault="00C023C7" w:rsidP="006633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0B0AFE">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Pr="008A3174" w:rsidRDefault="00514DED" w:rsidP="008A3174">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0B0AFE">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0B0AFE">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0B0AFE">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w:t>
      </w:r>
      <w:r w:rsidR="00B37F95">
        <w:rPr>
          <w:lang w:bidi="hi-IN"/>
        </w:rPr>
        <w:lastRenderedPageBreak/>
        <w:t xml:space="preserve">hypothesis" </w:t>
      </w:r>
      <w:r w:rsidR="00CA7DA9">
        <w:rPr>
          <w:lang w:bidi="hi-IN"/>
        </w:rPr>
        <w:fldChar w:fldCharType="begin" w:fldLock="1"/>
      </w:r>
      <w:r w:rsidR="000B0AFE">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I</w:t>
      </w:r>
      <w:r w:rsidR="00B37F95">
        <w:rPr>
          <w:lang w:bidi="hi-IN"/>
        </w:rPr>
        <w:t xml:space="preserve">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0B0AFE">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8A3174">
        <w:rPr>
          <w:lang w:bidi="hi-IN"/>
        </w:rPr>
        <w:t xml:space="preserve">: we showed that in an asexual population that is evolving in a changing environment SIM is favored by selection over both NM and CM. SIM was favored because in a changing environment it balances between </w:t>
      </w:r>
      <w:r w:rsidR="008A3174">
        <w:rPr>
          <w:i/>
          <w:iCs/>
          <w:lang w:bidi="hi-IN"/>
        </w:rPr>
        <w:t>adaptability</w:t>
      </w:r>
      <w:r w:rsidR="008A3174">
        <w:rPr>
          <w:lang w:bidi="hi-IN"/>
        </w:rPr>
        <w:t xml:space="preserve"> and </w:t>
      </w:r>
      <w:r w:rsidR="008A3174">
        <w:rPr>
          <w:i/>
          <w:iCs/>
          <w:lang w:bidi="hi-IN"/>
        </w:rPr>
        <w:t>adaptedness</w:t>
      </w:r>
      <w:r w:rsidR="008A3174">
        <w:rPr>
          <w:lang w:bidi="hi-IN"/>
        </w:rPr>
        <w:t xml:space="preserve"> far better than mutational strategies that use a constant uniform mutation rate.</w:t>
      </w:r>
    </w:p>
    <w:p w:rsidR="00DF6C0E" w:rsidRDefault="00B37F95" w:rsidP="00663378">
      <w:pPr>
        <w:spacing w:line="480" w:lineRule="auto"/>
      </w:pPr>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0B0AFE">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0B0AFE">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0B0AFE">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0B0AFE">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0B0AFE">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663378" w:rsidRPr="00663378">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0B0AFE">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w:t>
      </w:r>
      <w:r w:rsidRPr="003757EA">
        <w:lastRenderedPageBreak/>
        <w:t>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0B0AFE">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9D54F1">
      <w:pPr>
        <w:spacing w:line="480" w:lineRule="auto"/>
      </w:pPr>
      <w:r w:rsidRPr="00EF44A6">
        <w:t>We thank the</w:t>
      </w:r>
      <w:r w:rsidR="00E4716C">
        <w:t xml:space="preserve"> organizers of the</w:t>
      </w:r>
      <w:r w:rsidRPr="00EF44A6">
        <w:t xml:space="preserv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w:t>
      </w:r>
      <w:r w:rsidR="009D54F1">
        <w:t>,</w:t>
      </w:r>
      <w:r w:rsidR="00B25D55" w:rsidRPr="00EF44A6">
        <w:t xml:space="preserve"> U</w:t>
      </w:r>
      <w:r w:rsidR="009D54F1">
        <w:t>.</w:t>
      </w:r>
      <w:r w:rsidR="00B25D55" w:rsidRPr="00EF44A6">
        <w:t xml:space="preserve"> Obolski for help with statistical analysis</w:t>
      </w:r>
      <w:r w:rsidR="009D54F1">
        <w:t xml:space="preserve">,  and </w:t>
      </w:r>
      <w:bookmarkStart w:id="9" w:name="_GoBack"/>
      <w:bookmarkEnd w:id="9"/>
      <w:r w:rsidR="009D54F1">
        <w:t>A.F. Agrawal and two anonymous reviewers for helpful comments on the manuscript</w:t>
      </w:r>
      <w:r w:rsidR="00B25D55" w:rsidRPr="00EF44A6">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0B0AFE" w:rsidRPr="000B0AFE" w:rsidRDefault="007F0A97">
      <w:pPr>
        <w:pStyle w:val="NormalWeb"/>
        <w:divId w:val="1125931007"/>
        <w:rPr>
          <w:rFonts w:ascii="Palatino Linotype" w:hAnsi="Palatino Linotype"/>
          <w:noProof/>
          <w:sz w:val="22"/>
        </w:rPr>
      </w:pPr>
      <w:r>
        <w:fldChar w:fldCharType="begin" w:fldLock="1"/>
      </w:r>
      <w:r>
        <w:instrText xml:space="preserve">ADDIN Mendeley Bibliography CSL_BIBLIOGRAPHY </w:instrText>
      </w:r>
      <w:r>
        <w:fldChar w:fldCharType="separate"/>
      </w:r>
      <w:r w:rsidR="000B0AFE" w:rsidRPr="000B0AFE">
        <w:rPr>
          <w:rFonts w:ascii="Palatino Linotype" w:hAnsi="Palatino Linotype"/>
          <w:noProof/>
          <w:sz w:val="22"/>
        </w:rPr>
        <w:t>Agrawal, A. F. 2002. Genetic loads under fitness-dependent mutation rates. J. Evol. Biol. 15:1004–1010. Wiley Online Library.</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lastRenderedPageBreak/>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Berg, O. G. 1996. Selection intensity for codon bias and the effective population size of Escherichia coli. Genetics 142:1379–82.</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Bjedov, I., O. Tenaillon, B. Gérard, V. Souza, E. Denamur, M. Radman, F. Taddei, and I. Matic. 2003. Stress-induced mutagenesis in bacteria. Science (80-. ). 300:1404–9.</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Cairns, J., J. Overbaugh, and S. Miller. 1988. The origin of mutants. Nature 335:142–5.</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Cirz, R. T., and F. E. Romesberg. 2007. Controlling mutation: intervening in evolution as a therapeutic strategy. Crit. Rev. Biochem. Mol. Biol. 42:341–54.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Coyne, J. A., N. H. Barton, and M. Turelli. 2000. Is Wright’s shifting balance process important in evolution? Evolution (N. Y). 54:306–317.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Crow, J. F., W. R. Engels, and C. Denniston. 1990. Phase Three of Wright’s Shifting-Balance Theory. Evolution (N. Y). 44:233.</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Dawson, K. J. 1998. Evolutionarily stable mutation rates. J. Theor. Biol. 194:143–57.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Debora, B. N., L. E. Vidales, R. Ramírez, M. Ramírez, E. A. Robleto, R. E. Yasbin, and M. Pedraza-Reyes. 2010. Mismatch Repair Modulation of MutY Activity Drives Bacillus subtilis Stationary-Phase Mutagenesis. J. Bacteriol. 193:236–45.</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Denamur, E., and I. Matic. 2006. Evolution of mutation rates in bacteria. Mol. Microbiol. 60:820–7.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Drake, J. W., B. Charlesworth, D. Charlesworth, and J. F. Crow. 1998. Rates of spontaneous mutation. Genetics 148:1667–86. Genetics Soc America.</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Fisher, R. A. 1930. The Genetical Theory of Natural Selection. Clarendon Press, Oxford.</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Foster, P. L. 2007. Stress-induced mutagenesis in bacteria. Crit. Rev. Biochem. Mol. Biol. 42:373–97.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Galhardo, R. S., P. J. Hastings, and S. M. Rosenberg. 2007. Mutation as a stress response and the regulation of evolvability. Crit. Rev. Biochem. Mol. Biol. 42:399–435.</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lastRenderedPageBreak/>
        <w:t>Gavrilets, S. 1996. On phase three of the shifting-balance theory. Evolution (N. Y). 50:1034–1041. JSTOR.</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Goho, S., and G. Bell. 2000. Mild environmental stress elicits mutations affecting fitness in Chlamydomonas. Proc. R. Soc. B Biol. Sci. 267:123–9.</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Gordo, I., and F. Dionisio. 2005. Nonequilibrium model for estimating parameters of deleterious mutations. Phys. Rev. E 71:18–21.</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Gordo, I., L. Perfeito, and A. Sousa. 2011. Fitness effects of mutations in bacteria. J. Mol. Microbiol. Biotechnol. 21:20–35.</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Hadany, L. 2003. Adaptive peak shifts in a heterogenous environment. Theor. Popul. Biol. 63:41–51.</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Hadany, L., and T. Beker. 2003. Fitness-associated recombination on rugged adaptive landscapes. J. Evol. Biol. 16:862–870.</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Haigh, J. 1978. The accumulation of deleterious genes in a population - Muller’s Ratchet. Theor. Popul. Biol. 14:251–267.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Hall, L. M. C., and S. K. Henderson-Begg. 2006. Hypermutable bacteria isolated from humans--a critical analysis. Microbiology 152:2505–14.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Hartfield, M., and S. P. Otto. 2011. Recombination and hitchhiking of deleterious alleles. Evolution 65:2421–34.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Kessler, D., and H. Levine. 1998. Mutator Dynamics on a Smooth Evolutionary Landscape. Phys. Rev. Lett. 80:2012–2015.</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Kibota, T. T., and M. Lynch. 1996. Estimate of the genomic mutation rate deleterious to overall fitness in E. coli. Nature 381:694–6.</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Leigh, E. G. J. 1970. Natural Selection and Mutability. Am. Nat. 104:301–305.</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MacLean, R. C., C. Torres-Barceló, and R. Moxon. 2013. Evaluating evolutionary models of stress-induced mutagenesis in bacteria. Nat. Rev. Genet. 14:221–7. Nature Publishing Group.</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Moore, F. B.-G., and S. J. Tonsor. 1994. A Simulation of Wright’s Shifting-Balance Process: Migration and the Three Phases. Evolution (N. Y). 48:69.</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Obolski, U., and L. Hadany. 2012. Implications of stress-induced genetic variation for minimizing multidrug resistance in bacteria. BMC Med. 10:1–30.</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Peck, S. L., S. P. Ellner, and F. Gould. 2000. Varying migration and deme size and the feasibility of the shifting balance. Evolution 54:324–7.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lastRenderedPageBreak/>
        <w:t>Ponder, R. G., N. C. Fonville, and S. M. Rosenberg. 2005. A switch from high-fidelity to error-prone DNA double-strand break repair underlies stress-induced mutation. Mol. Cell 19:791–804.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Pupo, G. M., and B. J. Richardson. 1995. Biochemical genetics of a natural population of Escherichia coli: seasonal changes in alleles and haplotypes. Microbiology 141:1037–44.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Ram, Y., and L. Hadany. 2012. The evolution of stress-induced hypermutation in asexual populations. Evolution (N. Y). 66:2315–28.</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Rosenberg, S. M., C. Shee, R. L. Frisch, and P. J. Hastings. 2012. Stress-induced mutation via DNA breaks in Escherichia coli: A molecular mechanism with implications for evolution and medicine. BioEssays 1–8.</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Sharp, N. P., and A. F. Agrawal. 2012. Evidence for elevated mutation rates in low-quality genotypes. Proc. Natl. Acad. Sci. 109:6142–6.</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Shaw, F. H., and C. F. Baer. 2011. Fitness-dependent mutation rates in finite populations. J. Evol. Biol. 24:1677–84.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Shor, E., C. a. Fox, and J. R. Broach. 2013. The Yeast Environmental Stress Response Regulates Mutagenesis Induced by Proteotoxic Stress. PLoS Genet. 9:e1003680.</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Sniegowski, P. D., P. J. Gerrish, T. Johnson, and A. Shaver. 2000. The evolution of mutation rates: separating causes from consequences. BioEssays 22:1057–66.</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Sniegowski, P. D., P. J. Gerrish, and R. E. Lenski. 1997. Evolution of high mutation rates in experimental populations of E. coli. Nature 387:703–5. Nature Publishing Group.</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Sung, W., M. S. Ackerman, S. F. Miller, T. G. Doak, and M. Lynch. 2012. Drift-barrier hypothesis and mutation-rate evolution. Proc. Natl. Acad. Sci., doi: 10.1073/pnas.1216223109.</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Taddei, F., M. Radman, J. Maynard Smith, B. Toupance, P.-H. Gouyon, and B. Godelle. 1997. Role of mutator alleles in adaptive evolution. Nature 387:700–2.</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Tenaillon, O., E. Denamur, and I. Matic. 2004. Evolutionary significance of stress-induced mutagenesis in bacteria. Trends Microbiol. 12:264–70.</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lastRenderedPageBreak/>
        <w:t>Torres-Barceló, C., G. Cabot, A. Oliver, A. Buckling, and R. C. Maclean. 2013. A trade-off between oxidative stress resistance and DNA repair plays a role in the evolution of elevated mutation rates in bacteria. Proc. Biol. Sci. 280:20130007.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Wade, M., and C. Goodnight. 1991. Wright’s shifting balance theory: an experimental study. Science (80-. ). 253:1015–1018.</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Weissman, D. B., M. M. Desai, D. S. Fisher, and M. W. Feldman. 2009. The rate at which asexual populations cross fitness valleys. Theor. Popul. Biol. 75:286–300. Elsevier Inc.</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Whitlock, M. C. 1997. Founder Effects and Peak Shifts Without Genetic Drift: Adaptive Peak Shifts Occur Easily When Environments Fluctuate Slightly. Evolution (N. Y). 51:1044.</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Whitlock, M. C. 1995. Variance-Induced Peak Shifts. Evolution (N. Y). 49:252.</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Whitlock, M. C., and P. C. Phillips. 2000. The exquisite corpse: a shifting view of the shifting balance. Trends Ecol. Evol. 15:347–348.</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Wright, S. 1931. Evolution in Mendelian Populations. Genetics 16:97–159.</w:t>
      </w:r>
    </w:p>
    <w:p w:rsidR="000B0AFE" w:rsidRPr="000B0AFE" w:rsidRDefault="000B0AFE">
      <w:pPr>
        <w:pStyle w:val="NormalWeb"/>
        <w:divId w:val="1125931007"/>
        <w:rPr>
          <w:rFonts w:ascii="Palatino Linotype" w:hAnsi="Palatino Linotype"/>
          <w:noProof/>
          <w:sz w:val="22"/>
        </w:rPr>
      </w:pPr>
      <w:r w:rsidRPr="000B0AFE">
        <w:rPr>
          <w:rFonts w:ascii="Palatino Linotype" w:hAnsi="Palatino Linotype"/>
          <w:noProof/>
          <w:sz w:val="22"/>
        </w:rPr>
        <w:t xml:space="preserve">Wright, S. 1988. Surfaces of selective value revisited. Am. Nat. 131:115–123. </w:t>
      </w:r>
    </w:p>
    <w:p w:rsidR="00347C94" w:rsidRPr="00347C94" w:rsidRDefault="007F0A97" w:rsidP="000B0AFE">
      <w:pPr>
        <w:pStyle w:val="NormalWeb"/>
        <w:divId w:val="1642922316"/>
      </w:pPr>
      <w:r>
        <w:fldChar w:fldCharType="end"/>
      </w:r>
    </w:p>
    <w:p w:rsidR="00096116" w:rsidRDefault="00096116" w:rsidP="002A0DCC">
      <w:pPr>
        <w:pStyle w:val="Heading1"/>
        <w:spacing w:line="480" w:lineRule="auto"/>
      </w:pPr>
      <w:r>
        <w:lastRenderedPageBreak/>
        <w:t>Appendi</w:t>
      </w:r>
      <w:r w:rsidR="004747BD">
        <w:t>ces</w:t>
      </w:r>
    </w:p>
    <w:p w:rsidR="00096116" w:rsidRDefault="0002786D" w:rsidP="002A0DCC">
      <w:pPr>
        <w:pStyle w:val="Heading2"/>
        <w:numPr>
          <w:ilvl w:val="0"/>
          <w:numId w:val="0"/>
        </w:numPr>
        <w:spacing w:line="480" w:lineRule="auto"/>
        <w:ind w:left="357" w:hanging="357"/>
      </w:pPr>
      <w:bookmarkStart w:id="10" w:name="_Ref360530640"/>
      <w:bookmarkStart w:id="11" w:name="_Ref363980873"/>
      <w:r>
        <w:t xml:space="preserve">Appendix </w:t>
      </w:r>
      <w:bookmarkEnd w:id="10"/>
      <w:r w:rsidR="000F7D03">
        <w:t>1</w:t>
      </w:r>
      <w:bookmarkEnd w:id="11"/>
    </w:p>
    <w:p w:rsidR="0002786D" w:rsidRDefault="0002786D" w:rsidP="002A0DCC">
      <w:pPr>
        <w:spacing w:line="480" w:lineRule="auto"/>
      </w:pPr>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2A0DCC">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2A0DCC">
      <w:pPr>
        <w:spacing w:line="480" w:lineRule="auto"/>
      </w:pPr>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2A0DCC">
      <w:pPr>
        <w:spacing w:line="480" w:lineRule="auto"/>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2A0DCC">
      <w:pPr>
        <w:spacing w:line="480" w:lineRule="auto"/>
      </w:pPr>
      <w:r>
        <w:t xml:space="preserve">For a population with </w:t>
      </w:r>
      <w:r w:rsidR="00CB2260">
        <w:t>SIM</w:t>
      </w:r>
      <w:r w:rsidR="0002786D">
        <w:t>:</w:t>
      </w:r>
    </w:p>
    <w:p w:rsidR="0002786D" w:rsidRPr="005579CA" w:rsidRDefault="006244DA"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2A0DCC">
      <w:pPr>
        <w:spacing w:line="480" w:lineRule="auto"/>
      </w:pPr>
      <w:r>
        <w:t xml:space="preserve">The last approximation assumes that </w:t>
      </w:r>
      <w:r>
        <w:rPr>
          <w:i/>
          <w:iCs/>
        </w:rPr>
        <w:t>Us</w:t>
      </w:r>
      <w:r w:rsidR="00CB2260">
        <w:t>&lt;</w:t>
      </w:r>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r>
        <w:rPr>
          <w:rFonts w:ascii="Times New Roman" w:hAnsi="Times New Roman"/>
          <w:i/>
          <w:iCs/>
        </w:rPr>
        <w:t>τ</w:t>
      </w:r>
      <w:r>
        <w:rPr>
          <w:i/>
          <w:iCs/>
        </w:rPr>
        <w:t>U.</w:t>
      </w:r>
      <w:r>
        <w:t xml:space="preserve"> Now,</w:t>
      </w:r>
    </w:p>
    <w:p w:rsidR="0002786D" w:rsidRPr="005579CA" w:rsidRDefault="006244DA"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2A0DCC">
      <w:pPr>
        <w:spacing w:line="480" w:lineRule="auto"/>
      </w:pPr>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6244DA"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02786D" w:rsidRPr="00AB0448" w:rsidRDefault="0002786D" w:rsidP="002A0DCC">
      <w:pPr>
        <w:spacing w:line="480" w:lineRule="auto"/>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r w:rsidR="00946A45" w:rsidRPr="00946A45">
        <w:rPr>
          <w:i/>
          <w:iCs/>
        </w:rPr>
        <w:t>q</w:t>
      </w:r>
      <w:r w:rsidR="00946A45" w:rsidRPr="00946A45">
        <w:rPr>
          <w:i/>
          <w:iCs/>
          <w:vertAlign w:val="subscript"/>
        </w:rPr>
        <w:t>SIM</w:t>
      </w:r>
      <w:r>
        <w:t xml:space="preserve"> </w:t>
      </w:r>
      <w:r w:rsidR="00946A45">
        <w:t xml:space="preserve">is </w:t>
      </w:r>
      <w:r>
        <w:t>consistent with</w:t>
      </w:r>
      <w:r w:rsidR="00946A45">
        <w:t xml:space="preserve"> </w:t>
      </w:r>
      <w:r w:rsidR="00946A45">
        <w:rPr>
          <w:i/>
          <w:iCs/>
        </w:rPr>
        <w:t>q</w:t>
      </w:r>
      <w:r w:rsidRPr="00BA00E0">
        <w:t>.</w:t>
      </w:r>
    </w:p>
    <w:p w:rsidR="0002786D" w:rsidRDefault="005447DA" w:rsidP="002A0DCC">
      <w:pPr>
        <w:pStyle w:val="Heading2"/>
        <w:numPr>
          <w:ilvl w:val="0"/>
          <w:numId w:val="0"/>
        </w:numPr>
        <w:spacing w:line="480" w:lineRule="auto"/>
        <w:ind w:left="357" w:hanging="357"/>
      </w:pPr>
      <w:bookmarkStart w:id="12" w:name="_Ref360530760"/>
      <w:bookmarkStart w:id="13" w:name="_Ref363980888"/>
      <w:r>
        <w:lastRenderedPageBreak/>
        <w:t>Appendix</w:t>
      </w:r>
      <w:bookmarkEnd w:id="12"/>
      <w:r w:rsidR="000F7D03">
        <w:t xml:space="preserve"> 2</w:t>
      </w:r>
      <w:bookmarkEnd w:id="13"/>
    </w:p>
    <w:p w:rsidR="00946A45" w:rsidRDefault="005447DA" w:rsidP="002A0DCC">
      <w:pPr>
        <w:spacing w:line="480" w:lineRule="auto"/>
        <w:rPr>
          <w:lang w:bidi="hi-IN"/>
        </w:rPr>
      </w:pPr>
      <w:r>
        <w:t xml:space="preserve">Following Eshel </w:t>
      </w:r>
      <w:r w:rsidR="00CA7DA9">
        <w:fldChar w:fldCharType="begin" w:fldLock="1"/>
      </w:r>
      <w:r w:rsidR="000B0AFE">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2A0DCC">
      <w:pPr>
        <w:spacing w:line="480" w:lineRule="auto"/>
      </w:pPr>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2A0DCC">
      <w:pPr>
        <w:spacing w:line="480" w:lineRule="auto"/>
      </w:pPr>
      <w:r>
        <w:t xml:space="preserve">Assuming </w:t>
      </w:r>
      <w:r w:rsidRPr="00544FA2">
        <w:rPr>
          <w:i/>
          <w:iCs/>
        </w:rPr>
        <w:t>sH</w:t>
      </w:r>
      <w:r>
        <w:t xml:space="preserve"> </w:t>
      </w:r>
      <w:r w:rsidRPr="00544FA2">
        <w:t>is</w:t>
      </w:r>
      <w:bookmarkStart w:id="14" w:name="_Ref360534049"/>
      <w:r w:rsidR="004C5F1B">
        <w:t xml:space="preserve"> small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15" w:name="_Ref363980903"/>
      <w:r>
        <w:t xml:space="preserve">Appendix </w:t>
      </w:r>
      <w:bookmarkEnd w:id="14"/>
      <w:r w:rsidR="000F7D03">
        <w:t>3</w:t>
      </w:r>
      <w:bookmarkEnd w:id="15"/>
    </w:p>
    <w:p w:rsidR="00335E62" w:rsidRPr="00335E62" w:rsidRDefault="005447DA" w:rsidP="003C66D8">
      <w:pPr>
        <w:spacing w:line="480" w:lineRule="auto"/>
        <w:rPr>
          <w:lang w:bidi="hi-IN"/>
        </w:rPr>
      </w:pPr>
      <w:r>
        <w:rPr>
          <w:lang w:bidi="hi-IN"/>
        </w:rPr>
        <w:t>With SIM</w:t>
      </w:r>
      <w:r w:rsidR="00CB2260">
        <w:rPr>
          <w:vertAlign w:val="subscript"/>
          <w:lang w:bidi="hi-IN"/>
        </w:rPr>
        <w:t>e</w:t>
      </w:r>
      <w:r>
        <w:rPr>
          <w:lang w:bidi="hi-IN"/>
        </w:rPr>
        <w:t xml:space="preserve"> the mutation rate of </w:t>
      </w:r>
      <w:r>
        <w:rPr>
          <w:i/>
          <w:iCs/>
          <w:lang w:bidi="hi-IN"/>
        </w:rPr>
        <w:t>ab</w:t>
      </w:r>
      <w:r>
        <w:rPr>
          <w:lang w:bidi="hi-IN"/>
        </w:rPr>
        <w:t xml:space="preserve"> is </w:t>
      </w:r>
      <w:r w:rsidR="00335E62" w:rsidRPr="00335E62">
        <w:rPr>
          <w:i/>
          <w:iCs/>
        </w:rPr>
        <w:t>τU</w:t>
      </w:r>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w:t>
      </w:r>
      <w:r>
        <w:rPr>
          <w:lang w:bidi="hi-IN"/>
        </w:rPr>
        <w:lastRenderedPageBreak/>
        <w:t xml:space="preserve">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0B0AFE">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we derive the relative fitness of SIM</w:t>
      </w:r>
      <w:r w:rsidR="00CB2260">
        <w:rPr>
          <w:vertAlign w:val="subscript"/>
          <w:lang w:bidi="hi-IN"/>
        </w:rPr>
        <w:t>e</w:t>
      </w:r>
      <w:r w:rsidR="00335E62">
        <w:rPr>
          <w:lang w:bidi="hi-IN"/>
        </w:rPr>
        <w:t xml:space="preserve"> by:</w:t>
      </w:r>
    </w:p>
    <w:p w:rsidR="005447DA" w:rsidRDefault="006244DA"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6244DA"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r w:rsidR="00986F1F">
        <w:rPr>
          <w:rFonts w:eastAsiaTheme="minorEastAsia"/>
          <w:lang w:bidi="hi-IN"/>
        </w:rPr>
        <w:t xml:space="preserve">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6244DA"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r>
        <w:rPr>
          <w:rFonts w:eastAsiaTheme="minorEastAsia"/>
          <w:lang w:bidi="hi-IN"/>
        </w:rPr>
        <w:t>Because</w:t>
      </w:r>
      <w:r w:rsidR="00335E62">
        <w:rPr>
          <w:rFonts w:eastAsiaTheme="minorEastAsia"/>
          <w:lang w:bidi="hi-IN"/>
        </w:rPr>
        <w:t xml:space="preserv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6244DA"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Because the appearance with SIM</w:t>
      </w:r>
      <w:r w:rsidR="00CB2260">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00CB2260">
        <w:rPr>
          <w:rFonts w:eastAsiaTheme="minorEastAsia"/>
          <w:vertAlign w:val="subscript"/>
          <w:lang w:bidi="hi-IN"/>
        </w:rPr>
        <w:t>e</w:t>
      </w:r>
      <w:r w:rsidR="003B3D00">
        <w:rPr>
          <w:rFonts w:eastAsiaTheme="minorEastAsia"/>
          <w:lang w:bidi="hi-IN"/>
        </w:rPr>
        <w:t xml:space="preserve"> can now be written as:</w:t>
      </w:r>
    </w:p>
    <w:p w:rsidR="003B3D00" w:rsidRPr="00DE1C4B" w:rsidRDefault="006244DA"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lastRenderedPageBreak/>
        <w:t>Figures</w:t>
      </w:r>
    </w:p>
    <w:p w:rsidR="003C4248" w:rsidRDefault="003C4248" w:rsidP="002A0DCC">
      <w:pPr>
        <w:keepNext/>
        <w:spacing w:line="480" w:lineRule="auto"/>
        <w:jc w:val="center"/>
      </w:pPr>
      <w:r>
        <w:rPr>
          <w:noProof/>
        </w:rPr>
        <w:drawing>
          <wp:inline distT="0" distB="0" distL="0" distR="0" wp14:anchorId="36C593E9" wp14:editId="54C81A19">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16"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16"/>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r w:rsidRPr="00607B56">
        <w:rPr>
          <w:i/>
          <w:iCs/>
        </w:rPr>
        <w:t>a</w:t>
      </w:r>
      <w:r w:rsidRPr="000D56CE">
        <w:t xml:space="preserve"> or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hypermutate.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r w:rsidRPr="008752E9">
        <w:t>)</w:t>
      </w:r>
      <w:r w:rsidRPr="008752E9">
        <w:rPr>
          <w:i/>
          <w:iCs/>
          <w:vertAlign w:val="superscript"/>
        </w:rPr>
        <w:t>x</w:t>
      </w:r>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3C4248" w:rsidP="002A0DCC">
      <w:pPr>
        <w:keepNext/>
        <w:spacing w:line="480" w:lineRule="auto"/>
        <w:jc w:val="center"/>
      </w:pPr>
      <w:r>
        <w:rPr>
          <w:noProof/>
        </w:rPr>
        <w:lastRenderedPageBreak/>
        <w:drawing>
          <wp:inline distT="0" distB="0" distL="0" distR="0" wp14:anchorId="1B9E23BA" wp14:editId="1CCD469A">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Pr="00E4303E" w:rsidRDefault="003C4248" w:rsidP="002A0DCC">
      <w:pPr>
        <w:pStyle w:val="FigureLegend"/>
        <w:spacing w:line="480" w:lineRule="auto"/>
      </w:pPr>
      <w:bookmarkStart w:id="17"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Pr>
          <w:b/>
          <w:bCs/>
          <w:noProof/>
        </w:rPr>
        <w:t>2</w:t>
      </w:r>
      <w:r>
        <w:rPr>
          <w:b/>
          <w:bCs/>
        </w:rPr>
        <w:fldChar w:fldCharType="end"/>
      </w:r>
      <w:bookmarkEnd w:id="17"/>
      <w:r w:rsidRPr="00C11B88">
        <w:rPr>
          <w:b/>
          <w:bCs/>
        </w:rPr>
        <w:t xml:space="preserve"> – </w:t>
      </w:r>
      <w:r>
        <w:rPr>
          <w:b/>
          <w:bCs/>
        </w:rPr>
        <w:t xml:space="preserve">Complex adaptation with </w:t>
      </w:r>
      <w:r w:rsidRPr="00C11B88">
        <w:rPr>
          <w:b/>
          <w:bCs/>
        </w:rPr>
        <w:t>three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NM (represented by </w:t>
      </w:r>
      <w:r w:rsidRPr="00E4303E">
        <w:rPr>
          <w:i/>
          <w:iCs/>
        </w:rPr>
        <w:t>τ</w:t>
      </w:r>
      <w:r>
        <w:t xml:space="preserve">=1) is normal mutagenesis; CM (red with circles) is constitutive mutagenesis; SIM (solid blue with squares) is stress-induced mutagenesis; SIMe (dashed green with triangles) is stress-induced mutagenesis with environmental stress. Lines are analytic approximations; markers are the means of stochastic simulations results; error bars represent 95% confidence intervals of the mean (at least 1,000 replicates per point).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p>
    <w:p w:rsidR="003C4248" w:rsidRPr="003C4248" w:rsidRDefault="003C4248" w:rsidP="002A0DCC">
      <w:pPr>
        <w:pStyle w:val="FigureLegend"/>
        <w:spacing w:line="480" w:lineRule="auto"/>
        <w:rPr>
          <w:b/>
          <w:bCs/>
        </w:rPr>
      </w:pPr>
      <w:r w:rsidRPr="003C4248">
        <w:rPr>
          <w:noProof/>
        </w:rPr>
        <w:drawing>
          <wp:inline distT="0" distB="0" distL="0" distR="0" wp14:anchorId="0A1A45FC" wp14:editId="2CFB8554">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3C4248" w:rsidRPr="003C4248" w:rsidRDefault="003C4248" w:rsidP="002A0DCC">
      <w:pPr>
        <w:spacing w:line="480" w:lineRule="auto"/>
        <w:jc w:val="center"/>
        <w:rPr>
          <w:sz w:val="16"/>
          <w:szCs w:val="16"/>
        </w:rPr>
      </w:pPr>
      <w:bookmarkStart w:id="18"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Pr="003C4248">
        <w:rPr>
          <w:b/>
          <w:bCs/>
          <w:noProof/>
          <w:sz w:val="16"/>
          <w:szCs w:val="16"/>
        </w:rPr>
        <w:t>3</w:t>
      </w:r>
      <w:r w:rsidRPr="003C4248">
        <w:rPr>
          <w:b/>
          <w:bCs/>
          <w:sz w:val="16"/>
          <w:szCs w:val="16"/>
        </w:rPr>
        <w:fldChar w:fldCharType="end"/>
      </w:r>
      <w:bookmarkEnd w:id="18"/>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 xml:space="preserve">. The x-axis is </w:t>
      </w:r>
      <w:r w:rsidRPr="003C4248">
        <w:rPr>
          <w:i/>
          <w:iCs/>
          <w:sz w:val="16"/>
          <w:szCs w:val="16"/>
        </w:rPr>
        <w:t>β,</w:t>
      </w:r>
      <w:r w:rsidRPr="003C4248">
        <w:rPr>
          <w:sz w:val="16"/>
          <w:szCs w:val="16"/>
        </w:rPr>
        <w:t xml:space="preserve"> </w:t>
      </w:r>
      <w:r w:rsidRPr="003C4248">
        <w:rPr>
          <w:sz w:val="16"/>
          <w:szCs w:val="16"/>
        </w:rPr>
        <w:lastRenderedPageBreak/>
        <w:t xml:space="preserve">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3C4248" w:rsidP="002A0DCC">
      <w:pPr>
        <w:keepNext/>
        <w:spacing w:line="480" w:lineRule="auto"/>
        <w:jc w:val="center"/>
      </w:pPr>
      <w:r>
        <w:rPr>
          <w:noProof/>
        </w:rPr>
        <w:drawing>
          <wp:inline distT="0" distB="0" distL="0" distR="0" wp14:anchorId="4836A482" wp14:editId="7351E385">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Default="003C4248" w:rsidP="002A0DCC">
      <w:pPr>
        <w:pStyle w:val="FigureLegend"/>
        <w:spacing w:line="480" w:lineRule="auto"/>
        <w:rPr>
          <w:lang w:bidi="hi-IN"/>
        </w:rPr>
      </w:pPr>
      <w:bookmarkStart w:id="19"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Pr>
          <w:b/>
          <w:bCs/>
          <w:noProof/>
        </w:rPr>
        <w:t>4</w:t>
      </w:r>
      <w:r>
        <w:rPr>
          <w:b/>
          <w:bCs/>
        </w:rPr>
        <w:fldChar w:fldCharType="end"/>
      </w:r>
      <w:bookmarkEnd w:id="19"/>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 xml:space="preserve">The figure shows the </w:t>
      </w:r>
      <w:r>
        <w:rPr>
          <w:i/>
          <w:iCs/>
          <w:noProof/>
        </w:rPr>
        <w:t xml:space="preserve">adaptedness </w:t>
      </w:r>
      <w:r>
        <w:rPr>
          <w:noProof/>
        </w:rPr>
        <w:t xml:space="preserve">(population mean fitness at the MSB; x-axis) and the </w:t>
      </w:r>
      <w:r w:rsidRPr="009F5B3A">
        <w:rPr>
          <w:i/>
          <w:iCs/>
          <w:noProof/>
        </w:rPr>
        <w:t>adaptability</w:t>
      </w:r>
      <w:r>
        <w:rPr>
          <w:noProof/>
        </w:rPr>
        <w:t xml:space="preserve"> (</w:t>
      </w:r>
      <w:r w:rsidRPr="009F5B3A">
        <w:rPr>
          <w:noProof/>
        </w:rPr>
        <w:t>adaptation</w:t>
      </w:r>
      <w:r>
        <w:rPr>
          <w:noProof/>
        </w:rPr>
        <w:t xml:space="preserve"> rate; y-axis) of different mutational strategies relative to normal mutagenesis (NM)</w:t>
      </w:r>
      <w:r>
        <w:rPr>
          <w:lang w:bidi="hi-IN"/>
        </w:rPr>
        <w:t xml:space="preserve">. Constitutive mutagenesis (CM; in red) increases the mutation rate of all individuals </w:t>
      </w:r>
      <w:r>
        <w:rPr>
          <w:rFonts w:ascii="Times New Roman" w:hAnsi="Times New Roman" w:cs="Times New Roman"/>
          <w:i/>
          <w:iCs/>
        </w:rPr>
        <w:t>τ</w:t>
      </w:r>
      <w:r>
        <w:rPr>
          <w:rFonts w:ascii="Times New Roman" w:hAnsi="Times New Roman" w:cs="Times New Roman"/>
          <w:i/>
          <w:iCs/>
          <w:vertAlign w:val="subscript"/>
        </w:rPr>
        <w:t>CM</w:t>
      </w:r>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r>
        <w:rPr>
          <w:rFonts w:ascii="Times New Roman" w:hAnsi="Times New Roman" w:cs="Times New Roman"/>
          <w:i/>
          <w:iCs/>
        </w:rPr>
        <w:t>τ</w:t>
      </w:r>
      <w:r>
        <w:rPr>
          <w:rFonts w:ascii="Times New Roman" w:hAnsi="Times New Roman" w:cs="Times New Roman"/>
          <w:i/>
          <w:iCs/>
          <w:vertAlign w:val="subscript"/>
        </w:rPr>
        <w:t>SIM</w:t>
      </w:r>
      <w:r w:rsidRPr="00514DED">
        <w:rPr>
          <w:rFonts w:ascii="Times New Roman" w:hAnsi="Times New Roman" w:cs="Times New Roman"/>
        </w:rPr>
        <w:t>-fold</w:t>
      </w:r>
      <w:r>
        <w:rPr>
          <w:lang w:bidi="hi-IN"/>
        </w:rPr>
        <w:t>; Mixed strategies (in dashed green) increase the mutation rate of all individuals</w:t>
      </w:r>
      <w:r>
        <w:t xml:space="preserve"> </w:t>
      </w:r>
      <w:r>
        <w:rPr>
          <w:rFonts w:ascii="Times New Roman" w:hAnsi="Times New Roman" w:cs="Times New Roman"/>
          <w:i/>
          <w:iCs/>
        </w:rPr>
        <w:t>τ</w:t>
      </w:r>
      <w:r>
        <w:rPr>
          <w:rFonts w:ascii="Times New Roman" w:hAnsi="Times New Roman" w:cs="Times New Roman"/>
          <w:i/>
          <w:iCs/>
          <w:vertAlign w:val="subscript"/>
        </w:rPr>
        <w:t>CM</w:t>
      </w:r>
      <w:r w:rsidRPr="00514DED">
        <w:rPr>
          <w:rFonts w:ascii="Times New Roman" w:hAnsi="Times New Roman" w:cs="Times New Roman"/>
        </w:rPr>
        <w:t xml:space="preserve">-fold and of stressed individuals </w:t>
      </w:r>
      <w:r>
        <w:rPr>
          <w:rFonts w:ascii="Times New Roman" w:hAnsi="Times New Roman" w:cs="Times New Roman"/>
          <w:i/>
          <w:iCs/>
        </w:rPr>
        <w:t>τ</w:t>
      </w:r>
      <w:r>
        <w:rPr>
          <w:rFonts w:ascii="Times New Roman" w:hAnsi="Times New Roman" w:cs="Times New Roman"/>
          <w:i/>
          <w:iCs/>
          <w:vertAlign w:val="subscript"/>
        </w:rPr>
        <w:t>SIM</w:t>
      </w:r>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Pr>
          <w:lang w:bidi="hi-IN"/>
        </w:rPr>
        <w:t xml:space="preserve">. </w:t>
      </w:r>
    </w:p>
    <w:p w:rsidR="003C4248" w:rsidRDefault="003C4248" w:rsidP="002A0DCC">
      <w:pPr>
        <w:pStyle w:val="Heading1"/>
        <w:spacing w:line="480" w:lineRule="auto"/>
      </w:pPr>
      <w:r>
        <w:t>Tables</w:t>
      </w:r>
    </w:p>
    <w:p w:rsidR="003C4248" w:rsidRDefault="003C4248" w:rsidP="002A0DCC">
      <w:pPr>
        <w:pStyle w:val="FigureLegend"/>
        <w:spacing w:line="480" w:lineRule="auto"/>
      </w:pPr>
      <w:bookmarkStart w:id="20"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0"/>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B0AFE">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B0AFE">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B0AFE">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lastRenderedPageBreak/>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B0AFE">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B0AFE">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0B0AFE">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sectPr w:rsidR="003C4248" w:rsidRPr="003C4248"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44DA" w:rsidRDefault="006244DA" w:rsidP="009A122D">
      <w:pPr>
        <w:spacing w:after="0" w:line="240" w:lineRule="auto"/>
      </w:pPr>
      <w:r>
        <w:separator/>
      </w:r>
    </w:p>
  </w:endnote>
  <w:endnote w:type="continuationSeparator" w:id="0">
    <w:p w:rsidR="006244DA" w:rsidRDefault="006244DA"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3A978F05-7ADC-42B0-A5BB-3E029ECE7EC4}"/>
    <w:embedBold r:id="rId2" w:fontKey="{A76AD2AC-06BD-4601-B433-03CA4F80B499}"/>
    <w:embedItalic r:id="rId3" w:fontKey="{5AA8501D-30AF-46D6-BCB4-A0A791E6EB38}"/>
    <w:embedBoldItalic r:id="rId4" w:fontKey="{114CE077-0AA5-408E-BCFC-03F3FA847432}"/>
  </w:font>
  <w:font w:name="Tahoma">
    <w:panose1 w:val="020B0604030504040204"/>
    <w:charset w:val="00"/>
    <w:family w:val="swiss"/>
    <w:pitch w:val="variable"/>
    <w:sig w:usb0="E1002EFF" w:usb1="C000605B" w:usb2="00000029" w:usb3="00000000" w:csb0="000101FF" w:csb1="00000000"/>
    <w:embedRegular r:id="rId5" w:fontKey="{5D0B8784-ADCF-4AB5-8F92-C9E7046B684A}"/>
  </w:font>
  <w:font w:name="cmr10">
    <w:charset w:val="00"/>
    <w:family w:val="swiss"/>
    <w:pitch w:val="variable"/>
    <w:sig w:usb0="00000003" w:usb1="00000000" w:usb2="00000000" w:usb3="00000000" w:csb0="00000001" w:csb1="00000000"/>
    <w:embedRegular r:id="rId6" w:fontKey="{679A763D-3730-458C-ADEF-9D0895212813}"/>
  </w:font>
  <w:font w:name="Cambria Math">
    <w:panose1 w:val="02040503050406030204"/>
    <w:charset w:val="00"/>
    <w:family w:val="roman"/>
    <w:pitch w:val="variable"/>
    <w:sig w:usb0="E00002FF" w:usb1="420024FF" w:usb2="00000000" w:usb3="00000000" w:csb0="0000019F" w:csb1="00000000"/>
    <w:embedItalic r:id="rId7" w:fontKey="{46EB5213-FCF3-48D3-9B7A-C614F174C76F}"/>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31CC2" w:rsidRDefault="00531CC2">
        <w:pPr>
          <w:pStyle w:val="Footer"/>
          <w:jc w:val="center"/>
        </w:pPr>
        <w:r>
          <w:fldChar w:fldCharType="begin"/>
        </w:r>
        <w:r>
          <w:instrText xml:space="preserve"> PAGE   \* MERGEFORMAT </w:instrText>
        </w:r>
        <w:r>
          <w:fldChar w:fldCharType="separate"/>
        </w:r>
        <w:r w:rsidR="009D54F1">
          <w:rPr>
            <w:noProof/>
          </w:rPr>
          <w:t>14</w:t>
        </w:r>
        <w:r>
          <w:rPr>
            <w:noProof/>
          </w:rPr>
          <w:fldChar w:fldCharType="end"/>
        </w:r>
      </w:p>
    </w:sdtContent>
  </w:sdt>
  <w:p w:rsidR="00531CC2" w:rsidRDefault="00531C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44DA" w:rsidRDefault="006244DA" w:rsidP="009A122D">
      <w:pPr>
        <w:spacing w:after="0" w:line="240" w:lineRule="auto"/>
      </w:pPr>
      <w:r>
        <w:separator/>
      </w:r>
    </w:p>
  </w:footnote>
  <w:footnote w:type="continuationSeparator" w:id="0">
    <w:p w:rsidR="006244DA" w:rsidRDefault="006244DA"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545AB"/>
    <w:rsid w:val="00072913"/>
    <w:rsid w:val="00072D95"/>
    <w:rsid w:val="0007409B"/>
    <w:rsid w:val="0008670D"/>
    <w:rsid w:val="00092B79"/>
    <w:rsid w:val="00096116"/>
    <w:rsid w:val="000A40AD"/>
    <w:rsid w:val="000B0AFE"/>
    <w:rsid w:val="000C23E4"/>
    <w:rsid w:val="000C3573"/>
    <w:rsid w:val="000C6518"/>
    <w:rsid w:val="000C745E"/>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32C8"/>
    <w:rsid w:val="00175D8E"/>
    <w:rsid w:val="00184C3E"/>
    <w:rsid w:val="001910E3"/>
    <w:rsid w:val="001A151A"/>
    <w:rsid w:val="001A6C18"/>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1D8B"/>
    <w:rsid w:val="00275A3C"/>
    <w:rsid w:val="00282DE0"/>
    <w:rsid w:val="00290173"/>
    <w:rsid w:val="0029078B"/>
    <w:rsid w:val="00295B91"/>
    <w:rsid w:val="00295FB4"/>
    <w:rsid w:val="002A0DCC"/>
    <w:rsid w:val="002A275A"/>
    <w:rsid w:val="002B1207"/>
    <w:rsid w:val="002C490D"/>
    <w:rsid w:val="002C54C0"/>
    <w:rsid w:val="002D501F"/>
    <w:rsid w:val="002D7506"/>
    <w:rsid w:val="002E0EBF"/>
    <w:rsid w:val="002F4E2F"/>
    <w:rsid w:val="00305197"/>
    <w:rsid w:val="00313F54"/>
    <w:rsid w:val="00320207"/>
    <w:rsid w:val="003247B3"/>
    <w:rsid w:val="00325953"/>
    <w:rsid w:val="0033327A"/>
    <w:rsid w:val="00335E62"/>
    <w:rsid w:val="0034713C"/>
    <w:rsid w:val="00347C94"/>
    <w:rsid w:val="00354774"/>
    <w:rsid w:val="00360699"/>
    <w:rsid w:val="003657AC"/>
    <w:rsid w:val="00373875"/>
    <w:rsid w:val="003757EA"/>
    <w:rsid w:val="0038310A"/>
    <w:rsid w:val="00391853"/>
    <w:rsid w:val="003A1D28"/>
    <w:rsid w:val="003B3D00"/>
    <w:rsid w:val="003B4B81"/>
    <w:rsid w:val="003C4248"/>
    <w:rsid w:val="003C66D8"/>
    <w:rsid w:val="003D306F"/>
    <w:rsid w:val="003D42F5"/>
    <w:rsid w:val="003D4900"/>
    <w:rsid w:val="003D5DA7"/>
    <w:rsid w:val="003E0BDF"/>
    <w:rsid w:val="003F5091"/>
    <w:rsid w:val="00401E4A"/>
    <w:rsid w:val="00412A85"/>
    <w:rsid w:val="00414AEF"/>
    <w:rsid w:val="004163AF"/>
    <w:rsid w:val="004178FE"/>
    <w:rsid w:val="00435563"/>
    <w:rsid w:val="0043685D"/>
    <w:rsid w:val="00446BDA"/>
    <w:rsid w:val="00453133"/>
    <w:rsid w:val="0046652F"/>
    <w:rsid w:val="004747BD"/>
    <w:rsid w:val="00475C27"/>
    <w:rsid w:val="00477861"/>
    <w:rsid w:val="00483E00"/>
    <w:rsid w:val="00485B00"/>
    <w:rsid w:val="00494EDC"/>
    <w:rsid w:val="004A2989"/>
    <w:rsid w:val="004B1858"/>
    <w:rsid w:val="004B5CB1"/>
    <w:rsid w:val="004C00D1"/>
    <w:rsid w:val="004C16E5"/>
    <w:rsid w:val="004C392E"/>
    <w:rsid w:val="004C5F1B"/>
    <w:rsid w:val="004C737E"/>
    <w:rsid w:val="004D5FC0"/>
    <w:rsid w:val="004D6F60"/>
    <w:rsid w:val="004E278A"/>
    <w:rsid w:val="004F4440"/>
    <w:rsid w:val="004F5395"/>
    <w:rsid w:val="00514DED"/>
    <w:rsid w:val="005202A0"/>
    <w:rsid w:val="0052063A"/>
    <w:rsid w:val="00531BD5"/>
    <w:rsid w:val="00531CC2"/>
    <w:rsid w:val="005447DA"/>
    <w:rsid w:val="00544FA2"/>
    <w:rsid w:val="005467DB"/>
    <w:rsid w:val="005515F1"/>
    <w:rsid w:val="00552B96"/>
    <w:rsid w:val="00563FAB"/>
    <w:rsid w:val="00564668"/>
    <w:rsid w:val="00575BB5"/>
    <w:rsid w:val="005816EE"/>
    <w:rsid w:val="005821AF"/>
    <w:rsid w:val="00587E54"/>
    <w:rsid w:val="005A2F68"/>
    <w:rsid w:val="005B46B9"/>
    <w:rsid w:val="005B487B"/>
    <w:rsid w:val="005D7A01"/>
    <w:rsid w:val="005E0580"/>
    <w:rsid w:val="005E19DB"/>
    <w:rsid w:val="005E3A59"/>
    <w:rsid w:val="005E7700"/>
    <w:rsid w:val="005F1227"/>
    <w:rsid w:val="005F1B6B"/>
    <w:rsid w:val="005F620D"/>
    <w:rsid w:val="005F6245"/>
    <w:rsid w:val="00607B56"/>
    <w:rsid w:val="006244DA"/>
    <w:rsid w:val="00625517"/>
    <w:rsid w:val="00630B3C"/>
    <w:rsid w:val="00630F02"/>
    <w:rsid w:val="00633ED1"/>
    <w:rsid w:val="006456BB"/>
    <w:rsid w:val="00651511"/>
    <w:rsid w:val="00652D72"/>
    <w:rsid w:val="00663378"/>
    <w:rsid w:val="00665310"/>
    <w:rsid w:val="006733DF"/>
    <w:rsid w:val="00683120"/>
    <w:rsid w:val="006911A5"/>
    <w:rsid w:val="00691767"/>
    <w:rsid w:val="0069770A"/>
    <w:rsid w:val="006A479B"/>
    <w:rsid w:val="006B774C"/>
    <w:rsid w:val="006C02DB"/>
    <w:rsid w:val="006D14E9"/>
    <w:rsid w:val="006D3220"/>
    <w:rsid w:val="006D5802"/>
    <w:rsid w:val="006F4747"/>
    <w:rsid w:val="00701833"/>
    <w:rsid w:val="007058D2"/>
    <w:rsid w:val="00720682"/>
    <w:rsid w:val="00723F0C"/>
    <w:rsid w:val="00733446"/>
    <w:rsid w:val="00753267"/>
    <w:rsid w:val="0077094B"/>
    <w:rsid w:val="00775F58"/>
    <w:rsid w:val="007A2944"/>
    <w:rsid w:val="007B25AD"/>
    <w:rsid w:val="007C4DDB"/>
    <w:rsid w:val="007E25F3"/>
    <w:rsid w:val="007E6659"/>
    <w:rsid w:val="007F0A97"/>
    <w:rsid w:val="007F101A"/>
    <w:rsid w:val="007F26D6"/>
    <w:rsid w:val="007F656F"/>
    <w:rsid w:val="008062FB"/>
    <w:rsid w:val="00806F37"/>
    <w:rsid w:val="00812097"/>
    <w:rsid w:val="00812DB3"/>
    <w:rsid w:val="00814BE5"/>
    <w:rsid w:val="00817816"/>
    <w:rsid w:val="00817B34"/>
    <w:rsid w:val="00824294"/>
    <w:rsid w:val="0082586B"/>
    <w:rsid w:val="00830F34"/>
    <w:rsid w:val="0085140E"/>
    <w:rsid w:val="00851EBB"/>
    <w:rsid w:val="008643AC"/>
    <w:rsid w:val="00870ED3"/>
    <w:rsid w:val="008752E9"/>
    <w:rsid w:val="008851DB"/>
    <w:rsid w:val="00890BB3"/>
    <w:rsid w:val="008967F9"/>
    <w:rsid w:val="008A0C66"/>
    <w:rsid w:val="008A3174"/>
    <w:rsid w:val="008A35F3"/>
    <w:rsid w:val="008A5282"/>
    <w:rsid w:val="008E3DFA"/>
    <w:rsid w:val="008E7880"/>
    <w:rsid w:val="008F5983"/>
    <w:rsid w:val="009040D1"/>
    <w:rsid w:val="00917C32"/>
    <w:rsid w:val="009207F0"/>
    <w:rsid w:val="00922611"/>
    <w:rsid w:val="00925154"/>
    <w:rsid w:val="00927B26"/>
    <w:rsid w:val="00932C9B"/>
    <w:rsid w:val="0094207C"/>
    <w:rsid w:val="0094540E"/>
    <w:rsid w:val="0094679F"/>
    <w:rsid w:val="00946A45"/>
    <w:rsid w:val="00946BF8"/>
    <w:rsid w:val="0095303A"/>
    <w:rsid w:val="009602F2"/>
    <w:rsid w:val="00960FAB"/>
    <w:rsid w:val="00961209"/>
    <w:rsid w:val="00961EB6"/>
    <w:rsid w:val="00963766"/>
    <w:rsid w:val="00975E44"/>
    <w:rsid w:val="009770F6"/>
    <w:rsid w:val="009850ED"/>
    <w:rsid w:val="00986F1F"/>
    <w:rsid w:val="00992FC4"/>
    <w:rsid w:val="009969E9"/>
    <w:rsid w:val="009A0E7D"/>
    <w:rsid w:val="009A122D"/>
    <w:rsid w:val="009A2A4B"/>
    <w:rsid w:val="009D3762"/>
    <w:rsid w:val="009D54F1"/>
    <w:rsid w:val="009D699D"/>
    <w:rsid w:val="009E654C"/>
    <w:rsid w:val="009F5B3A"/>
    <w:rsid w:val="00A0028F"/>
    <w:rsid w:val="00A00B27"/>
    <w:rsid w:val="00A03104"/>
    <w:rsid w:val="00A14950"/>
    <w:rsid w:val="00A20806"/>
    <w:rsid w:val="00A307DC"/>
    <w:rsid w:val="00A30A19"/>
    <w:rsid w:val="00A34949"/>
    <w:rsid w:val="00A35270"/>
    <w:rsid w:val="00A40A47"/>
    <w:rsid w:val="00A575D7"/>
    <w:rsid w:val="00A579F7"/>
    <w:rsid w:val="00A70358"/>
    <w:rsid w:val="00A709C3"/>
    <w:rsid w:val="00A725E6"/>
    <w:rsid w:val="00A74527"/>
    <w:rsid w:val="00A81E09"/>
    <w:rsid w:val="00A9277F"/>
    <w:rsid w:val="00A95F28"/>
    <w:rsid w:val="00A96D14"/>
    <w:rsid w:val="00AB0448"/>
    <w:rsid w:val="00AC2BE1"/>
    <w:rsid w:val="00AC498F"/>
    <w:rsid w:val="00AC687F"/>
    <w:rsid w:val="00AC75F5"/>
    <w:rsid w:val="00AD2B33"/>
    <w:rsid w:val="00AD32AA"/>
    <w:rsid w:val="00AE0B1E"/>
    <w:rsid w:val="00AE42B5"/>
    <w:rsid w:val="00AE4A3F"/>
    <w:rsid w:val="00B04D05"/>
    <w:rsid w:val="00B10C13"/>
    <w:rsid w:val="00B1479E"/>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9782C"/>
    <w:rsid w:val="00BA6231"/>
    <w:rsid w:val="00BB5518"/>
    <w:rsid w:val="00BC359F"/>
    <w:rsid w:val="00BF06EE"/>
    <w:rsid w:val="00BF2DDC"/>
    <w:rsid w:val="00BF336A"/>
    <w:rsid w:val="00C023C7"/>
    <w:rsid w:val="00C11B88"/>
    <w:rsid w:val="00C157F4"/>
    <w:rsid w:val="00C2015F"/>
    <w:rsid w:val="00C2360B"/>
    <w:rsid w:val="00C23983"/>
    <w:rsid w:val="00C32D39"/>
    <w:rsid w:val="00C35E46"/>
    <w:rsid w:val="00C36DFD"/>
    <w:rsid w:val="00C40CB3"/>
    <w:rsid w:val="00C43354"/>
    <w:rsid w:val="00C47221"/>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D48"/>
    <w:rsid w:val="00D14529"/>
    <w:rsid w:val="00D3522A"/>
    <w:rsid w:val="00D40F2C"/>
    <w:rsid w:val="00D4102F"/>
    <w:rsid w:val="00D56A32"/>
    <w:rsid w:val="00D6393B"/>
    <w:rsid w:val="00D66493"/>
    <w:rsid w:val="00D72D8D"/>
    <w:rsid w:val="00D74797"/>
    <w:rsid w:val="00D747B0"/>
    <w:rsid w:val="00D82F82"/>
    <w:rsid w:val="00DA34B7"/>
    <w:rsid w:val="00DB45BB"/>
    <w:rsid w:val="00DB52C0"/>
    <w:rsid w:val="00DB6D14"/>
    <w:rsid w:val="00DB72B7"/>
    <w:rsid w:val="00DB77BD"/>
    <w:rsid w:val="00DD62C4"/>
    <w:rsid w:val="00DE1C4B"/>
    <w:rsid w:val="00DF1FED"/>
    <w:rsid w:val="00DF4FC8"/>
    <w:rsid w:val="00DF6C0E"/>
    <w:rsid w:val="00E01613"/>
    <w:rsid w:val="00E1330F"/>
    <w:rsid w:val="00E1623D"/>
    <w:rsid w:val="00E16366"/>
    <w:rsid w:val="00E2745E"/>
    <w:rsid w:val="00E41B1B"/>
    <w:rsid w:val="00E4303E"/>
    <w:rsid w:val="00E466DE"/>
    <w:rsid w:val="00E4716C"/>
    <w:rsid w:val="00E5128F"/>
    <w:rsid w:val="00E52511"/>
    <w:rsid w:val="00E554BD"/>
    <w:rsid w:val="00E627A2"/>
    <w:rsid w:val="00E7243B"/>
    <w:rsid w:val="00E75CE3"/>
    <w:rsid w:val="00E83AB1"/>
    <w:rsid w:val="00E8583D"/>
    <w:rsid w:val="00E862AF"/>
    <w:rsid w:val="00E87B67"/>
    <w:rsid w:val="00EA316D"/>
    <w:rsid w:val="00EA4F71"/>
    <w:rsid w:val="00EB2D0A"/>
    <w:rsid w:val="00EB3214"/>
    <w:rsid w:val="00EB5020"/>
    <w:rsid w:val="00EB6923"/>
    <w:rsid w:val="00EC7EBC"/>
    <w:rsid w:val="00ED08B5"/>
    <w:rsid w:val="00EE3B41"/>
    <w:rsid w:val="00EE3CB4"/>
    <w:rsid w:val="00EE6EA2"/>
    <w:rsid w:val="00EF0B86"/>
    <w:rsid w:val="00EF3BEC"/>
    <w:rsid w:val="00EF44A6"/>
    <w:rsid w:val="00EF634C"/>
    <w:rsid w:val="00EF797F"/>
    <w:rsid w:val="00F00D32"/>
    <w:rsid w:val="00F03785"/>
    <w:rsid w:val="00F052BD"/>
    <w:rsid w:val="00F07DD7"/>
    <w:rsid w:val="00F100B3"/>
    <w:rsid w:val="00F124DA"/>
    <w:rsid w:val="00F25234"/>
    <w:rsid w:val="00F27D77"/>
    <w:rsid w:val="00F356B7"/>
    <w:rsid w:val="00F35F7B"/>
    <w:rsid w:val="00F37542"/>
    <w:rsid w:val="00F441B1"/>
    <w:rsid w:val="00F619A9"/>
    <w:rsid w:val="00F62FFA"/>
    <w:rsid w:val="00F71C83"/>
    <w:rsid w:val="00F76B8B"/>
    <w:rsid w:val="00F804BA"/>
    <w:rsid w:val="00F8069F"/>
    <w:rsid w:val="00F83F2E"/>
    <w:rsid w:val="00F84E5B"/>
    <w:rsid w:val="00F8789F"/>
    <w:rsid w:val="00F907A8"/>
    <w:rsid w:val="00FA4D99"/>
    <w:rsid w:val="00FA72C5"/>
    <w:rsid w:val="00FB0058"/>
    <w:rsid w:val="00FB1726"/>
    <w:rsid w:val="00FB30D0"/>
    <w:rsid w:val="00FB7014"/>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y@gmail.com" TargetMode="Externa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66D594-1C1C-4B60-A1DA-45E7462AB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7104</TotalTime>
  <Pages>25</Pages>
  <Words>30788</Words>
  <Characters>153940</Characters>
  <Application>Microsoft Office Word</Application>
  <DocSecurity>0</DocSecurity>
  <Lines>1282</Lines>
  <Paragraphs>368</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184360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83</cp:revision>
  <dcterms:created xsi:type="dcterms:W3CDTF">2013-08-25T12:42:00Z</dcterms:created>
  <dcterms:modified xsi:type="dcterms:W3CDTF">2013-11-25T15:43:00Z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http://www.zotero.org/styles/bmc-evolutionary-biology</vt:lpwstr>
  </property>
  <property fmtid="{D5CDD505-2E9C-101B-9397-08002B2CF9AE}" pid="6" name="Mendeley Recent Style Name 0_1">
    <vt:lpwstr>BMC Evolutionary Biology</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