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r w:rsidRPr="0038310A">
        <w:rPr>
          <w:sz w:val="28"/>
          <w:szCs w:val="22"/>
        </w:rPr>
        <w:t>Yoav Ram and Lilach Hadany</w:t>
      </w:r>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0B0AFE">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0B0AFE">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0B0AFE">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w:t>
      </w:r>
      <w:r w:rsidR="00A725E6">
        <w:lastRenderedPageBreak/>
        <w:t xml:space="preserve">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F052BD">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both prokaryote and eukaryote </w:t>
      </w:r>
      <w:r w:rsidR="00CA7DA9">
        <w:fldChar w:fldCharType="begin" w:fldLock="1"/>
      </w:r>
      <w:r w:rsidR="000B0AFE">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"ITEM-2",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"id" : "ITEM-3",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"ITEM-3", "issue" : "16", "issued" : { "date-parts" : [ [ "2012", "4", "17" ] ] }, "page" : "6142-6", "title" : "Evidence for elevated mutation rates in low-quality genotypes.", "type" : "article-journal", "volume" : "109" }, "uris" : [ "http://www.mendeley.com/documents/?uuid=ae5981bc-560e-47cc-9f70-ebd384c1b3ea" ] }, { "id" : "ITEM-4",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"ITEM-4", "issue" : "3", "issued" : { "date-parts" : [ [ "2013", "3", "12" ] ] }, "page" : "221-7", "publisher" : "Nature Publishing Group", "title" : "Evaluating evolutionary models of stress-induced mutagenesis in bacteria.", "type" : "article-journal", "volume" : "14" }, "uris" : [ "http://www.mendeley.com/documents/?uuid=eb0ec82e-9abe-4665-8ba6-346ddcabd4a9" ] }, { "id" : "ITEM-5",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"ITEM-5", "issue" : "5", "issued" : { "date-parts" : [ [ "2007" ] ] }, "page" : "399-435", "title" : "Mutation as a stress response and the regulation of evolvability.", "type" : "article-journal", "volume" : "42" }, "uris" : [ "http://www.mendeley.com/documents/?uuid=9fcd9085-9447-450a-a846-6665443b9611" ] } ], "mendeley" : { "previouslyFormattedCitation" : "(Goho and Bell 2000; Foster 2007; Galhardo et al. 2007; Sharp and Agrawal 2012; MacLean et al. 2013)" }, "properties" : { "noteIndex" : 0 }, "schema" : "https://github.com/citation-style-language/schema/raw/master/csl-citation.json" }</w:instrText>
      </w:r>
      <w:r w:rsidR="00CA7DA9">
        <w:fldChar w:fldCharType="separate"/>
      </w:r>
      <w:bookmarkStart w:id="0" w:name="_GoBack"/>
      <w:bookmarkEnd w:id="0"/>
      <w:r w:rsidR="000B0AFE" w:rsidRPr="000B0AFE">
        <w:rPr>
          <w:noProof/>
        </w:rPr>
        <w:t>(Goho and Bell 2000; Foster 2007; Galhardo et al. 2007; Sharp and Agrawal 2012; MacLean et al. 2013)</w:t>
      </w:r>
      <w:r w:rsidR="00CA7DA9">
        <w:fldChar w:fldCharType="end"/>
      </w:r>
      <w:r w:rsidR="00F052BD">
        <w:t xml:space="preserve"> , including natural populations of </w:t>
      </w:r>
      <w:r w:rsidR="00F052BD">
        <w:rPr>
          <w:i/>
          <w:iCs/>
        </w:rPr>
        <w:t>Escherichia coli</w:t>
      </w:r>
      <w:r w:rsidR="00F052BD">
        <w:t xml:space="preserve"> </w:t>
      </w:r>
      <w:r w:rsidR="00F052BD">
        <w:fldChar w:fldCharType="begin" w:fldLock="1"/>
      </w:r>
      <w:r w:rsidR="000B0AF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F052BD">
        <w:fldChar w:fldCharType="separate"/>
      </w:r>
      <w:r w:rsidR="00F052BD" w:rsidRPr="00313F54">
        <w:rPr>
          <w:noProof/>
        </w:rPr>
        <w:t>(Bjedov et al. 2003)</w:t>
      </w:r>
      <w:r w:rsidR="00F052BD">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0B0AFE">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0B0AFE">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0B0AFE">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r w:rsidR="00313F54">
        <w:t xml:space="preserve"> </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0B0AFE">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modeled by Agrawal and later</w:t>
      </w:r>
      <w:r w:rsidR="00033028">
        <w:t xml:space="preserve"> by</w:t>
      </w:r>
      <w:r>
        <w:t xml:space="preserve"> Shaw and Baer</w:t>
      </w:r>
      <w:r w:rsidR="001307C7">
        <w:t xml:space="preserve"> </w:t>
      </w:r>
      <w:r w:rsidR="00CA7DA9">
        <w:fldChar w:fldCharType="begin" w:fldLock="1"/>
      </w:r>
      <w:r w:rsidR="000B0AFE">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0B0AFE">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w:t>
      </w:r>
      <w:r w:rsidR="0033327A">
        <w:rPr>
          <w:lang w:bidi="hi-IN"/>
        </w:rPr>
        <w:lastRenderedPageBreak/>
        <w:t xml:space="preserve">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1" w:name="_Ref361735010"/>
      <w:r>
        <w:rPr>
          <w:lang w:bidi="hi-IN"/>
        </w:rPr>
        <w:t>Model</w:t>
      </w:r>
      <w:bookmarkEnd w:id="1"/>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wildtype genotype is </w:t>
      </w:r>
      <w:r>
        <w:rPr>
          <w:i/>
          <w:iCs/>
        </w:rPr>
        <w:t>ab</w:t>
      </w:r>
      <w:r>
        <w:t xml:space="preserve"> and its fitness is 1. Mutations at these loci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lastRenderedPageBreak/>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0B0AFE">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w:t>
      </w:r>
      <w:r w:rsidR="0002786D" w:rsidRPr="00183F36">
        <w:lastRenderedPageBreak/>
        <w:t xml:space="preserve">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2"/>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D638B0"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3"/>
          </w:p>
        </w:tc>
      </w:tr>
    </w:tbl>
    <w:p w:rsidR="0002786D" w:rsidRDefault="005447DA" w:rsidP="003C66D8">
      <w:pPr>
        <w:spacing w:line="480" w:lineRule="auto"/>
      </w:pPr>
      <w:r>
        <w:t xml:space="preserve">The right-hand side of Eqs.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3C66D8">
        <w:t>Appendix 1</w:t>
      </w:r>
      <w:r w:rsidR="00AC2BE1">
        <w:t>)</w:t>
      </w:r>
      <w:r>
        <w:t>.</w:t>
      </w:r>
    </w:p>
    <w:p w:rsidR="002D7506" w:rsidRDefault="002D7506" w:rsidP="002A0DCC">
      <w:pPr>
        <w:pStyle w:val="Heading2"/>
        <w:spacing w:line="480" w:lineRule="auto"/>
      </w:pPr>
      <w:bookmarkStart w:id="4" w:name="_Ref354319797"/>
      <w:r>
        <w:t xml:space="preserve">Fixation probability with stress-induced </w:t>
      </w:r>
      <w:bookmarkEnd w:id="4"/>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0B0AF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0B0AFE">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5"/>
    </w:p>
    <w:p w:rsidR="00B82D73" w:rsidRPr="00D516F5" w:rsidRDefault="00B82D73" w:rsidP="00B1479E">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w:t>
      </w:r>
      <w:r>
        <w:lastRenderedPageBreak/>
        <w:t xml:space="preserve">are enough to get the average number of deleterious mutations per individual to 99.3% of </w:t>
      </w:r>
      <w:r w:rsidR="00CA58CA">
        <w:t>its</w:t>
      </w:r>
      <w:r>
        <w:t xml:space="preserve"> MSB value </w:t>
      </w:r>
      <w:r>
        <w:fldChar w:fldCharType="begin" w:fldLock="1"/>
      </w:r>
      <w:r w:rsidR="000B0AFE">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D638B0"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D638B0"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D638B0">
              <w:fldChar w:fldCharType="begin"/>
            </w:r>
            <w:r w:rsidR="00D638B0">
              <w:instrText xml:space="preserve"> SEQ Equation </w:instrText>
            </w:r>
            <w:r w:rsidR="00D638B0">
              <w:fldChar w:fldCharType="separate"/>
            </w:r>
            <w:r w:rsidR="00CA58CA">
              <w:rPr>
                <w:noProof/>
              </w:rPr>
              <w:t>6</w:t>
            </w:r>
            <w:r w:rsidR="00D638B0">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D638B0"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7"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7"/>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r w:rsidR="005A2F68" w:rsidRPr="00AB0448">
        <w:rPr>
          <w:i/>
          <w:iCs/>
        </w:rPr>
        <w:t>τ</w:t>
      </w:r>
      <w:r w:rsidR="005A2F68">
        <w:rPr>
          <w:i/>
          <w:iCs/>
        </w:rPr>
        <w:t>U</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C490D">
      <w:pPr>
        <w:spacing w:line="480" w:lineRule="auto"/>
        <w:rPr>
          <w:rFonts w:eastAsiaTheme="minorEastAsia"/>
          <w:lang w:bidi="hi-IN"/>
        </w:rPr>
      </w:pPr>
      <w:r>
        <w:rPr>
          <w:rFonts w:eastAsiaTheme="minorEastAsia"/>
          <w:lang w:bidi="hi-IN"/>
        </w:rPr>
        <w:lastRenderedPageBreak/>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320207" w:rsidRPr="00320207">
        <w:t>).</w:t>
      </w:r>
      <w:r w:rsidR="001C5D6C">
        <w:t xml:space="preserve"> See below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0B0AFE">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7F26D6">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0B0AF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w:t>
      </w:r>
      <w:r w:rsidRPr="003757EA">
        <w:rPr>
          <w:lang w:bidi="hi-IN"/>
        </w:rPr>
        <w:lastRenderedPageBreak/>
        <w:t xml:space="preserve">(see </w:t>
      </w:r>
      <w:r w:rsidR="007F26D6">
        <w:rPr>
          <w:lang w:bidi="hi-IN"/>
        </w:rPr>
        <w:t>Figure 3 a</w:t>
      </w:r>
      <w:r w:rsidRPr="003757EA">
        <w:rPr>
          <w:lang w:bidi="hi-IN"/>
        </w:rPr>
        <w:t xml:space="preserve">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w:t>
      </w:r>
      <w:r w:rsidR="002C54C0">
        <w:lastRenderedPageBreak/>
        <w:t xml:space="preserve">evolution of drug resistance in bacteria and yeast </w:t>
      </w:r>
      <w:r w:rsidR="002C54C0">
        <w:fldChar w:fldCharType="begin" w:fldLock="1"/>
      </w:r>
      <w:r w:rsidR="000B0AF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D638B0"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8"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8"/>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D638B0"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9"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9"/>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0B0AF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0B0AF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0B0AFE">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0B0AF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0B0AFE">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w:t>
      </w:r>
      <w:r w:rsidR="00B37F95">
        <w:rPr>
          <w:lang w:bidi="hi-IN"/>
        </w:rPr>
        <w:lastRenderedPageBreak/>
        <w:t xml:space="preserve">hypothesis" </w:t>
      </w:r>
      <w:r w:rsidR="00CA7DA9">
        <w:rPr>
          <w:lang w:bidi="hi-IN"/>
        </w:rPr>
        <w:fldChar w:fldCharType="begin" w:fldLock="1"/>
      </w:r>
      <w:r w:rsidR="000B0AFE">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0B0AF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0B0AFE">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0B0AF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0B0AFE">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0B0AFE">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0B0AFE">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0B0AF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lastRenderedPageBreak/>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0B0AFE">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w:instrText>
      </w:r>
      <w:r w:rsidR="000B0AFE">
        <w:rPr>
          <w:lang w:bidi="hi-IN"/>
        </w:rPr>
        <w:lastRenderedPageBreak/>
        <w:instrText>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A0028F">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Obolski for help with statistical analysis. 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0B0AFE" w:rsidRPr="000B0AFE" w:rsidRDefault="007F0A97">
      <w:pPr>
        <w:pStyle w:val="NormalWeb"/>
        <w:divId w:val="1125931007"/>
        <w:rPr>
          <w:rFonts w:ascii="Palatino Linotype" w:hAnsi="Palatino Linotype"/>
          <w:noProof/>
          <w:sz w:val="22"/>
        </w:rPr>
      </w:pPr>
      <w:r>
        <w:fldChar w:fldCharType="begin" w:fldLock="1"/>
      </w:r>
      <w:r>
        <w:instrText xml:space="preserve">ADDIN Mendeley Bibliography CSL_BIBLIOGRAPHY </w:instrText>
      </w:r>
      <w:r>
        <w:fldChar w:fldCharType="separate"/>
      </w:r>
      <w:r w:rsidR="000B0AFE" w:rsidRPr="000B0AFE">
        <w:rPr>
          <w:rFonts w:ascii="Palatino Linotype" w:hAnsi="Palatino Linotype"/>
          <w:noProof/>
          <w:sz w:val="22"/>
        </w:rPr>
        <w:t>Agrawal, A. F</w:t>
      </w:r>
      <w:r w:rsidR="000B0AFE" w:rsidRPr="000B0AFE">
        <w:rPr>
          <w:rFonts w:ascii="Palatino Linotype" w:hAnsi="Palatino Linotype"/>
          <w:noProof/>
          <w:sz w:val="22"/>
        </w:rPr>
        <w:lastRenderedPageBreak/>
        <w:t>. 2002. Genetic loads under fitness-dependent mutation rates. J. Evol. Biol. 15:1004–1010. Wiley Online Library.</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Berg, O. G. 1996. Selection intensity for codon bias and the effective population size of Escherichia coli. Genetics 142:1379–82.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Bjedov, I., O. Tenaillon, B. Gérard, V. Souza, E. Denamur, M. Radman, F. Taddei, and I. Matic. 2003. Stress-induced mutagenesis in bacteria. Science (80-. ). 300:1404–9.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Cairns, J., J. Overbaugh, and S. Miller. 1988. The origin of mutants. Nature 335:142–5.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Cirz, R. T., and F. E. Romesberg. 2007. Controlling mutation: intervening in evolution as a therapeutic strategy. Crit. Rev. Biochem. Mol. Biol. 42:341–54.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Coyne, J. A., N. H. Barton, and M. Turelli. 2000. Is Wright’s shifting balance process important in evolution? Evolution (N. Y). 54:306–317.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Crow, J. F., W. R. Engels, and C. Denniston. 1990. Phase Three of Wright’s Shifting-Balance Theory. Evolution (N. Y). 44:233.</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Dawson, K. J. 1998. Evolutionarily stable mutation rates. J. Theor. Biol. 194:143–57.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Denamur, E., and I. Matic. 2006. Evolution of mutation rates in bacteria. Mol. Microbiol. 60:820–7.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Drake, J. W., B. Charlesworth, D. Charlesworth, and J. F. Crow. 1998. Rates of spontaneous mutation. Genetics 148:1667–86. Genetics Soc America.</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Fisher, R. A. 1930. The Genetical Theory of Natural Sel</w:t>
      </w:r>
      <w:r w:rsidRPr="000B0AFE">
        <w:rPr>
          <w:rFonts w:ascii="Palatino Linotype" w:hAnsi="Palatino Linotype"/>
          <w:noProof/>
          <w:sz w:val="22"/>
        </w:rPr>
        <w:lastRenderedPageBreak/>
        <w:t>ection. Clarendon Press, Oxford.</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Foster, P. L. 2007. Stress-induced mutagenesis in bacteria. Crit. Rev. Biochem. Mol. Biol. 42:373–97.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Galhardo, R. S., P. J. Hastings, and S. M. Rosenberg. 2007. Mutation as a stress response and the regulation of evolvability. Crit. Rev. Biochem. Mol. Biol. 42:399–435.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Gavrilets, S. 1996. On phase three of the shifting-balance theory. Evolution (N. Y). 50:1034–1041. JSTOR.</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Goho, S., and G. Bell. 2000. Mild environmental stress elicits mutations affecting fitness in Chlamydomonas. Proc. R. Soc. B Biol. Sci. 267:123–9.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Gordo, I., and F. Dionisio. 2005. Nonequilibrium model for estimating parameters of deleterious mutations. Phys. Rev. E 71:18–21.</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Gordo, I., L. Perfeito, and A. Sousa. 2011. Fitness effects of mutations in bacteria. J. Mol. Microbiol. Biotechnol. 21:20–35.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Hadany, L. 2003. Adaptive peak shifts in a heterogenous environment. Theor. Popul. Biol. 63:41–51.</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Hadany, L., and T. Beker. 2003. Fitness-associated recombination on rugged adaptive landscapes. J. Evol. Biol. 16:862–870.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Haigh, J. 1978. The accumulation of deleterious genes in a population - Muller’s Ratchet. Theor. Popul. Biol. 14:251–267.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Hall, L. M. C., and S. K. Henderson-Begg. 2006. Hypermutable bacteria isolated from humans--a critical analysis. Microbiology 152:2505–14.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Hartfield, M., and S. P. Otto. 2011. Recombination and hitchhiking of deleterious alleles. Evolution 65:2421–34.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Kessler, D., and H. Levine. 1998. Mutator Dynamics on a Smooth Evolutionary Landscape. Phys. Rev. Lett. 80:2012–2015.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Kibota, T. T., and M. Lynch. 1996. Estimate of the genomic mutation rate deleterious to overall fitness in E. coli. Nature 381:694–6.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Leigh, E. G. J. 1970. Natural Selection and Mutability. Am. Nat. 104:301–305.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MacLean, R. C., C. Torres-Barceló, and R. Moxon. 2013. Evaluating evolutionary models of stress-induced mutagenesis in bacteria. Nat. Rev. Genet. 14:221–7. Nature Publishing Group.</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Moore, F. B.-G., and S. J. Tonsor. 1994. A Simulation of Wright’s Shifting-Balance Process: Migration and the Three Phases. Evolution (N. Y). 48:69.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Obolski, U., and L. Hadany. 2012. Implications of stress-induced genetic variation for minimizing multidrug resistance in bacteria. BMC Med. 10:1–30.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Peck, S. L., S. P. Ellner, and F. Gould. 2000. Varying migration and deme size and the feasibility of</w:t>
      </w:r>
      <w:r w:rsidRPr="000B0AFE">
        <w:rPr>
          <w:rFonts w:ascii="Palatino Linotype" w:hAnsi="Palatino Linotype"/>
          <w:noProof/>
          <w:sz w:val="22"/>
        </w:rPr>
        <w:lastRenderedPageBreak/>
        <w:t xml:space="preserve"> the shifting balance. Evolution 54:324–7.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Ponder, R. G., N. C. Fonville, and S. M. Rosenberg. 2005. A switch from high-fidelity to error-prone DNA double-strand break repair underlies stress-induced mutation. Mol. Cell 19:791–804.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Pupo, G. M., and B. J. Richardson. 1995. Biochemical genetics of a natural population of Escherichia coli: seasonal changes in alleles and haplotypes. Microbiology 141:1037–44.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Ram, Y., and L. Hadany. 2012. The evolution of stress-induced hypermutation in asexual populations. Evolution (N. Y). 66:2315–28.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Sharp, N. P., and A. F. Agrawal. 2012. Evidence for elevated mutation rates in low-quality genotypes. Proc. Natl. Acad. Sci. 109:6142–6.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Shaw, F. H., and C. F. Baer. 2011. Fitness-dependent mutation rates in finite populations. J. Evol. Biol. 24:1677–84.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Shor, E., C. a. Fox, and J. R. Broach. 2013. The Yeast Environmental Stress Response Regulates Mutagenesis Induced by Proteotoxic Stress. PLoS Genet. 9:e1003680.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Sniegowski, P. D., P. J. Gerrish, T. Johnson, and A. Shaver. 2000. The evolution of mutation rates: separating causes from consequences. BioEssays 22:1057–66.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Sniegowski, P. D., P. J. Gerrish, and R. E. Lenski. 1997. Evolution of high mutation rates in experimental populations of E. coli. Nature 387:703–5. Nature Publishing Group.</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Sung, W., M. S. Ackerman, S. F. Miller, T. G. Doak, and M. Lynch. 2012. Drift-barrier hypothesis and mutation-rate evolution. Proc. Natl. Acad. Sci., doi: 10.1073/pnas.1216223109.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Taddei, F., M. Radman, J. Maynard Smith, B. Toupance, P.-H. Gouyon, and B. Godelle. 1997. Role of mutator alleles in adaptive evolution. Nature 387:700–2.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Tenaillon, O., E. Denamur, and I. Matic. 2004. Evolutionary significance of stress-induced mutagenesis in bacteria. Trends Microbiol. 12:264–70.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Wade, M., and C. Goodnight. 1991. Wright’s shifting balance theory: an experimental study. Science (80-. ). 253:1015–1018.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Weissman, D. B., M. M. Desai, D. S. Fisher, and M. W. Feldman. 2009. The rate at which asexual populations cross fitness valleys. Theor. Popul. Biol. 75:286–300. Elsevier Inc.</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1997. Founder Effects and Peak Shifts Without Genetic Drift: Adaptive Peak Shifts Occur Easily When Environments Fluctuate Slightly. Evolution (N. Y). 51:1044.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1995. Variance-Induced Peak Shifts. Evolution (N. Y). 49:252.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and P. C. Phillips. 2000. The exquisite corpse: a shifting view of the shifting balance. Trends Ecol. Evol. 15:347–348.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Wright, S. 1931. Evolution in Mendelian Populations. Genetics 16:97–159.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 xml:space="preserve">Wright, S. 1988. Surfaces of selective value revisited. Am. Nat. 131:115–123. </w:t>
      </w:r>
    </w:p>
    <w:p w:rsidR="00347C94" w:rsidRPr="00347C94" w:rsidRDefault="007F0A97" w:rsidP="000B0AFE">
      <w:pPr>
        <w:pStyle w:val="NormalWeb"/>
        <w:divId w:val="1642922316"/>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lastRenderedPageBreak/>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D638B0"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r>
        <w:rPr>
          <w:rFonts w:ascii="Times New Roman" w:hAnsi="Times New Roman"/>
          <w:i/>
          <w:iCs/>
        </w:rPr>
        <w:t>τ</w:t>
      </w:r>
      <w:r>
        <w:rPr>
          <w:i/>
          <w:iCs/>
        </w:rPr>
        <w:t>U.</w:t>
      </w:r>
      <w:r>
        <w:t xml:space="preserve"> Now,</w:t>
      </w:r>
    </w:p>
    <w:p w:rsidR="0002786D" w:rsidRPr="005579CA" w:rsidRDefault="00D638B0"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D638B0"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t>Appendix</w:t>
      </w:r>
      <w:bookmarkEnd w:id="12"/>
      <w:r w:rsidR="000F7D03">
        <w:t xml:space="preserve"> 2</w:t>
      </w:r>
      <w:bookmarkEnd w:id="13"/>
    </w:p>
    <w:p w:rsidR="00946A45" w:rsidRDefault="005447DA" w:rsidP="002A0DCC">
      <w:pPr>
        <w:spacing w:line="480" w:lineRule="auto"/>
        <w:rPr>
          <w:lang w:bidi="hi-IN"/>
        </w:rPr>
      </w:pPr>
      <w:r>
        <w:t xml:space="preserve">Following Eshel </w:t>
      </w:r>
      <w:r w:rsidR="00CA7DA9">
        <w:fldChar w:fldCharType="begin" w:fldLock="1"/>
      </w:r>
      <w:r w:rsidR="000B0AF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lastRenderedPageBreak/>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r w:rsidRPr="00544FA2">
        <w:rPr>
          <w:i/>
          <w:iCs/>
        </w:rPr>
        <w:t>sH</w:t>
      </w:r>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3C66D8">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0B0AF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D638B0"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D638B0"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D638B0"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lastRenderedPageBreak/>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D638B0"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D638B0"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3C4248" w:rsidP="002A0DCC">
      <w:pPr>
        <w:keepNext/>
        <w:spacing w:line="480" w:lineRule="auto"/>
        <w:jc w:val="center"/>
      </w:pPr>
      <w:r>
        <w:rPr>
          <w:noProof/>
        </w:rPr>
        <w:drawing>
          <wp:inline distT="0" distB="0" distL="0" distR="0" wp14:anchorId="36C593E9" wp14:editId="54C81A19">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w:t>
      </w:r>
      <w:r>
        <w:lastRenderedPageBreak/>
        <w:t>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drawing>
          <wp:inline distT="0" distB="0" distL="0" distR="0" wp14:anchorId="1B9E23BA" wp14:editId="1CCD469A">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SIMe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lastRenderedPageBreak/>
        <w:drawing>
          <wp:inline distT="0" distB="0" distL="0" distR="0" wp14:anchorId="0A1A45FC" wp14:editId="2CFB8554">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836A482" wp14:editId="7351E385">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lastRenderedPageBreak/>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B0AF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B0AF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B0AFE">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8B0" w:rsidRDefault="00D638B0" w:rsidP="009A122D">
      <w:pPr>
        <w:spacing w:after="0" w:line="240" w:lineRule="auto"/>
      </w:pPr>
      <w:r>
        <w:separator/>
      </w:r>
    </w:p>
  </w:endnote>
  <w:endnote w:type="continuationSeparator" w:id="0">
    <w:p w:rsidR="00D638B0" w:rsidRDefault="00D638B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66247E6-4F8A-4FF4-9B4A-A2043CAA4EE1}"/>
    <w:embedBold r:id="rId2" w:fontKey="{9FA2F51A-9DFA-476A-A4E2-EDEF616C66AB}"/>
    <w:embedItalic r:id="rId3" w:fontKey="{7C68C668-8402-42B7-ABEF-474985E3D0FE}"/>
    <w:embedBoldItalic r:id="rId4" w:fontKey="{841AB686-8437-4CA5-BA0E-C09E949CBD69}"/>
  </w:font>
  <w:font w:name="Tahoma">
    <w:panose1 w:val="020B0604030504040204"/>
    <w:charset w:val="00"/>
    <w:family w:val="swiss"/>
    <w:pitch w:val="variable"/>
    <w:sig w:usb0="E1002EFF" w:usb1="C000605B" w:usb2="00000029" w:usb3="00000000" w:csb0="000101FF" w:csb1="00000000"/>
    <w:embedRegular r:id="rId5" w:fontKey="{C0EA73C7-6238-4AAE-A080-300823BDBFFB}"/>
  </w:font>
  <w:font w:name="cmr10">
    <w:charset w:val="00"/>
    <w:family w:val="swiss"/>
    <w:pitch w:val="variable"/>
    <w:sig w:usb0="00000003" w:usb1="00000000" w:usb2="00000000" w:usb3="00000000" w:csb0="00000001" w:csb1="00000000"/>
    <w:embedRegular r:id="rId6" w:fontKey="{65A10369-69AA-46B8-B2BC-FE8B117A8E44}"/>
  </w:font>
  <w:font w:name="Cambria Math">
    <w:panose1 w:val="02040503050406030204"/>
    <w:charset w:val="00"/>
    <w:family w:val="roman"/>
    <w:pitch w:val="variable"/>
    <w:sig w:usb0="E00002FF" w:usb1="420024FF" w:usb2="00000000" w:usb3="00000000" w:csb0="0000019F" w:csb1="00000000"/>
    <w:embedItalic r:id="rId7" w:fontKey="{195D5D2A-9D44-4B9A-BE85-C7F97B0C78E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0B0AFE">
          <w:rPr>
            <w:noProof/>
          </w:rPr>
          <w:t>3</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8B0" w:rsidRDefault="00D638B0" w:rsidP="009A122D">
      <w:pPr>
        <w:spacing w:after="0" w:line="240" w:lineRule="auto"/>
      </w:pPr>
      <w:r>
        <w:separator/>
      </w:r>
    </w:p>
  </w:footnote>
  <w:footnote w:type="continuationSeparator" w:id="0">
    <w:p w:rsidR="00D638B0" w:rsidRDefault="00D638B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B0AFE"/>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490D"/>
    <w:rsid w:val="002C54C0"/>
    <w:rsid w:val="002D501F"/>
    <w:rsid w:val="002D7506"/>
    <w:rsid w:val="002E0EBF"/>
    <w:rsid w:val="002F4E2F"/>
    <w:rsid w:val="00305197"/>
    <w:rsid w:val="00313F54"/>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C66D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5C27"/>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3220"/>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26D6"/>
    <w:rsid w:val="007F656F"/>
    <w:rsid w:val="008062FB"/>
    <w:rsid w:val="00806F37"/>
    <w:rsid w:val="00812097"/>
    <w:rsid w:val="00812DB3"/>
    <w:rsid w:val="00814BE5"/>
    <w:rsid w:val="00817816"/>
    <w:rsid w:val="00817B34"/>
    <w:rsid w:val="00824294"/>
    <w:rsid w:val="0082586B"/>
    <w:rsid w:val="00830F34"/>
    <w:rsid w:val="0085140E"/>
    <w:rsid w:val="00851EBB"/>
    <w:rsid w:val="008643AC"/>
    <w:rsid w:val="00870ED3"/>
    <w:rsid w:val="008752E9"/>
    <w:rsid w:val="008851DB"/>
    <w:rsid w:val="00890BB3"/>
    <w:rsid w:val="008967F9"/>
    <w:rsid w:val="008A0C66"/>
    <w:rsid w:val="008A35F3"/>
    <w:rsid w:val="008A5282"/>
    <w:rsid w:val="008E3DFA"/>
    <w:rsid w:val="008E7880"/>
    <w:rsid w:val="008F5983"/>
    <w:rsid w:val="009040D1"/>
    <w:rsid w:val="00917C32"/>
    <w:rsid w:val="009207F0"/>
    <w:rsid w:val="00922611"/>
    <w:rsid w:val="00925154"/>
    <w:rsid w:val="00927B26"/>
    <w:rsid w:val="00932C9B"/>
    <w:rsid w:val="0094207C"/>
    <w:rsid w:val="0094540E"/>
    <w:rsid w:val="0094679F"/>
    <w:rsid w:val="00946A45"/>
    <w:rsid w:val="00946BF8"/>
    <w:rsid w:val="0095303A"/>
    <w:rsid w:val="009602F2"/>
    <w:rsid w:val="00960FAB"/>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A3F"/>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157F4"/>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8B0"/>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87B67"/>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52BD"/>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61231-B2FB-4A43-9419-B3A9314DF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7005</TotalTime>
  <Pages>24</Pages>
  <Words>30724</Words>
  <Characters>153624</Characters>
  <Application>Microsoft Office Word</Application>
  <DocSecurity>0</DocSecurity>
  <Lines>1280</Lines>
  <Paragraphs>367</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183981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81</cp:revision>
  <dcterms:created xsi:type="dcterms:W3CDTF">2013-08-25T12:42:00Z</dcterms:created>
  <dcterms:modified xsi:type="dcterms:W3CDTF">2013-11-25T14:04:00Z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