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61EB6">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changes the balance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5816EE">
        <w:rPr>
          <w:noProof/>
          <w:lang w:bidi="hi-IN"/>
        </w:rPr>
        <w:t>July 2,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ED08B5">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ED08B5">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ED08B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ED08B5">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xml:space="preserve">. Various stress responses regulate the mutation rate by shifting cells to error-prone DNA polymerases </w:t>
      </w:r>
      <w:r>
        <w:fldChar w:fldCharType="begin" w:fldLock="1"/>
      </w:r>
      <w:r w:rsidR="00ED08B5">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ED08B5">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ED08B5">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fldChar w:fldCharType="separate"/>
      </w:r>
      <w:r w:rsidR="00ED08B5" w:rsidRPr="00ED08B5">
        <w:rPr>
          <w:noProof/>
        </w:rPr>
        <w:t>(Tenaillon et al.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ED08B5">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ED08B5">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proofErr w:type="gramStart"/>
      <w:r w:rsidR="00EF3BEC" w:rsidRPr="00EF3BEC">
        <w:rPr>
          <w:i/>
          <w:iCs/>
          <w:lang w:bidi="hi-IN"/>
        </w:rPr>
        <w:t>=</w:t>
      </w:r>
      <w:r w:rsidRPr="00EF3BEC">
        <w:rPr>
          <w:i/>
          <w:iCs/>
          <w:lang w:bidi="hi-IN"/>
        </w:rPr>
        <w:t>(</w:t>
      </w:r>
      <w:proofErr w:type="gramEnd"/>
      <w:r w:rsidRPr="00EF3BEC">
        <w:rPr>
          <w:i/>
          <w:iCs/>
          <w:lang w:bidi="hi-IN"/>
        </w:rPr>
        <w:t>1-s)</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p>
    <w:p w:rsidR="001033CA" w:rsidRDefault="002B1207" w:rsidP="00EF3BEC">
      <w:pPr>
        <w:rPr>
          <w:rFonts w:eastAsiaTheme="minorEastAsia"/>
          <w:lang w:bidi="hi-IN"/>
        </w:rPr>
      </w:pPr>
      <w:r>
        <w:rPr>
          <w:lang w:bidi="hi-IN"/>
        </w:rPr>
        <w:t xml:space="preserve">Denote the frequency, fitness and </w:t>
      </w:r>
      <w:r w:rsidR="00D82F82">
        <w:rPr>
          <w:lang w:bidi="hi-IN"/>
        </w:rPr>
        <w:t xml:space="preserve">deleterious </w:t>
      </w:r>
      <w:r>
        <w:rPr>
          <w:lang w:bidi="hi-IN"/>
        </w:rPr>
        <w:t xml:space="preserve">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sidR="00EF3BEC">
        <w:rPr>
          <w:lang w:bidi="hi-IN"/>
        </w:rPr>
        <w:t>A</w:t>
      </w:r>
      <w:r w:rsidR="00564668">
        <w:rPr>
          <w:lang w:bidi="hi-IN"/>
        </w:rPr>
        <w:t xml:space="preserve">ssume that a small fraction </w:t>
      </w:r>
      <m:oMath>
        <m:r>
          <w:rPr>
            <w:rFonts w:ascii="Cambria Math" w:hAnsi="Cambria Math"/>
            <w:lang w:bidi="hi-IN"/>
          </w:rPr>
          <m:t>β≪1</m:t>
        </m:r>
      </m:oMath>
      <w:r w:rsidR="00564668">
        <w:rPr>
          <w:rFonts w:eastAsiaTheme="minorEastAsia"/>
          <w:lang w:bidi="hi-IN"/>
        </w:rPr>
        <w:t xml:space="preserve"> of </w:t>
      </w:r>
      <w:r w:rsidR="00EF3BEC">
        <w:rPr>
          <w:rFonts w:eastAsiaTheme="minorEastAsia"/>
          <w:lang w:bidi="hi-IN"/>
        </w:rPr>
        <w:t>all</w:t>
      </w:r>
      <w:r w:rsidR="00564668">
        <w:rPr>
          <w:rFonts w:eastAsiaTheme="minorEastAsia"/>
          <w:lang w:bidi="hi-IN"/>
        </w:rPr>
        <w:t xml:space="preserve"> mutations are beneficial mutations which reduce the number of deleterious mutations carried by an individual.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be described by</w:t>
      </w:r>
      <w:r w:rsidR="00564668">
        <w:rPr>
          <w:rFonts w:eastAsiaTheme="minorEastAsia"/>
          <w:lang w:bidi="hi-IN"/>
        </w:rPr>
        <w:t xml:space="preserve"> (</w:t>
      </w:r>
      <w:proofErr w:type="gramStart"/>
      <w:r w:rsidR="00564668">
        <w:rPr>
          <w:rFonts w:eastAsiaTheme="minorEastAsia"/>
          <w:lang w:bidi="hi-IN"/>
        </w:rPr>
        <w:t xml:space="preserve">denoting </w:t>
      </w:r>
      <w:proofErr w:type="gramEnd"/>
      <m:oMath>
        <m:r>
          <w:rPr>
            <w:rFonts w:ascii="Cambria Math" w:eastAsiaTheme="minorEastAsia" w:hAnsi="Cambria Math"/>
            <w:lang w:bidi="hi-IN"/>
          </w:rPr>
          <m:t>δ=1-β</m:t>
        </m:r>
      </m:oMath>
      <w:r w:rsidR="00564668">
        <w:rPr>
          <w:rFonts w:eastAsiaTheme="minorEastAsia"/>
          <w:lang w:bidi="hi-IN"/>
        </w:rPr>
        <w:t>)</w:t>
      </w:r>
      <w:r>
        <w:rPr>
          <w:rFonts w:eastAsiaTheme="minorEastAsia"/>
          <w:lang w:bidi="hi-IN"/>
        </w:rPr>
        <w:t xml:space="preserve">: </w:t>
      </w:r>
    </w:p>
    <w:p w:rsidR="002B1207" w:rsidRDefault="005816EE"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564668">
      <w:pPr>
        <w:rPr>
          <w:rFonts w:eastAsiaTheme="minorEastAsia"/>
          <w:lang w:bidi="hi-IN"/>
        </w:rPr>
      </w:pPr>
      <w:r>
        <w:rPr>
          <w:rFonts w:eastAsiaTheme="minorEastAsia"/>
          <w:lang w:bidi="hi-IN"/>
        </w:rPr>
        <w:t>This can be written as a matrix equation by</w:t>
      </w:r>
      <w:r w:rsidR="00125157">
        <w:rPr>
          <w:rFonts w:eastAsiaTheme="minorEastAsia"/>
          <w:lang w:bidi="hi-IN"/>
        </w:rPr>
        <w:t xml:space="preserve"> multiplying the frequencies vector </w:t>
      </w:r>
      <w:r w:rsidR="00125157" w:rsidRPr="00EF3BEC">
        <w:rPr>
          <w:rFonts w:eastAsiaTheme="minorEastAsia"/>
          <w:i/>
          <w:iCs/>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5816EE"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EF3BEC" w:rsidP="00EF3BEC">
      <w:pPr>
        <w:rPr>
          <w:rFonts w:eastAsiaTheme="minorEastAsia"/>
          <w:lang w:bidi="hi-IN"/>
        </w:rPr>
      </w:pPr>
      <w:r>
        <w:rPr>
          <w:rFonts w:eastAsiaTheme="minorEastAsia"/>
          <w:lang w:bidi="hi-IN"/>
        </w:rPr>
        <w:t>At the MSB,</w:t>
      </w:r>
      <w:r w:rsidR="004A2989">
        <w:rPr>
          <w:rFonts w:eastAsiaTheme="minorEastAsia"/>
          <w:lang w:bidi="hi-IN"/>
        </w:rPr>
        <w:t xml:space="preserve"> </w:t>
      </w:r>
      <w:r w:rsidR="004A2989">
        <w:rPr>
          <w:rFonts w:eastAsiaTheme="minorEastAsia"/>
          <w:i/>
          <w:iCs/>
          <w:lang w:bidi="hi-IN"/>
        </w:rPr>
        <w:t>f*</w:t>
      </w:r>
      <w:r>
        <w:rPr>
          <w:rFonts w:eastAsiaTheme="minorEastAsia"/>
          <w:lang w:bidi="hi-IN"/>
        </w:rPr>
        <w:t xml:space="preserve"> </w:t>
      </w:r>
      <w:r w:rsidR="004A2989">
        <w:rPr>
          <w:rFonts w:eastAsiaTheme="minorEastAsia"/>
          <w:lang w:bidi="hi-IN"/>
        </w:rPr>
        <w:t>fulfills</w:t>
      </w:r>
      <w:r>
        <w:rPr>
          <w:rFonts w:eastAsiaTheme="minorEastAsia"/>
          <w:lang w:bidi="hi-IN"/>
        </w:rPr>
        <w:t xml:space="preserve"> (a star * denotes equilibrium quantities)</w:t>
      </w:r>
      <w:r w:rsidR="004A2989">
        <w:rPr>
          <w:rFonts w:eastAsiaTheme="minorEastAsia"/>
          <w:lang w:bidi="hi-IN"/>
        </w:rPr>
        <w:t>:</w:t>
      </w:r>
    </w:p>
    <w:p w:rsidR="004A2989" w:rsidRPr="004A2989" w:rsidRDefault="005816EE"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Default="00EF3BEC" w:rsidP="00EF3BEC">
      <w:pPr>
        <w:rPr>
          <w:rFonts w:eastAsiaTheme="minorEastAsia"/>
          <w:lang w:bidi="hi-IN"/>
        </w:rPr>
      </w:pPr>
      <w:r>
        <w:rPr>
          <w:rFonts w:eastAsiaTheme="minorEastAsia"/>
          <w:lang w:bidi="hi-IN"/>
        </w:rPr>
        <w:t xml:space="preserve">Because </w:t>
      </w:r>
      <w:r w:rsidR="004A2989">
        <w:rPr>
          <w:rFonts w:eastAsiaTheme="minorEastAsia"/>
          <w:i/>
          <w:iCs/>
          <w:lang w:bidi="hi-IN"/>
        </w:rPr>
        <w:t>M</w:t>
      </w:r>
      <w:r>
        <w:rPr>
          <w:rFonts w:eastAsiaTheme="minorEastAsia"/>
          <w:lang w:bidi="hi-IN"/>
        </w:rPr>
        <w:t xml:space="preserve"> is a positive matrix</w:t>
      </w:r>
      <w:r w:rsidR="004A2989">
        <w:rPr>
          <w:rFonts w:eastAsiaTheme="minorEastAsia"/>
          <w:lang w:bidi="hi-IN"/>
        </w:rPr>
        <w:t xml:space="preserve"> and by the </w:t>
      </w:r>
      <w:proofErr w:type="spellStart"/>
      <w:r w:rsidR="004A2989">
        <w:rPr>
          <w:rFonts w:eastAsiaTheme="minorEastAsia"/>
          <w:i/>
          <w:iCs/>
          <w:lang w:bidi="hi-IN"/>
        </w:rPr>
        <w:t>Perron-Frobenius</w:t>
      </w:r>
      <w:proofErr w:type="spellEnd"/>
      <w:r w:rsidR="004A2989">
        <w:rPr>
          <w:rFonts w:eastAsiaTheme="minorEastAsia"/>
          <w:i/>
          <w:iCs/>
          <w:lang w:bidi="hi-IN"/>
        </w:rPr>
        <w:t xml:space="preserve"> Theorem</w:t>
      </w:r>
      <w:r w:rsidR="004A2989">
        <w:rPr>
          <w:rFonts w:eastAsiaTheme="minorEastAsia"/>
          <w:lang w:bidi="hi-IN"/>
        </w:rPr>
        <w:t xml:space="preserve"> </w:t>
      </w:r>
      <w:r w:rsidR="004A2989">
        <w:rPr>
          <w:rFonts w:eastAsiaTheme="minorEastAsia"/>
          <w:lang w:bidi="hi-IN"/>
        </w:rPr>
        <w:fldChar w:fldCharType="begin" w:fldLock="1"/>
      </w:r>
      <w:r w:rsidR="00ED08B5">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sidR="004A2989">
        <w:rPr>
          <w:rFonts w:eastAsiaTheme="minorEastAsia"/>
          <w:lang w:bidi="hi-IN"/>
        </w:rPr>
        <w:fldChar w:fldCharType="separate"/>
      </w:r>
      <w:r w:rsidR="004A2989">
        <w:rPr>
          <w:rFonts w:eastAsiaTheme="minorEastAsia"/>
          <w:noProof/>
          <w:lang w:bidi="hi-IN"/>
        </w:rPr>
        <w:t>(Otto and Day 2007, p. 709</w:t>
      </w:r>
      <w:r w:rsidR="004A2989" w:rsidRPr="004A2989">
        <w:rPr>
          <w:rFonts w:eastAsiaTheme="minorEastAsia"/>
          <w:noProof/>
          <w:lang w:bidi="hi-IN"/>
        </w:rPr>
        <w:t>)</w:t>
      </w:r>
      <w:r w:rsidR="004A2989">
        <w:rPr>
          <w:rFonts w:eastAsiaTheme="minorEastAsia"/>
          <w:lang w:bidi="hi-IN"/>
        </w:rPr>
        <w:fldChar w:fldCharType="end"/>
      </w:r>
      <w:r w:rsidR="004A2989">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sidR="004A2989">
        <w:rPr>
          <w:rFonts w:eastAsiaTheme="minorEastAsia"/>
          <w:lang w:bidi="hi-IN"/>
        </w:rPr>
        <w:t xml:space="preserve"> is the largest eigenvalue of </w:t>
      </w:r>
      <w:r w:rsidR="004A2989">
        <w:rPr>
          <w:rFonts w:eastAsiaTheme="minorEastAsia"/>
          <w:i/>
          <w:iCs/>
          <w:lang w:bidi="hi-IN"/>
        </w:rPr>
        <w:t>M</w:t>
      </w:r>
      <w:r w:rsidR="004A2989">
        <w:rPr>
          <w:rFonts w:eastAsiaTheme="minorEastAsia"/>
          <w:lang w:bidi="hi-IN"/>
        </w:rPr>
        <w:t xml:space="preserve"> and </w:t>
      </w:r>
      <w:r w:rsidR="004A2989">
        <w:rPr>
          <w:rFonts w:eastAsiaTheme="minorEastAsia"/>
          <w:i/>
          <w:iCs/>
          <w:lang w:bidi="hi-IN"/>
        </w:rPr>
        <w:t>f*</w:t>
      </w:r>
      <w:r w:rsidR="004A2989">
        <w:rPr>
          <w:rFonts w:eastAsiaTheme="minorEastAsia"/>
          <w:lang w:bidi="hi-IN"/>
        </w:rPr>
        <w:t xml:space="preserve"> is its unique</w:t>
      </w:r>
      <w:r w:rsidR="005F1227">
        <w:rPr>
          <w:rFonts w:eastAsiaTheme="minorEastAsia"/>
          <w:lang w:bidi="hi-IN"/>
        </w:rPr>
        <w:t xml:space="preserve"> no</w:t>
      </w:r>
      <w:r w:rsidR="004A2989">
        <w:rPr>
          <w:rFonts w:eastAsiaTheme="minorEastAsia"/>
          <w:lang w:bidi="hi-IN"/>
        </w:rPr>
        <w:t xml:space="preserve">n-negative eigenvector with </w:t>
      </w:r>
      <m:oMath>
        <m:r>
          <w:rPr>
            <w:rFonts w:ascii="Cambria Math" w:eastAsiaTheme="minorEastAsia" w:hAnsi="Cambria Math"/>
            <w:lang w:bidi="hi-IN"/>
          </w:rPr>
          <m:t>∑f=1</m:t>
        </m:r>
      </m:oMath>
      <w:r w:rsidR="004A2989">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5F1227">
        <w:rPr>
          <w:rFonts w:cs="Times New Roman"/>
          <w:i/>
          <w:iCs/>
          <w:lang w:bidi="hi-IN"/>
        </w:rPr>
        <w:t>δ=1</w:t>
      </w:r>
      <w:r w:rsidR="004A2989" w:rsidRPr="004A2989">
        <w:rPr>
          <w:rFonts w:cs="Times New Roman"/>
          <w:lang w:bidi="hi-IN"/>
        </w:rPr>
        <w:t xml:space="preserve"> </w:t>
      </w:r>
      <w:r w:rsidR="004A2989" w:rsidRPr="002B1207">
        <w:rPr>
          <w:lang w:bidi="hi-IN"/>
        </w:rPr>
        <w:t>and</w:t>
      </w:r>
      <w:r w:rsidR="004A2989" w:rsidRPr="002B1207">
        <w:rPr>
          <w:rFonts w:cs="Times New Roman"/>
          <w:lang w:bidi="hi-IN"/>
        </w:rPr>
        <w:t xml:space="preserve"> </w:t>
      </w:r>
      <w:r w:rsidR="004A2989" w:rsidRPr="005F1227">
        <w:rPr>
          <w:rFonts w:cs="Times New Roman"/>
          <w:i/>
          <w:iCs/>
          <w:lang w:bidi="hi-IN"/>
        </w:rPr>
        <w:t>β</w:t>
      </w:r>
      <w:r w:rsidR="004A2989" w:rsidRPr="005F1227">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5816EE"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1033CA" w:rsidRPr="00FC3218" w:rsidRDefault="00A03104" w:rsidP="00EF3BEC">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w:t>
      </w:r>
      <w:r w:rsidR="00EF3BEC">
        <w:rPr>
          <w:rFonts w:eastAsiaTheme="minorEastAsia"/>
          <w:lang w:bidi="hi-IN"/>
        </w:rPr>
        <w:t xml:space="preserve">(constant uniform mutation rate) </w:t>
      </w:r>
      <w:r w:rsidR="00FC3218">
        <w:rPr>
          <w:rFonts w:eastAsiaTheme="minorEastAsia"/>
          <w:lang w:bidi="hi-IN"/>
        </w:rPr>
        <w:t xml:space="preserve">then the frequencies vector </w:t>
      </w:r>
      <w:r w:rsidR="00EF3BEC">
        <w:rPr>
          <w:rFonts w:eastAsiaTheme="minorEastAsia"/>
          <w:lang w:bidi="hi-IN"/>
        </w:rPr>
        <w:t xml:space="preserve">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w:t>
      </w:r>
      <w:r w:rsidR="00FC3218">
        <w:rPr>
          <w:rFonts w:eastAsiaTheme="minorEastAsia"/>
          <w:lang w:bidi="hi-IN"/>
        </w:rPr>
        <w:lastRenderedPageBreak/>
        <w:t xml:space="preserve">number of deleterious mutations per individual is Poisson distributed with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ED08B5">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With beneficial mutations this eigenvalue problem is harder to solve analytically. By neglecting elements outside the main three diagonals</w:t>
      </w:r>
      <w:r w:rsidR="00F35F7B">
        <w:rPr>
          <w:rFonts w:eastAsiaTheme="minorEastAsia"/>
          <w:lang w:bidi="hi-IN"/>
        </w:rPr>
        <w:t xml:space="preserve"> of </w:t>
      </w:r>
      <w:r w:rsidR="00F35F7B">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D08B5">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sidR="0046652F">
        <w:rPr>
          <w:rFonts w:eastAsiaTheme="minorEastAsia"/>
          <w:lang w:bidi="hi-IN"/>
        </w:rPr>
        <w:t xml:space="preserve">matrices </w:t>
      </w:r>
      <w:r>
        <w:rPr>
          <w:rFonts w:eastAsiaTheme="minorEastAsia"/>
          <w:lang w:bidi="hi-IN"/>
        </w:rPr>
        <w:t xml:space="preserve">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46652F">
        <w:rPr>
          <w:rFonts w:eastAsiaTheme="minorEastAsia"/>
          <w:lang w:bidi="hi-IN"/>
        </w:rPr>
        <w:t xml:space="preserve"> – see </w:t>
      </w:r>
      <w:r w:rsidR="00F35F7B">
        <w:rPr>
          <w:rFonts w:eastAsiaTheme="minorEastAsia"/>
          <w:lang w:bidi="hi-IN"/>
        </w:rPr>
        <w:t xml:space="preserve">the </w:t>
      </w:r>
      <w:proofErr w:type="spellStart"/>
      <w:r w:rsidR="00F35F7B" w:rsidRPr="00F35F7B">
        <w:rPr>
          <w:rFonts w:eastAsiaTheme="minorEastAsia"/>
          <w:i/>
          <w:iCs/>
          <w:lang w:bidi="hi-IN"/>
        </w:rPr>
        <w:t>mean_fitness</w:t>
      </w:r>
      <w:proofErr w:type="spellEnd"/>
      <w:r w:rsidR="00F35F7B">
        <w:rPr>
          <w:rFonts w:eastAsiaTheme="minorEastAsia"/>
          <w:lang w:bidi="hi-IN"/>
        </w:rPr>
        <w:t xml:space="preserve"> function in the </w:t>
      </w:r>
      <w:r w:rsidR="0046652F" w:rsidRPr="00F35F7B">
        <w:rPr>
          <w:rFonts w:eastAsiaTheme="minorEastAsia"/>
          <w:lang w:bidi="hi-IN"/>
        </w:rPr>
        <w:t>Python</w:t>
      </w:r>
      <w:r w:rsidR="0046652F">
        <w:rPr>
          <w:rFonts w:eastAsiaTheme="minorEastAsia"/>
          <w:lang w:bidi="hi-IN"/>
        </w:rPr>
        <w:t xml:space="preserve"> code in Supplementary File X.</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Pr="00607B56" w:rsidRDefault="005F1227" w:rsidP="005F1227">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Pr>
          <w:i/>
          <w:iCs/>
        </w:rPr>
        <w:t>(1-s</w:t>
      </w:r>
      <w:proofErr w:type="gramStart"/>
      <w:r>
        <w:rPr>
          <w:i/>
          <w:iCs/>
        </w:rPr>
        <w:t>)</w:t>
      </w:r>
      <w:r w:rsidRPr="005F1227">
        <w:rPr>
          <w:i/>
          <w:iCs/>
          <w:vertAlign w:val="superscript"/>
        </w:rPr>
        <w:t>2</w:t>
      </w:r>
      <w:proofErr w:type="gramEnd"/>
      <w:r>
        <w:rPr>
          <w:i/>
          <w:iCs/>
        </w:rPr>
        <w:t xml:space="preserve"> </w:t>
      </w:r>
      <w:r>
        <w:t xml:space="preserve"> </w:t>
      </w:r>
      <w:r w:rsidR="00607B56" w:rsidRPr="005F1227">
        <w:rPr>
          <w:i/>
          <w:iCs/>
        </w:rPr>
        <w:t>1</w:t>
      </w:r>
      <w:r w:rsidR="00607B56">
        <w:rPr>
          <w:i/>
          <w:iCs/>
        </w:rPr>
        <w:t>+sH</w:t>
      </w:r>
      <w:r w:rsidR="00607B56">
        <w:t xml:space="preserve"> (</w:t>
      </w:r>
      <w:r w:rsidR="00607B56">
        <w:rPr>
          <w:i/>
          <w:iCs/>
        </w:rPr>
        <w:t>H</w:t>
      </w:r>
      <w:r w:rsidR="00607B56">
        <w:t xml:space="preserve"> is the double mutant relative advantage)</w:t>
      </w:r>
      <w:r>
        <w:t>, making it the optimal genotype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t>)</w:t>
      </w:r>
      <w:r w:rsidR="00607B56">
        <w:t xml:space="preserve">. </w:t>
      </w:r>
      <w:r>
        <w:t xml:space="preserve">We study four different mutational strategies: NM, CM, </w:t>
      </w:r>
      <w:proofErr w:type="gramStart"/>
      <w:r>
        <w:t>SIM</w:t>
      </w:r>
      <w:proofErr w:type="gramEnd"/>
      <w:r>
        <w:t xml:space="preserve">-I with which </w:t>
      </w:r>
      <w:r w:rsidR="00607B56">
        <w:t xml:space="preserve">all genotypes except </w:t>
      </w:r>
      <w:proofErr w:type="spellStart"/>
      <w:r w:rsidR="00607B56">
        <w:rPr>
          <w:i/>
          <w:iCs/>
        </w:rPr>
        <w:t>ab</w:t>
      </w:r>
      <w:proofErr w:type="spellEnd"/>
      <w:r w:rsidR="00607B56">
        <w:t xml:space="preserve"> and </w:t>
      </w:r>
      <w:r w:rsidR="00607B56">
        <w:rPr>
          <w:i/>
          <w:iCs/>
        </w:rPr>
        <w:t>AB</w:t>
      </w:r>
      <w:r w:rsidR="00607B56">
        <w:t xml:space="preserve"> hypermutate</w:t>
      </w:r>
      <w:r>
        <w:t xml:space="preserve">, and SIM-II with which </w:t>
      </w:r>
      <w:r w:rsidR="00607B56">
        <w:t xml:space="preserve">all genotypes except </w:t>
      </w:r>
      <w:r w:rsidR="00607B56">
        <w:rPr>
          <w:i/>
          <w:iCs/>
        </w:rPr>
        <w:t>AB</w:t>
      </w:r>
      <w:r w:rsidR="00607B56">
        <w:t xml:space="preserve"> hypermutate.</w:t>
      </w:r>
    </w:p>
    <w:p w:rsidR="000D56CE" w:rsidRDefault="000D56CE" w:rsidP="00607B56">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31B86D2E" wp14:editId="0B414C9D">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607B56">
      <w:pPr>
        <w:pStyle w:val="FigureLegend"/>
        <w:rPr>
          <w:lang w:bidi="hi-IN"/>
        </w:rPr>
      </w:pPr>
      <w:bookmarkStart w:id="0" w:name="_Ref354316371"/>
      <w:r w:rsidRPr="000D56CE">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1</w:t>
      </w:r>
      <w:r w:rsidR="00477861">
        <w:rPr>
          <w:b/>
          <w:bCs/>
        </w:rPr>
        <w:fldChar w:fldCharType="end"/>
      </w:r>
      <w:bookmarkEnd w:id="0"/>
      <w:r w:rsidRPr="000D56CE">
        <w:rPr>
          <w:b/>
          <w:bCs/>
        </w:rPr>
        <w:t xml:space="preserve"> – Adaptive landscape illustration.</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xml:space="preserve">, and in panel b also the number of deleterious alleles across the genome. Mutagenesis is induced in stressed genotypes (fitness </w:t>
      </w:r>
      <w:r w:rsidRPr="00607B56">
        <w:rPr>
          <w:i/>
          <w:iCs/>
        </w:rPr>
        <w:t>&lt;1</w:t>
      </w:r>
      <w:r w:rsidR="00607B56">
        <w:t xml:space="preserve"> or </w:t>
      </w:r>
      <w:r w:rsidR="00607B56" w:rsidRPr="00607B56">
        <w:rPr>
          <w:i/>
          <w:iCs/>
        </w:rPr>
        <w:t>&lt;1+sH</w:t>
      </w:r>
      <w:r w:rsidR="00607B56">
        <w:t>, depending on the scenario</w:t>
      </w:r>
      <w:r w:rsidRPr="000D56CE">
        <w:t xml:space="preserve">), indicated by ellipses, while adapted genotypes (fitness </w:t>
      </w:r>
      <w:r w:rsidR="00607B56">
        <w:rPr>
          <w:i/>
          <w:iCs/>
        </w:rPr>
        <w:t>&gt;</w:t>
      </w:r>
      <w:r w:rsidRPr="00607B56">
        <w:rPr>
          <w:i/>
          <w:iCs/>
        </w:rPr>
        <w:t>1</w:t>
      </w:r>
      <w:r w:rsidR="00607B56">
        <w:t xml:space="preserve"> or </w:t>
      </w:r>
      <w:r w:rsidR="00607B56" w:rsidRPr="00607B56">
        <w:rPr>
          <w:i/>
          <w:iCs/>
        </w:rPr>
        <w:t>&gt;1+sH</w:t>
      </w:r>
      <w:r w:rsidR="00607B56">
        <w:t>, depending on the scenario</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lastRenderedPageBreak/>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1" w:name="_Ref358733007"/>
            <w:bookmarkStart w:id="2" w:name="_Ref354149705"/>
            <w:r>
              <w:t>(</w:t>
            </w:r>
            <w:fldSimple w:instr=" SEQ Equation ">
              <w:r>
                <w:rPr>
                  <w:noProof/>
                </w:rPr>
                <w:t>1</w:t>
              </w:r>
            </w:fldSimple>
            <w:bookmarkEnd w:id="1"/>
            <w:r>
              <w:t>)</w:t>
            </w:r>
            <w:bookmarkEnd w:id="2"/>
          </w:p>
        </w:tc>
      </w:tr>
      <w:tr w:rsidR="002D7506" w:rsidTr="00563FAB">
        <w:tc>
          <w:tcPr>
            <w:tcW w:w="4500" w:type="pct"/>
            <w:vAlign w:val="center"/>
          </w:tcPr>
          <w:p w:rsidR="002D7506" w:rsidRDefault="005816EE"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3" w:name="_Ref358733010"/>
            <w:bookmarkStart w:id="4" w:name="_Ref354129072"/>
            <w:r>
              <w:t>(</w:t>
            </w:r>
            <w:fldSimple w:instr=" SEQ Equation ">
              <w:r>
                <w:rPr>
                  <w:noProof/>
                </w:rPr>
                <w:t>2</w:t>
              </w:r>
            </w:fldSimple>
            <w:bookmarkEnd w:id="3"/>
            <w:r>
              <w:t>)</w:t>
            </w:r>
            <w:bookmarkEnd w:id="4"/>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r w:rsidR="003F5091">
        <w:t xml:space="preserve">for </w:t>
      </w:r>
      <w:r w:rsidR="003F5091" w:rsidRPr="003F5091">
        <w:rPr>
          <w:i/>
          <w:iCs/>
        </w:rPr>
        <w:t>Escherichia</w:t>
      </w:r>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E5128F" w:rsidRDefault="00E5128F" w:rsidP="000D56CE"/>
    <w:p w:rsidR="002D7506" w:rsidRDefault="002D7506" w:rsidP="00E5128F">
      <w:pPr>
        <w:pStyle w:val="FigureLegend"/>
      </w:pPr>
      <w:bookmarkStart w:id="5" w:name="_Ref358791100"/>
      <w:r>
        <w:t xml:space="preserve">Table </w:t>
      </w:r>
      <w:fldSimple w:instr=" SEQ Table \* ARABIC ">
        <w:r>
          <w:rPr>
            <w:noProof/>
          </w:rPr>
          <w:t>1</w:t>
        </w:r>
      </w:fldSimple>
      <w:bookmarkEnd w:id="5"/>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D08B5">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D08B5">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D08B5">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p>
        </w:tc>
      </w:tr>
    </w:tbl>
    <w:p w:rsidR="00E5128F" w:rsidRDefault="00E5128F" w:rsidP="00E5128F"/>
    <w:p w:rsidR="002D7506" w:rsidRDefault="002D7506" w:rsidP="002D7506">
      <w:pPr>
        <w:pStyle w:val="Heading3"/>
      </w:pPr>
      <w:r>
        <w:t>Appearance of a double mutant</w:t>
      </w:r>
    </w:p>
    <w:p w:rsidR="002D7506" w:rsidRDefault="002D7506" w:rsidP="00925154">
      <w:r>
        <w:t>Because there are no double mutants (</w:t>
      </w:r>
      <w:r>
        <w:rPr>
          <w:i/>
          <w:iCs/>
        </w:rPr>
        <w:t>AB</w:t>
      </w:r>
      <w:r>
        <w:t>) at the time of the environmental change, double mutants can appear either via a double mu</w:t>
      </w:r>
      <w:r w:rsidR="003F5091">
        <w:t>tation in a wildtype individual</w:t>
      </w:r>
      <w:r>
        <w:t xml:space="preserve"> </w:t>
      </w:r>
      <w:proofErr w:type="spellStart"/>
      <w:r>
        <w:rPr>
          <w:i/>
          <w:iCs/>
        </w:rPr>
        <w:t>ab</w:t>
      </w:r>
      <w:proofErr w:type="spellEnd"/>
      <w:r>
        <w:t>, or via a sin</w:t>
      </w:r>
      <w:r w:rsidR="003F5091">
        <w:t>gle mutation in a single mutant</w:t>
      </w:r>
      <w:r>
        <w:t xml:space="preserve"> </w:t>
      </w:r>
      <w:proofErr w:type="spellStart"/>
      <w:r>
        <w:rPr>
          <w:i/>
          <w:iCs/>
        </w:rPr>
        <w:t>Ab</w:t>
      </w:r>
      <w:proofErr w:type="spellEnd"/>
      <w:r>
        <w:t xml:space="preserve"> or </w:t>
      </w:r>
      <w:proofErr w:type="spellStart"/>
      <w:r>
        <w:rPr>
          <w:i/>
          <w:iCs/>
        </w:rPr>
        <w:t>aB</w:t>
      </w:r>
      <w:proofErr w:type="spellEnd"/>
      <w:r>
        <w:rPr>
          <w:i/>
          <w:iCs/>
        </w:rPr>
        <w:t xml:space="preserve"> </w:t>
      </w:r>
      <w:r w:rsidRPr="00D65806">
        <w:t>(</w:t>
      </w:r>
      <w:r>
        <w:t xml:space="preserve">Figure 1a). We assume that at the MSB the number of deleterious mutations per individual follows a Poisson distribution </w:t>
      </w:r>
      <w:r w:rsidRPr="002D7506">
        <w:fldChar w:fldCharType="begin" w:fldLock="1"/>
      </w:r>
      <w:r w:rsidR="00ED08B5">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fldChar w:fldCharType="separate"/>
      </w:r>
      <w:r w:rsidRPr="002D7506">
        <w:rPr>
          <w:noProof/>
        </w:rPr>
        <w:t>(Haigh 1978)</w:t>
      </w:r>
      <w:r w:rsidRPr="002D7506">
        <w:fldChar w:fldCharType="end"/>
      </w:r>
      <w:r>
        <w:t xml:space="preserve">. Therefore, the frequencies of mutation-free wildtype </w:t>
      </w:r>
      <w:proofErr w:type="spellStart"/>
      <w:r>
        <w:rPr>
          <w:i/>
          <w:iCs/>
        </w:rPr>
        <w:t>ab</w:t>
      </w:r>
      <w:proofErr w:type="spellEnd"/>
      <w:r>
        <w:t xml:space="preserve"> and single mutants </w:t>
      </w:r>
      <w:proofErr w:type="spellStart"/>
      <w:r w:rsidRPr="00BB678E">
        <w:rPr>
          <w:i/>
          <w:iCs/>
        </w:rPr>
        <w:t>aB</w:t>
      </w:r>
      <w:proofErr w:type="spellEnd"/>
      <w:r>
        <w:t xml:space="preserve"> and </w:t>
      </w:r>
      <w:proofErr w:type="spellStart"/>
      <w:r w:rsidRPr="005F3FF6">
        <w:rPr>
          <w:i/>
          <w:iCs/>
        </w:rPr>
        <w:t>Ab</w:t>
      </w:r>
      <w:proofErr w:type="spellEnd"/>
      <w:r>
        <w:t xml:space="preserve"> </w:t>
      </w:r>
      <w:r w:rsidRPr="005F3FF6">
        <w:t>are</w:t>
      </w:r>
      <w:r>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t xml:space="preserve"> </w:t>
      </w:r>
      <w:proofErr w:type="gramStart"/>
      <w:r>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t xml:space="preserve">. The probability </w:t>
      </w:r>
      <w:r>
        <w:rPr>
          <w:i/>
          <w:iCs/>
        </w:rPr>
        <w:t>q</w:t>
      </w:r>
      <w:r>
        <w:t xml:space="preserve"> that a </w:t>
      </w:r>
      <w:r>
        <w:lastRenderedPageBreak/>
        <w:t>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w:r w:rsidR="00CB2F61">
              <w:t>.</w:t>
            </w:r>
          </w:p>
        </w:tc>
        <w:tc>
          <w:tcPr>
            <w:tcW w:w="500" w:type="pct"/>
            <w:vAlign w:val="center"/>
          </w:tcPr>
          <w:p w:rsidR="002D7506" w:rsidRDefault="002D7506" w:rsidP="00563FAB">
            <w:bookmarkStart w:id="6" w:name="_Ref354134924"/>
            <w:r>
              <w:t>(</w:t>
            </w:r>
            <w:fldSimple w:instr=" SEQ Equation ">
              <w:r>
                <w:rPr>
                  <w:noProof/>
                </w:rPr>
                <w:t>3</w:t>
              </w:r>
            </w:fldSimple>
            <w:r>
              <w:t>)</w:t>
            </w:r>
            <w:bookmarkEnd w:id="6"/>
          </w:p>
        </w:tc>
      </w:tr>
    </w:tbl>
    <w:p w:rsidR="002D7506" w:rsidRDefault="003F5091" w:rsidP="00925154">
      <w:r>
        <w:t>With</w:t>
      </w:r>
      <w:r w:rsidR="00925154">
        <w:t xml:space="preserve"> SIM</w:t>
      </w:r>
      <w:r>
        <w:t>-I</w:t>
      </w:r>
      <w:r w:rsidR="002D7506">
        <w:t xml:space="preserve"> the mutation rate of single mutants </w:t>
      </w:r>
      <w:proofErr w:type="gramStart"/>
      <w:r w:rsidR="002D7506">
        <w:t>is</w:t>
      </w:r>
      <w:proofErr w:type="gramEnd"/>
      <w:r w:rsidR="002D7506">
        <w:t xml:space="preserve">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5816EE"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w:r w:rsidR="00CB2F61">
              <w:t>.</w:t>
            </w:r>
          </w:p>
        </w:tc>
        <w:tc>
          <w:tcPr>
            <w:tcW w:w="500" w:type="pct"/>
            <w:vAlign w:val="center"/>
          </w:tcPr>
          <w:p w:rsidR="002D7506" w:rsidRDefault="002D7506" w:rsidP="00563FAB">
            <w:bookmarkStart w:id="7" w:name="_Ref354134926"/>
            <w:r>
              <w:t>(</w:t>
            </w:r>
            <w:fldSimple w:instr=" SEQ Equation ">
              <w:r>
                <w:rPr>
                  <w:noProof/>
                </w:rPr>
                <w:t>4</w:t>
              </w:r>
            </w:fldSimple>
            <w:r>
              <w:t>)</w:t>
            </w:r>
            <w:bookmarkEnd w:id="7"/>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r w:rsidR="003F5091">
        <w:t>-I</w:t>
      </w:r>
      <w:r>
        <w:t>:</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5816EE"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5816EE"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5816EE" w:rsidP="00CB2F61">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CB2F61">
        <w:rPr>
          <w:rFonts w:eastAsiaTheme="minorEastAsia"/>
        </w:rPr>
        <w:t>.</w:t>
      </w:r>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CB2F61">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8" w:name="_Ref354319257"/>
            <w:r>
              <w:t>(</w:t>
            </w:r>
            <w:fldSimple w:instr=" SEQ Equation ">
              <w:r>
                <w:rPr>
                  <w:noProof/>
                </w:rPr>
                <w:t>5</w:t>
              </w:r>
            </w:fldSimple>
            <w:r>
              <w:t>)</w:t>
            </w:r>
            <w:bookmarkEnd w:id="8"/>
          </w:p>
        </w:tc>
      </w:tr>
    </w:tbl>
    <w:p w:rsidR="002D7506" w:rsidRDefault="002D7506" w:rsidP="002D7506">
      <w:r>
        <w:t>For a population with SIM</w:t>
      </w:r>
      <w:r w:rsidR="003F5091">
        <w:t>-I</w:t>
      </w:r>
      <w:r>
        <w:t xml:space="preserve">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5816EE" w:rsidP="002D7506">
      <m:oMathPara>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5816EE"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5816EE"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5816EE" w:rsidP="00CB2F61">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m:t>
                </m:r>
                <m:r>
                  <w:rPr>
                    <w:rFonts w:ascii="Cambria Math" w:hAnsi="Cambria Math"/>
                  </w:rPr>
                  <m:t>U</m:t>
                </m:r>
              </m:e>
            </m:d>
          </m:e>
        </m:d>
      </m:oMath>
      <w:r w:rsidR="00CB2F61">
        <w:rPr>
          <w:rFonts w:eastAsiaTheme="minorEastAsia"/>
        </w:rPr>
        <w:t>.</w:t>
      </w:r>
    </w:p>
    <w:p w:rsidR="002D7506" w:rsidRDefault="002D7506" w:rsidP="002D7506">
      <w:r>
        <w:lastRenderedPageBreak/>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5816EE" w:rsidP="00CB2F61">
      <w:pPr>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CB2F61">
        <w:t>.</w:t>
      </w:r>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5816EE" w:rsidP="00354774">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SIM-I</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tcBorders>
              <w:top w:val="nil"/>
              <w:left w:val="nil"/>
              <w:bottom w:val="nil"/>
              <w:right w:val="nil"/>
            </w:tcBorders>
            <w:vAlign w:val="center"/>
          </w:tcPr>
          <w:p w:rsidR="002D7506" w:rsidRDefault="002D7506" w:rsidP="00563FAB">
            <w:bookmarkStart w:id="9" w:name="_Ref354319499"/>
            <w:r>
              <w:t>(</w:t>
            </w:r>
            <w:fldSimple w:instr=" SEQ Equation ">
              <w:r>
                <w:rPr>
                  <w:noProof/>
                </w:rPr>
                <w:t>6</w:t>
              </w:r>
            </w:fldSimple>
            <w:r>
              <w:t>)</w:t>
            </w:r>
            <w:bookmarkEnd w:id="9"/>
          </w:p>
        </w:tc>
      </w:tr>
    </w:tbl>
    <w:p w:rsidR="002D7506" w:rsidRPr="00AB0448" w:rsidRDefault="002D7506" w:rsidP="003F5091">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2D7506" w:rsidRDefault="002D7506" w:rsidP="003F5091">
      <w:pPr>
        <w:pStyle w:val="Heading3"/>
      </w:pPr>
      <w:bookmarkStart w:id="10" w:name="_Ref354319797"/>
      <w:r>
        <w:t xml:space="preserve">Fixation probability with stress-induced </w:t>
      </w:r>
      <w:bookmarkEnd w:id="10"/>
      <w:r w:rsidR="003F5091">
        <w:t>mutagenesis</w:t>
      </w:r>
    </w:p>
    <w:p w:rsidR="003F5091" w:rsidRDefault="002D7506" w:rsidP="003F5091">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ED08B5">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xml:space="preserve">, the fixation probability ρ of the double mutant is: </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rsidR="00CB2F61">
              <w:t>.</w:t>
            </w:r>
          </w:p>
        </w:tc>
        <w:tc>
          <w:tcPr>
            <w:tcW w:w="500" w:type="pct"/>
            <w:tcBorders>
              <w:top w:val="nil"/>
              <w:left w:val="nil"/>
              <w:bottom w:val="nil"/>
              <w:right w:val="nil"/>
            </w:tcBorders>
            <w:vAlign w:val="center"/>
          </w:tcPr>
          <w:p w:rsidR="003F5091" w:rsidRDefault="003F5091" w:rsidP="00CE78D0">
            <w:r>
              <w:t>(</w:t>
            </w:r>
            <w:fldSimple w:instr=" SEQ Equation ">
              <w:r>
                <w:rPr>
                  <w:noProof/>
                </w:rPr>
                <w:t>7</w:t>
              </w:r>
            </w:fldSimple>
            <w:r>
              <w:t>)</w:t>
            </w:r>
          </w:p>
        </w:tc>
      </w:tr>
    </w:tbl>
    <w:p w:rsidR="003F5091" w:rsidRDefault="003F5091" w:rsidP="003F5091">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3F5091" w:rsidTr="00CE78D0">
        <w:tc>
          <w:tcPr>
            <w:tcW w:w="4500" w:type="pct"/>
            <w:tcBorders>
              <w:top w:val="nil"/>
              <w:left w:val="nil"/>
              <w:bottom w:val="nil"/>
              <w:right w:val="nil"/>
            </w:tcBorders>
            <w:vAlign w:val="center"/>
          </w:tcPr>
          <w:p w:rsidR="003F5091" w:rsidRDefault="003F5091" w:rsidP="003F5091">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rsidR="00CB2F61">
              <w:t>.</w:t>
            </w:r>
          </w:p>
        </w:tc>
        <w:tc>
          <w:tcPr>
            <w:tcW w:w="500" w:type="pct"/>
            <w:tcBorders>
              <w:top w:val="nil"/>
              <w:left w:val="nil"/>
              <w:bottom w:val="nil"/>
              <w:right w:val="nil"/>
            </w:tcBorders>
            <w:vAlign w:val="center"/>
          </w:tcPr>
          <w:p w:rsidR="003F5091" w:rsidRDefault="003F5091" w:rsidP="00CE78D0">
            <w:r>
              <w:t>(</w:t>
            </w:r>
            <w:fldSimple w:instr=" SEQ Equation ">
              <w:r w:rsidR="00E5128F">
                <w:rPr>
                  <w:noProof/>
                </w:rPr>
                <w:t>8</w:t>
              </w:r>
            </w:fldSimple>
            <w:r>
              <w:t>)</w:t>
            </w:r>
          </w:p>
        </w:tc>
      </w:tr>
    </w:tbl>
    <w:p w:rsidR="003F5091" w:rsidRDefault="003F5091" w:rsidP="003F5091">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2D7506" w:rsidRDefault="003F5091" w:rsidP="00544FA2">
      <w:r>
        <w:t xml:space="preserve">At this stage, double mutants are still very rate, so we can use the population mean fitness at the MSB. Without stress-induced mutagenesis,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w:t>
      </w:r>
      <w:r w:rsidR="00544FA2">
        <w:t xml:space="preserve">(see </w:t>
      </w:r>
      <w:r>
        <w:fldChar w:fldCharType="begin"/>
      </w:r>
      <w:r>
        <w:instrText xml:space="preserve"> REF _Ref359745744 \r \h </w:instrText>
      </w:r>
      <w:r>
        <w:fldChar w:fldCharType="separate"/>
      </w:r>
      <w:r>
        <w:rPr>
          <w:rFonts w:hint="cs"/>
          <w:cs/>
        </w:rPr>
        <w:t>‎</w:t>
      </w:r>
      <w:r>
        <w:t>3.1</w:t>
      </w:r>
      <w:r>
        <w:fldChar w:fldCharType="end"/>
      </w:r>
      <w:r w:rsidR="00544FA2">
        <w:t>)</w:t>
      </w:r>
      <w:r>
        <w:t>.</w:t>
      </w:r>
      <w:r w:rsidR="002D7506">
        <w:t xml:space="preserve"> </w:t>
      </w:r>
      <w:r w:rsidR="00544FA2">
        <w:t>W</w:t>
      </w:r>
      <w:r w:rsidR="002D7506">
        <w:t>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44FA2">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1" w:name="_Ref354316816"/>
            <w:r>
              <w:t>(</w:t>
            </w:r>
            <w:fldSimple w:instr=" SEQ Equation ">
              <w:r>
                <w:rPr>
                  <w:noProof/>
                </w:rPr>
                <w:t>9</w:t>
              </w:r>
            </w:fldSimple>
            <w:r>
              <w:t>)</w:t>
            </w:r>
            <w:bookmarkEnd w:id="11"/>
          </w:p>
        </w:tc>
      </w:tr>
    </w:tbl>
    <w:p w:rsidR="002D7506" w:rsidRPr="00CC2E91" w:rsidRDefault="00B72912" w:rsidP="00544FA2">
      <w:r>
        <w:t>A</w:t>
      </w:r>
      <w:r w:rsidR="002D7506">
        <w:t xml:space="preserve">ssuming </w:t>
      </w:r>
      <w:proofErr w:type="spellStart"/>
      <w:r w:rsidR="00544FA2" w:rsidRPr="00544FA2">
        <w:rPr>
          <w:i/>
          <w:iCs/>
        </w:rPr>
        <w:t>sH</w:t>
      </w:r>
      <w:proofErr w:type="spellEnd"/>
      <w:r w:rsidR="00544FA2">
        <w:t xml:space="preserve"> </w:t>
      </w:r>
      <w:r w:rsidR="002D7506" w:rsidRPr="00544FA2">
        <w:t>is</w:t>
      </w:r>
      <w:r w:rsidR="00544FA2">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544FA2" w:rsidP="00CB2F61">
            <w:pPr>
              <w:jc w:val="center"/>
            </w:pPr>
            <m:oMath>
              <m:r>
                <w:rPr>
                  <w:rFonts w:ascii="Cambria Math" w:hAnsi="Cambria Math"/>
                </w:rPr>
                <m:t>ρ≈2sH</m:t>
              </m:r>
            </m:oMath>
            <w:r w:rsidR="00CB2F61">
              <w:t>,</w:t>
            </w:r>
          </w:p>
        </w:tc>
        <w:tc>
          <w:tcPr>
            <w:tcW w:w="500" w:type="pct"/>
            <w:vAlign w:val="center"/>
          </w:tcPr>
          <w:p w:rsidR="002D7506" w:rsidRDefault="002D7506" w:rsidP="00563FAB">
            <w:bookmarkStart w:id="12" w:name="_Ref354134928"/>
            <w:r>
              <w:t>(</w:t>
            </w:r>
            <w:fldSimple w:instr=" SEQ Equation ">
              <w:r>
                <w:rPr>
                  <w:noProof/>
                </w:rPr>
                <w:t>10</w:t>
              </w:r>
            </w:fldSimple>
            <w:r>
              <w:t>)</w:t>
            </w:r>
            <w:bookmarkEnd w:id="12"/>
          </w:p>
        </w:tc>
      </w:tr>
    </w:tbl>
    <w:p w:rsidR="00544FA2" w:rsidRDefault="00544FA2" w:rsidP="00925154">
      <w:pPr>
        <w:rPr>
          <w:lang w:bidi="hi-IN"/>
        </w:rPr>
      </w:pPr>
      <w:r>
        <w:rPr>
          <w:lang w:bidi="hi-IN"/>
        </w:rPr>
        <w:t xml:space="preserve">which is a classic result of population genetics theory </w:t>
      </w:r>
      <w:r>
        <w:rPr>
          <w:lang w:bidi="hi-IN"/>
        </w:rPr>
        <w:fldChar w:fldCharType="begin" w:fldLock="1"/>
      </w:r>
      <w:r w:rsidR="00ED08B5">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B72912" w:rsidRDefault="00544FA2" w:rsidP="00544FA2">
      <w:pPr>
        <w:rPr>
          <w:lang w:bidi="hi-IN"/>
        </w:rPr>
      </w:pPr>
      <w:r>
        <w:rPr>
          <w:lang w:bidi="hi-IN"/>
        </w:rPr>
        <w:t>T</w:t>
      </w:r>
      <w:r w:rsidR="00B72912">
        <w:rPr>
          <w:lang w:bidi="hi-IN"/>
        </w:rPr>
        <w:t>he fixation probability with SIM</w:t>
      </w:r>
      <w:r>
        <w:rPr>
          <w:lang w:bidi="hi-IN"/>
        </w:rPr>
        <w:t>-I</w:t>
      </w:r>
      <w:r w:rsidR="00B72912">
        <w:rPr>
          <w:lang w:bidi="hi-IN"/>
        </w:rPr>
        <w:t xml:space="preserve"> equals that of NM and CM because the mutation rate of the wildtype </w:t>
      </w:r>
      <w:proofErr w:type="spellStart"/>
      <w:r w:rsidR="00B72912">
        <w:rPr>
          <w:i/>
          <w:iCs/>
          <w:lang w:bidi="hi-IN"/>
        </w:rPr>
        <w:t>ab</w:t>
      </w:r>
      <w:proofErr w:type="spellEnd"/>
      <w:r w:rsidR="00B72912">
        <w:rPr>
          <w:lang w:bidi="hi-IN"/>
        </w:rPr>
        <w:t xml:space="preserve"> equals that of the double mutant </w:t>
      </w:r>
      <w:r w:rsidR="00B72912">
        <w:rPr>
          <w:i/>
          <w:iCs/>
          <w:lang w:bidi="hi-IN"/>
        </w:rPr>
        <w:t>AB</w:t>
      </w:r>
      <w:r w:rsidR="00925154">
        <w:rPr>
          <w:lang w:bidi="hi-IN"/>
        </w:rPr>
        <w:t xml:space="preserve">. However, </w:t>
      </w:r>
      <w:r>
        <w:rPr>
          <w:lang w:bidi="hi-IN"/>
        </w:rPr>
        <w:t>with SIM-II</w:t>
      </w:r>
      <w:r w:rsidR="00925154">
        <w:rPr>
          <w:lang w:bidi="hi-IN"/>
        </w:rPr>
        <w:t xml:space="preserve"> the mutation rate of </w:t>
      </w:r>
      <w:proofErr w:type="spellStart"/>
      <w:r w:rsidR="00925154">
        <w:rPr>
          <w:i/>
          <w:iCs/>
          <w:lang w:bidi="hi-IN"/>
        </w:rPr>
        <w:t>ab</w:t>
      </w:r>
      <w:proofErr w:type="spellEnd"/>
      <w:r w:rsidR="00925154">
        <w:rPr>
          <w:lang w:bidi="hi-IN"/>
        </w:rPr>
        <w:t xml:space="preserve"> is higher than that of </w:t>
      </w:r>
      <w:r w:rsidR="00925154">
        <w:rPr>
          <w:i/>
          <w:iCs/>
          <w:lang w:bidi="hi-IN"/>
        </w:rPr>
        <w:t>AB</w:t>
      </w:r>
      <w:r w:rsidR="00925154">
        <w:rPr>
          <w:lang w:bidi="hi-IN"/>
        </w:rPr>
        <w:t xml:space="preserve"> and therefore </w:t>
      </w:r>
      <w:r w:rsidR="00925154">
        <w:rPr>
          <w:i/>
          <w:iCs/>
          <w:lang w:bidi="hi-IN"/>
        </w:rPr>
        <w:t>AB</w:t>
      </w:r>
      <w:r w:rsidR="00925154">
        <w:rPr>
          <w:lang w:bidi="hi-IN"/>
        </w:rPr>
        <w:t xml:space="preserve"> has an additional advantage due to the accumulation of deleterious mutations in the stressed </w:t>
      </w:r>
      <w:r w:rsidR="00925154">
        <w:rPr>
          <w:lang w:bidi="hi-IN"/>
        </w:rPr>
        <w:lastRenderedPageBreak/>
        <w:t>population</w:t>
      </w:r>
      <w:r>
        <w:rPr>
          <w:lang w:bidi="hi-IN"/>
        </w:rPr>
        <w:t xml:space="preserve"> (we can assume the population reached a MSB after the environmental change because the convergence to MSB is much quicker </w:t>
      </w:r>
      <w:proofErr w:type="spellStart"/>
      <w:r>
        <w:rPr>
          <w:lang w:bidi="hi-IN"/>
        </w:rPr>
        <w:t>then</w:t>
      </w:r>
      <w:proofErr w:type="spellEnd"/>
      <w:r>
        <w:rPr>
          <w:lang w:bidi="hi-IN"/>
        </w:rPr>
        <w:t xml:space="preserve"> adaptation)</w:t>
      </w:r>
      <w:r w:rsidR="00925154">
        <w:rPr>
          <w:lang w:bidi="hi-IN"/>
        </w:rPr>
        <w:t>:</w:t>
      </w:r>
    </w:p>
    <w:p w:rsidR="00DE1C4B" w:rsidRPr="00DE1C4B" w:rsidRDefault="005816EE"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hAnsi="Cambria Math"/>
                  <w:i/>
                  <w:lang w:bidi="hi-IN"/>
                </w:rPr>
              </m:ctrlPr>
            </m:fPr>
            <m:num>
              <m:r>
                <w:rPr>
                  <w:rFonts w:ascii="Cambria Math" w:hAnsi="Cambria Math"/>
                  <w:lang w:bidi="hi-IN"/>
                </w:rPr>
                <m:t>α-1</m:t>
              </m:r>
            </m:num>
            <m:den>
              <m:r>
                <w:rPr>
                  <w:rFonts w:ascii="Cambria Math" w:hAnsi="Cambria Math"/>
                  <w:lang w:bidi="hi-IN"/>
                </w:rPr>
                <m:t>α</m:t>
              </m:r>
            </m:den>
          </m:f>
          <m:r>
            <w:rPr>
              <w:rFonts w:ascii="Cambria Math" w:hAnsi="Cambria Math"/>
              <w:lang w:bidi="hi-IN"/>
            </w:rPr>
            <m:t>+o</m:t>
          </m:r>
          <m:d>
            <m:dPr>
              <m:ctrlPr>
                <w:rPr>
                  <w:rFonts w:ascii="Cambria Math" w:hAnsi="Cambria Math"/>
                  <w:i/>
                  <w:lang w:bidi="hi-IN"/>
                </w:rPr>
              </m:ctrlPr>
            </m:dPr>
            <m:e>
              <m:r>
                <w:rPr>
                  <w:rFonts w:ascii="Cambria Math" w:hAnsi="Cambria Math"/>
                  <w:lang w:bidi="hi-IN"/>
                </w:rPr>
                <m:t>α-1</m:t>
              </m:r>
            </m:e>
          </m:d>
        </m:oMath>
      </m:oMathPara>
    </w:p>
    <w:p w:rsidR="00DE1C4B" w:rsidRPr="00DE1C4B" w:rsidRDefault="005816EE" w:rsidP="00544FA2">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SIM-II</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m:oMathPara>
    </w:p>
    <w:p w:rsidR="00DE1C4B" w:rsidRPr="00DE1C4B" w:rsidRDefault="005816EE" w:rsidP="00DE1C4B">
      <w:pPr>
        <w:rPr>
          <w:rFonts w:eastAsiaTheme="minorEastAsia"/>
          <w:lang w:bidi="hi-IN"/>
        </w:rPr>
      </w:pPr>
      <m:oMathPara>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oMath>
      </m:oMathPara>
    </w:p>
    <w:p w:rsidR="00DE1C4B" w:rsidRPr="00DE1C4B" w:rsidRDefault="005816EE" w:rsidP="00CB2F61">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SIM-II</m:t>
            </m:r>
          </m:sub>
        </m:sSub>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CB2F61">
        <w:rPr>
          <w:rFonts w:eastAsiaTheme="minorEastAsia"/>
          <w:lang w:bidi="hi-IN"/>
        </w:rPr>
        <w:t>.</w:t>
      </w:r>
    </w:p>
    <w:p w:rsidR="00B82D73" w:rsidRDefault="00B82D73" w:rsidP="00B82D73">
      <w:pPr>
        <w:pStyle w:val="Heading3"/>
      </w:pPr>
      <w:bookmarkStart w:id="13" w:name="_Ref360181968"/>
      <w:r>
        <w:t>Adaptation rate</w:t>
      </w:r>
      <w:bookmarkEnd w:id="13"/>
    </w:p>
    <w:p w:rsidR="00B82D73" w:rsidRDefault="00B82D73" w:rsidP="00B82D73">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The constraint </w:t>
      </w:r>
      <w:r>
        <w:fldChar w:fldCharType="begin"/>
      </w:r>
      <w:r>
        <w:instrText xml:space="preserve"> REF _Ref354129072 \h  \* MERGEFORMAT </w:instrText>
      </w:r>
      <w:r>
        <w:fldChar w:fldCharType="separate"/>
      </w:r>
      <w:r>
        <w:t>(</w:t>
      </w:r>
      <w:r>
        <w:rPr>
          <w:noProof/>
        </w:rPr>
        <w:t>2</w:t>
      </w:r>
      <w:r>
        <w:t>)</w: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p>
    <w:p w:rsidR="00B82D73" w:rsidRPr="00D516F5" w:rsidRDefault="00B82D73" w:rsidP="00B82D73">
      <w:r>
        <w:t xml:space="preserve">Once a double mutant appears it has a probability </w:t>
      </w:r>
      <w:r w:rsidRPr="00B82D73">
        <w:rPr>
          <w:i/>
          <w:iCs/>
        </w:rPr>
        <w:t>ρ</w:t>
      </w:r>
      <w:r>
        <w:t xml:space="preserve"> t</w:t>
      </w:r>
      <w:r w:rsidRPr="00D516F5">
        <w:t>o go to fixation</w:t>
      </w:r>
      <w:r>
        <w:t xml:space="preserve">. </w:t>
      </w:r>
    </w:p>
    <w:p w:rsidR="00B82D73" w:rsidRPr="00CB2F61" w:rsidRDefault="00B82D73" w:rsidP="00CB2F61">
      <w:r w:rsidRPr="00CB2F61">
        <w:t xml:space="preserve">The time for adaptation </w:t>
      </w:r>
      <w:r w:rsidRPr="00CB2F61">
        <w:rPr>
          <w:i/>
          <w:iCs/>
        </w:rPr>
        <w:t>T</w:t>
      </w:r>
      <w:r w:rsidRPr="00CB2F61">
        <w:t xml:space="preserve"> can be approximated by the waiting time for a double mutant who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B82D73" w:rsidTr="00CE78D0">
        <w:tc>
          <w:tcPr>
            <w:tcW w:w="4500" w:type="pct"/>
            <w:vAlign w:val="center"/>
          </w:tcPr>
          <w:p w:rsidR="00B82D73" w:rsidRDefault="00B82D73" w:rsidP="00CB2F61">
            <w:pPr>
              <w:jc w:val="center"/>
            </w:pPr>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w:r w:rsidR="00CB2F61">
              <w:t>.</w:t>
            </w:r>
          </w:p>
        </w:tc>
        <w:tc>
          <w:tcPr>
            <w:tcW w:w="500" w:type="pct"/>
            <w:vAlign w:val="center"/>
          </w:tcPr>
          <w:p w:rsidR="00B82D73" w:rsidRDefault="00B82D73" w:rsidP="00CE78D0">
            <w:bookmarkStart w:id="14" w:name="_Ref354319010"/>
            <w:r>
              <w:t>(</w:t>
            </w:r>
            <w:fldSimple w:instr=" SEQ Equation ">
              <w:r>
                <w:rPr>
                  <w:noProof/>
                </w:rPr>
                <w:t>11</w:t>
              </w:r>
            </w:fldSimple>
            <w:r>
              <w:t>)</w:t>
            </w:r>
            <w:bookmarkEnd w:id="14"/>
          </w:p>
        </w:tc>
      </w:tr>
    </w:tbl>
    <w:p w:rsidR="00B82D73" w:rsidRDefault="00B82D73" w:rsidP="00B82D73">
      <w:pPr>
        <w:rPr>
          <w:lang w:bidi="hi-IN"/>
        </w:rPr>
      </w:pPr>
      <w:r>
        <w:rPr>
          <w:lang w:bidi="hi-IN"/>
        </w:rPr>
        <w:t>The adaptation rate is the inverse of the expected adaptation time</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fldSimple w:instr=" SEQ Equation ">
              <w:r>
                <w:rPr>
                  <w:noProof/>
                </w:rPr>
                <w:t>12</w:t>
              </w:r>
            </w:fldSimple>
            <w:r>
              <w:t>)</w:t>
            </w:r>
          </w:p>
        </w:tc>
      </w:tr>
    </w:tbl>
    <w:p w:rsidR="001033CA" w:rsidRDefault="001033CA" w:rsidP="001033CA">
      <w:pPr>
        <w:pStyle w:val="Heading1"/>
        <w:rPr>
          <w:lang w:bidi="hi-IN"/>
        </w:rPr>
      </w:pPr>
      <w:r>
        <w:rPr>
          <w:lang w:bidi="hi-IN"/>
        </w:rPr>
        <w:t>Results</w:t>
      </w:r>
    </w:p>
    <w:p w:rsidR="001033CA" w:rsidRDefault="001033CA" w:rsidP="001033CA">
      <w:pPr>
        <w:pStyle w:val="Heading2"/>
      </w:pPr>
      <w:bookmarkStart w:id="15" w:name="_Ref359745744"/>
      <w:r>
        <w:t>Mutation-selection balance</w:t>
      </w:r>
      <w:bookmarkEnd w:id="15"/>
    </w:p>
    <w:p w:rsidR="00125157" w:rsidRPr="00125157" w:rsidRDefault="00125157" w:rsidP="00F35F7B">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ED08B5">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ED08B5">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ED08B5">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F00D32" w:rsidP="00305197">
      <w:pPr>
        <w:pStyle w:val="FigureLegend"/>
        <w:rPr>
          <w:b/>
          <w:bCs/>
        </w:rPr>
      </w:pPr>
      <w:bookmarkStart w:id="16" w:name="_Ref360184146"/>
      <w:r>
        <w:rPr>
          <w:noProof/>
        </w:rPr>
        <w:drawing>
          <wp:inline distT="0" distB="0" distL="0" distR="0" wp14:anchorId="37AA5DEA" wp14:editId="1DE1AEAE">
            <wp:extent cx="5274945" cy="4224020"/>
            <wp:effectExtent l="0" t="0" r="1905" b="5080"/>
            <wp:docPr id="5" name="Picture 5"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EE3CB4" w:rsidRPr="00EB6923" w:rsidRDefault="00EE3CB4" w:rsidP="00F00D32">
      <w:pPr>
        <w:pStyle w:val="FigureLegend"/>
      </w:pPr>
      <w:bookmarkStart w:id="17"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16"/>
      <w:bookmarkEnd w:id="17"/>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5F1227" w:rsidRPr="00B82D73" w:rsidRDefault="005F1227" w:rsidP="00B66998">
      <w:pPr>
        <w:rPr>
          <w:i/>
          <w:iCs/>
          <w:lang w:bidi="hi-IN"/>
        </w:rPr>
      </w:pPr>
      <w:r>
        <w:t>We define two adaptive evo</w:t>
      </w:r>
      <w:r w:rsidR="00FD52EB">
        <w:t>lution scenarios: in scenario I,</w:t>
      </w:r>
      <w:r>
        <w:t xml:space="preserve"> a new carbon source </w:t>
      </w:r>
      <w:r w:rsidR="00FD52EB">
        <w:t xml:space="preserve">appears and </w:t>
      </w:r>
      <w:r>
        <w:t xml:space="preserve">can only be utilized by the double mutant </w:t>
      </w:r>
      <w:r>
        <w:rPr>
          <w:i/>
          <w:iCs/>
        </w:rPr>
        <w:t>AB</w:t>
      </w:r>
      <w:r w:rsidR="00FD52EB">
        <w:t xml:space="preserve">, making </w:t>
      </w:r>
      <w:r w:rsidRPr="00607B56">
        <w:rPr>
          <w:i/>
          <w:iCs/>
        </w:rPr>
        <w:t>AB</w:t>
      </w:r>
      <w:r>
        <w:t xml:space="preserve"> the optimal </w:t>
      </w:r>
      <w:r w:rsidR="00FD52EB">
        <w:t xml:space="preserve">genotype </w:t>
      </w:r>
      <w:r>
        <w:t>without affecting the fitness values of other genotypes</w:t>
      </w:r>
      <w:r w:rsidR="00FD52EB">
        <w:t>. T</w:t>
      </w:r>
      <w:r w:rsidR="00B82D73">
        <w:t>herefore</w:t>
      </w:r>
      <w:r w:rsidR="00FD52EB">
        <w:t>,</w:t>
      </w:r>
      <w:r w:rsidR="00B82D73">
        <w:t xml:space="preserve"> in </w:t>
      </w:r>
      <w:r w:rsidR="00FD52EB">
        <w:t xml:space="preserve">scenario I, </w:t>
      </w:r>
      <w:r w:rsidR="00B82D73">
        <w:t xml:space="preserve">SIM does not induce hypermutation in neither </w:t>
      </w:r>
      <w:r w:rsidR="00B82D73" w:rsidRPr="00B82D73">
        <w:rPr>
          <w:i/>
          <w:iCs/>
        </w:rPr>
        <w:t xml:space="preserve">AB </w:t>
      </w:r>
      <w:r w:rsidR="00B82D73">
        <w:t xml:space="preserve">nor </w:t>
      </w:r>
      <w:r w:rsidR="00B82D73">
        <w:rPr>
          <w:i/>
          <w:iCs/>
        </w:rPr>
        <w:t>ab</w:t>
      </w:r>
      <w:r>
        <w:t>. In scenario</w:t>
      </w:r>
      <w:r w:rsidR="00FD52EB">
        <w:t xml:space="preserve"> II</w:t>
      </w:r>
      <w:r>
        <w:t xml:space="preserve">, an antibiotic drug renders all genotypes less fit, and the double mutant </w:t>
      </w:r>
      <w:r w:rsidRPr="00607B56">
        <w:rPr>
          <w:i/>
          <w:iCs/>
        </w:rPr>
        <w:t>AB</w:t>
      </w:r>
      <w:r>
        <w:t xml:space="preserve"> confers resistance to the drug</w:t>
      </w:r>
      <w:r w:rsidR="00FD52EB">
        <w:t xml:space="preserve">. This makes </w:t>
      </w:r>
      <w:r w:rsidR="00FD52EB">
        <w:rPr>
          <w:i/>
          <w:iCs/>
        </w:rPr>
        <w:t>AB</w:t>
      </w:r>
      <w:r>
        <w:t xml:space="preserve"> the optimal genotype</w:t>
      </w:r>
      <w:r w:rsidR="00FD52EB">
        <w:t xml:space="preserve"> again, but i</w:t>
      </w:r>
      <w:r w:rsidR="00B82D73">
        <w:t xml:space="preserve">n this </w:t>
      </w:r>
      <w:r w:rsidR="00B82D73">
        <w:lastRenderedPageBreak/>
        <w:t xml:space="preserve">scenario SIM induces hypermutation in all </w:t>
      </w:r>
      <w:r w:rsidR="00FD52EB">
        <w:t xml:space="preserve">other </w:t>
      </w:r>
      <w:r w:rsidR="00B82D73">
        <w:t>genotypes</w:t>
      </w:r>
      <w:r w:rsidR="00FD52EB">
        <w:t xml:space="preserve"> (including </w:t>
      </w:r>
      <w:proofErr w:type="spellStart"/>
      <w:r w:rsidR="00FD52EB">
        <w:rPr>
          <w:i/>
          <w:iCs/>
        </w:rPr>
        <w:t>ab</w:t>
      </w:r>
      <w:proofErr w:type="spellEnd"/>
      <w:r w:rsidR="00FD52EB">
        <w:t>)</w:t>
      </w:r>
      <w:r w:rsidR="00B82D73" w:rsidRPr="00B82D73">
        <w:t>.</w:t>
      </w:r>
      <w:r w:rsidR="00B66998">
        <w:t xml:space="preserve"> In the following section, </w:t>
      </w:r>
      <w:r w:rsidR="00B82D73">
        <w:t xml:space="preserve">we </w:t>
      </w:r>
      <w:r w:rsidR="00B66998">
        <w:t xml:space="preserve">distinguish these two scenarios by </w:t>
      </w:r>
      <w:r w:rsidR="00B82D73">
        <w:t>SIM-I and SIM-II.</w:t>
      </w:r>
    </w:p>
    <w:p w:rsidR="00354774" w:rsidRDefault="00354774" w:rsidP="00B66998">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w:t>
      </w:r>
      <w:r w:rsidR="00B66998">
        <w:rPr>
          <w:lang w:bidi="hi-IN"/>
        </w:rPr>
        <w:t xml:space="preserve">. This can be approximated (see </w:t>
      </w:r>
      <w:r w:rsidR="00B66998">
        <w:rPr>
          <w:lang w:bidi="hi-IN"/>
        </w:rPr>
        <w:fldChar w:fldCharType="begin"/>
      </w:r>
      <w:r w:rsidR="00B66998">
        <w:rPr>
          <w:lang w:bidi="hi-IN"/>
        </w:rPr>
        <w:instrText xml:space="preserve"> REF _Ref360181968 \r \h </w:instrText>
      </w:r>
      <w:r w:rsidR="00B66998">
        <w:rPr>
          <w:lang w:bidi="hi-IN"/>
        </w:rPr>
      </w:r>
      <w:r w:rsidR="00B66998">
        <w:rPr>
          <w:lang w:bidi="hi-IN"/>
        </w:rPr>
        <w:fldChar w:fldCharType="separate"/>
      </w:r>
      <w:r w:rsidR="00B66998">
        <w:rPr>
          <w:rFonts w:hint="cs"/>
          <w:cs/>
          <w:lang w:bidi="hi-IN"/>
        </w:rPr>
        <w:t>‎</w:t>
      </w:r>
      <w:r w:rsidR="00B66998">
        <w:rPr>
          <w:lang w:bidi="hi-IN"/>
        </w:rPr>
        <w:t>2.2.4</w:t>
      </w:r>
      <w:r w:rsidR="00B66998">
        <w:rPr>
          <w:lang w:bidi="hi-IN"/>
        </w:rPr>
        <w:fldChar w:fldCharType="end"/>
      </w:r>
      <w:r w:rsidR="00B66998">
        <w:rPr>
          <w:lang w:bidi="hi-IN"/>
        </w:rPr>
        <w:t xml:space="preserve">) </w:t>
      </w:r>
      <w:r>
        <w:rPr>
          <w:lang w:bidi="hi-IN"/>
        </w:rPr>
        <w:t xml:space="preserve">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5816EE"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r>
              <w:t>(</w:t>
            </w:r>
            <w:fldSimple w:instr=" SEQ Equation ">
              <w:r>
                <w:rPr>
                  <w:noProof/>
                </w:rPr>
                <w:t>13</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5816EE"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oMath>
            </m:oMathPara>
          </w:p>
        </w:tc>
        <w:tc>
          <w:tcPr>
            <w:tcW w:w="500" w:type="pct"/>
            <w:tcBorders>
              <w:top w:val="nil"/>
              <w:left w:val="nil"/>
              <w:bottom w:val="nil"/>
              <w:right w:val="nil"/>
            </w:tcBorders>
          </w:tcPr>
          <w:p w:rsidR="00CB2F61" w:rsidRDefault="00CB2F61" w:rsidP="00733446">
            <w:r>
              <w:t>(</w:t>
            </w:r>
            <w:fldSimple w:instr=" SEQ Equation ">
              <w:r>
                <w:rPr>
                  <w:noProof/>
                </w:rPr>
                <w:t>14</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5816EE" w:rsidP="00CB2F61">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f>
                  <m:fPr>
                    <m:ctrlPr>
                      <w:rPr>
                        <w:rFonts w:ascii="Cambria Math" w:hAnsi="Cambria Math"/>
                        <w:i/>
                      </w:rPr>
                    </m:ctrlPr>
                  </m:fPr>
                  <m:num>
                    <m:r>
                      <w:rPr>
                        <w:rFonts w:ascii="Cambria Math" w:hAnsi="Cambria Math"/>
                      </w:rPr>
                      <m:t>2</m:t>
                    </m:r>
                    <m:ctrlPr>
                      <w:rPr>
                        <w:rFonts w:ascii="Cambria Math" w:hAnsi="Cambria Math"/>
                        <w:i/>
                        <w:lang w:bidi="hi-IN"/>
                      </w:rPr>
                    </m:ctrlPr>
                  </m:num>
                  <m:den>
                    <m:d>
                      <m:dPr>
                        <m:ctrlPr>
                          <w:rPr>
                            <w:rFonts w:ascii="Cambria Math" w:hAnsi="Cambria Math"/>
                            <w:i/>
                          </w:rPr>
                        </m:ctrlPr>
                      </m:dPr>
                      <m:e>
                        <m:r>
                          <w:rPr>
                            <w:rFonts w:ascii="Cambria Math" w:hAnsi="Cambria Math"/>
                          </w:rPr>
                          <m:t>2-τU</m:t>
                        </m:r>
                      </m:e>
                    </m:d>
                    <m:r>
                      <w:rPr>
                        <w:rFonts w:ascii="Cambria Math" w:hAnsi="Cambria Math"/>
                      </w:rPr>
                      <m:t>τ</m:t>
                    </m:r>
                  </m:den>
                </m:f>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CM</m:t>
                        </m:r>
                      </m:sub>
                    </m:sSub>
                  </m:num>
                  <m:den>
                    <m:r>
                      <w:rPr>
                        <w:rFonts w:ascii="Cambria Math" w:hAnsi="Cambria Math"/>
                      </w:rPr>
                      <m:t>τ</m:t>
                    </m:r>
                  </m:den>
                </m:f>
              </m:oMath>
            </m:oMathPara>
          </w:p>
        </w:tc>
        <w:tc>
          <w:tcPr>
            <w:tcW w:w="500" w:type="pct"/>
            <w:tcBorders>
              <w:top w:val="nil"/>
              <w:left w:val="nil"/>
              <w:bottom w:val="nil"/>
              <w:right w:val="nil"/>
            </w:tcBorders>
          </w:tcPr>
          <w:p w:rsidR="00CB2F61" w:rsidRDefault="00CB2F61" w:rsidP="00733446">
            <w:r>
              <w:t>(</w:t>
            </w:r>
            <w:fldSimple w:instr=" SEQ Equation ">
              <w:r>
                <w:rPr>
                  <w:noProof/>
                </w:rPr>
                <w:t>15</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5816EE" w:rsidP="00CB2F61">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SIM-II</m:t>
                  </m:r>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CB2F61">
              <w:rPr>
                <w:rFonts w:eastAsiaTheme="minorEastAsia"/>
                <w:lang w:bidi="hi-IN"/>
              </w:rPr>
              <w:t>.</w:t>
            </w:r>
          </w:p>
        </w:tc>
        <w:tc>
          <w:tcPr>
            <w:tcW w:w="500" w:type="pct"/>
            <w:tcBorders>
              <w:top w:val="nil"/>
              <w:left w:val="nil"/>
              <w:bottom w:val="nil"/>
              <w:right w:val="nil"/>
            </w:tcBorders>
          </w:tcPr>
          <w:p w:rsidR="00CB2F61" w:rsidRDefault="00CB2F61" w:rsidP="00733446">
            <w:r>
              <w:t>(</w:t>
            </w:r>
            <w:fldSimple w:instr=" SEQ Equation ">
              <w:r>
                <w:rPr>
                  <w:noProof/>
                </w:rPr>
                <w:t>16</w:t>
              </w:r>
            </w:fldSimple>
            <w:r>
              <w:t>)</w:t>
            </w:r>
          </w:p>
        </w:tc>
      </w:tr>
    </w:tbl>
    <w:p w:rsidR="005A2F68" w:rsidRPr="005A2F68" w:rsidRDefault="005A2F68" w:rsidP="005A2F68">
      <w:pPr>
        <w:rPr>
          <w:rFonts w:eastAsiaTheme="minorEastAsia"/>
          <w:lang w:bidi="hi-IN"/>
        </w:rPr>
      </w:pPr>
      <w:r>
        <w:rPr>
          <w:rFonts w:eastAsiaTheme="minorEastAsia"/>
          <w:lang w:bidi="hi-IN"/>
        </w:rPr>
        <w:t xml:space="preserve">The right-hand side approximations are for small values of </w:t>
      </w:r>
      <w:proofErr w:type="spellStart"/>
      <w:proofErr w:type="gramStart"/>
      <w:r w:rsidRPr="00AB0448">
        <w:rPr>
          <w:i/>
          <w:iCs/>
        </w:rPr>
        <w:t>τ</w:t>
      </w:r>
      <w:r>
        <w:rPr>
          <w:i/>
          <w:iCs/>
        </w:rPr>
        <w:t>U</w:t>
      </w:r>
      <w:proofErr w:type="spellEnd"/>
      <w:proofErr w:type="gramEnd"/>
      <w:r>
        <w:t>.</w:t>
      </w:r>
    </w:p>
    <w:p w:rsidR="00544FA2" w:rsidRDefault="00AB0448" w:rsidP="00C96FC9">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5A2F68">
        <w:t xml:space="preserve">adaptation with SIM-I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FC507C">
        <w:t xml:space="preserve">with  </w:t>
      </w:r>
      <w:r w:rsidR="00FC507C" w:rsidRPr="00FC507C">
        <w:rPr>
          <w:i/>
          <w:iCs/>
        </w:rPr>
        <w:t>τ</w:t>
      </w:r>
      <w:r w:rsidR="005A2F68">
        <w:t>. Third, adaptation with SIM-II is the fastest</w:t>
      </w:r>
      <w:r w:rsidR="00FC507C">
        <w:t xml:space="preserve">. This is </w:t>
      </w:r>
      <w:r w:rsidR="005A2F68">
        <w:t xml:space="preserve">because the appearance of double mutants is the same as with CM but their fixation is more </w:t>
      </w:r>
      <w:r w:rsidR="00FC507C">
        <w:t>likely</w:t>
      </w:r>
      <w:r w:rsidR="005A2F68">
        <w:t xml:space="preserve"> because of the difference in mutation rate</w:t>
      </w:r>
      <w:r w:rsidR="00FC507C">
        <w:t>s</w:t>
      </w:r>
      <w:r w:rsidR="005A2F68">
        <w:t xml:space="preserve"> between double mutants and the rest of the population.</w:t>
      </w:r>
      <w:r w:rsidR="00B82D73">
        <w:t xml:space="preserve"> Note that </w:t>
      </w:r>
      <w:r w:rsidR="00FC507C">
        <w:t xml:space="preserve">the </w:t>
      </w:r>
      <w:r w:rsidR="00B82D73">
        <w:t>advantage</w:t>
      </w:r>
      <w:r w:rsidR="00544FA2">
        <w:rPr>
          <w:rFonts w:eastAsiaTheme="minorEastAsia"/>
          <w:lang w:bidi="hi-IN"/>
        </w:rPr>
        <w:t xml:space="preserve"> </w:t>
      </w:r>
      <w:r w:rsidR="00FC507C">
        <w:rPr>
          <w:rFonts w:eastAsiaTheme="minorEastAsia"/>
          <w:lang w:bidi="hi-IN"/>
        </w:rPr>
        <w:t xml:space="preserve">of SIM-II on CM </w:t>
      </w:r>
      <w:r w:rsidR="00544FA2">
        <w:rPr>
          <w:rFonts w:eastAsiaTheme="minorEastAsia"/>
          <w:lang w:bidi="hi-IN"/>
        </w:rPr>
        <w:t xml:space="preserve">increases linearly with </w:t>
      </w:r>
      <w:r w:rsidR="00544FA2" w:rsidRPr="00DE1C4B">
        <w:rPr>
          <w:i/>
          <w:iCs/>
        </w:rPr>
        <w:t>τ</w:t>
      </w:r>
      <w:r w:rsidR="00F804BA">
        <w:rPr>
          <w:rFonts w:eastAsiaTheme="minorEastAsia"/>
          <w:lang w:bidi="hi-IN"/>
        </w:rPr>
        <w:t xml:space="preserve"> but with a modest slope of </w:t>
      </w:r>
      <w:r w:rsidR="00F804BA">
        <w:rPr>
          <w:rFonts w:eastAsiaTheme="minorEastAsia"/>
          <w:i/>
          <w:iCs/>
          <w:lang w:bidi="hi-IN"/>
        </w:rPr>
        <w:t>U/2sH</w:t>
      </w:r>
      <w:r w:rsidR="00F804BA">
        <w:rPr>
          <w:rFonts w:eastAsiaTheme="minorEastAsia"/>
          <w:lang w:bidi="hi-IN"/>
        </w:rPr>
        <w:t>, which can be quite small (</w:t>
      </w:r>
      <w:r w:rsidR="00F804BA">
        <w:rPr>
          <w:rFonts w:eastAsiaTheme="minorEastAsia"/>
          <w:i/>
          <w:iCs/>
          <w:lang w:bidi="hi-IN"/>
        </w:rPr>
        <w:t>U/2sH</w:t>
      </w:r>
      <w:r w:rsidR="00F804BA">
        <w:rPr>
          <w:rFonts w:eastAsiaTheme="minorEastAsia"/>
          <w:lang w:bidi="hi-IN"/>
        </w:rPr>
        <w:t xml:space="preserve">=0.0002 </w:t>
      </w:r>
      <w:r w:rsidR="000A40AD">
        <w:rPr>
          <w:rFonts w:eastAsiaTheme="minorEastAsia"/>
          <w:lang w:bidi="hi-IN"/>
        </w:rPr>
        <w:t xml:space="preserve">for typical values, see </w:t>
      </w:r>
      <w:r w:rsidR="000A40AD">
        <w:rPr>
          <w:lang w:bidi="hi-IN"/>
        </w:rPr>
        <w:fldChar w:fldCharType="begin"/>
      </w:r>
      <w:r w:rsidR="000A40AD">
        <w:rPr>
          <w:lang w:bidi="hi-IN"/>
        </w:rPr>
        <w:instrText xml:space="preserve"> REF _Ref358791100 \h </w:instrText>
      </w:r>
      <w:r w:rsidR="000A40AD">
        <w:rPr>
          <w:lang w:bidi="hi-IN"/>
        </w:rPr>
      </w:r>
      <w:r w:rsidR="000A40AD">
        <w:rPr>
          <w:lang w:bidi="hi-IN"/>
        </w:rPr>
        <w:fldChar w:fldCharType="separate"/>
      </w:r>
      <w:r w:rsidR="000A40AD">
        <w:t xml:space="preserve">Table </w:t>
      </w:r>
      <w:r w:rsidR="000A40AD">
        <w:rPr>
          <w:noProof/>
        </w:rPr>
        <w:t>1</w:t>
      </w:r>
      <w:r w:rsidR="000A40AD">
        <w:rPr>
          <w:lang w:bidi="hi-IN"/>
        </w:rPr>
        <w:fldChar w:fldCharType="end"/>
      </w:r>
      <w:r w:rsidR="000A40AD">
        <w:rPr>
          <w:rFonts w:eastAsiaTheme="minorEastAsia"/>
          <w:lang w:bidi="hi-IN"/>
        </w:rPr>
        <w:t>).</w:t>
      </w:r>
      <w:r w:rsidR="00C96FC9">
        <w:rPr>
          <w:rFonts w:eastAsiaTheme="minorEastAsia"/>
          <w:lang w:bidi="hi-IN"/>
        </w:rPr>
        <w:t xml:space="preserve"> This was verified with the simulation results in which only the fixation probability of SIM-II significantly changed with </w:t>
      </w:r>
      <w:r w:rsidR="00C96FC9" w:rsidRPr="00FC507C">
        <w:rPr>
          <w:i/>
          <w:iCs/>
        </w:rPr>
        <w:t>τ</w:t>
      </w:r>
      <w:r w:rsidR="00C96FC9">
        <w:rPr>
          <w:rFonts w:eastAsiaTheme="minorEastAsia"/>
          <w:lang w:bidi="hi-IN"/>
        </w:rPr>
        <w:t xml:space="preserve"> (</w:t>
      </w:r>
      <w:r w:rsidR="00C96FC9">
        <w:rPr>
          <w:rFonts w:eastAsiaTheme="minorEastAsia"/>
          <w:lang w:bidi="hi-IN"/>
        </w:rPr>
        <w:fldChar w:fldCharType="begin"/>
      </w:r>
      <w:r w:rsidR="00C96FC9">
        <w:rPr>
          <w:rFonts w:eastAsiaTheme="minorEastAsia"/>
          <w:lang w:bidi="hi-IN"/>
        </w:rPr>
        <w:instrText xml:space="preserve"> REF _Ref360366778 \h </w:instrText>
      </w:r>
      <w:r w:rsidR="00C96FC9">
        <w:rPr>
          <w:rFonts w:eastAsiaTheme="minorEastAsia"/>
          <w:lang w:bidi="hi-IN"/>
        </w:rPr>
      </w:r>
      <w:r w:rsidR="00C96FC9">
        <w:rPr>
          <w:rFonts w:eastAsiaTheme="minorEastAsia"/>
          <w:lang w:bidi="hi-IN"/>
        </w:rPr>
        <w:fldChar w:fldCharType="separate"/>
      </w:r>
      <w:r w:rsidR="00C96FC9">
        <w:t xml:space="preserve">Figure </w:t>
      </w:r>
      <w:r w:rsidR="00C96FC9">
        <w:rPr>
          <w:noProof/>
        </w:rPr>
        <w:t>S8</w:t>
      </w:r>
      <w:r w:rsidR="00C96FC9">
        <w:rPr>
          <w:rFonts w:eastAsiaTheme="minorEastAsia"/>
          <w:lang w:bidi="hi-IN"/>
        </w:rPr>
        <w:fldChar w:fldCharType="end"/>
      </w:r>
      <w:r w:rsidR="00C96FC9">
        <w:rPr>
          <w:rFonts w:eastAsiaTheme="minorEastAsia"/>
          <w:lang w:bidi="hi-IN"/>
        </w:rPr>
        <w:t xml:space="preserve">). </w:t>
      </w:r>
    </w:p>
    <w:p w:rsidR="00DB72B7" w:rsidRDefault="00B82D73" w:rsidP="00477861">
      <w:r>
        <w:rPr>
          <w:rFonts w:eastAsiaTheme="minorEastAsia"/>
          <w:lang w:bidi="hi-IN"/>
        </w:rPr>
        <w:t xml:space="preserve">These approximations, and therefore these results, all depend on the constraints above, of which the most important is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43685D">
        <w:rPr>
          <w:rFonts w:eastAsiaTheme="minorEastAsia"/>
          <w:lang w:bidi="hi-IN"/>
        </w:rPr>
        <w:t>these constraints</w:t>
      </w:r>
      <w:r w:rsidR="00701833">
        <w:rPr>
          <w:rFonts w:eastAsiaTheme="minorEastAsia"/>
          <w:lang w:bidi="hi-IN"/>
        </w:rPr>
        <w:t xml:space="preserve"> are met, the approximations agree with the results of our stochastic simulations (</w:t>
      </w:r>
      <w:r w:rsidR="0043685D">
        <w:rPr>
          <w:rFonts w:eastAsiaTheme="minorEastAsia"/>
          <w:lang w:bidi="hi-IN"/>
        </w:rPr>
        <w:fldChar w:fldCharType="begin"/>
      </w:r>
      <w:r w:rsidR="0043685D">
        <w:rPr>
          <w:rFonts w:eastAsiaTheme="minorEastAsia"/>
          <w:lang w:bidi="hi-IN"/>
        </w:rPr>
        <w:instrText xml:space="preserve"> REF _Ref360183807 \h </w:instrText>
      </w:r>
      <w:r w:rsidR="0043685D">
        <w:rPr>
          <w:rFonts w:eastAsiaTheme="minorEastAsia"/>
          <w:lang w:bidi="hi-IN"/>
        </w:rPr>
      </w:r>
      <w:r w:rsidR="0043685D">
        <w:rPr>
          <w:rFonts w:eastAsiaTheme="minorEastAsia"/>
          <w:lang w:bidi="hi-IN"/>
        </w:rPr>
        <w:fldChar w:fldCharType="separate"/>
      </w:r>
      <w:r w:rsidR="00477861">
        <w:t xml:space="preserve">Figures </w:t>
      </w:r>
      <w:r w:rsidR="00477861">
        <w:rPr>
          <w:noProof/>
        </w:rPr>
        <w:t>S5</w:t>
      </w:r>
      <w:r w:rsidR="0043685D">
        <w:rPr>
          <w:rFonts w:eastAsiaTheme="minorEastAsia"/>
          <w:lang w:bidi="hi-IN"/>
        </w:rPr>
        <w:fldChar w:fldCharType="end"/>
      </w:r>
      <w:r w:rsidR="0043685D">
        <w:rPr>
          <w:rFonts w:eastAsiaTheme="minorEastAsia"/>
          <w:lang w:bidi="hi-IN"/>
        </w:rPr>
        <w:t>-</w:t>
      </w:r>
      <w:r w:rsidR="00477861">
        <w:rPr>
          <w:rFonts w:eastAsiaTheme="minorEastAsia"/>
          <w:lang w:bidi="hi-IN"/>
        </w:rPr>
        <w:t>S</w:t>
      </w:r>
      <w:r w:rsidR="00477861">
        <w:rPr>
          <w:rFonts w:eastAsiaTheme="minorEastAsia"/>
          <w:lang w:bidi="hi-IN"/>
        </w:rPr>
        <w:fldChar w:fldCharType="begin"/>
      </w:r>
      <w:r w:rsidR="00477861">
        <w:rPr>
          <w:rFonts w:eastAsiaTheme="minorEastAsia"/>
          <w:lang w:bidi="hi-IN"/>
        </w:rPr>
        <w:instrText xml:space="preserve"> REF _Ref360183903 \h </w:instrText>
      </w:r>
      <w:r w:rsidR="00477861">
        <w:rPr>
          <w:rFonts w:eastAsiaTheme="minorEastAsia"/>
          <w:lang w:bidi="hi-IN"/>
        </w:rPr>
      </w:r>
      <w:r w:rsidR="00477861">
        <w:rPr>
          <w:rFonts w:eastAsiaTheme="minorEastAsia"/>
          <w:lang w:bidi="hi-IN"/>
        </w:rPr>
        <w:fldChar w:fldCharType="separate"/>
      </w:r>
      <w:r w:rsidR="00477861">
        <w:rPr>
          <w:noProof/>
        </w:rPr>
        <w:t>7</w:t>
      </w:r>
      <w:r w:rsidR="00477861">
        <w:rPr>
          <w:rFonts w:eastAsiaTheme="minorEastAsia"/>
          <w:lang w:bidi="hi-IN"/>
        </w:rPr>
        <w:fldChar w:fldCharType="end"/>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can be anything between 1 and 1,000</w:t>
      </w:r>
      <w:r w:rsidR="000E60A3">
        <w:t xml:space="preserve">. More </w:t>
      </w:r>
      <w:r w:rsidR="000A40AD">
        <w:t>generally, we can expect that if</w:t>
      </w:r>
      <w:r w:rsidR="000E60A3">
        <w:t xml:space="preserve"> selection is strong and mutation rates are low, then CM and SIM wi</w:t>
      </w:r>
      <w:r w:rsidR="000A40AD">
        <w:t>ll have a big advantage over NM. Between them, CM and SIM can both be more successful, depending on the scenario.</w:t>
      </w:r>
      <w:r w:rsidR="000E60A3">
        <w:t xml:space="preserve"> </w:t>
      </w:r>
    </w:p>
    <w:p w:rsidR="00C11B88" w:rsidRDefault="00E83AB1" w:rsidP="00C87978">
      <w:pPr>
        <w:keepNext/>
        <w:jc w:val="center"/>
      </w:pPr>
      <w:r>
        <w:rPr>
          <w:noProof/>
        </w:rPr>
        <w:lastRenderedPageBreak/>
        <w:drawing>
          <wp:inline distT="0" distB="0" distL="0" distR="0">
            <wp:extent cx="5274945" cy="4224020"/>
            <wp:effectExtent l="0" t="0" r="1905" b="5080"/>
            <wp:docPr id="13" name="Picture 13" descr="D:\workspace\ruggedsim\manuscript\adaptation_with_inset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adaptation_with_inset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F804BA" w:rsidRPr="00E4303E" w:rsidRDefault="00C11B88" w:rsidP="00E83AB1">
      <w:pPr>
        <w:pStyle w:val="FigureLegend"/>
      </w:pPr>
      <w:bookmarkStart w:id="18"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8"/>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The inset shows the same results with log scale on both axes. </w:t>
      </w:r>
      <w:bookmarkStart w:id="19" w:name="_GoBack"/>
      <w:bookmarkEnd w:id="19"/>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p>
    <w:p w:rsidR="00AC687F" w:rsidRDefault="00AC687F" w:rsidP="00AC687F">
      <w:pPr>
        <w:pStyle w:val="Heading2"/>
      </w:pPr>
      <w:r>
        <w:t>Adaptability and adaptedness</w:t>
      </w:r>
    </w:p>
    <w:p w:rsidR="00AC687F" w:rsidRPr="00B85CA4" w:rsidRDefault="00305197" w:rsidP="0082586B">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B85CA4" w:rsidRPr="00D6393B">
        <w:t>=2</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D6393B" w:rsidRPr="00D6393B">
        <w:t>7</w:t>
      </w:r>
      <w:r w:rsidR="00135B27">
        <w:t xml:space="preserve"> in which all individuals increase their mutation rate 2-fold and stressed individuals further</w:t>
      </w:r>
      <w:r w:rsidR="00D6393B">
        <w:t xml:space="preserve"> increase their mutation rate 7</w:t>
      </w:r>
      <w:r w:rsidR="00135B27">
        <w:t>-fold</w:t>
      </w:r>
      <w:r w:rsidR="00B85CA4">
        <w:t xml:space="preserve">. </w:t>
      </w:r>
      <w:r w:rsidR="0082586B">
        <w:t>However, this increase in adaptation rate can have a price: t</w:t>
      </w:r>
      <w:r w:rsidR="00B85CA4">
        <w:t xml:space="preserve">he mutational burden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0.9992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F84E5B" w:rsidP="009040D1">
      <w:pPr>
        <w:keepNext/>
      </w:pPr>
      <w:r>
        <w:rPr>
          <w:noProof/>
        </w:rPr>
        <w:drawing>
          <wp:inline distT="0" distB="0" distL="0" distR="0">
            <wp:extent cx="5274945" cy="4224020"/>
            <wp:effectExtent l="0" t="0" r="1905" b="5080"/>
            <wp:docPr id="9" name="Picture 9"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9040D1" w:rsidRDefault="009040D1" w:rsidP="00514DED">
      <w:pPr>
        <w:pStyle w:val="FigureLegend"/>
        <w:rPr>
          <w:lang w:bidi="hi-IN"/>
        </w:rPr>
      </w:pPr>
      <w:bookmarkStart w:id="20"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20"/>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w:t>
      </w:r>
      <w:r w:rsidR="00514DED">
        <w:rPr>
          <w:noProof/>
        </w:rPr>
        <w:t>by</w:t>
      </w:r>
      <w:r>
        <w:rPr>
          <w:noProof/>
        </w:rPr>
        <w:t xml:space="preserve">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514DED">
        <w:rPr>
          <w:lang w:bidi="hi-IN"/>
        </w:rPr>
        <w:t xml:space="preserve"> increases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This figure shows SIM-I as SIM-II preforms even better.</w:t>
      </w:r>
      <w:r w:rsidR="006D14E9">
        <w:rPr>
          <w:lang w:bidi="hi-IN"/>
        </w:rPr>
        <w:t xml:space="preserve"> 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F84E5B" w:rsidRDefault="00F84E5B" w:rsidP="00F84E5B">
      <w:pPr>
        <w:pStyle w:val="FigureLegend"/>
        <w:rPr>
          <w:lang w:bidi="hi-IN"/>
        </w:rPr>
      </w:pPr>
      <w:r w:rsidRPr="00F84E5B">
        <w:rPr>
          <w:highlight w:val="yellow"/>
          <w:lang w:bidi="hi-IN"/>
        </w:rPr>
        <w:t>PLEASE SEE X AND Y LABELS</w:t>
      </w:r>
      <w:r>
        <w:rPr>
          <w:lang w:bidi="hi-IN"/>
        </w:rPr>
        <w:t>. Other option is "Fold-change in mean fitness/adaptation rate"</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ED08B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w:t>
      </w:r>
      <w:r>
        <w:rPr>
          <w:lang w:bidi="hi-IN"/>
        </w:rPr>
        <w:lastRenderedPageBreak/>
        <w:t xml:space="preserve">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Pr>
          <w:lang w:bidi="hi-IN"/>
        </w:rPr>
        <w:fldChar w:fldCharType="begin" w:fldLock="1"/>
      </w:r>
      <w:r w:rsidR="00ED08B5">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Pr>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ED08B5">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ED08B5">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ED08B5">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ED08B5">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ED08B5">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ED08B5">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ED08B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ED08B5">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ED08B5">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ED08B5">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ED08B5">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446BDA">
      <w:r>
        <w:rPr>
          <w:lang w:bidi="hi-IN"/>
        </w:rPr>
        <w:t xml:space="preserve">Stress-induced mutagenesis has been implicated as a driver of adaptive evolution for several decades </w:t>
      </w:r>
      <w:r>
        <w:rPr>
          <w:lang w:bidi="hi-IN"/>
        </w:rPr>
        <w:fldChar w:fldCharType="begin" w:fldLock="1"/>
      </w:r>
      <w:r w:rsidR="00ED08B5">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xml:space="preserve">. We provide theoretical treatment of this concept. </w:t>
      </w:r>
      <w:r>
        <w:rPr>
          <w:lang w:bidi="hi-IN"/>
        </w:rPr>
        <w:lastRenderedPageBreak/>
        <w:t>We show that stress-</w:t>
      </w:r>
      <w:r w:rsidR="00FB30D0">
        <w:rPr>
          <w:lang w:bidi="hi-IN"/>
        </w:rPr>
        <w:t>induced</w:t>
      </w:r>
      <w:r>
        <w:rPr>
          <w:lang w:bidi="hi-IN"/>
        </w:rPr>
        <w:t xml:space="preserve"> mutagenesis indeed increases the rate of adaptation</w:t>
      </w:r>
      <w:r w:rsidR="00446BDA">
        <w:rPr>
          <w:lang w:bidi="hi-IN"/>
        </w:rPr>
        <w:t xml:space="preserve"> and </w:t>
      </w:r>
      <w:r w:rsidR="00FB30D0">
        <w:rPr>
          <w:lang w:bidi="hi-IN"/>
        </w:rPr>
        <w:t xml:space="preserve">that in contrast to constitutive </w:t>
      </w:r>
      <w:proofErr w:type="gramStart"/>
      <w:r w:rsidR="00FB30D0">
        <w:rPr>
          <w:lang w:bidi="hi-IN"/>
        </w:rPr>
        <w:t>mutagenesis</w:t>
      </w:r>
      <w:r w:rsidR="00446BDA">
        <w:rPr>
          <w:lang w:bidi="hi-IN"/>
        </w:rPr>
        <w:t>,</w:t>
      </w:r>
      <w:proofErr w:type="gramEnd"/>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701833" w:rsidRPr="00F650EA" w:rsidRDefault="00701833" w:rsidP="00701833">
      <w:pPr>
        <w:pStyle w:val="Heading1"/>
      </w:pPr>
      <w:r>
        <w:lastRenderedPageBreak/>
        <w:t>Supporting Figures</w:t>
      </w:r>
    </w:p>
    <w:p w:rsidR="00701833" w:rsidRDefault="00C96FC9" w:rsidP="00C87978">
      <w:pPr>
        <w:keepNext/>
        <w:jc w:val="center"/>
      </w:pPr>
      <w:r>
        <w:rPr>
          <w:noProof/>
        </w:rPr>
        <w:lastRenderedPageBreak/>
        <w:softHyphen/>
      </w:r>
      <w:r w:rsidR="00C87978">
        <w:rPr>
          <w:noProof/>
        </w:rPr>
        <w:drawing>
          <wp:inline distT="0" distB="0" distL="0" distR="0" wp14:anchorId="6893C7F7" wp14:editId="086B2DBE">
            <wp:extent cx="4425315" cy="8850630"/>
            <wp:effectExtent l="0" t="0" r="0" b="7620"/>
            <wp:docPr id="4" name="Picture 4" descr="D:\workspace\ruggedsim\manuscript\results_s_0.05_logN_6.pi.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esults_s_0.05_logN_6.pi.10.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701833" w:rsidRDefault="00701833" w:rsidP="0043685D">
      <w:pPr>
        <w:pStyle w:val="FigureLegend"/>
      </w:pPr>
      <w:bookmarkStart w:id="21" w:name="_Ref360183807"/>
      <w:r>
        <w:lastRenderedPageBreak/>
        <w:t xml:space="preserve">Figure </w:t>
      </w:r>
      <w:fldSimple w:instr=" SEQ Figure \* ARABIC ">
        <w:r w:rsidR="00C96FC9">
          <w:rPr>
            <w:noProof/>
          </w:rPr>
          <w:t>5</w:t>
        </w:r>
      </w:fldSimple>
      <w:bookmarkEnd w:id="21"/>
    </w:p>
    <w:p w:rsidR="0043685D" w:rsidRDefault="00C87978" w:rsidP="00C87978">
      <w:pPr>
        <w:jc w:val="center"/>
        <w:rPr>
          <w:lang w:bidi="hi-IN"/>
        </w:rPr>
      </w:pPr>
      <w:r>
        <w:rPr>
          <w:noProof/>
        </w:rPr>
        <w:lastRenderedPageBreak/>
        <w:drawing>
          <wp:inline distT="0" distB="0" distL="0" distR="0" wp14:anchorId="12C691CA" wp14:editId="66D3BBF6">
            <wp:extent cx="4425315" cy="8850630"/>
            <wp:effectExtent l="0" t="0" r="0" b="7620"/>
            <wp:docPr id="6" name="Picture 6" descr="D:\workspace\ruggedsim\manuscript\results_s_0.05_logN_6.pi.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esults_s_0.05_logN_6.pi.1.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r>
        <w:lastRenderedPageBreak/>
        <w:t xml:space="preserve">Figure </w:t>
      </w:r>
      <w:fldSimple w:instr=" SEQ Figure \* ARABIC ">
        <w:r w:rsidR="00C96FC9">
          <w:rPr>
            <w:noProof/>
          </w:rPr>
          <w:t>6</w:t>
        </w:r>
      </w:fldSimple>
    </w:p>
    <w:p w:rsidR="00B37F95" w:rsidRDefault="00C87978" w:rsidP="00C87978">
      <w:pPr>
        <w:jc w:val="center"/>
        <w:rPr>
          <w:lang w:bidi="hi-IN"/>
        </w:rPr>
      </w:pPr>
      <w:r>
        <w:rPr>
          <w:noProof/>
        </w:rPr>
        <w:lastRenderedPageBreak/>
        <w:drawing>
          <wp:inline distT="0" distB="0" distL="0" distR="0" wp14:anchorId="63DEB471" wp14:editId="71BD385A">
            <wp:extent cx="4425315" cy="8850630"/>
            <wp:effectExtent l="0" t="0" r="0" b="7620"/>
            <wp:docPr id="10" name="Picture 10" descr="D:\workspace\ruggedsim\manuscript\results_s_0.05_logN_6.pi.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esults_s_0.05_logN_6.pi.1.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315" cy="8850630"/>
                    </a:xfrm>
                    <a:prstGeom prst="rect">
                      <a:avLst/>
                    </a:prstGeom>
                    <a:noFill/>
                    <a:ln>
                      <a:noFill/>
                    </a:ln>
                  </pic:spPr>
                </pic:pic>
              </a:graphicData>
            </a:graphic>
          </wp:inline>
        </w:drawing>
      </w:r>
    </w:p>
    <w:p w:rsidR="0043685D" w:rsidRDefault="0043685D" w:rsidP="0043685D">
      <w:pPr>
        <w:pStyle w:val="FigureLegend"/>
      </w:pPr>
      <w:bookmarkStart w:id="22" w:name="_Ref360183903"/>
      <w:r>
        <w:lastRenderedPageBreak/>
        <w:t xml:space="preserve">Figure </w:t>
      </w:r>
      <w:fldSimple w:instr=" SEQ Figure \* ARABIC ">
        <w:r w:rsidR="00C96FC9">
          <w:rPr>
            <w:noProof/>
          </w:rPr>
          <w:t>7</w:t>
        </w:r>
      </w:fldSimple>
      <w:bookmarkEnd w:id="22"/>
    </w:p>
    <w:p w:rsidR="00C96FC9" w:rsidRDefault="00C96FC9" w:rsidP="00C96FC9">
      <w:pPr>
        <w:pStyle w:val="FigureLegend"/>
        <w:keepNext/>
      </w:pPr>
      <w:r>
        <w:rPr>
          <w:noProof/>
        </w:rPr>
        <w:lastRenderedPageBreak/>
        <w:drawing>
          <wp:inline distT="0" distB="0" distL="0" distR="0" wp14:anchorId="0327C4B8" wp14:editId="27B2693D">
            <wp:extent cx="4425950" cy="8858885"/>
            <wp:effectExtent l="0" t="0" r="0" b="0"/>
            <wp:docPr id="11" name="Picture 1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fixation_regression_s_0.05_logN_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5950" cy="8858885"/>
                    </a:xfrm>
                    <a:prstGeom prst="rect">
                      <a:avLst/>
                    </a:prstGeom>
                    <a:noFill/>
                    <a:ln>
                      <a:noFill/>
                    </a:ln>
                  </pic:spPr>
                </pic:pic>
              </a:graphicData>
            </a:graphic>
          </wp:inline>
        </w:drawing>
      </w:r>
    </w:p>
    <w:p w:rsidR="00C96FC9" w:rsidRDefault="00C96FC9" w:rsidP="00C96FC9">
      <w:pPr>
        <w:pStyle w:val="FigureLegend"/>
      </w:pPr>
      <w:bookmarkStart w:id="23" w:name="_Ref360366778"/>
      <w:r>
        <w:lastRenderedPageBreak/>
        <w:t xml:space="preserve">Figure </w:t>
      </w:r>
      <w:fldSimple w:instr=" SEQ Figure \* ARABIC ">
        <w:r>
          <w:rPr>
            <w:noProof/>
          </w:rPr>
          <w:t>8</w:t>
        </w:r>
      </w:fldSimple>
      <w:bookmarkEnd w:id="23"/>
    </w:p>
    <w:sectPr w:rsidR="00C96FC9" w:rsidSect="00753267">
      <w:footerReference w:type="default" r:id="rId18"/>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5A3B" w:rsidRDefault="006C5A3B" w:rsidP="009A122D">
      <w:pPr>
        <w:spacing w:after="0" w:line="240" w:lineRule="auto"/>
      </w:pPr>
      <w:r>
        <w:separator/>
      </w:r>
    </w:p>
  </w:endnote>
  <w:endnote w:type="continuationSeparator" w:id="0">
    <w:p w:rsidR="006C5A3B" w:rsidRDefault="006C5A3B"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95B0EC19-9F4F-4193-8F10-377203401852}"/>
    <w:embedBold r:id="rId2" w:fontKey="{19FFDCA3-6633-4D3D-A926-B14835894821}"/>
    <w:embedItalic r:id="rId3" w:fontKey="{16DDE320-62FC-4F53-A7DD-2401231CB8B6}"/>
    <w:embedBoldItalic r:id="rId4" w:fontKey="{D0357DA7-C23A-48A1-9767-DA4CD3D04868}"/>
  </w:font>
  <w:font w:name="Tahoma">
    <w:panose1 w:val="020B0604030504040204"/>
    <w:charset w:val="00"/>
    <w:family w:val="swiss"/>
    <w:pitch w:val="variable"/>
    <w:sig w:usb0="E1002EFF" w:usb1="C000605B" w:usb2="00000029" w:usb3="00000000" w:csb0="000101FF" w:csb1="00000000"/>
    <w:embedRegular r:id="rId5" w:fontKey="{785730F7-FCD2-4DC2-B1E6-62B75AFDFA51}"/>
  </w:font>
  <w:font w:name="cmr10">
    <w:panose1 w:val="020B0500000000000000"/>
    <w:charset w:val="00"/>
    <w:family w:val="swiss"/>
    <w:pitch w:val="variable"/>
    <w:sig w:usb0="00000003" w:usb1="00000000" w:usb2="00000000" w:usb3="00000000" w:csb0="00000001" w:csb1="00000000"/>
    <w:embedRegular r:id="rId6" w:fontKey="{02E93D1F-FE56-4AD1-B4DD-8993989A901D}"/>
  </w:font>
  <w:font w:name="Cambria Math">
    <w:panose1 w:val="02040503050406030204"/>
    <w:charset w:val="00"/>
    <w:family w:val="roman"/>
    <w:pitch w:val="variable"/>
    <w:sig w:usb0="E00002FF" w:usb1="420024FF" w:usb2="00000000" w:usb3="00000000" w:csb0="0000019F" w:csb1="00000000"/>
    <w:embedRegular r:id="rId7" w:fontKey="{CCCB981A-9324-4049-B214-C051AE443971}"/>
    <w:embedItalic r:id="rId8" w:fontKey="{63A9010B-C21A-4233-A554-E73FD208FC57}"/>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816EE" w:rsidRDefault="005816EE">
        <w:pPr>
          <w:pStyle w:val="Footer"/>
          <w:jc w:val="center"/>
        </w:pPr>
        <w:r>
          <w:fldChar w:fldCharType="begin"/>
        </w:r>
        <w:r>
          <w:instrText xml:space="preserve"> PAGE   \* MERGEFORMAT </w:instrText>
        </w:r>
        <w:r>
          <w:fldChar w:fldCharType="separate"/>
        </w:r>
        <w:r w:rsidR="00E83AB1">
          <w:rPr>
            <w:noProof/>
          </w:rPr>
          <w:t>12</w:t>
        </w:r>
        <w:r>
          <w:rPr>
            <w:noProof/>
          </w:rPr>
          <w:fldChar w:fldCharType="end"/>
        </w:r>
      </w:p>
    </w:sdtContent>
  </w:sdt>
  <w:p w:rsidR="005816EE" w:rsidRDefault="005816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5A3B" w:rsidRDefault="006C5A3B" w:rsidP="009A122D">
      <w:pPr>
        <w:spacing w:after="0" w:line="240" w:lineRule="auto"/>
      </w:pPr>
      <w:r>
        <w:separator/>
      </w:r>
    </w:p>
  </w:footnote>
  <w:footnote w:type="continuationSeparator" w:id="0">
    <w:p w:rsidR="006C5A3B" w:rsidRDefault="006C5A3B"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450D"/>
    <w:rsid w:val="00004B35"/>
    <w:rsid w:val="000056D9"/>
    <w:rsid w:val="00010EC0"/>
    <w:rsid w:val="000265F8"/>
    <w:rsid w:val="00030BE1"/>
    <w:rsid w:val="000339C3"/>
    <w:rsid w:val="00042C46"/>
    <w:rsid w:val="000545AB"/>
    <w:rsid w:val="00072913"/>
    <w:rsid w:val="0007409B"/>
    <w:rsid w:val="0008670D"/>
    <w:rsid w:val="000A40AD"/>
    <w:rsid w:val="000C6518"/>
    <w:rsid w:val="000D56CE"/>
    <w:rsid w:val="000E60A3"/>
    <w:rsid w:val="00101FCD"/>
    <w:rsid w:val="001033CA"/>
    <w:rsid w:val="00125157"/>
    <w:rsid w:val="001307C7"/>
    <w:rsid w:val="00132ABF"/>
    <w:rsid w:val="00135B27"/>
    <w:rsid w:val="001910E3"/>
    <w:rsid w:val="001C455A"/>
    <w:rsid w:val="001F51E7"/>
    <w:rsid w:val="001F5496"/>
    <w:rsid w:val="002135AE"/>
    <w:rsid w:val="0021470E"/>
    <w:rsid w:val="00245A8B"/>
    <w:rsid w:val="002630C5"/>
    <w:rsid w:val="00275A3C"/>
    <w:rsid w:val="002B1207"/>
    <w:rsid w:val="002D7506"/>
    <w:rsid w:val="00305197"/>
    <w:rsid w:val="003247B3"/>
    <w:rsid w:val="00354774"/>
    <w:rsid w:val="00373875"/>
    <w:rsid w:val="003A1D28"/>
    <w:rsid w:val="003D42F5"/>
    <w:rsid w:val="003D4900"/>
    <w:rsid w:val="003F5091"/>
    <w:rsid w:val="00401E4A"/>
    <w:rsid w:val="00412A85"/>
    <w:rsid w:val="0043685D"/>
    <w:rsid w:val="00446BDA"/>
    <w:rsid w:val="0046652F"/>
    <w:rsid w:val="00477861"/>
    <w:rsid w:val="004A2989"/>
    <w:rsid w:val="004B1858"/>
    <w:rsid w:val="004F4440"/>
    <w:rsid w:val="00514DED"/>
    <w:rsid w:val="005202A0"/>
    <w:rsid w:val="00544FA2"/>
    <w:rsid w:val="005467DB"/>
    <w:rsid w:val="005515F1"/>
    <w:rsid w:val="00563FAB"/>
    <w:rsid w:val="00564668"/>
    <w:rsid w:val="005816EE"/>
    <w:rsid w:val="005A2F68"/>
    <w:rsid w:val="005E3A59"/>
    <w:rsid w:val="005F1227"/>
    <w:rsid w:val="005F620D"/>
    <w:rsid w:val="00607B56"/>
    <w:rsid w:val="00625517"/>
    <w:rsid w:val="006C02DB"/>
    <w:rsid w:val="006C5A3B"/>
    <w:rsid w:val="006D14E9"/>
    <w:rsid w:val="00701833"/>
    <w:rsid w:val="007058D2"/>
    <w:rsid w:val="00733446"/>
    <w:rsid w:val="00753267"/>
    <w:rsid w:val="007A2944"/>
    <w:rsid w:val="007E25F3"/>
    <w:rsid w:val="007E6659"/>
    <w:rsid w:val="0082586B"/>
    <w:rsid w:val="00890BB3"/>
    <w:rsid w:val="008A5282"/>
    <w:rsid w:val="009040D1"/>
    <w:rsid w:val="00925154"/>
    <w:rsid w:val="00932C9B"/>
    <w:rsid w:val="00946BF8"/>
    <w:rsid w:val="00961209"/>
    <w:rsid w:val="00961EB6"/>
    <w:rsid w:val="00992FC4"/>
    <w:rsid w:val="009A122D"/>
    <w:rsid w:val="00A03104"/>
    <w:rsid w:val="00A307DC"/>
    <w:rsid w:val="00A70358"/>
    <w:rsid w:val="00A725E6"/>
    <w:rsid w:val="00A9277F"/>
    <w:rsid w:val="00AB0448"/>
    <w:rsid w:val="00AC498F"/>
    <w:rsid w:val="00AC687F"/>
    <w:rsid w:val="00AD2B33"/>
    <w:rsid w:val="00B10C13"/>
    <w:rsid w:val="00B37F95"/>
    <w:rsid w:val="00B43DD1"/>
    <w:rsid w:val="00B5286A"/>
    <w:rsid w:val="00B66998"/>
    <w:rsid w:val="00B72912"/>
    <w:rsid w:val="00B82D73"/>
    <w:rsid w:val="00B85CA4"/>
    <w:rsid w:val="00B86C28"/>
    <w:rsid w:val="00B96911"/>
    <w:rsid w:val="00BA6231"/>
    <w:rsid w:val="00BF2DDC"/>
    <w:rsid w:val="00C11B88"/>
    <w:rsid w:val="00C2360B"/>
    <w:rsid w:val="00C555BC"/>
    <w:rsid w:val="00C87978"/>
    <w:rsid w:val="00C96FC9"/>
    <w:rsid w:val="00CB2F61"/>
    <w:rsid w:val="00CE78D0"/>
    <w:rsid w:val="00D3522A"/>
    <w:rsid w:val="00D40F2C"/>
    <w:rsid w:val="00D6393B"/>
    <w:rsid w:val="00D66493"/>
    <w:rsid w:val="00D72D8D"/>
    <w:rsid w:val="00D82F82"/>
    <w:rsid w:val="00DB72B7"/>
    <w:rsid w:val="00DE1C4B"/>
    <w:rsid w:val="00DF6C0E"/>
    <w:rsid w:val="00E4303E"/>
    <w:rsid w:val="00E466DE"/>
    <w:rsid w:val="00E5128F"/>
    <w:rsid w:val="00E7243B"/>
    <w:rsid w:val="00E83AB1"/>
    <w:rsid w:val="00EA4F71"/>
    <w:rsid w:val="00EB3214"/>
    <w:rsid w:val="00EB5020"/>
    <w:rsid w:val="00EB6923"/>
    <w:rsid w:val="00ED08B5"/>
    <w:rsid w:val="00EE3CB4"/>
    <w:rsid w:val="00EF3BEC"/>
    <w:rsid w:val="00F00D32"/>
    <w:rsid w:val="00F27D77"/>
    <w:rsid w:val="00F35F7B"/>
    <w:rsid w:val="00F37542"/>
    <w:rsid w:val="00F619A9"/>
    <w:rsid w:val="00F804BA"/>
    <w:rsid w:val="00F83F2E"/>
    <w:rsid w:val="00F84E5B"/>
    <w:rsid w:val="00F8789F"/>
    <w:rsid w:val="00FB30D0"/>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8B49DB-557D-40F7-91CA-311ECF15D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5771</TotalTime>
  <Pages>24</Pages>
  <Words>24561</Words>
  <Characters>122805</Characters>
  <Application>Microsoft Office Word</Application>
  <DocSecurity>0</DocSecurity>
  <Lines>1023</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85</cp:revision>
  <dcterms:created xsi:type="dcterms:W3CDTF">2013-06-18T10:07:00Z</dcterms:created>
  <dcterms:modified xsi:type="dcterms:W3CDTF">2013-07-02T07:38:00Z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