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3D306F">
        <w:rPr>
          <w:noProof/>
          <w:lang w:bidi="hi-IN"/>
        </w:rPr>
        <w:t>September 29,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F634C">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EF634C">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EF634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EF634C">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EF634C">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EF634C">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EF634C">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EF634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EF634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5D7A01">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AC2BE1">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EF634C">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AC2BE1">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w:t>
      </w:r>
      <w:r w:rsidR="0002786D">
        <w:lastRenderedPageBreak/>
        <w:t>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AC2BE1">
      <w:pPr>
        <w:spacing w:after="0" w:line="312"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C2BE1">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D306F"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AC2BE1">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AC2BE1">
        <w:t>)</w:t>
      </w:r>
      <w:r>
        <w:t>.</w:t>
      </w:r>
    </w:p>
    <w:p w:rsidR="002D7506" w:rsidRDefault="002D7506" w:rsidP="00072D95">
      <w:pPr>
        <w:pStyle w:val="Heading2"/>
      </w:pPr>
      <w:bookmarkStart w:id="3" w:name="_Ref354319797"/>
      <w:r>
        <w:t xml:space="preserve">Fixation probability with stress-induced </w:t>
      </w:r>
      <w:bookmarkEnd w:id="3"/>
      <w:r w:rsidR="003F5091">
        <w:t>mutagenesis</w:t>
      </w:r>
    </w:p>
    <w:p w:rsidR="005447DA" w:rsidRPr="005447DA" w:rsidRDefault="002D7506" w:rsidP="008967F9">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8967F9">
      <w:pPr>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F634C">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EF634C" w:rsidRPr="00EF634C">
        <w:rPr>
          <w:noProof/>
          <w:lang w:bidi="hi-IN"/>
        </w:rPr>
        <w:t>(Fisher 1930 p. 76)</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4"/>
    </w:p>
    <w:p w:rsidR="00B82D73" w:rsidRPr="00D516F5" w:rsidRDefault="00B82D73" w:rsidP="008967F9">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8967F9">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8967F9">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6911A5">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F634C">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D747B0">
      <w:pPr>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356B7">
      <w:pPr>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3D306F"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3D306F"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3D306F">
              <w:fldChar w:fldCharType="begin"/>
            </w:r>
            <w:r w:rsidR="003D306F">
              <w:instrText xml:space="preserve"> SEQ Equation </w:instrText>
            </w:r>
            <w:r w:rsidR="003D306F">
              <w:fldChar w:fldCharType="separate"/>
            </w:r>
            <w:r w:rsidR="00CA58CA">
              <w:rPr>
                <w:noProof/>
              </w:rPr>
              <w:t>6</w:t>
            </w:r>
            <w:r w:rsidR="003D306F">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3D306F"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F356B7">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w:t>
      </w:r>
      <w:r w:rsidR="00FC507C">
        <w:rPr>
          <w:rFonts w:eastAsiaTheme="minorEastAsia"/>
          <w:lang w:bidi="hi-IN"/>
        </w:rPr>
        <w:lastRenderedPageBreak/>
        <w:t>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F356B7">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F634C">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CE72C5">
      <w:pPr>
        <w:rPr>
          <w:lang w:bidi="hi-IN"/>
        </w:rPr>
      </w:pPr>
      <w:r>
        <w:rPr>
          <w:lang w:bidi="hi-IN"/>
        </w:rPr>
        <w:t xml:space="preserve">We </w:t>
      </w:r>
      <w:r w:rsidR="00CE72C5">
        <w:rPr>
          <w:lang w:bidi="hi-IN"/>
        </w:rPr>
        <w:t>extended</w:t>
      </w:r>
      <w:r>
        <w:rPr>
          <w:lang w:bidi="hi-IN"/>
        </w:rPr>
        <w:t xml:space="preserve"> a previous model </w:t>
      </w:r>
      <w:r>
        <w:rPr>
          <w:lang w:bidi="hi-IN"/>
        </w:rPr>
        <w:fldChar w:fldCharType="begin" w:fldLock="1"/>
      </w:r>
      <w:r w:rsidR="00EF634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w:t>
      </w:r>
      <w:r w:rsidR="00CE72C5">
        <w:rPr>
          <w:lang w:bidi="hi-IN"/>
        </w:rPr>
        <w:t>mutation-selection balance</w:t>
      </w:r>
      <w:r>
        <w:rPr>
          <w:lang w:bidi="hi-IN"/>
        </w:rPr>
        <w:t xml:space="preserve">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 MERGEFORMAT </w:instrText>
      </w:r>
      <w:r w:rsidR="00C32D39" w:rsidRPr="00C32D39">
        <w:rPr>
          <w:highlight w:val="yellow"/>
          <w:lang w:bidi="hi-IN"/>
        </w:rPr>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 MERGEFORMAT </w:instrText>
      </w:r>
      <w:r w:rsidR="00A40A47" w:rsidRPr="00C32D39">
        <w:rPr>
          <w:highlight w:val="yellow"/>
          <w:lang w:bidi="hi-IN"/>
        </w:rPr>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r>
        <w:rPr>
          <w:lang w:bidi="hi-IN"/>
        </w:rPr>
        <w:t>) and used the model presented above to calculate adaptation rates.</w:t>
      </w:r>
    </w:p>
    <w:p w:rsidR="00AC687F" w:rsidRPr="00B7610D" w:rsidRDefault="00072D95" w:rsidP="00CE72C5">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042973">
      <w:pPr>
        <w:pStyle w:val="Heading2"/>
      </w:pPr>
      <w:r w:rsidRPr="00CE72C5">
        <w:lastRenderedPageBreak/>
        <w:t>Effect of environmental stress</w:t>
      </w:r>
    </w:p>
    <w:p w:rsidR="00042973" w:rsidRDefault="00FA72C5" w:rsidP="00CE72C5">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EF634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3D306F"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CE72C5">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3D306F"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95303A">
      <w:pPr>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C023C7">
      <w:pPr>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F634C">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C023C7">
      <w:pPr>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w:t>
      </w:r>
      <w:r w:rsidR="00514DED">
        <w:rPr>
          <w:lang w:bidi="hi-IN"/>
        </w:rPr>
        <w:lastRenderedPageBreak/>
        <w:t>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C023C7">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F634C">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F634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52063A" w:rsidRPr="0052063A">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F634C">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F634C">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F634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CA3636">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EF634C">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EF634C">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F634C">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F634C">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EF634C">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4F5395">
      <w:r>
        <w:t xml:space="preserve">Our results provide </w:t>
      </w:r>
      <w:r w:rsidR="00DF6C0E">
        <w:t xml:space="preserve">theoretical basis to the conjecture that SIM facilitates adaptation. </w:t>
      </w:r>
      <w:r>
        <w:rPr>
          <w:highlight w:val="yellow"/>
        </w:rPr>
        <w:t xml:space="preserve">This conjecture can be tested experimentally </w:t>
      </w:r>
      <w:r w:rsidR="00DF6C0E" w:rsidRPr="00CA3636">
        <w:rPr>
          <w:highlight w:val="yellow"/>
        </w:rPr>
        <w:t>with</w:t>
      </w:r>
      <w:r w:rsidRPr="00CA3636">
        <w:rPr>
          <w:highlight w:val="yellow"/>
        </w:rPr>
        <w:t xml:space="preserve">, for example, </w:t>
      </w:r>
      <w:r w:rsidR="00DF6C0E" w:rsidRPr="00CA3636">
        <w:rPr>
          <w:i/>
          <w:iCs/>
          <w:highlight w:val="yellow"/>
        </w:rPr>
        <w:t>E. coli</w:t>
      </w:r>
      <w:r w:rsidR="00DF6C0E" w:rsidRPr="00CA3636">
        <w:rPr>
          <w:highlight w:val="yellow"/>
        </w:rPr>
        <w:t xml:space="preserve">, in which </w:t>
      </w:r>
      <w:r w:rsidRPr="00CA3636">
        <w:rPr>
          <w:highlight w:val="yellow"/>
        </w:rPr>
        <w:t xml:space="preserve">it is possible to </w:t>
      </w:r>
      <w:r w:rsidR="00DF6C0E" w:rsidRPr="00CA3636">
        <w:rPr>
          <w:highlight w:val="yellow"/>
        </w:rPr>
        <w:t xml:space="preserve">interfere with the regulation of </w:t>
      </w:r>
      <w:r w:rsidRPr="00CA3636">
        <w:rPr>
          <w:highlight w:val="yellow"/>
        </w:rPr>
        <w:t xml:space="preserve">mutagenesis </w:t>
      </w:r>
      <w:r w:rsidR="00CA7DA9" w:rsidRPr="00CA3636">
        <w:rPr>
          <w:highlight w:val="yellow"/>
        </w:rPr>
        <w:fldChar w:fldCharType="begin" w:fldLock="1"/>
      </w:r>
      <w:r w:rsidR="00EF634C">
        <w:rPr>
          <w:highlight w:val="yellow"/>
        </w:rPr>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CA3636">
        <w:rPr>
          <w:highlight w:val="yellow"/>
        </w:rPr>
        <w:fldChar w:fldCharType="separate"/>
      </w:r>
      <w:r w:rsidR="00DF6C0E" w:rsidRPr="00CA3636">
        <w:rPr>
          <w:noProof/>
          <w:highlight w:val="yellow"/>
        </w:rPr>
        <w:t>(Cirz and Romesberg 2007)</w:t>
      </w:r>
      <w:r w:rsidR="00CA7DA9" w:rsidRPr="00CA3636">
        <w:rPr>
          <w:highlight w:val="yellow"/>
        </w:rPr>
        <w:fldChar w:fldCharType="end"/>
      </w:r>
      <w:r w:rsidR="00DF6C0E" w:rsidRPr="00CA3636">
        <w:rPr>
          <w:highlight w:val="yellow"/>
        </w:rPr>
        <w:t xml:space="preserve">. </w:t>
      </w:r>
      <w:r>
        <w:rPr>
          <w:highlight w:val="yellow"/>
        </w:rPr>
        <w:t>T</w:t>
      </w:r>
      <w:r w:rsidRPr="00CA3636">
        <w:rPr>
          <w:highlight w:val="yellow"/>
        </w:rPr>
        <w:t xml:space="preserve">he adaptation time with and without SIM can be measured </w:t>
      </w:r>
      <w:r>
        <w:rPr>
          <w:highlight w:val="yellow"/>
        </w:rPr>
        <w:t xml:space="preserve">in </w:t>
      </w:r>
      <w:r w:rsidR="00DF6C0E" w:rsidRPr="00CA3636">
        <w:rPr>
          <w:highlight w:val="yellow"/>
        </w:rPr>
        <w:t xml:space="preserve">an experimental population </w:t>
      </w:r>
      <w:r w:rsidR="004F5395">
        <w:rPr>
          <w:highlight w:val="yellow"/>
        </w:rPr>
        <w:t>adapting to</w:t>
      </w:r>
      <w:r w:rsidRPr="00CA3636">
        <w:rPr>
          <w:highlight w:val="yellow"/>
        </w:rPr>
        <w:t xml:space="preserve"> a two-peak fitness landscape. These measurements can then be compared to our analytic approximation</w:t>
      </w:r>
      <w:r w:rsidR="004F5395">
        <w:rPr>
          <w:highlight w:val="yellow"/>
        </w:rPr>
        <w:t>s</w:t>
      </w:r>
      <w:r w:rsidRPr="00CA3636">
        <w:rPr>
          <w:highlight w:val="yellow"/>
        </w:rPr>
        <w:t xml:space="preserve"> </w:t>
      </w:r>
      <w:r w:rsidR="00DF6C0E" w:rsidRPr="00CA3636">
        <w:rPr>
          <w:highlight w:val="yellow"/>
        </w:rP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0C3573">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F634C">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F441B1">
      <w:pPr>
        <w:pStyle w:val="Heading1"/>
      </w:pPr>
      <w:r>
        <w:t>Acknowledgments</w:t>
      </w:r>
    </w:p>
    <w:p w:rsidR="00F441B1" w:rsidRDefault="00F441B1" w:rsidP="00EF44A6">
      <w:r w:rsidRPr="00EF44A6">
        <w:t>We thank the SIDEER 2013 Symposium (</w:t>
      </w:r>
      <w:hyperlink r:id="rId10"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w:t>
      </w:r>
      <w:bookmarkStart w:id="9" w:name="_GoBack"/>
      <w:bookmarkEnd w:id="9"/>
      <w:r w:rsidR="00B25D55" w:rsidRPr="00EF44A6">
        <w:t xml:space="preserve">dation </w:t>
      </w:r>
      <w:r w:rsidR="00B25D55" w:rsidRPr="00EF44A6">
        <w:rPr>
          <w:highlight w:val="red"/>
        </w:rPr>
        <w:t>XXXX</w:t>
      </w:r>
      <w:r w:rsidR="00B25D55" w:rsidRPr="00EF44A6">
        <w:t xml:space="preserve"> and by </w:t>
      </w:r>
      <w:r w:rsidR="00EF44A6" w:rsidRPr="00EF44A6">
        <w:t>and by</w:t>
      </w:r>
      <w:r w:rsidR="00EF44A6" w:rsidRPr="00EF44A6">
        <w:t xml:space="preserve"> </w:t>
      </w:r>
      <w:r w:rsidR="00EF44A6" w:rsidRPr="00EF44A6">
        <w:t>Marie Curie reintegration grant 2007–224866 (LH)</w:t>
      </w:r>
      <w:r w:rsidR="003D306F" w:rsidRPr="00EF44A6">
        <w:t>.</w:t>
      </w:r>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0" w:name="_Ref360530640"/>
      <w:bookmarkStart w:id="11" w:name="_Ref363980873"/>
      <w:r>
        <w:t xml:space="preserve">Appendix </w:t>
      </w:r>
      <w:bookmarkEnd w:id="10"/>
      <w:r w:rsidR="000F7D03">
        <w:t>1</w:t>
      </w:r>
      <w:bookmarkEnd w:id="11"/>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3D306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3D306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3D306F"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2" w:name="_Ref360530760"/>
      <w:bookmarkStart w:id="13" w:name="_Ref363980888"/>
      <w:r>
        <w:lastRenderedPageBreak/>
        <w:t>Appendix</w:t>
      </w:r>
      <w:bookmarkEnd w:id="12"/>
      <w:r w:rsidR="000F7D03">
        <w:t xml:space="preserve"> 2</w:t>
      </w:r>
      <w:bookmarkEnd w:id="13"/>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EF634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15" w:name="_Ref363980903"/>
      <w:r>
        <w:t xml:space="preserve">Appendix </w:t>
      </w:r>
      <w:bookmarkEnd w:id="14"/>
      <w:r w:rsidR="000F7D03">
        <w:t>3</w:t>
      </w:r>
      <w:bookmarkEnd w:id="15"/>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F634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3D306F"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3D306F"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3D306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34713C">
      <w:pPr>
        <w:pStyle w:val="Heading1"/>
      </w:pPr>
      <w:r>
        <w:t>Figures</w:t>
      </w:r>
    </w:p>
    <w:p w:rsidR="003C4248" w:rsidRDefault="003C4248" w:rsidP="003C4248">
      <w:pPr>
        <w:keepNext/>
        <w:jc w:val="center"/>
      </w:pPr>
      <w:r>
        <w:rPr>
          <w:noProof/>
        </w:rPr>
        <w:drawing>
          <wp:inline distT="0" distB="0" distL="0" distR="0" wp14:anchorId="54559F78" wp14:editId="73D3A578">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3C4248">
      <w:pPr>
        <w:pStyle w:val="FigureLegend"/>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3C4248">
      <w:pPr>
        <w:keepNext/>
        <w:jc w:val="center"/>
      </w:pPr>
      <w:r>
        <w:rPr>
          <w:noProof/>
        </w:rPr>
        <w:lastRenderedPageBreak/>
        <w:drawing>
          <wp:inline distT="0" distB="0" distL="0" distR="0" wp14:anchorId="772AA20B" wp14:editId="399777F5">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3C4248">
      <w:pPr>
        <w:pStyle w:val="FigureLegend"/>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3C4248">
      <w:pPr>
        <w:pStyle w:val="FigureLegend"/>
        <w:rPr>
          <w:b/>
          <w:bCs/>
        </w:rPr>
      </w:pPr>
      <w:r w:rsidRPr="003C4248">
        <w:rPr>
          <w:noProof/>
        </w:rPr>
        <w:drawing>
          <wp:inline distT="0" distB="0" distL="0" distR="0" wp14:anchorId="6AB553AA" wp14:editId="4957905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3C4248">
      <w:pPr>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3C4248">
      <w:pPr>
        <w:keepNext/>
        <w:jc w:val="center"/>
      </w:pPr>
      <w:r>
        <w:rPr>
          <w:noProof/>
        </w:rPr>
        <w:lastRenderedPageBreak/>
        <w:drawing>
          <wp:inline distT="0" distB="0" distL="0" distR="0" wp14:anchorId="07A88593" wp14:editId="671900B6">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3C4248">
      <w:pPr>
        <w:pStyle w:val="FigureLegend"/>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w:t>
      </w:r>
      <w:proofErr w:type="spellStart"/>
      <w:r w:rsidRPr="009F5B3A">
        <w:rPr>
          <w:i/>
          <w:iCs/>
        </w:rPr>
        <w:t>adaptedness</w:t>
      </w:r>
      <w:proofErr w:type="spellEnd"/>
      <w:r>
        <w:t xml:space="preserve"> trade-off of CM, increasing the </w:t>
      </w:r>
      <w:r w:rsidRPr="00031301">
        <w:rPr>
          <w:i/>
          <w:iCs/>
        </w:rPr>
        <w:t>adaptability</w:t>
      </w:r>
      <w:r>
        <w:t xml:space="preserve"> without compromising the </w:t>
      </w:r>
      <w:proofErr w:type="spellStart"/>
      <w:r>
        <w:rPr>
          <w:i/>
          <w:iCs/>
        </w:rPr>
        <w:t>adaptedness</w:t>
      </w:r>
      <w:proofErr w:type="spellEnd"/>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34713C">
      <w:pPr>
        <w:pStyle w:val="Heading1"/>
      </w:pPr>
      <w:r>
        <w:t>Tables</w:t>
      </w:r>
    </w:p>
    <w:p w:rsidR="003C4248" w:rsidRDefault="003C4248" w:rsidP="003C4248">
      <w:pPr>
        <w:pStyle w:val="FigureLegend"/>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CE2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CE2698">
            <w:pPr>
              <w:pStyle w:val="FigureLegend"/>
            </w:pPr>
            <w:r>
              <w:t>Symbol</w:t>
            </w:r>
          </w:p>
        </w:tc>
        <w:tc>
          <w:tcPr>
            <w:tcW w:w="2858"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CE2698">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s</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Pr="00CD660F">
              <w:rPr>
                <w:noProof/>
              </w:rPr>
              <w:t>(Kibota and Lynch 1996; Gordo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H</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CD660F">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U</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CD660F">
              <w:rPr>
                <w:noProof/>
              </w:rPr>
              <w:t>(Drake et al. 1998; Wielgoss et al. 2011)</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µ</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CD660F">
              <w:rPr>
                <w:noProof/>
              </w:rPr>
              <w:t>(Gordo et al. 2011)</w:t>
            </w:r>
            <w:r>
              <w:fldChar w:fldCharType="end"/>
            </w:r>
          </w:p>
        </w:tc>
      </w:tr>
      <w:tr w:rsidR="003C4248" w:rsidTr="00CE2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τ</w:t>
            </w:r>
          </w:p>
        </w:tc>
        <w:tc>
          <w:tcPr>
            <w:tcW w:w="2858"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CE2698">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CD660F">
              <w:rPr>
                <w:noProof/>
              </w:rPr>
              <w:t>(Bjedov et al. 2003; Hall and Henderson-Begg 2006)</w:t>
            </w:r>
            <w:r>
              <w:fldChar w:fldCharType="end"/>
            </w:r>
          </w:p>
        </w:tc>
      </w:tr>
      <w:tr w:rsidR="003C4248" w:rsidTr="00CE269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CE2698">
            <w:pPr>
              <w:pStyle w:val="FigureLegend"/>
              <w:rPr>
                <w:i/>
                <w:iCs/>
              </w:rPr>
            </w:pPr>
            <w:r w:rsidRPr="00524B4A">
              <w:rPr>
                <w:i/>
                <w:iCs/>
              </w:rPr>
              <w:t>N</w:t>
            </w:r>
          </w:p>
        </w:tc>
        <w:tc>
          <w:tcPr>
            <w:tcW w:w="2858" w:type="dxa"/>
          </w:tcPr>
          <w:p w:rsidR="003C4248"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CE2698">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CE2698">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CD660F">
              <w:rPr>
                <w:noProof/>
              </w:rPr>
              <w:t>(Pupo and Richardson 1995; Berg 1996)</w:t>
            </w:r>
            <w:r w:rsidRPr="00EA316D">
              <w:fldChar w:fldCharType="end"/>
            </w:r>
          </w:p>
        </w:tc>
      </w:tr>
    </w:tbl>
    <w:p w:rsidR="003C4248" w:rsidRPr="003C4248" w:rsidRDefault="003C4248" w:rsidP="003C4248"/>
    <w:p w:rsidR="00701833" w:rsidRPr="00F650EA" w:rsidRDefault="00701833" w:rsidP="0034713C">
      <w:pPr>
        <w:pStyle w:val="Heading1"/>
      </w:pPr>
      <w:r>
        <w:lastRenderedPageBreak/>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03D3D302" wp14:editId="7052B43D">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t xml:space="preserve"> </w:t>
      </w:r>
      <w:r w:rsidR="00201A26">
        <w:rPr>
          <w:noProof/>
        </w:rPr>
        <w:drawing>
          <wp:inline distT="0" distB="0" distL="0" distR="0" wp14:anchorId="2FD97110" wp14:editId="43D331AD">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w:t>
      </w:r>
      <w:r w:rsidR="00EE6EA2">
        <w:lastRenderedPageBreak/>
        <w:t>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3D306F"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3D306F"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3D306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3D306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3D306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lastRenderedPageBreak/>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3D306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that is, the number of delet</w:t>
      </w:r>
      <w:proofErr w:type="spellStart"/>
      <w:r>
        <w:rPr>
          <w:rFonts w:eastAsiaTheme="minorEastAsia"/>
          <w:lang w:bidi="hi-IN"/>
        </w:rPr>
        <w:t>erious</w:t>
      </w:r>
      <w:proofErr w:type="spellEnd"/>
      <w:r>
        <w:rPr>
          <w:rFonts w:eastAsiaTheme="minorEastAsia"/>
          <w:lang w:bidi="hi-IN"/>
        </w:rPr>
        <w:t xml:space="preserve">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F634C">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EF634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F634C">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w:t>
      </w:r>
      <w:proofErr w:type="spellStart"/>
      <w:r w:rsidR="00BF06EE">
        <w:rPr>
          <w:rFonts w:eastAsiaTheme="minorEastAsia"/>
          <w:lang w:bidi="hi-IN"/>
        </w:rPr>
        <w:t>ipulating</w:t>
      </w:r>
      <w:proofErr w:type="spellEnd"/>
      <w:r w:rsidR="00BF06EE">
        <w:rPr>
          <w:rFonts w:eastAsiaTheme="minorEastAsia"/>
          <w:lang w:bidi="hi-IN"/>
        </w:rPr>
        <w:t xml:space="preserve">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055A" w:rsidRDefault="003C055A" w:rsidP="009A122D">
      <w:pPr>
        <w:spacing w:after="0" w:line="240" w:lineRule="auto"/>
      </w:pPr>
      <w:r>
        <w:separator/>
      </w:r>
    </w:p>
  </w:endnote>
  <w:endnote w:type="continuationSeparator" w:id="0">
    <w:p w:rsidR="003C055A" w:rsidRDefault="003C055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71AB0FE-6024-4D7A-A666-BF471C5A2D0C}"/>
    <w:embedBold r:id="rId2" w:fontKey="{7E1040AF-AB8E-4C04-9269-10613D5EDEF3}"/>
    <w:embedItalic r:id="rId3" w:fontKey="{2E7BC1B3-9A6F-48F3-B353-4B3C55B90170}"/>
    <w:embedBoldItalic r:id="rId4" w:fontKey="{7C19069B-AAA6-4087-A2AA-517894760E30}"/>
  </w:font>
  <w:font w:name="Tahoma">
    <w:panose1 w:val="020B0604030504040204"/>
    <w:charset w:val="00"/>
    <w:family w:val="swiss"/>
    <w:pitch w:val="variable"/>
    <w:sig w:usb0="E1002EFF" w:usb1="C000605B" w:usb2="00000029" w:usb3="00000000" w:csb0="000101FF" w:csb1="00000000"/>
    <w:embedRegular r:id="rId5" w:fontKey="{494B72ED-FC8E-4B3C-AEBD-F16281148BB8}"/>
  </w:font>
  <w:font w:name="cmr10">
    <w:charset w:val="00"/>
    <w:family w:val="swiss"/>
    <w:pitch w:val="variable"/>
    <w:sig w:usb0="00000003" w:usb1="00000000" w:usb2="00000000" w:usb3="00000000" w:csb0="00000001" w:csb1="00000000"/>
    <w:embedRegular r:id="rId6" w:fontKey="{844290AC-4789-453C-9887-7482D9F85365}"/>
  </w:font>
  <w:font w:name="Cambria Math">
    <w:panose1 w:val="02040503050406030204"/>
    <w:charset w:val="00"/>
    <w:family w:val="roman"/>
    <w:pitch w:val="variable"/>
    <w:sig w:usb0="E00002FF" w:usb1="420024FF" w:usb2="00000000" w:usb3="00000000" w:csb0="0000019F" w:csb1="00000000"/>
    <w:embedRegular r:id="rId7" w:fontKey="{608B692D-D6EC-44EA-8E19-2AFF2CC6D6C3}"/>
    <w:embedItalic r:id="rId8" w:fontKey="{BC99F875-A056-4878-8840-5262878B262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3D306F" w:rsidRDefault="003D306F">
        <w:pPr>
          <w:pStyle w:val="Footer"/>
          <w:jc w:val="center"/>
        </w:pPr>
        <w:r>
          <w:fldChar w:fldCharType="begin"/>
        </w:r>
        <w:r>
          <w:instrText xml:space="preserve"> PAGE   \* MERGEFORMAT </w:instrText>
        </w:r>
        <w:r>
          <w:fldChar w:fldCharType="separate"/>
        </w:r>
        <w:r w:rsidR="00EF44A6">
          <w:rPr>
            <w:noProof/>
          </w:rPr>
          <w:t>9</w:t>
        </w:r>
        <w:r>
          <w:rPr>
            <w:noProof/>
          </w:rPr>
          <w:fldChar w:fldCharType="end"/>
        </w:r>
      </w:p>
    </w:sdtContent>
  </w:sdt>
  <w:p w:rsidR="003D306F" w:rsidRDefault="003D30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055A" w:rsidRDefault="003C055A" w:rsidP="009A122D">
      <w:pPr>
        <w:spacing w:after="0" w:line="240" w:lineRule="auto"/>
      </w:pPr>
      <w:r>
        <w:separator/>
      </w:r>
    </w:p>
  </w:footnote>
  <w:footnote w:type="continuationSeparator" w:id="0">
    <w:p w:rsidR="003C055A" w:rsidRDefault="003C055A"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91853"/>
    <w:rsid w:val="003A1D28"/>
    <w:rsid w:val="003B3D00"/>
    <w:rsid w:val="003B4B81"/>
    <w:rsid w:val="003C055A"/>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4F5395"/>
    <w:rsid w:val="00514DED"/>
    <w:rsid w:val="005202A0"/>
    <w:rsid w:val="0052063A"/>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09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24DA"/>
    <w:rsid w:val="00F25234"/>
    <w:rsid w:val="00F27D77"/>
    <w:rsid w:val="00F356B7"/>
    <w:rsid w:val="00F35F7B"/>
    <w:rsid w:val="00F37542"/>
    <w:rsid w:val="00F441B1"/>
    <w:rsid w:val="00F619A9"/>
    <w:rsid w:val="00F71C83"/>
    <w:rsid w:val="00F76B8B"/>
    <w:rsid w:val="00F804BA"/>
    <w:rsid w:val="00F8069F"/>
    <w:rsid w:val="00F83F2E"/>
    <w:rsid w:val="00F84E5B"/>
    <w:rsid w:val="00F8789F"/>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www.bgu.ac.il/BIDR/conf/sideergrads/SIDEER_symposiu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8A2E3-DC83-492C-BF79-8554D5133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16</Pages>
  <Words>30019</Words>
  <Characters>150096</Characters>
  <Application>Microsoft Office Word</Application>
  <DocSecurity>0</DocSecurity>
  <Lines>1250</Lines>
  <Paragraphs>359</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179756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39</cp:revision>
  <dcterms:created xsi:type="dcterms:W3CDTF">2013-08-25T12:42:00Z</dcterms:created>
  <dcterms:modified xsi:type="dcterms:W3CDTF">2013-09-29T08:37:00Z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