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FD35E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FD35E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FD35E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FD35E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FD35E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FD35E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FD35E1">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FD35E1">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FD35E1">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FD35E1">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FD35E1">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FD35E1">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FD35E1">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FD35E1">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FD35E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FD35E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FD35E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FD35E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FD35E1">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FD35E1">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FD35E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A278B"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FD35E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D5C6B">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FD35E1">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483013">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1033CA" w:rsidRDefault="001033CA" w:rsidP="002A0DCC">
      <w:pPr>
        <w:pStyle w:val="Heading1"/>
        <w:spacing w:line="480" w:lineRule="auto"/>
        <w:rPr>
          <w:lang w:bidi="hi-IN"/>
        </w:rPr>
      </w:pPr>
      <w:r>
        <w:rPr>
          <w:lang w:bidi="hi-IN"/>
        </w:rPr>
        <w:lastRenderedPageBreak/>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A278B"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FD35E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 xml:space="preserve">decreases when the mutation rate increases, </w:t>
      </w:r>
      <w:r>
        <w:rPr>
          <w:lang w:bidi="hi-IN"/>
        </w:rPr>
        <w:lastRenderedPageBreak/>
        <w:t>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w:t>
      </w:r>
      <w:r w:rsidR="0082586B">
        <w:lastRenderedPageBreak/>
        <w:t>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FB4F13" w:rsidRDefault="00042973" w:rsidP="002A0DCC">
      <w:pPr>
        <w:pStyle w:val="Heading2"/>
        <w:spacing w:line="480" w:lineRule="auto"/>
        <w:rPr>
          <w:highlight w:val="red"/>
        </w:rPr>
      </w:pPr>
      <w:bookmarkStart w:id="10" w:name="_Ref374010899"/>
      <w:r w:rsidRPr="00FB4F13">
        <w:rPr>
          <w:highlight w:val="red"/>
        </w:rPr>
        <w:t>Effect of environmental stress</w:t>
      </w:r>
      <w:bookmarkEnd w:id="10"/>
    </w:p>
    <w:p w:rsidR="00683B42" w:rsidRPr="00683B42" w:rsidRDefault="00FA72C5" w:rsidP="00683B42">
      <w:pPr>
        <w:spacing w:line="480" w:lineRule="auto"/>
        <w:rPr>
          <w:vertAlign w:val="subscript"/>
        </w:rPr>
      </w:pPr>
      <w:r>
        <w:t>So far,</w:t>
      </w:r>
      <w:r w:rsidR="00042973">
        <w:t xml:space="preserve"> we considered </w:t>
      </w:r>
      <w:r w:rsidR="003A2920">
        <w:t xml:space="preserve">the case where the environmental change creates an opportunity for adaptation without affecting the absolute fitness of the population. Therefore,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was not </w:t>
      </w:r>
      <w:proofErr w:type="spellStart"/>
      <w:r w:rsidR="003A2920">
        <w:t>hypermutating</w:t>
      </w:r>
      <w:proofErr w:type="spellEnd"/>
      <w:r w:rsidR="00042973">
        <w:t>.</w:t>
      </w:r>
      <w:r w:rsidR="003A2920">
        <w:t xml:space="preserve"> </w:t>
      </w:r>
      <w:r w:rsidR="00042973">
        <w:t xml:space="preserve"> </w:t>
      </w:r>
      <w:r w:rsidR="003A2920">
        <w:t xml:space="preserve">Next, we consider a different scenario in which the environmental change </w:t>
      </w:r>
      <w:r w:rsidR="00042973">
        <w:t xml:space="preserve">reduces the </w:t>
      </w:r>
      <w:r w:rsidR="003A2920">
        <w:t xml:space="preserve">absolute </w:t>
      </w:r>
      <w:r w:rsidR="00042973">
        <w:t xml:space="preserve">fitness of </w:t>
      </w:r>
      <w:r w:rsidR="003A2920">
        <w:t>the entire population, for example,</w:t>
      </w:r>
      <w:r w:rsidR="00042973">
        <w:t xml:space="preserve"> </w:t>
      </w:r>
      <w:r w:rsidR="003A2920">
        <w:t xml:space="preserve">the introduction of an </w:t>
      </w:r>
      <w:r w:rsidR="00042973">
        <w:t>antibiotic drug</w:t>
      </w:r>
      <w:r>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the </w:t>
      </w:r>
      <w:proofErr w:type="spellStart"/>
      <w:r w:rsidR="00683B42">
        <w:t>wildtype</w:t>
      </w:r>
      <w:proofErr w:type="spellEnd"/>
      <w:r w:rsidR="00683B42">
        <w:t xml:space="preserve"> </w:t>
      </w:r>
      <w:r w:rsidR="00683B42">
        <w:rPr>
          <w:i/>
          <w:iCs/>
        </w:rPr>
        <w:t>ab</w:t>
      </w:r>
      <w:r w:rsidR="00683B42">
        <w:t xml:space="preserve">. Moreover, in this scenario the </w:t>
      </w:r>
      <w:proofErr w:type="spellStart"/>
      <w:r w:rsidR="00683B42">
        <w:t>wildtype</w:t>
      </w:r>
      <w:proofErr w:type="spellEnd"/>
      <w:r w:rsidR="00683B42">
        <w:t xml:space="preserve"> is also under stress: formally, individuals with fitness </w:t>
      </w:r>
      <w:r w:rsidR="00683B42">
        <w:rPr>
          <w:rFonts w:ascii="Times New Roman" w:hAnsi="Times New Roman" w:cs="Times New Roman"/>
        </w:rPr>
        <w:t>lower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Default="002C54C0" w:rsidP="003A2920">
      <w:pPr>
        <w:spacing w:line="480" w:lineRule="auto"/>
      </w:pPr>
      <w:r>
        <w:t xml:space="preserve">This scenario has an important biological relevance, as SIM has been implicated in the evolution of drug resistance in bacteria and yeast </w:t>
      </w:r>
      <w:r>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A278B"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1"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1"/>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w:t>
      </w:r>
      <w:r w:rsidR="0095303A">
        <w:lastRenderedPageBreak/>
        <w:t>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2"/>
          </w:p>
        </w:tc>
      </w:tr>
    </w:tbl>
    <w:p w:rsidR="00B32510" w:rsidRDefault="00042973" w:rsidP="00FD35E1">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FD35E1">
      <w:pPr>
        <w:pStyle w:val="Heading2"/>
        <w:spacing w:line="480" w:lineRule="auto"/>
      </w:pPr>
      <w:r>
        <w:t>Relationship between stress and mutation rate</w:t>
      </w:r>
    </w:p>
    <w:p w:rsidR="00FD35E1" w:rsidRPr="00FD35E1" w:rsidRDefault="00FD35E1" w:rsidP="00FD35E1">
      <w:pPr>
        <w:spacing w:line="480" w:lineRule="auto"/>
        <w:rPr>
          <w:lang w:bidi="hi-IN"/>
        </w:rPr>
      </w:pPr>
      <w:bookmarkStart w:id="13" w:name="_GoBack"/>
      <w:r>
        <w:rPr>
          <w:lang w:bidi="hi-IN"/>
        </w:rPr>
        <w:t xml:space="preserve">So far we </w:t>
      </w:r>
      <w:bookmarkEnd w:id="13"/>
      <w:r>
        <w:rPr>
          <w:lang w:bidi="hi-IN"/>
        </w:rPr>
        <w:t xml:space="preserve">used a very simple relationship between stress and mutation – once the 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rate can be more complex. For example, Agrawal </w:t>
      </w:r>
      <w:r>
        <w:rPr>
          <w:lang w:bidi="hi-IN"/>
        </w:rPr>
        <w:fldChar w:fldCharType="begin" w:fldLock="1"/>
      </w:r>
      <w:r>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defined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Pr="00FD35E1">
        <w:rPr>
          <w:lang w:bidi="hi-IN"/>
        </w:rPr>
        <w:t xml:space="preserve"> and a maximal mutation rate increase </w:t>
      </w:r>
      <w:r w:rsidRPr="00FD35E1">
        <w:rPr>
          <w:i/>
          <w:iCs/>
          <w:lang w:bidi="hi-IN"/>
        </w:rPr>
        <w:t>τ</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B53E4A">
        <w:tc>
          <w:tcPr>
            <w:tcW w:w="4500" w:type="pct"/>
            <w:tcBorders>
              <w:top w:val="nil"/>
              <w:left w:val="nil"/>
              <w:bottom w:val="nil"/>
              <w:right w:val="nil"/>
            </w:tcBorders>
          </w:tcPr>
          <w:p w:rsidR="00FD35E1" w:rsidRPr="00CB2F61" w:rsidRDefault="00FD35E1" w:rsidP="00FD35E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ω</m:t>
                  </m:r>
                </m:sub>
              </m:sSub>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FD35E1" w:rsidRDefault="00FD35E1" w:rsidP="00B53E4A">
            <w:pPr>
              <w:spacing w:line="480" w:lineRule="auto"/>
            </w:pPr>
            <w:r>
              <w:t>(</w:t>
            </w:r>
            <w:r>
              <w:fldChar w:fldCharType="begin"/>
            </w:r>
            <w:r w:rsidRPr="0095303A">
              <w:instrText xml:space="preserve"> SEQ Equation </w:instrText>
            </w:r>
            <w:r>
              <w:fldChar w:fldCharType="separate"/>
            </w:r>
            <w:r>
              <w:rPr>
                <w:noProof/>
              </w:rPr>
              <w:t>10</w:t>
            </w:r>
            <w:r>
              <w:rPr>
                <w:noProof/>
              </w:rPr>
              <w:fldChar w:fldCharType="end"/>
            </w:r>
            <w:r>
              <w:t>)</w:t>
            </w:r>
          </w:p>
        </w:tc>
      </w:tr>
    </w:tbl>
    <w:p w:rsidR="002825FD" w:rsidRPr="002825FD" w:rsidRDefault="002825FD" w:rsidP="006E04FA">
      <w:pPr>
        <w:spacing w:line="480" w:lineRule="auto"/>
      </w:pPr>
      <w:r>
        <w:rPr>
          <w:lang w:bidi="hi-IN"/>
        </w:rPr>
        <w:t xml:space="preserve">When </w:t>
      </w:r>
      <w:r>
        <w:rPr>
          <w:i/>
          <w:iCs/>
          <w:lang w:bidi="hi-IN"/>
        </w:rPr>
        <w:t>k</w:t>
      </w:r>
      <w:r>
        <w:rPr>
          <w:lang w:bidi="hi-IN"/>
        </w:rPr>
        <w:t xml:space="preserve"> approaches 0, this strategy is simply a normal mutagenesis (NM) strategy; when </w:t>
      </w:r>
      <w:r>
        <w:rPr>
          <w:i/>
          <w:iCs/>
          <w:lang w:bidi="hi-IN"/>
        </w:rPr>
        <w:t xml:space="preserve">k </w:t>
      </w:r>
      <w:r>
        <w:t>approaches infinity this is the same SIM strategy we have used in previous sections. See Figure S3 for a visualization of these continuous relationships.</w:t>
      </w:r>
    </w:p>
    <w:p w:rsidR="002825FD" w:rsidRPr="002825FD" w:rsidRDefault="002825FD" w:rsidP="00463A01">
      <w:pPr>
        <w:spacing w:line="480" w:lineRule="auto"/>
        <w:rPr>
          <w:lang w:bidi="hi-IN"/>
        </w:rPr>
      </w:pPr>
      <w:r w:rsidRPr="002825FD">
        <w:rPr>
          <w:lang w:bidi="hi-IN"/>
        </w:rPr>
        <w:fldChar w:fldCharType="begin"/>
      </w:r>
      <w:r w:rsidRPr="002825FD">
        <w:rPr>
          <w:lang w:bidi="hi-IN"/>
        </w:rPr>
        <w:instrText xml:space="preserve"> REF _Ref360183592 \h </w:instrText>
      </w:r>
      <w:r w:rsidRPr="002825FD">
        <w:rPr>
          <w:lang w:bidi="hi-IN"/>
        </w:rPr>
      </w:r>
      <w:r w:rsidRPr="002825FD">
        <w:rPr>
          <w:lang w:bidi="hi-IN"/>
        </w:rPr>
        <w:instrText xml:space="preserve"> \* MERGEFORMAT </w:instrText>
      </w:r>
      <w:r w:rsidRPr="002825FD">
        <w:rPr>
          <w:lang w:bidi="hi-IN"/>
        </w:rPr>
        <w:fldChar w:fldCharType="separate"/>
      </w:r>
      <w:r w:rsidRPr="002825FD">
        <w:t xml:space="preserve">Figure </w:t>
      </w:r>
      <w:r w:rsidRPr="002825FD">
        <w:rPr>
          <w:noProof/>
        </w:rPr>
        <w:t>2</w:t>
      </w:r>
      <w:r w:rsidRPr="002825FD">
        <w:rPr>
          <w:lang w:bidi="hi-IN"/>
        </w:rPr>
        <w:fldChar w:fldCharType="end"/>
      </w:r>
      <w:r>
        <w:rPr>
          <w:lang w:bidi="hi-IN"/>
        </w:rPr>
        <w:t xml:space="preserve">B shows the adaptation time for four of these "continuous" strategies: k=1/10, 1, 10, and 100. </w:t>
      </w:r>
      <w:r w:rsidR="006E04FA">
        <w:rPr>
          <w:lang w:bidi="hi-IN"/>
        </w:rPr>
        <w:t xml:space="preserve"> Remarkably, the adaptation time with a "continuous" strategy </w:t>
      </w:r>
      <w:r w:rsidR="00463A01">
        <w:rPr>
          <w:lang w:bidi="hi-IN"/>
        </w:rPr>
        <w:t>can be roughly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proofErr w:type="gramStart"/>
      <w:r w:rsidR="00463A01">
        <w:rPr>
          <w:lang w:bidi="hi-IN"/>
        </w:rPr>
        <w:t>10  are</w:t>
      </w:r>
      <w:proofErr w:type="gramEnd"/>
      <w:r w:rsidR="00463A01">
        <w:rPr>
          <w:lang w:bidi="hi-IN"/>
        </w:rPr>
        <w:t xml:space="preserve"> </w:t>
      </w:r>
      <w:r w:rsidR="00463A01">
        <w:rPr>
          <w:lang w:bidi="hi-IN"/>
        </w:rPr>
        <w:lastRenderedPageBreak/>
        <w:t xml:space="preserve">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w:instrText>
      </w:r>
      <w:r w:rsidR="00463A01" w:rsidRPr="002825FD">
        <w:rPr>
          <w:lang w:bidi="hi-IN"/>
        </w:rPr>
      </w:r>
      <w:r w:rsidR="00463A01" w:rsidRPr="002825FD">
        <w:rPr>
          <w:lang w:bidi="hi-IN"/>
        </w:rPr>
        <w:instrText xml:space="preserve"> \* MERGEFORMAT </w:instrText>
      </w:r>
      <w:r w:rsidR="00463A01" w:rsidRPr="002825FD">
        <w:rPr>
          <w:lang w:bidi="hi-IN"/>
        </w:rPr>
        <w:fldChar w:fldCharType="separate"/>
      </w:r>
      <w:r w:rsidR="00463A01" w:rsidRPr="002825FD">
        <w:t xml:space="preserve">Figure </w:t>
      </w:r>
      <w:r w:rsidR="00463A01" w:rsidRPr="002825FD">
        <w:rPr>
          <w:noProof/>
        </w:rPr>
        <w:t>2</w:t>
      </w:r>
      <w:r w:rsidR="00463A01" w:rsidRPr="002825FD">
        <w:rPr>
          <w:lang w:bidi="hi-IN"/>
        </w:rPr>
        <w:fldChar w:fldCharType="end"/>
      </w:r>
      <w:r w:rsidR="00463A01">
        <w:rPr>
          <w:lang w:bidi="hi-IN"/>
        </w:rPr>
        <w:t>B</w:t>
      </w:r>
      <w:r w:rsidR="00463A01">
        <w:rPr>
          <w:lang w:bidi="hi-IN"/>
        </w:rPr>
        <w:t>; see Figure S3 for a comparison these strategies). The "continuous" strategies can be approximated by "threshold" strategies because, in this model, the mutation rate increase of single mutants is the primary factor, because individuals with more than a single mutation do not have a significant contribution to adaptation.</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FD35E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w:t>
      </w:r>
      <w:r w:rsidR="0094207C" w:rsidRPr="007F656F">
        <w:rPr>
          <w:lang w:bidi="hi-IN"/>
        </w:rPr>
        <w:lastRenderedPageBreak/>
        <w:t xml:space="preserve">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FD35E1">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FD35E1">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A67023" w:rsidRPr="00ED111F" w:rsidRDefault="00D84632" w:rsidP="008A6B5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Further work </w:t>
      </w:r>
      <w:r>
        <w:rPr>
          <w:lang w:bidi="hi-IN"/>
        </w:rPr>
        <w:lastRenderedPageBreak/>
        <w:t xml:space="preserve">is needed to study how recombination and sex </w:t>
      </w:r>
      <w:r w:rsidR="008A6B5D">
        <w:rPr>
          <w:lang w:bidi="hi-IN"/>
        </w:rPr>
        <w:t xml:space="preserve">will </w:t>
      </w:r>
      <w:r>
        <w:rPr>
          <w:lang w:bidi="hi-IN"/>
        </w:rPr>
        <w:t>affect the evolutionary advantage of SIM</w:t>
      </w:r>
      <w:r w:rsidR="008A6B5D">
        <w:rPr>
          <w:lang w:bidi="hi-IN"/>
        </w:rPr>
        <w:t>, but we expect this advantage to decrease in sexual populations.</w:t>
      </w:r>
    </w:p>
    <w:p w:rsidR="0007409B" w:rsidRPr="008A3174" w:rsidRDefault="00514DED" w:rsidP="00D76319">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FD35E1">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FD35E1">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the trend continues: SIM is favored over both CM and NM by selection.</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FD35E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w:t>
      </w:r>
      <w:r>
        <w:rPr>
          <w:lang w:bidi="hi-IN"/>
        </w:rPr>
        <w:lastRenderedPageBreak/>
        <w:t xml:space="preserve">of evolution" </w:t>
      </w:r>
      <w:r w:rsidR="00CA7DA9">
        <w:rPr>
          <w:lang w:bidi="hi-IN"/>
        </w:rPr>
        <w:fldChar w:fldCharType="begin" w:fldLock="1"/>
      </w:r>
      <w:r w:rsidR="00FD35E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FD35E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FD35E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FD35E1">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FD35E1">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FD35E1">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FD35E1">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FD35E1">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FD35E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FD35E1" w:rsidRPr="00FD35E1" w:rsidRDefault="007F0A97">
      <w:pPr>
        <w:pStyle w:val="NormalWeb"/>
        <w:divId w:val="632557935"/>
        <w:rPr>
          <w:rFonts w:ascii="Palatino Linotype" w:hAnsi="Palatino Linotype"/>
          <w:noProof/>
          <w:sz w:val="22"/>
        </w:rPr>
      </w:pPr>
      <w:r>
        <w:fldChar w:fldCharType="begin" w:fldLock="1"/>
      </w:r>
      <w:r>
        <w:instrText xml:space="preserve">ADDIN Mendeley Bibliography CSL_BIBLIOGRAPHY </w:instrText>
      </w:r>
      <w:r>
        <w:fldChar w:fldCharType="separate"/>
      </w:r>
      <w:r w:rsidR="00FD35E1" w:rsidRPr="00FD35E1">
        <w:rPr>
          <w:rFonts w:ascii="Palatino Linotype" w:hAnsi="Palatino Linotype"/>
          <w:noProof/>
          <w:sz w:val="22"/>
        </w:rPr>
        <w:t>Agrawal, A. F. 2002. Genetic loads under fitness-dependent mutation rates. J. Evol. Biol. 15:1004–1010. Wiley Online Library.</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Berg, O. G. 1996. Selection intensity for codon bias and the effective population size of Escherichia coli. Genetics 142:1379–82.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Bjedov, I., O. Tenaillon, B. Gérard, V. Souza, E. Denamur, M. Radman, F. Taddei, and I. Matic. 2003. Stress-induced mutagenesis in bacteria. Science (80-. ). 300:1404–9.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Bristow, R. G., and R. P. Hill. 2008. Hypoxia and metabolism: Hypoxia, DNA repair and genetic instability. Nat. Rev. Cancer 8:180–92.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Cairns, J., J. Overbaugh, and S. Miller. 1988. The origin of mutants. Nature 335:142–5.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Cirz, R. T., and F. E. Romesberg. 2007. Controlling mutation: intervening in evolution as a therapeutic strategy. Crit. Rev. Biochem. Mol. Biol. 42:341–54.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Coyne, J. A., N. H. Barton, and M. Turelli. 2000. Is Wright’s shifting balance process important in evolution? Evolution (N. Y). 54:306–317.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Crow, J. F., W. R. Engels, and C. Denniston. 1990. Phase Three of Wright’s Shifting-Balance Theory. Evolution (N. Y). 44:233.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Dawson, K. J. 1998. Evolutionarily stable mutation rates. J. Theor. Biol. 194:143–57.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 Visser, J. A. G. M. 2002. The fate of microbial mutators. Microbiology 148:1247–52.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Denamur, E., and I. Matic. 2006. Evolution of mutation rates in bacteria. Mol. Microbiol. 60:820–7.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Drake, J. W., B. Charlesworth, D. Charlesworth, and J. F. Crow. 1998. Rates of spontaneous mutation. Genetics 148:1667–86. Genetics Soc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Fisher, R. A. 1930. The Genetical Theory of Natural Selection. Clarendon Press, Oxford.</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Foster, P. L. 2007. Stress-induced mutagenesis in bacteria. Crit. Rev. Biochem. Mol. Biol. 42:373–97.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Galhardo, R. S., P. J. Hastings, and S. M. Rosenberg. 2007. Mutation as a stress response and the regulation of evolvability. Crit. Rev. Biochem. Mol. Biol. 42:399–435.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Gavrilets, S. 1996. On phase three of the shifting-balance theory. Evolution (N. Y). 50:1034–1041. JSTOR.</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Gentile, C. F., S.-C. Yu, S. A. Serrano, P. J. Gerrish, and P. D. Sniegowski. 2011. Competition between high- and higher-mutating strains of Escherichia coli. Biol. Lett. 7:422–4.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Goho, S., and G. Bell. 2000. Mild environmental stress elicits mutations affecting fitness in Chlamydomonas. Proc. R. Soc. B Biol. Sci. 267:123–9.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and F. Dionisio. 2005. Nonequilibrium model for estimating parameters of deleterious mutations. Phys. Rev. E 71:18–21.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L. Perfeito, and A. Sousa. 2011. Fitness effects of mutations in bacteria. J. Mol. Microbiol. Biotechnol. 21:20–35.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2003. Adaptive peak shifts in a heterogenous environment. Theor. Popul. Biol. 63:41–51.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and T. Beker. 2003. Fitness-associated recombination on rugged adaptive landscapes. J. Evol. Biol. 16:862–870.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Haigh, J. 1978. The accumulation of deleterious genes in a population - Muller’s Ratchet. Theor. Popul. Biol. 14:251–267.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Hall, L. M. C., and S. K. Henderson-Begg. 2006. Hypermutable bacteria isolated from humans--a critical analysis. Microbiology 152:2505–14.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Hartfield, M., and S. P. Otto. 2011. Recombination and hitchhiking of deleterious alleles. Evolution 65:2421–34.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Heidenreich, E. 2007. Adaptive mutation in Saccharomyces cerevisiae. Crit. Rev. Biochem. Mol. Biol. 42:285–311.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Kang, J. M., N. M. Iovine, and M. J. Blaser. 2006. A paradigm for direct stress-induced mutation in prokaryotes. FASEB J. 20:2476–85.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Kessler, D. A., and H. Levine. 1998. Mutator Dynamics on a Smooth Evolutionary Landscape. Phys. Rev. Lett. 80:2012–2015.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Kibota, T. T., and M. Lynch. 1996. Estimate of the genomic mutation rate deleterious to overall fitness in E. coli. Nature 381:694–6.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Kivisaar, M. 2010. Mechanisms of stationary-phase mutagenesis in bacteria: mutational processes in pseudomonads. FEMS Microbiol. Lett. 312:1–14.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Leigh, E. G. J. 1970. Natural Selection and Mutability. Am. Nat. 104:301–305.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Loh, E., J. J. Salk, and L. A. Loeb. 2010. Optimization of DNA polymerase mutation rates during bacterial evolution. Proc. Natl. Acad. Sci. 107:1154–9.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Matsuba, C., D. G. Ostrow, M. P. Salomon, A. Tolani, and C. F. Baer. 2012. Temperature, stress and spontaneous mutation in Caenorhabditis briggsae and Caenorhabditis elegans. Biol. Lett. 8–12.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Moore, F. B.-G., and S. J. Tonsor. 1994. A Simulation of Wright’s Shifting-Balance Process: Migration and the Three Phases. Evolution (N. Y). 48:69.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Obolski, U., and L. Hadany. 2012. Implications of stress-induced genetic variation for minimizing multidrug resistance in bacteria. BMC Med. 10:1–30.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Peck, S. L., S. P. Ellner, and F. Gould. 2000. Varying migration and deme size and the feasibility of the shifting balance. Evolution 54:324–7.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Ponder, R. G., N. C. Fonville, and S. M. Rosenberg. 2005. A switch from high-fidelity to error-prone DNA double-strand break repair underlies stress-induced mutation. Mol. Cell 19:791–804.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Pupo, G. M., and B. J. Richardson. 1995. Biochemical genetics of a natural population of Escherichia coli: seasonal changes in alleles and haplotypes. Microbiology 141:1037–44.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Ram, Y., and L. Hadany. 2012. The evolution of stress-induced hypermutation in asexual populations. Evolution (N. Y). 66:2315–28.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Rodriguez, G. P., N. V Romanova, G. Bao, N. C. Rouf, Y. W. Kow, and G. F. Crouse. 2012. Mismatch repair-dependent mutagenesis in nondividing cells. Proc. Natl. Acad. Sci. 109:6153–8.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Sharp, N. P., and A. F. Agrawal. 2012. Evidence for elevated mutation rates in low-quality genotypes. Proc. Natl. Acad. Sci. 109:6142–6.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Shaw, F. H., and C. F. Baer. 2011. Fitness-dependent mutation rates in finite populations. J. Evol. Biol. 24:1677–84.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Shor, E., C. a. Fox, and J. R. Broach. 2013. The Yeast Environmental Stress Response Regulates Mutagenesis Induced by Proteotoxic Stress. PLoS Genet. 9:e1003680.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Sniegowski, P. D., P. J. Gerrish, T. Johnson, and A. Shaver. 2000. The evolution of mutation rates: separating causes from consequences. BioEssays 22:1057–66.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Sniegowski, P. D., P. J. Gerrish, and R. E. Lenski. 1997. Evolution of high mutation rates in experimental populations of E. coli. Nature 387:703–5.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Sung, W., M. S. Ackerman, S. F. Miller, T. G. Doak, and M. Lynch. 2012. Drift-barrier hypothesis and mutation-rate evolution. Proc. Natl. Acad. Sci., doi: 10.1073/pnas.1216223109.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Taddei, F., M. Radman, J. Maynard Smith, B. Toupance, P.-H. Gouyon, and B. Godelle. 1997. Role of mutator alleles in adaptive evolution. Nature 387:700–2.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E. Denamur, and I. Matic. 2004. Evolutionary significance of stress-induced mutagenesis in bacteria. Trends Microbiol. 12:264–70.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Wade, M., and C. Goodnight. 1991. Wright’s shifting balance theory: an experimental study. Science (80-. ). 253:1015–1018.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Weissman, D. B., M. W. Feldman, and D. S. Fisher. 2010. The rate of fitness-valley crossing in sexual populations. Genetics 186:1389–410.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1997. Founder Effects and Peak Shifts Without Genetic Drift: Adaptive Peak Shifts Occur Easily When Environments Fluctuate Slightly. Evolution (N. Y). 51:1044.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1995. Variance-Induced Peak Shifts. Evolution (N. Y). 49:252.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and P. C. Phillips. 2000. The exquisite corpse: a shifting view of the shifting balance. Trends Ecol. Evol. 15:347–348.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Wright, S. 1931. Evolution in Mendelian Populations. Genetics 16:97–159.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 xml:space="preserve">Wright, S. 1988. Surfaces of selective value revisited. Am. Nat. 131:115–123. </w:t>
      </w:r>
    </w:p>
    <w:p w:rsidR="00347C94" w:rsidRPr="00347C94" w:rsidRDefault="007F0A97" w:rsidP="00FD35E1">
      <w:pPr>
        <w:pStyle w:val="NormalWeb"/>
        <w:divId w:val="90140219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6A278B"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lastRenderedPageBreak/>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6A278B"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A278B"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lastRenderedPageBreak/>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FD35E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4808EACB" wp14:editId="192454E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lastRenderedPageBreak/>
        <w:drawing>
          <wp:inline distT="0" distB="0" distL="0" distR="0" wp14:anchorId="21DAC025" wp14:editId="600A202F">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671C1A">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1"/>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671C1A">
        <w:rPr>
          <w:rFonts w:hint="cs"/>
          <w:cs/>
        </w:rPr>
        <w:t>‎</w:t>
      </w:r>
      <w:r w:rsidR="00671C1A">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510E20" w:rsidRPr="00510E20">
        <w:rPr>
          <w:highlight w:val="red"/>
        </w:rPr>
        <w:t>XX</w:t>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815102">
        <w:rPr>
          <w:noProof/>
        </w:rPr>
        <w:t>7</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7F81959E" wp14:editId="2955D9D7">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5D92E84B" wp14:editId="67E66142">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E776B">
      <w:pPr>
        <w:pStyle w:val="FigureLegend"/>
        <w:spacing w:line="480" w:lineRule="auto"/>
        <w:rPr>
          <w:rFonts w:eastAsiaTheme="minorEastAsia"/>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0C2DFCEB" wp14:editId="5B4C71FA">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2D3652">
      <w:pPr>
        <w:pStyle w:val="Caption"/>
        <w:spacing w:line="480" w:lineRule="auto"/>
        <w:jc w:val="center"/>
        <w:rPr>
          <w:rFonts w:eastAsiaTheme="minorHAnsi"/>
          <w:b w:val="0"/>
          <w:bCs w:val="0"/>
          <w:smallCaps w:val="0"/>
          <w:noProof/>
          <w:color w:val="auto"/>
          <w:spacing w:val="0"/>
          <w:sz w:val="16"/>
          <w:szCs w:val="16"/>
          <w:lang w:bidi="he-IL"/>
        </w:rPr>
      </w:pPr>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 xml:space="preserve">The figure shows the average final frequency of (from left to right): normal mutagenesis (NM; green) vs. NM (control); stress-induced mutagenesis (SIM; blue) vs. NM; constitutive mutagenesis (CM; red) vs. NM; and SIM vs. CM.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7E2D9A" w:rsidRPr="00AF69B6">
        <w:rPr>
          <w:rFonts w:eastAsiaTheme="minorHAnsi"/>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 xml:space="preserve"> CM losses to both NM and SIM (</w:t>
      </w:r>
      <w:r w:rsidR="00AF69B6">
        <w:rPr>
          <w:rFonts w:eastAsiaTheme="minorHAnsi"/>
          <w:b w:val="0"/>
          <w:bCs w:val="0"/>
          <w:smallCaps w:val="0"/>
          <w:noProof/>
          <w:color w:val="auto"/>
          <w:spacing w:val="0"/>
          <w:sz w:val="16"/>
          <w:szCs w:val="16"/>
          <w:lang w:bidi="he-IL"/>
        </w:rPr>
        <w:t>P</w:t>
      </w:r>
      <w:r w:rsidR="00AF69B6">
        <w:rPr>
          <w:rFonts w:ascii="Times New Roman" w:eastAsiaTheme="minorHAnsi" w:hAnsi="Times New Roman" w:cs="Times New Roman"/>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0</w:t>
      </w:r>
      <w:r w:rsidR="00AF69B6">
        <w:rPr>
          <w:rFonts w:eastAsiaTheme="minorHAnsi"/>
          <w:b w:val="0"/>
          <w:bCs w:val="0"/>
          <w:smallCaps w:val="0"/>
          <w:noProof/>
          <w:color w:val="auto"/>
          <w:spacing w:val="0"/>
          <w:sz w:val="16"/>
          <w:szCs w:val="16"/>
          <w:lang w:bidi="he-IL"/>
        </w:rPr>
        <w:t>).</w:t>
      </w:r>
      <w:r w:rsidR="007E2D9A" w:rsidRP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instrText xml:space="preserve"> \* MERGEFORMAT </w:instrText>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4"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4"/>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FD35E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17FA" w:rsidRDefault="00CE17FA" w:rsidP="009A122D">
      <w:pPr>
        <w:spacing w:after="0" w:line="240" w:lineRule="auto"/>
      </w:pPr>
      <w:r>
        <w:separator/>
      </w:r>
    </w:p>
  </w:endnote>
  <w:endnote w:type="continuationSeparator" w:id="0">
    <w:p w:rsidR="00CE17FA" w:rsidRDefault="00CE17F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2631618-3C1E-4FC1-BEE9-BC8489F11C44}"/>
    <w:embedBold r:id="rId2" w:fontKey="{69B8B511-7B04-4140-88C4-8610FE5E3E43}"/>
    <w:embedItalic r:id="rId3" w:fontKey="{74738D43-7AA7-403D-BF0A-72EBEFFD4A90}"/>
    <w:embedBoldItalic r:id="rId4" w:fontKey="{609E9F04-0AB2-4454-B0B2-6DF9FAFD4666}"/>
  </w:font>
  <w:font w:name="Tahoma">
    <w:panose1 w:val="020B0604030504040204"/>
    <w:charset w:val="00"/>
    <w:family w:val="swiss"/>
    <w:pitch w:val="variable"/>
    <w:sig w:usb0="E1002EFF" w:usb1="C000605B" w:usb2="00000029" w:usb3="00000000" w:csb0="000101FF" w:csb1="00000000"/>
    <w:embedRegular r:id="rId5" w:fontKey="{0B62A66F-B5B6-472A-90AD-1C19F76CF86A}"/>
  </w:font>
  <w:font w:name="cmr10">
    <w:charset w:val="00"/>
    <w:family w:val="swiss"/>
    <w:pitch w:val="variable"/>
    <w:sig w:usb0="00000003" w:usb1="00000000" w:usb2="00000000" w:usb3="00000000" w:csb0="00000001" w:csb1="00000000"/>
    <w:embedRegular r:id="rId6" w:fontKey="{FD85B415-01C3-4417-84A2-1FA7AD6503C5}"/>
  </w:font>
  <w:font w:name="Cambria Math">
    <w:panose1 w:val="02040503050406030204"/>
    <w:charset w:val="00"/>
    <w:family w:val="roman"/>
    <w:pitch w:val="variable"/>
    <w:sig w:usb0="E00002FF" w:usb1="420024FF" w:usb2="00000000" w:usb3="00000000" w:csb0="0000019F" w:csb1="00000000"/>
    <w:embedItalic r:id="rId7" w:fontKey="{52AC093D-7645-45B2-BD99-358E6EB5B55B}"/>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6A278B" w:rsidRDefault="006A278B">
        <w:pPr>
          <w:pStyle w:val="Footer"/>
          <w:jc w:val="center"/>
        </w:pPr>
        <w:r>
          <w:fldChar w:fldCharType="begin"/>
        </w:r>
        <w:r>
          <w:instrText xml:space="preserve"> PAGE   \* MERGEFORMAT </w:instrText>
        </w:r>
        <w:r>
          <w:fldChar w:fldCharType="separate"/>
        </w:r>
        <w:r w:rsidR="00463A01">
          <w:rPr>
            <w:noProof/>
          </w:rPr>
          <w:t>14</w:t>
        </w:r>
        <w:r>
          <w:rPr>
            <w:noProof/>
          </w:rPr>
          <w:fldChar w:fldCharType="end"/>
        </w:r>
      </w:p>
    </w:sdtContent>
  </w:sdt>
  <w:p w:rsidR="006A278B" w:rsidRDefault="006A27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17FA" w:rsidRDefault="00CE17FA" w:rsidP="009A122D">
      <w:pPr>
        <w:spacing w:after="0" w:line="240" w:lineRule="auto"/>
      </w:pPr>
      <w:r>
        <w:separator/>
      </w:r>
    </w:p>
  </w:footnote>
  <w:footnote w:type="continuationSeparator" w:id="0">
    <w:p w:rsidR="00CE17FA" w:rsidRDefault="00CE17F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713C"/>
    <w:rsid w:val="00347C94"/>
    <w:rsid w:val="00354774"/>
    <w:rsid w:val="00360699"/>
    <w:rsid w:val="003657AC"/>
    <w:rsid w:val="00373875"/>
    <w:rsid w:val="00373E6D"/>
    <w:rsid w:val="003757EA"/>
    <w:rsid w:val="0038310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F5091"/>
    <w:rsid w:val="00401E4A"/>
    <w:rsid w:val="00405611"/>
    <w:rsid w:val="00412A85"/>
    <w:rsid w:val="00414AEF"/>
    <w:rsid w:val="004163AF"/>
    <w:rsid w:val="004178FE"/>
    <w:rsid w:val="00435563"/>
    <w:rsid w:val="0043685D"/>
    <w:rsid w:val="00440833"/>
    <w:rsid w:val="00446BDA"/>
    <w:rsid w:val="00453133"/>
    <w:rsid w:val="0045618B"/>
    <w:rsid w:val="00463A01"/>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F4440"/>
    <w:rsid w:val="004F5395"/>
    <w:rsid w:val="00510E20"/>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D72"/>
    <w:rsid w:val="00663378"/>
    <w:rsid w:val="00665310"/>
    <w:rsid w:val="00671C1A"/>
    <w:rsid w:val="006733DF"/>
    <w:rsid w:val="0067436B"/>
    <w:rsid w:val="00683120"/>
    <w:rsid w:val="00683B42"/>
    <w:rsid w:val="006911A5"/>
    <w:rsid w:val="00691767"/>
    <w:rsid w:val="0069770A"/>
    <w:rsid w:val="006A278B"/>
    <w:rsid w:val="006A479B"/>
    <w:rsid w:val="006B774C"/>
    <w:rsid w:val="006C02DB"/>
    <w:rsid w:val="006D14E9"/>
    <w:rsid w:val="006D3220"/>
    <w:rsid w:val="006D5802"/>
    <w:rsid w:val="006D6585"/>
    <w:rsid w:val="006E04FA"/>
    <w:rsid w:val="006F4747"/>
    <w:rsid w:val="00701833"/>
    <w:rsid w:val="007058D2"/>
    <w:rsid w:val="00720682"/>
    <w:rsid w:val="00723F0C"/>
    <w:rsid w:val="00733446"/>
    <w:rsid w:val="00753267"/>
    <w:rsid w:val="00760FC5"/>
    <w:rsid w:val="0077094B"/>
    <w:rsid w:val="00775F58"/>
    <w:rsid w:val="00785EDE"/>
    <w:rsid w:val="007A2944"/>
    <w:rsid w:val="007B25AD"/>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6B5D"/>
    <w:rsid w:val="008A7A0A"/>
    <w:rsid w:val="008E3DFA"/>
    <w:rsid w:val="008E7880"/>
    <w:rsid w:val="008F5983"/>
    <w:rsid w:val="009040D1"/>
    <w:rsid w:val="00915B29"/>
    <w:rsid w:val="00917C32"/>
    <w:rsid w:val="009207F0"/>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853B5"/>
    <w:rsid w:val="00A9277F"/>
    <w:rsid w:val="00A95F28"/>
    <w:rsid w:val="00A96D14"/>
    <w:rsid w:val="00AB0448"/>
    <w:rsid w:val="00AC2BE1"/>
    <w:rsid w:val="00AC498F"/>
    <w:rsid w:val="00AC687F"/>
    <w:rsid w:val="00AC75F5"/>
    <w:rsid w:val="00AD0C7A"/>
    <w:rsid w:val="00AD2B33"/>
    <w:rsid w:val="00AD32AA"/>
    <w:rsid w:val="00AE0B1E"/>
    <w:rsid w:val="00AE42B5"/>
    <w:rsid w:val="00AE4609"/>
    <w:rsid w:val="00AE4A3F"/>
    <w:rsid w:val="00AF1C24"/>
    <w:rsid w:val="00AF5605"/>
    <w:rsid w:val="00AF69B6"/>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359F"/>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17FA"/>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93844F-326D-42D9-AB7F-2098A72C8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8431</TotalTime>
  <Pages>31</Pages>
  <Words>41367</Words>
  <Characters>206835</Characters>
  <Application>Microsoft Office Word</Application>
  <DocSecurity>0</DocSecurity>
  <Lines>1723</Lines>
  <Paragraphs>495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247707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168</cp:revision>
  <dcterms:created xsi:type="dcterms:W3CDTF">2013-08-25T12:42:00Z</dcterms:created>
  <dcterms:modified xsi:type="dcterms:W3CDTF">2013-12-09T13:07:00Z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