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030A5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030A51">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030A51">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030A51">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030A51">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030A5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030A5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030A5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030A5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030A5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030A5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"abstract" : "The frequency of mutants resistant to the antibiotic rifampicin has been shown to increase in aging (starved), compared to young colonies of Eschierchia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"publisher" : "Public Library of Science",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AB4359"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030A51">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030A51">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030A51">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030A51">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030A51">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030A51">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030A51">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030A51">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w:t>
      </w:r>
      <w:r w:rsidR="005B77E2">
        <w:lastRenderedPageBreak/>
        <w:t xml:space="preserve">bacteria </w:t>
      </w:r>
      <w:r>
        <w:t xml:space="preserve">by shifting </w:t>
      </w:r>
      <w:r w:rsidR="00C2015F">
        <w:t>replication</w:t>
      </w:r>
      <w:r>
        <w:t xml:space="preserve"> to error-prone DNA polymerases </w:t>
      </w:r>
      <w:r w:rsidR="00AB4359">
        <w:fldChar w:fldCharType="begin" w:fldLock="1"/>
      </w:r>
      <w:r w:rsidR="00030A5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030A5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030A5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030A5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030A51">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030A51">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030A5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030A51">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3F2D32">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3F2D32">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F2D32">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r w:rsidR="00DA55AA">
              <w:fldChar w:fldCharType="begin"/>
            </w:r>
            <w:r w:rsidR="00DA55AA">
              <w:instrText xml:space="preserve"> SEQ Equation </w:instrText>
            </w:r>
            <w:r w:rsidR="00DA55AA">
              <w:fldChar w:fldCharType="separate"/>
            </w:r>
            <w:r w:rsidRPr="00BA2B02">
              <w:rPr>
                <w:noProof/>
              </w:rPr>
              <w:t>1</w:t>
            </w:r>
            <w:r w:rsidR="00DA55AA">
              <w:rPr>
                <w:noProof/>
              </w:rPr>
              <w:fldChar w:fldCharType="end"/>
            </w:r>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rsidR="00A90051">
        <w:t xml:space="preserve"> 3.5</w:t>
      </w:r>
      <w:r>
        <w:t>.</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030A5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not much stronger than selection – specifically, that the expected number of mutation-free individual</w:t>
      </w:r>
      <w:r w:rsidR="00C37953">
        <w:t>s</w:t>
      </w:r>
      <w:r>
        <w:t xml:space="preserve">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C37953">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evolve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C37953">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and track the number of individuals in each class. The simulations start with a </w:t>
      </w:r>
      <w:r w:rsidR="00C37953">
        <w:t xml:space="preserve">single 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030A51">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r w:rsidR="00DA55AA">
              <w:fldChar w:fldCharType="begin"/>
            </w:r>
            <w:r w:rsidR="00DA55AA">
              <w:instrText xml:space="preserve"> SEQ Equation </w:instrText>
            </w:r>
            <w:r w:rsidR="00DA55AA">
              <w:fldChar w:fldCharType="separate"/>
            </w:r>
            <w:r w:rsidRPr="00BA2B02">
              <w:rPr>
                <w:noProof/>
              </w:rPr>
              <w:t>2</w:t>
            </w:r>
            <w:r w:rsidR="00DA55AA">
              <w:rPr>
                <w:noProof/>
              </w:rPr>
              <w:fldChar w:fldCharType="end"/>
            </w:r>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 xml:space="preserve">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030A51"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4602B">
      <w:pPr>
        <w:spacing w:line="480" w:lineRule="auto"/>
      </w:pPr>
      <w:r>
        <w:t>Appendix 1 i</w:t>
      </w:r>
      <w:r w:rsidR="0084602B">
        <w:t>ncludes full derivations of the above</w:t>
      </w:r>
      <w:r>
        <w:t xml:space="preserve"> formulae. Figure S1 shows a comparison of these approximations with the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030A5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030A5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A90051">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DA55AA">
              <w:fldChar w:fldCharType="begin"/>
            </w:r>
            <w:r w:rsidR="00DA55AA">
              <w:instrText xml:space="preserve"> SEQ Equation </w:instrText>
            </w:r>
            <w:r w:rsidR="00DA55AA">
              <w:fldChar w:fldCharType="separate"/>
            </w:r>
            <w:r>
              <w:rPr>
                <w:noProof/>
              </w:rPr>
              <w:t>7</w:t>
            </w:r>
            <w:r w:rsidR="00DA55AA">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84602B">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sidR="00030A51">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A90051">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and </w:t>
      </w:r>
      <w:r>
        <w:t xml:space="preserve">the adaptation rate with SIM increases </w:t>
      </w:r>
      <w:r>
        <w:rPr>
          <w:rFonts w:eastAsiaTheme="minorEastAsia"/>
          <w:lang w:bidi="hi-IN"/>
        </w:rPr>
        <w:t xml:space="preserve">linearly </w:t>
      </w:r>
      <w:r>
        <w:t xml:space="preserve">with </w:t>
      </w:r>
      <w:r w:rsidRPr="00320207">
        <w:rPr>
          <w:i/>
          <w:iCs/>
        </w:rPr>
        <w:t>τ</w:t>
      </w:r>
      <w:r>
        <w:t>. In addition, b</w:t>
      </w:r>
      <w:r w:rsidR="00323C45">
        <w:t xml:space="preserve">ecause the fixation probability is the same for NM, CM and SIM, the difference in adaptation rate is due to differences in the appearance probability </w:t>
      </w:r>
      <w:r w:rsidR="00323C45">
        <w:rPr>
          <w:i/>
          <w:iCs/>
        </w:rPr>
        <w:t>q</w:t>
      </w:r>
      <w:r w:rsidR="00323C45">
        <w:t xml:space="preserve"> </w:t>
      </w:r>
      <w:r w:rsidR="00323C45" w:rsidRPr="00320207">
        <w:t>(</w:t>
      </w:r>
      <w:r w:rsidR="00323C45">
        <w:t>Figure S1), but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E74930">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w:t>
      </w:r>
      <w:r>
        <w:rPr>
          <w:lang w:bidi="hi-IN"/>
        </w:rPr>
        <w:lastRenderedPageBreak/>
        <w:t xml:space="preserve">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84602B">
        <w:rPr>
          <w:lang w:bidi="hi-IN"/>
        </w:rPr>
        <w:t xml:space="preserve">ar on a deleterious background - </w:t>
      </w:r>
      <w:r>
        <w:rPr>
          <w:i/>
          <w:iCs/>
          <w:lang w:bidi="hi-IN"/>
        </w:rPr>
        <w:t xml:space="preserve">AB/1 </w:t>
      </w:r>
      <w:r>
        <w:t xml:space="preserve">instead of </w:t>
      </w:r>
      <w:r>
        <w:rPr>
          <w:i/>
          <w:iCs/>
        </w:rPr>
        <w:t>AB/0</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 xml:space="preserve">(guaranteed </w:t>
      </w:r>
      <w:r w:rsidR="00335216">
        <w:t xml:space="preserve">when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030A51">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"Smith", "given" : "John Maynard", "non-dropping-particle" : "", "parse-names" : false, "suffix" : "" }, { "dropping-particle" : "", "family" : "Haigh", "given" : "John", "non-dropping-particle" : "", "parse-names" : false, "suffix" : "" } ], "container-title" : "Genetical Research", "id" : "ITEM-1", "issue" : "1", "issued" : { "date-parts" : [ [ "2009", "4", "14" ] ] }, "note" : "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 "page" : "23", "title" : "The hitch-hiking effect of a favourable gene", "type" : "article-journal", "volume" : "23" }, "uris" : [ "http://www.mendeley.com/documents/?uuid=d8c03ac5-ef2c-4615-8c23-f42f7df4833c"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"(Smith and Haigh 2009; Hartfield and Otto 2011)" }, "properties" : { "noteIndex" : 0 }, "schema" : "https://github.com/citation-style-language/schema/raw/master/csl-citation.json" }</w:instrText>
      </w:r>
      <w:r w:rsidR="00335216">
        <w:fldChar w:fldCharType="separate"/>
      </w:r>
      <w:r w:rsidR="00A90051" w:rsidRPr="00A90051">
        <w:rPr>
          <w:noProof/>
        </w:rPr>
        <w:t>(Smith and Haigh 2009;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 xml:space="preserve">Figure S2) </w:t>
      </w:r>
      <w:r w:rsidR="00335216">
        <w:t xml:space="preserve">and </w:t>
      </w:r>
      <w:proofErr w:type="gramStart"/>
      <w:r w:rsidR="00335216">
        <w:t>a lower population mean</w:t>
      </w:r>
      <w:proofErr w:type="gramEnd"/>
      <w:r w:rsidR="00335216">
        <w:t xml:space="preserve"> fitness after adaptation</w:t>
      </w:r>
      <w:r>
        <w:rPr>
          <w:lang w:bidi="hi-IN"/>
        </w:rPr>
        <w:t>.</w:t>
      </w:r>
    </w:p>
    <w:p w:rsidR="005316EE" w:rsidRDefault="005316EE" w:rsidP="00BA3BDB">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w:t>
      </w:r>
      <w:r w:rsidR="00BA3BDB">
        <w:rPr>
          <w:rFonts w:eastAsiaTheme="minorEastAsia"/>
          <w:lang w:bidi="hi-IN"/>
        </w:rPr>
        <w:t xml:space="preserve">ecause </w:t>
      </w:r>
      <w:r w:rsidR="00BA3BDB">
        <w:rPr>
          <w:rFonts w:eastAsiaTheme="minorEastAsia"/>
          <w:lang w:bidi="hi-IN"/>
        </w:rPr>
        <w:t xml:space="preserve">our approximation </w:t>
      </w:r>
      <w:r w:rsidR="00BA3BDB">
        <w:rPr>
          <w:rFonts w:eastAsiaTheme="minorEastAsia"/>
          <w:lang w:bidi="hi-IN"/>
        </w:rPr>
        <w:t>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BA3BDB">
        <w:rPr>
          <w:lang w:bidi="hi-IN"/>
        </w:rPr>
        <w:t>A)</w:t>
      </w:r>
      <w:r w:rsidR="00DD7A57">
        <w:rPr>
          <w:rFonts w:eastAsiaTheme="minorEastAsia"/>
          <w:lang w:bidi="hi-IN"/>
        </w:rPr>
        <w:t>.</w:t>
      </w:r>
      <w:r>
        <w:rPr>
          <w:rFonts w:eastAsiaTheme="minorEastAsia"/>
          <w:lang w:bidi="hi-IN"/>
        </w:rPr>
        <w:t xml:space="preserve"> </w:t>
      </w:r>
      <w:proofErr w:type="gramStart"/>
      <w:r>
        <w:rPr>
          <w:rFonts w:eastAsiaTheme="minorEastAsia"/>
          <w:lang w:bidi="hi-IN"/>
        </w:rPr>
        <w:t>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Pr>
          <w:rFonts w:eastAsiaTheme="minorEastAsia"/>
          <w:lang w:bidi="hi-IN"/>
        </w:rPr>
        <w:t>B).</w:t>
      </w:r>
      <w:proofErr w:type="gramEnd"/>
      <w:r>
        <w:rPr>
          <w:rFonts w:eastAsiaTheme="minorEastAsia"/>
          <w:lang w:bidi="hi-IN"/>
        </w:rPr>
        <w:t xml:space="preserve"> </w:t>
      </w:r>
    </w:p>
    <w:p w:rsidR="005316EE" w:rsidRPr="006418C7" w:rsidRDefault="005316EE" w:rsidP="00BA3BDB">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bookmarkStart w:id="10" w:name="_GoBack"/>
      <w:bookmarkEnd w:id="10"/>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D45CB2">
        <w:rPr>
          <w:lang w:bidi="hi-IN"/>
        </w:rPr>
        <w:t>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C03529">
        <w:rPr>
          <w:lang w:bidi="hi-IN"/>
        </w:rPr>
        <w:t>the rate of complex adaptation</w:t>
      </w:r>
      <w:r w:rsidRPr="00BA2B02">
        <w:rPr>
          <w:lang w:bidi="hi-IN"/>
        </w:rPr>
        <w:t>.</w:t>
      </w:r>
    </w:p>
    <w:p w:rsidR="005316EE" w:rsidRPr="00020A87" w:rsidRDefault="005316EE" w:rsidP="00C03529">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030A5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w:t>
      </w:r>
      <w:r w:rsidR="00C03529">
        <w:rPr>
          <w:lang w:bidi="hi-IN"/>
        </w:rPr>
        <w:t>explain</w:t>
      </w:r>
      <w:r w:rsidRPr="00020A87">
        <w:rPr>
          <w:lang w:bidi="hi-IN"/>
        </w:rPr>
        <w:t xml:space="preserve"> how this model </w:t>
      </w:r>
      <w:r w:rsidR="00C03529">
        <w:rPr>
          <w:lang w:bidi="hi-IN"/>
        </w:rPr>
        <w:t xml:space="preserve">is used </w:t>
      </w:r>
      <w:r w:rsidRPr="00020A87">
        <w:rPr>
          <w:lang w:bidi="hi-IN"/>
        </w:rPr>
        <w:t>to calculate the mean fitness of an asexual population with various mutational strategies.</w:t>
      </w:r>
    </w:p>
    <w:p w:rsidR="005316EE" w:rsidRPr="005950EE" w:rsidRDefault="00DD7A57" w:rsidP="00DD7A57">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5316EE">
        <w:rPr>
          <w:lang w:bidi="hi-IN"/>
        </w:rPr>
        <w:t xml:space="preserve"> -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sidR="005316EE">
        <w:rPr>
          <w:lang w:bidi="hi-IN"/>
        </w:rPr>
        <w:fldChar w:fldCharType="begin" w:fldLock="1"/>
      </w:r>
      <w:r w:rsidR="00030A51">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5316EE">
        <w:rPr>
          <w:lang w:bidi="hi-IN"/>
        </w:rPr>
        <w:fldChar w:fldCharType="separate"/>
      </w:r>
      <w:r w:rsidR="005316EE" w:rsidRPr="005950EE">
        <w:rPr>
          <w:noProof/>
          <w:lang w:bidi="hi-IN"/>
        </w:rPr>
        <w:t>(Lynch et al. 1993)</w:t>
      </w:r>
      <w:r w:rsidR="005316EE">
        <w:rPr>
          <w:lang w:bidi="hi-IN"/>
        </w:rPr>
        <w:fldChar w:fldCharType="end"/>
      </w:r>
      <w:r w:rsidR="005316EE">
        <w:rPr>
          <w:lang w:bidi="hi-IN"/>
        </w:rPr>
        <w:t xml:space="preserve">. </w:t>
      </w:r>
    </w:p>
    <w:p w:rsidR="005316EE" w:rsidRDefault="005316EE" w:rsidP="00BA3BDB">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(compensatory) mutations </w:t>
      </w:r>
      <w:r w:rsidR="00C03529">
        <w:rPr>
          <w:lang w:bidi="hi-IN"/>
        </w:rPr>
        <w:t>can occur</w:t>
      </w:r>
      <w:r w:rsidRPr="00BA2B02">
        <w:rPr>
          <w:lang w:bidi="hi-IN"/>
        </w:rPr>
        <w:t xml:space="preserve"> </w:t>
      </w:r>
      <w:r w:rsidRPr="00BA2B02">
        <w:rPr>
          <w:lang w:bidi="hi-IN"/>
        </w:rPr>
        <w:fldChar w:fldCharType="begin" w:fldLock="1"/>
      </w:r>
      <w:r w:rsidR="00030A5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03529">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fold-increase.</w:t>
      </w:r>
    </w:p>
    <w:p w:rsidR="005316EE" w:rsidRPr="00C03529" w:rsidRDefault="005316EE" w:rsidP="00BA3BDB">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w:t>
      </w:r>
      <w:r w:rsidRPr="00C03529">
        <w:lastRenderedPageBreak/>
        <w:t xml:space="preserve">fitness mainly depends on the mutation rate of fit individuals. In fact, with beneficial mutations the mean fitness with SIM with </w:t>
      </w:r>
      <w:r w:rsidRPr="00C03529">
        <w:rPr>
          <w:i/>
          <w:iCs/>
        </w:rPr>
        <w:t>τ</w:t>
      </w:r>
      <w:r w:rsidRPr="00C03529">
        <w:t xml:space="preserve">=96 is higher than that of NM by </w:t>
      </w:r>
      <w:r w:rsidRPr="00C03529">
        <w:rPr>
          <w:rFonts w:cs="Times New Roman"/>
        </w:rPr>
        <w:t>~</w:t>
      </w:r>
      <w:r w:rsidRPr="00C03529">
        <w:t>3</w:t>
      </w:r>
      <w:r w:rsidRPr="00C03529">
        <w:sym w:font="Symbol" w:char="F0D7"/>
      </w:r>
      <w:r w:rsidRPr="00C03529">
        <w:t>10</w:t>
      </w:r>
      <w:r w:rsidRPr="00C03529">
        <w:rPr>
          <w:vertAlign w:val="superscript"/>
        </w:rPr>
        <w:t>-8</w:t>
      </w:r>
      <w:r w:rsidRPr="00C03529">
        <w:t xml:space="preserve">. </w:t>
      </w:r>
    </w:p>
    <w:p w:rsidR="005316EE" w:rsidRPr="00BA2B02" w:rsidRDefault="005316EE" w:rsidP="005316EE">
      <w:pPr>
        <w:pStyle w:val="Heading2"/>
        <w:spacing w:line="480" w:lineRule="auto"/>
      </w:pPr>
      <w:r w:rsidRPr="00BA2B02">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030A51"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DA55AA">
              <w:fldChar w:fldCharType="begin"/>
            </w:r>
            <w:r w:rsidR="00DA55AA">
              <w:instrText xml:space="preserve"> SEQ Equation </w:instrText>
            </w:r>
            <w:r w:rsidR="00DA55AA">
              <w:fldChar w:fldCharType="separate"/>
            </w:r>
            <w:r w:rsidRPr="00BA2B02">
              <w:rPr>
                <w:noProof/>
              </w:rPr>
              <w:t>9</w:t>
            </w:r>
            <w:r w:rsidR="00DA55AA">
              <w:rPr>
                <w:noProof/>
              </w:rPr>
              <w:fldChar w:fldCharType="end"/>
            </w:r>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030A5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lastRenderedPageBreak/>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030A51"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1"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1"/>
          </w:p>
        </w:tc>
      </w:tr>
    </w:tbl>
    <w:p w:rsidR="005316EE" w:rsidRPr="008F3447" w:rsidRDefault="005316EE" w:rsidP="00030A51">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w:t>
      </w:r>
      <w:r w:rsidR="00030A51">
        <w:t xml:space="preserve"> (with </w:t>
      </w:r>
      <w:r w:rsidR="00030A51" w:rsidRPr="00030A51">
        <w:t xml:space="preserve">s=0.05 and </w:t>
      </w:r>
      <w:r w:rsidR="00030A51" w:rsidRPr="00030A51">
        <w:rPr>
          <w:i/>
          <w:iCs/>
        </w:rPr>
        <w:t>U</w:t>
      </w:r>
      <w:r w:rsidR="00030A51" w:rsidRPr="00030A51">
        <w:t>=0.0004, the average number of delet</w:t>
      </w:r>
      <w:r w:rsidR="00030A51">
        <w:t>erious mutations is 0.99</w:t>
      </w:r>
      <w:r w:rsidR="00030A51">
        <w:rPr>
          <w:rFonts w:ascii="Times New Roman" w:hAnsi="Times New Roman" w:cs="Times New Roman"/>
        </w:rPr>
        <w:t>∙</w:t>
      </w:r>
      <w:r w:rsidR="00030A51">
        <w:rPr>
          <w:i/>
          <w:iCs/>
        </w:rPr>
        <w:t>U/s</w:t>
      </w:r>
      <w:r w:rsidR="00030A51" w:rsidRPr="00030A51">
        <w:t xml:space="preserve"> after 90 generations</w:t>
      </w:r>
      <w:r w:rsidR="00030A51">
        <w:t xml:space="preserve"> </w:t>
      </w:r>
      <w:r w:rsidR="00030A51">
        <w:fldChar w:fldCharType="begin" w:fldLock="1"/>
      </w:r>
      <w:r w:rsidR="00030A51">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30A51">
        <w:fldChar w:fldCharType="separate"/>
      </w:r>
      <w:r w:rsidR="00030A51" w:rsidRPr="00030A51">
        <w:rPr>
          <w:noProof/>
        </w:rPr>
        <w:t>(Gordo and Dionisio 2005)</w:t>
      </w:r>
      <w:r w:rsidR="00030A51">
        <w:fldChar w:fldCharType="end"/>
      </w:r>
      <w:r w:rsidR="00030A51">
        <w:t>)</w:t>
      </w:r>
      <w:r w:rsidR="00B1563A">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w:t>
      </w:r>
      <w:r w:rsidR="00952769">
        <w:t>.</w:t>
      </w:r>
      <w:r w:rsidR="00A90051">
        <w:t xml:space="preserve"> </w:t>
      </w:r>
      <w:r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030A51"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2" w:name="_Ref361310097"/>
            <w:r w:rsidRPr="008F3447">
              <w:t>(</w:t>
            </w:r>
            <w:r w:rsidR="00DA55AA">
              <w:fldChar w:fldCharType="begin"/>
            </w:r>
            <w:r w:rsidR="00DA55AA">
              <w:instrText xml:space="preserve"> SEQ Equation </w:instrText>
            </w:r>
            <w:r w:rsidR="00DA55AA">
              <w:fldChar w:fldCharType="separate"/>
            </w:r>
            <w:r w:rsidRPr="008F3447">
              <w:rPr>
                <w:noProof/>
              </w:rPr>
              <w:t>11</w:t>
            </w:r>
            <w:r w:rsidR="00DA55AA">
              <w:rPr>
                <w:noProof/>
              </w:rPr>
              <w:fldChar w:fldCharType="end"/>
            </w:r>
            <w:r w:rsidRPr="008F3447">
              <w:t>)</w:t>
            </w:r>
            <w:bookmarkEnd w:id="12"/>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3" w:name="_Ref374377810"/>
      <w:r w:rsidRPr="008F3447">
        <w:t>Possible relationships between stress and mutation</w:t>
      </w:r>
      <w:bookmarkEnd w:id="13"/>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030A51">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t>
      </w:r>
      <w:r>
        <w:rPr>
          <w:lang w:bidi="hi-IN"/>
        </w:rPr>
        <w:lastRenderedPageBreak/>
        <w:t xml:space="preserve">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4"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4"/>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w:t>
      </w:r>
      <w:r w:rsidRPr="00020A87">
        <w:rPr>
          <w:lang w:bidi="hi-IN"/>
        </w:rPr>
        <w:lastRenderedPageBreak/>
        <w:t xml:space="preserve">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disfavored or favored by selection over the initial strategy. We calculated this statistical significance using a 1-sample 2-tailed t-test.</w:t>
      </w: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B1563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030A5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p>
    <w:p w:rsidR="00A67023" w:rsidRPr="00BA2B02" w:rsidRDefault="00C023C7" w:rsidP="00E9784D">
      <w:pPr>
        <w:spacing w:line="480" w:lineRule="auto"/>
        <w:rPr>
          <w:lang w:bidi="hi-IN"/>
        </w:rPr>
      </w:pPr>
      <w:r>
        <w:rPr>
          <w:lang w:bidi="hi-IN"/>
        </w:rPr>
        <w:lastRenderedPageBreak/>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030A5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DD7A57">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030A5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030A51">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w:t>
      </w:r>
      <w:r w:rsidR="00ED111F" w:rsidRPr="00BA2B02">
        <w:rPr>
          <w:lang w:bidi="hi-IN"/>
        </w:rPr>
        <w:lastRenderedPageBreak/>
        <w:t xml:space="preserve">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030A51">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030A51">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030A51">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030A5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030A5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xml:space="preserve">? Wright suggested </w:t>
      </w:r>
      <w:r w:rsidRPr="00B37F95">
        <w:rPr>
          <w:lang w:bidi="hi-IN"/>
        </w:rPr>
        <w:lastRenderedPageBreak/>
        <w:t>the "shiftin</w:t>
      </w:r>
      <w:r>
        <w:rPr>
          <w:lang w:bidi="hi-IN"/>
        </w:rPr>
        <w:t xml:space="preserve">g-balance theory of evolution" </w:t>
      </w:r>
      <w:r w:rsidR="00AB4359">
        <w:rPr>
          <w:lang w:bidi="hi-IN"/>
        </w:rPr>
        <w:fldChar w:fldCharType="begin" w:fldLock="1"/>
      </w:r>
      <w:r w:rsidR="00030A5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030A5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030A5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030A51">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030A51">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030A51">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030A51">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030A51">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030A51">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030A5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030A51">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EE7A17">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030A5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w:t>
      </w:r>
      <w:r>
        <w:rPr>
          <w:lang w:bidi="hi-IN"/>
        </w:rPr>
        <w:lastRenderedPageBreak/>
        <w:t xml:space="preserve">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030A51" w:rsidRPr="00030A51" w:rsidRDefault="00AB4359">
      <w:pPr>
        <w:pStyle w:val="NormalWeb"/>
        <w:divId w:val="1580745679"/>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30A51" w:rsidRPr="00030A51">
        <w:rPr>
          <w:rFonts w:ascii="Palatino Linotype" w:hAnsi="Palatino Linotype"/>
          <w:noProof/>
          <w:sz w:val="22"/>
        </w:rPr>
        <w:t>Agrawal, A. F. 2002. Genetic loads under fitness-dependent mutation rates. J. Evol. Biol. 15:1004–1010.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Berg, O. G. 1996. Selection intensity for codon bias and the effective population size of </w:t>
      </w:r>
      <w:r w:rsidRPr="00030A51">
        <w:rPr>
          <w:rFonts w:ascii="Palatino Linotype" w:hAnsi="Palatino Linotype"/>
          <w:i/>
          <w:iCs/>
          <w:noProof/>
          <w:sz w:val="22"/>
        </w:rPr>
        <w:t>Escherichia coli</w:t>
      </w:r>
      <w:r w:rsidRPr="00030A51">
        <w:rPr>
          <w:rFonts w:ascii="Palatino Linotype" w:hAnsi="Palatino Linotype"/>
          <w:noProof/>
          <w:sz w:val="22"/>
        </w:rPr>
        <w:t>. Genetics 142:1379–82.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Bjedov, I., O. Tenaillon, B. Gérard, V. Souza, E. Denamur, M. Radman, F. Taddei, and I. Matic. 2003. Stress-induced mutagenesis in bacteria. Science 300:1404–9.</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Bristow, R. G., and R. P. Hill. 2008. Hypoxia and metabolism: Hypoxia, DNA repair and genetic instability. Nat. Rev. Cancer 8:180–92.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Cairns, J., J. Overbaugh, and S. Miller. 1988. The origin of mutants. Nature 335:142–5.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lastRenderedPageBreak/>
        <w:t>Cirz, R. T., and F. E. Romesberg. 2007. Controlling mutation: intervening in evolution as a therapeutic strategy. Crit. Rev. Biochem. Mol. Biol. 42:341–54.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Coyne, J. A., N. H. Barton, and M. Turelli. 2000. Is Wright’s shifting balance process important in evolution? Evolution 54:306–317.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Crow, J. F., W. R. Engels, and C. Denniston. 1990. Phase Three of Wright’s Shifting-Balance Theory. Evolution 44:233.</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Dawson, K. J. 1998. Evolutionarily stable mutation rates. J. Theor. Biol. 194:143–57.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De Visser, J. A. G. M. 2002. The fate of microbial mutators. Microbiology 148:1247–52.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Debora, B. N., L. E. Vidales, R. Ramírez, M. Ramírez, E. A. Robleto, R. E. Yasbin, and M. Pedraza-Reyes. 2010. Mismatch Repair Modulation of MutY Activity Drives </w:t>
      </w:r>
      <w:r w:rsidRPr="00030A51">
        <w:rPr>
          <w:rFonts w:ascii="Palatino Linotype" w:hAnsi="Palatino Linotype"/>
          <w:i/>
          <w:iCs/>
          <w:noProof/>
          <w:sz w:val="22"/>
        </w:rPr>
        <w:t>Bacillus subtilis</w:t>
      </w:r>
      <w:r w:rsidRPr="00030A51">
        <w:rPr>
          <w:rFonts w:ascii="Palatino Linotype" w:hAnsi="Palatino Linotype"/>
          <w:noProof/>
          <w:sz w:val="22"/>
        </w:rPr>
        <w:t xml:space="preserve"> Stationary-Phase Mutagenesis. J. Bacteriol. 193:236–45.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Denamur, E., and I. Matic. 2006. Evolution of mutation rates in bacteria. Mol. Microbiol. 60:820–7.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Drake, J. W., B. Charlesworth, D. Charlesworth, and J. F. Crow. 1998. Rates of spontaneous mutation. Genetics 148:1667–86.</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Fisher, R. A. 1930. The Genetical Theory of Natural Selection. Clarendon Press, Oxford.</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Foster, P. L. 2007. Stress-induced mutagenesis in bacteria. Crit. Rev. Biochem. Mol. Biol. 42:373–97.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Funchain, P., A. Yeung, J. L. Stewart, R. Lin, M. M. Slupska, and J. H. Miller. 2000. The consequences of growth of a mutator strain of </w:t>
      </w:r>
      <w:r w:rsidRPr="00030A51">
        <w:rPr>
          <w:rFonts w:ascii="Palatino Linotype" w:hAnsi="Palatino Linotype"/>
          <w:i/>
          <w:iCs/>
          <w:noProof/>
          <w:sz w:val="22"/>
        </w:rPr>
        <w:t>Escherichia coli</w:t>
      </w:r>
      <w:r w:rsidRPr="00030A51">
        <w:rPr>
          <w:rFonts w:ascii="Palatino Linotype" w:hAnsi="Palatino Linotype"/>
          <w:noProof/>
          <w:sz w:val="22"/>
        </w:rPr>
        <w:t xml:space="preserve"> as measured by loss of function among multiple gene targets and loss of fitness. Genetics 154:959–70.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Galhardo, R. S., P. J. Hastings, and S. M. Rosenberg. 2007. Mutation as a stress response and the regulation of evolvability. Crit. Rev. Biochem. Mol. Biol. 42:399–435.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Gavrilets, S. 1996. On phase three of the shifting-balance theory. Evolution 50:1034–1041.</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Gentile, C. F., S.-C. Yu, S. A. Serrano, P. J. Gerrish, and P. D. Sniegowski. 2011. Competition between high- and higher-mutating strains of </w:t>
      </w:r>
      <w:r w:rsidRPr="00030A51">
        <w:rPr>
          <w:rFonts w:ascii="Palatino Linotype" w:hAnsi="Palatino Linotype"/>
          <w:i/>
          <w:iCs/>
          <w:noProof/>
          <w:sz w:val="22"/>
        </w:rPr>
        <w:t>Escherichia coli</w:t>
      </w:r>
      <w:r w:rsidRPr="00030A51">
        <w:rPr>
          <w:rFonts w:ascii="Palatino Linotype" w:hAnsi="Palatino Linotype"/>
          <w:noProof/>
          <w:sz w:val="22"/>
        </w:rPr>
        <w:t>. Biol. Lett. 7:422–4.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lastRenderedPageBreak/>
        <w:t>Giraud, A., I. Matic, O. Tenaillon, A. Clara, M. Radman, M. Fons, and F. Taddei. 2001a. Costs and benefits of high mutation rates: adaptive evolution of bacteria in the mouse gut. Science 291:2606–8.</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Giraud, A., M. Radman, I. Matic, and F. Taddei. 2001b. The rise and fall of mutator bacteria. Curr. Opin. Microbiol. 4:582–585.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Goho, S., and G. Bell. 2000. Mild environmental stress elicits mutations affecting fitness in Chlamydomonas. Proc. R. Soc. B Biol. Sci. 267:123–9.</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Gordo, I., and F. Dionisio. 2005. Nonequilibrium model for estimating parameters of deleterious mutations. Phys. Rev. E 71:18–21.</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Gordo, I., L. Perfeito, and A. Sousa. 2011. Fitness effects of mutations in bacteria. J. Mol. Microbiol. Biotechnol. 21:20–35.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Hadany, L. 2003. Adaptive peak shifts in a heterogenous environment. Theor. Popul. Biol. 63:41–51.</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Hadany, L., and T. Beker. 2003. Fitness-associated recombination on rugged adaptive landscapes. J. Evol. Biol. 16:862–870.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Haigh, J. 1978. The accumulation of deleterious genes in a population - Muller’s Ratchet. Theor. Popul. Biol. 14:251–267.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Hall, L. M. C., and S. K. Henderson-Begg. 2006. Hypermutable bacteria isolated from humans--a critical analysis. Microbiology 152:2505–14.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Hartfield, M., and S. P. Otto. 2011. Recombination and hitchhiking of deleterious alleles. Evolution 65:2421–34.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Heidenreich, E. 2007. Adaptive mutation in </w:t>
      </w:r>
      <w:r w:rsidRPr="00030A51">
        <w:rPr>
          <w:rFonts w:ascii="Palatino Linotype" w:hAnsi="Palatino Linotype"/>
          <w:i/>
          <w:iCs/>
          <w:noProof/>
          <w:sz w:val="22"/>
        </w:rPr>
        <w:t>Saccharomyces cerevisiae</w:t>
      </w:r>
      <w:r w:rsidRPr="00030A51">
        <w:rPr>
          <w:rFonts w:ascii="Palatino Linotype" w:hAnsi="Palatino Linotype"/>
          <w:noProof/>
          <w:sz w:val="22"/>
        </w:rPr>
        <w:t>. Crit. Rev. Biochem. Mol. Biol. 42:285–311.</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Henderson-Begg, S. K., D. M. Livermore, and L. M. C. Hall. 2006. Effect of subinhibitory concentrations of antibiotics on mutation frequency in </w:t>
      </w:r>
      <w:r w:rsidRPr="00030A51">
        <w:rPr>
          <w:rFonts w:ascii="Palatino Linotype" w:hAnsi="Palatino Linotype"/>
          <w:i/>
          <w:iCs/>
          <w:noProof/>
          <w:sz w:val="22"/>
        </w:rPr>
        <w:t>Streptococcus pneumoniae</w:t>
      </w:r>
      <w:r w:rsidRPr="00030A51">
        <w:rPr>
          <w:rFonts w:ascii="Palatino Linotype" w:hAnsi="Palatino Linotype"/>
          <w:noProof/>
          <w:sz w:val="22"/>
        </w:rPr>
        <w:t>. J. Antimicrob. Chemother. 57:849–54.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Johnson, T., and N. H. Barton. 2002. The effect of deleterious alleles on adaptation in asexual populations. Genetics 162:395–411.</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Kang, J. M., N. M. Iovine, and M. J. Blaser. 2006. A paradigm for direct stress-induced mutation in prokaryotes. FASEB J. 20:2476–85.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Katz, S., and R. Hershberg. 2013. Elevated Mutagenesis Does Not Explain the Increased Frequency of Antibiotic Resistant Mutants in Starved Aging Colonies. PLoS Genet. 9:e1003968. Public Library of Science.</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lastRenderedPageBreak/>
        <w:t>Kessler, D. A., and H. Levine. 1998. Mutator Dynamics on a Smooth Evolutionary Landscape. Phys. Rev. Lett. 80:2012–2015.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Kibota, T. T., and M. Lynch. 1996. Estimate of the genomic mutation rate deleterious to overall fitness in </w:t>
      </w:r>
      <w:r w:rsidRPr="00030A51">
        <w:rPr>
          <w:rFonts w:ascii="Palatino Linotype" w:hAnsi="Palatino Linotype"/>
          <w:i/>
          <w:iCs/>
          <w:noProof/>
          <w:sz w:val="22"/>
        </w:rPr>
        <w:t>E. coli</w:t>
      </w:r>
      <w:r w:rsidRPr="00030A51">
        <w:rPr>
          <w:rFonts w:ascii="Palatino Linotype" w:hAnsi="Palatino Linotype"/>
          <w:noProof/>
          <w:sz w:val="22"/>
        </w:rPr>
        <w:t>. Nature 381:694–6.</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Kimura, M. 1967. On the evolutionary adjustment of spontaneous mutation rates. Genet. Res. 9:23–34.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Kivisaar, M. 2010. Mechanisms of stationary-phase mutagenesis in bacteria: mutational processes in pseudomonads. FEMS Microbiol. Lett. 312:1–14.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Leigh, E. G. J. 1970. Natural Selection and Mutability. Am. Nat. 104:301–305.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Liberman, U., and M. W. Feldman. 1986. Modifiers of mutation rate: a general reduction principle. Theor. Popul. Biol. 30:125–42.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Loh, E., J. J. Salk, and L. A. Loeb. 2010. Optimization of DNA polymerase mutation rates during bacterial evolution. Proc. Natl. Acad. Sci. 107:1154–9.</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Lynch, M., R. Bürger, D. Butcher, and W. Gabriel. 1993. The mutational meltdown in asexual populations. J. Hered. 84:339–44.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Matsuba, C., D. G. Ostrow, M. P. Salomon, A. Tolani, and C. F. Baer. 2012. Temperature, stress and spontaneous mutation in </w:t>
      </w:r>
      <w:r w:rsidRPr="00030A51">
        <w:rPr>
          <w:rFonts w:ascii="Palatino Linotype" w:hAnsi="Palatino Linotype"/>
          <w:i/>
          <w:iCs/>
          <w:noProof/>
          <w:sz w:val="22"/>
        </w:rPr>
        <w:t>Caenorhabditis briggsae</w:t>
      </w:r>
      <w:r w:rsidRPr="00030A51">
        <w:rPr>
          <w:rFonts w:ascii="Palatino Linotype" w:hAnsi="Palatino Linotype"/>
          <w:noProof/>
          <w:sz w:val="22"/>
        </w:rPr>
        <w:t xml:space="preserve"> and </w:t>
      </w:r>
      <w:r w:rsidRPr="00030A51">
        <w:rPr>
          <w:rFonts w:ascii="Palatino Linotype" w:hAnsi="Palatino Linotype"/>
          <w:i/>
          <w:iCs/>
          <w:noProof/>
          <w:sz w:val="22"/>
        </w:rPr>
        <w:t>Caenorhabditis elegans</w:t>
      </w:r>
      <w:r w:rsidRPr="00030A51">
        <w:rPr>
          <w:rFonts w:ascii="Palatino Linotype" w:hAnsi="Palatino Linotype"/>
          <w:noProof/>
          <w:sz w:val="22"/>
        </w:rPr>
        <w:t>. Biol. Lett. 8–12.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Montanari, S., A. Oliver, P. Salerno, A. Mena, G. Bertoni, B. Tümmler, L. Cariani, M. Conese, G. Döring, and A. Bragonzi. 2007. Biological cost of hypermutation in </w:t>
      </w:r>
      <w:r w:rsidRPr="00030A51">
        <w:rPr>
          <w:rFonts w:ascii="Palatino Linotype" w:hAnsi="Palatino Linotype"/>
          <w:i/>
          <w:iCs/>
          <w:noProof/>
          <w:sz w:val="22"/>
        </w:rPr>
        <w:t>Pseudomonas aeruginosa</w:t>
      </w:r>
      <w:r w:rsidRPr="00030A51">
        <w:rPr>
          <w:rFonts w:ascii="Palatino Linotype" w:hAnsi="Palatino Linotype"/>
          <w:noProof/>
          <w:sz w:val="22"/>
        </w:rPr>
        <w:t xml:space="preserve"> strains from patients with cystic fibrosis. Microbiology 153:1445–54.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Moore, F. B.-G., and S. J. Tonsor. 1994. A Simulation of Wright’s Shifting-Balance Process: Migration and the Three Phases. Evolution 48:69.</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Obolski, U., and L. Hadany. 2012. Implications of stress-induced genetic variation for minimizing multidrug resistance in bacteria. BMC Med. 10:1–30.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Peck, S. L., S. P. Ellner, and F. Gould. 2000. Varying migration and deme size and the feasibility of the shifting balance. Evolution 54:324–7.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Ponder, R. G., N. C. Fonville, and S. M. Rosenberg. 2005. A switch from high-fidelity to error-prone DNA double-strand break repair underlies stress-induced mutation. Mol. Cell 19:791–804.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lastRenderedPageBreak/>
        <w:t xml:space="preserve">Pupo, G. M., and B. J. Richardson. 1995. Biochemical genetics of a natural population of </w:t>
      </w:r>
      <w:r w:rsidRPr="00030A51">
        <w:rPr>
          <w:rFonts w:ascii="Palatino Linotype" w:hAnsi="Palatino Linotype"/>
          <w:i/>
          <w:iCs/>
          <w:noProof/>
          <w:sz w:val="22"/>
        </w:rPr>
        <w:t>Escherichia coli</w:t>
      </w:r>
      <w:r w:rsidRPr="00030A51">
        <w:rPr>
          <w:rFonts w:ascii="Palatino Linotype" w:hAnsi="Palatino Linotype"/>
          <w:noProof/>
          <w:sz w:val="22"/>
        </w:rPr>
        <w:t>: seasonal changes in alleles and haplotypes. Microbiology 141:1037–44.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Ram, Y., and L. Hadany. 2012. The evolution of stress-induced hypermutation in asexual populations. Evolution 66:2315–28.</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Rodriguez, G. P., N. V Romanova, G. Bao, N. C. Rouf, Y. W. Kow, and G. F. Crouse. 2012. Mismatch repair-dependent mutagenesis in nondividing cells. Proc. Natl. Acad. Sci. 109:6153–8.</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Rosenberg, S. M., C. Shee, R. L. Frisch, and P. J. Hastings. 2012. Stress-induced mutation via DNA breaks in </w:t>
      </w:r>
      <w:r w:rsidRPr="00030A51">
        <w:rPr>
          <w:rFonts w:ascii="Palatino Linotype" w:hAnsi="Palatino Linotype"/>
          <w:i/>
          <w:iCs/>
          <w:noProof/>
          <w:sz w:val="22"/>
        </w:rPr>
        <w:t>Escherichia coli</w:t>
      </w:r>
      <w:r w:rsidRPr="00030A51">
        <w:rPr>
          <w:rFonts w:ascii="Palatino Linotype" w:hAnsi="Palatino Linotype"/>
          <w:noProof/>
          <w:sz w:val="22"/>
        </w:rPr>
        <w:t>: A molecular mechanism with implications for evolution and medicine. BioEssays 1–8.</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Schrag, S. J., V. Perrot, and B. R. Levin. 1997. Adaptation to the fitness costs of antibiotic resistance in </w:t>
      </w:r>
      <w:r w:rsidRPr="00030A51">
        <w:rPr>
          <w:rFonts w:ascii="Palatino Linotype" w:hAnsi="Palatino Linotype"/>
          <w:i/>
          <w:iCs/>
          <w:noProof/>
          <w:sz w:val="22"/>
        </w:rPr>
        <w:t>Escherichia coli</w:t>
      </w:r>
      <w:r w:rsidRPr="00030A51">
        <w:rPr>
          <w:rFonts w:ascii="Palatino Linotype" w:hAnsi="Palatino Linotype"/>
          <w:noProof/>
          <w:sz w:val="22"/>
        </w:rPr>
        <w:t>. Proc. Biol. Sci. 264:1287–91.</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Sharp, N. P., and A. F. Agrawal. 2012. Evidence for elevated mutation rates in low-quality genotypes. Proc. Natl. Acad. Sci. 109:6142–6.</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Shaw, F. H., and C. F. Baer. 2011. Fitness-dependent mutation rates in finite populations. J. Evol. Biol. 24:1677–84.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Shee, C., J. L. Gibson, M. C. Darrow, C. Gonzalez, and S. M. Rosenberg. 2011. Impact of a stress-inducible switch to mutagenic repair of DNA breaks on mutation in </w:t>
      </w:r>
      <w:r w:rsidRPr="00030A51">
        <w:rPr>
          <w:rFonts w:ascii="Palatino Linotype" w:hAnsi="Palatino Linotype"/>
          <w:i/>
          <w:iCs/>
          <w:noProof/>
          <w:sz w:val="22"/>
        </w:rPr>
        <w:t>Escherichia coli</w:t>
      </w:r>
      <w:r w:rsidRPr="00030A51">
        <w:rPr>
          <w:rFonts w:ascii="Palatino Linotype" w:hAnsi="Palatino Linotype"/>
          <w:noProof/>
          <w:sz w:val="22"/>
        </w:rPr>
        <w:t>. Proc. Natl. Acad. Sci. 108:13659–13664.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Shor, E., C. a. Fox, and J. R. Broach. 2013. The yeast environmental stress response regulates mutagenesis induced by proteotoxic stress. PLoS Genet. 9:e1003680.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Smith, J. M., and J. Haigh. 2009. The hitch-hiking effect of a favourable gene. Genet. Res. 23:23.</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Sniegowski, P. D., P. J. Gerrish, T. Johnson, and A. Shaver. 2000. The evolution of mutation rates: separating causes from consequences. BioEssays 22:1057–66.</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Sniegowski, P. D., P. J. Gerrish, and R. E. Lenski. 1997. Evolution of high mutation rates in experimental populations of E. coli. Nature 387:703–5.</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Taddei, F., M. Radman, J. Maynard Smith, B. Toupance, P.-H. Gouyon, and B. Godelle. 1997. Role of mutator alleles in adaptive evolution. Nature 387:700–2.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Tenaillon, O., E. Denamur, and I. Matic. 2004. Evolutionary significance of stress-induced mutagenesis in bacteria. Trends Microbiol. 12:264–70.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lastRenderedPageBreak/>
        <w:t>Tenaillon, O., H. Le Nagard, B. Godelle, and F. Taddei. 2000. Mutators and sex in bacteria: conflict between adaptive strategies. Proc. Natl. Acad. Sci. 97:10465–70.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Wade, M. J., and C. J. Goodnight. 1991. Wright’s shifting balance theory: an experimental study. Science 253:1015–8.</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Weinreich, D. M., and L. Chao. 2005. Rapid evolutionary escape by large populations from local fitness peaks is likely in nature. Evolution 59:1175–82.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Weissman, D. B., M. W. Feldman, and D. S. Fisher. 2010. The rate of fitness-valley crossing in sexual populations. Genetics 186:1389–410.</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Whitlock, M. C. 1997. Founder effects and peak shifts without genetic drift: adaptive peak shifts occur easily when environments fluctuate slightly. Evolution 51:1044.</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Whitlock, M. C. 1995. Variance-induced peak shifts. Evolution 49:252.</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Whitlock, M. C., and P. C. Phillips. 2000. The exquisite corpse: a shifting view of the shifting balance. Trends Ecol. Evol. 15:347–348.</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030A51">
        <w:rPr>
          <w:rFonts w:ascii="Palatino Linotype" w:hAnsi="Palatino Linotype"/>
          <w:i/>
          <w:iCs/>
          <w:noProof/>
          <w:sz w:val="22"/>
        </w:rPr>
        <w:t>Escherichia coli</w:t>
      </w:r>
      <w:r w:rsidRPr="00030A51">
        <w:rPr>
          <w:rFonts w:ascii="Palatino Linotype" w:hAnsi="Palatino Linotype"/>
          <w:noProof/>
          <w:sz w:val="22"/>
        </w:rPr>
        <w:t>. G3 1:183–186.</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Wright, S. 1931. Evolution in Mendelian Populations. Genetics 16:97–159.</w:t>
      </w:r>
    </w:p>
    <w:p w:rsidR="00030A51" w:rsidRPr="00030A51" w:rsidRDefault="00030A51">
      <w:pPr>
        <w:pStyle w:val="NormalWeb"/>
        <w:divId w:val="1580745679"/>
        <w:rPr>
          <w:rFonts w:ascii="Palatino Linotype" w:hAnsi="Palatino Linotype"/>
          <w:noProof/>
          <w:sz w:val="22"/>
        </w:rPr>
      </w:pPr>
      <w:r w:rsidRPr="00030A51">
        <w:rPr>
          <w:rFonts w:ascii="Palatino Linotype" w:hAnsi="Palatino Linotype"/>
          <w:noProof/>
          <w:sz w:val="22"/>
        </w:rPr>
        <w:t xml:space="preserve">Wright, S. 1988. Surfaces of selective value revisited. Am. Nat. 131:115–123. </w:t>
      </w:r>
    </w:p>
    <w:p w:rsidR="002E3785" w:rsidRDefault="00AB4359" w:rsidP="00030A51">
      <w:pPr>
        <w:pStyle w:val="NormalWeb"/>
        <w:divId w:val="1786607854"/>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030A51"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030A51"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030A51"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030A51"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030A5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030A5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952769">
        <w:rPr>
          <w:lang w:bidi="hi-IN"/>
        </w:rPr>
        <w:t xml:space="preserve"> </w:t>
      </w:r>
      <w:r w:rsidR="00952769">
        <w:t xml:space="preserve">(also see a technical note by Johnson and Barton </w:t>
      </w:r>
      <w:r w:rsidR="00952769">
        <w:fldChar w:fldCharType="begin" w:fldLock="1"/>
      </w:r>
      <w:r w:rsidR="00030A51">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"suppress-author" : 1, "uris" : [ "http://www.mendeley.com/documents/?uuid=f3941c3a-3bc1-4b60-92ac-7986875fd4c6" ] } ], "mendeley" : { "previouslyFormattedCitation" : "(2002)" }, "properties" : { "noteIndex" : 0 }, "schema" : "https://github.com/citation-style-language/schema/raw/master/csl-citation.json" }</w:instrText>
      </w:r>
      <w:r w:rsidR="00952769">
        <w:fldChar w:fldCharType="separate"/>
      </w:r>
      <w:r w:rsidR="00952769" w:rsidRPr="00952769">
        <w:rPr>
          <w:noProof/>
        </w:rPr>
        <w:t>(2002)</w:t>
      </w:r>
      <w:r w:rsidR="00952769">
        <w:fldChar w:fldCharType="end"/>
      </w:r>
      <w:r w:rsidR="00952769">
        <w:t>)</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030A51"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w:t>
      </w:r>
      <w:r w:rsidR="0025521D">
        <w:t xml:space="preserve"> legend</w:t>
      </w:r>
      <w:r>
        <w:t>s</w:t>
      </w:r>
    </w:p>
    <w:p w:rsidR="0027326A" w:rsidRDefault="0027326A" w:rsidP="0027326A">
      <w:pPr>
        <w:pStyle w:val="FigureLegend"/>
        <w:spacing w:line="480" w:lineRule="auto"/>
        <w:rPr>
          <w:b/>
          <w:bCs/>
          <w:sz w:val="20"/>
          <w:szCs w:val="20"/>
        </w:rPr>
      </w:pPr>
      <w:bookmarkStart w:id="21" w:name="_Ref354316371"/>
      <w:r>
        <w:rPr>
          <w:b/>
          <w:bCs/>
          <w:noProof/>
          <w:sz w:val="20"/>
          <w:szCs w:val="20"/>
        </w:rPr>
        <w:drawing>
          <wp:inline distT="0" distB="0" distL="0" distR="0" wp14:anchorId="49E23B63" wp14:editId="070D0F5F">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1</w:t>
      </w:r>
      <w:r w:rsidR="00AB4359"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2" w:name="_Ref360183592"/>
      <w:r>
        <w:rPr>
          <w:sz w:val="20"/>
          <w:szCs w:val="20"/>
        </w:rPr>
        <w:lastRenderedPageBreak/>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1B137127" wp14:editId="53E89D23">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2</w:t>
      </w:r>
      <w:r w:rsidR="00AB4359" w:rsidRPr="00733307">
        <w:rPr>
          <w:b/>
          <w:bCs/>
          <w:sz w:val="20"/>
          <w:szCs w:val="20"/>
        </w:rPr>
        <w:fldChar w:fldCharType="end"/>
      </w:r>
      <w:bookmarkEnd w:id="22"/>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A90051">
        <w:rPr>
          <w:sz w:val="20"/>
          <w:szCs w:val="20"/>
        </w:rPr>
        <w:t xml:space="preserve"> 3.5</w:t>
      </w:r>
      <w:r w:rsidR="00CF2478">
        <w:rPr>
          <w:sz w:val="20"/>
          <w:szCs w:val="20"/>
        </w:rPr>
        <w:t>)</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BA3BDB" w:rsidRDefault="00BA3BDB">
      <w:pPr>
        <w:spacing w:after="200" w:line="276" w:lineRule="auto"/>
        <w:rPr>
          <w:b/>
          <w:bCs/>
          <w:noProof/>
          <w:sz w:val="20"/>
          <w:szCs w:val="20"/>
        </w:rPr>
      </w:pPr>
      <w:r>
        <w:rPr>
          <w:b/>
          <w:bCs/>
          <w:noProof/>
          <w:sz w:val="20"/>
          <w:szCs w:val="20"/>
        </w:rPr>
        <w:br w:type="page"/>
      </w:r>
    </w:p>
    <w:p w:rsidR="00BA3BDB" w:rsidRDefault="00BA3BDB" w:rsidP="00BA3BDB">
      <w:pPr>
        <w:keepNext/>
        <w:spacing w:line="480" w:lineRule="auto"/>
      </w:pPr>
      <w:r>
        <w:rPr>
          <w:b/>
          <w:bCs/>
          <w:noProof/>
          <w:sz w:val="20"/>
          <w:szCs w:val="20"/>
        </w:rPr>
        <w:lastRenderedPageBreak/>
        <w:drawing>
          <wp:inline distT="0" distB="0" distL="0" distR="0" wp14:anchorId="1DE13BDB" wp14:editId="64C208DD">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BA3BDB" w:rsidRPr="00886250" w:rsidRDefault="00BA3BDB" w:rsidP="00BA3BDB">
      <w:pPr>
        <w:spacing w:line="480" w:lineRule="auto"/>
        <w:rPr>
          <w:noProof/>
          <w:sz w:val="20"/>
          <w:szCs w:val="20"/>
        </w:rPr>
      </w:pPr>
      <w:bookmarkStart w:id="23"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sidRPr="00BA3BDB">
        <w:rPr>
          <w:b/>
          <w:bCs/>
          <w:sz w:val="20"/>
          <w:szCs w:val="20"/>
        </w:rPr>
        <w:t>3</w:t>
      </w:r>
      <w:r w:rsidRPr="00BA3BDB">
        <w:rPr>
          <w:b/>
          <w:bCs/>
          <w:sz w:val="20"/>
          <w:szCs w:val="20"/>
        </w:rPr>
        <w:fldChar w:fldCharType="end"/>
      </w:r>
      <w:bookmarkEnd w:id="2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NM (</w:t>
      </w:r>
      <w:r w:rsidRPr="00886250">
        <w:rPr>
          <w:i/>
          <w:iCs/>
          <w:sz w:val="20"/>
          <w:szCs w:val="20"/>
        </w:rPr>
        <w:t>τ</w:t>
      </w:r>
      <w:r w:rsidRPr="00886250">
        <w:rPr>
          <w:sz w:val="20"/>
          <w:szCs w:val="20"/>
        </w:rPr>
        <w:t>=1 and a black circle) is normal mutagenesis; CM (</w:t>
      </w:r>
      <w:r>
        <w:rPr>
          <w:sz w:val="20"/>
          <w:szCs w:val="20"/>
        </w:rPr>
        <w:t>top</w:t>
      </w:r>
      <w:r w:rsidRPr="00886250">
        <w:rPr>
          <w:sz w:val="20"/>
          <w:szCs w:val="20"/>
        </w:rPr>
        <w:t xml:space="preserve"> line</w:t>
      </w:r>
      <w:r>
        <w:rPr>
          <w:sz w:val="20"/>
          <w:szCs w:val="20"/>
        </w:rPr>
        <w:t xml:space="preserve"> and</w:t>
      </w:r>
      <w:r w:rsidRPr="00886250">
        <w:rPr>
          <w:sz w:val="20"/>
          <w:szCs w:val="20"/>
        </w:rPr>
        <w:t xml:space="preserve"> circles) is constitutive mutagenesis; SIM (</w:t>
      </w:r>
      <w:r>
        <w:rPr>
          <w:sz w:val="20"/>
          <w:szCs w:val="20"/>
        </w:rPr>
        <w:t>bottom line</w:t>
      </w:r>
      <w:r w:rsidRPr="00886250">
        <w:rPr>
          <w:sz w:val="20"/>
          <w:szCs w:val="20"/>
        </w:rPr>
        <w:t xml:space="preserve"> </w:t>
      </w:r>
      <w:r>
        <w:rPr>
          <w:sz w:val="20"/>
          <w:szCs w:val="20"/>
        </w:rPr>
        <w:t>and</w:t>
      </w:r>
      <w:r w:rsidRPr="00886250">
        <w:rPr>
          <w:sz w:val="20"/>
          <w:szCs w:val="20"/>
        </w:rPr>
        <w:t xml:space="preserve"> squares) is stress-induced mutagenesis. Lines are analytic approximations; markers are the means of stochastic simulations results; error bars represent 95% confidence interval of the mean (at least 1,000 replicates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dobule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on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proofErr w:type="gramStart"/>
      <w:r>
        <w:rPr>
          <w:sz w:val="20"/>
          <w:szCs w:val="20"/>
        </w:rPr>
        <w:t xml:space="preserve">Same </w:t>
      </w:r>
      <w:proofErr w:type="spellStart"/>
      <w:r>
        <w:rPr>
          <w:sz w:val="20"/>
          <w:szCs w:val="20"/>
        </w:rPr>
        <w:t>p</w:t>
      </w:r>
      <w:r w:rsidRPr="00886250">
        <w:rPr>
          <w:sz w:val="20"/>
          <w:szCs w:val="20"/>
        </w:rPr>
        <w:t>aramters</w:t>
      </w:r>
      <w:proofErr w:type="spellEnd"/>
      <w:r w:rsidRPr="00886250">
        <w:rPr>
          <w:sz w:val="20"/>
          <w:szCs w:val="20"/>
        </w:rPr>
        <w:t xml:space="preserve"> as in panel A.</w:t>
      </w:r>
      <w:proofErr w:type="gramEnd"/>
      <w:r w:rsidRPr="00886250">
        <w:rPr>
          <w:noProof/>
          <w:sz w:val="20"/>
          <w:szCs w:val="20"/>
        </w:rPr>
        <w:t xml:space="preserve"> </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3998C8FB" wp14:editId="35632312">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A90051">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4</w:t>
      </w:r>
      <w:r w:rsidR="00AB4359"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5" w:name="_Ref374366687"/>
      <w:r>
        <w:rPr>
          <w:rFonts w:eastAsiaTheme="minorHAnsi"/>
          <w:smallCaps w:val="0"/>
          <w:noProof/>
          <w:color w:val="auto"/>
          <w:spacing w:val="0"/>
          <w:sz w:val="20"/>
          <w:szCs w:val="20"/>
          <w:lang w:bidi="he-IL"/>
        </w:rPr>
        <w:lastRenderedPageBreak/>
        <w:drawing>
          <wp:inline distT="0" distB="0" distL="0" distR="0" wp14:anchorId="374533DE" wp14:editId="74E3ACAD">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823998">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BA3BDB">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5"/>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30A5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30A5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30A5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30A5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30A5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30A5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861" w:rsidRDefault="009E6861" w:rsidP="009A122D">
      <w:pPr>
        <w:spacing w:after="0" w:line="240" w:lineRule="auto"/>
      </w:pPr>
      <w:r>
        <w:separator/>
      </w:r>
    </w:p>
  </w:endnote>
  <w:endnote w:type="continuationSeparator" w:id="0">
    <w:p w:rsidR="009E6861" w:rsidRDefault="009E686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AE5BBD4-CE09-4250-9A78-301C560B2B3C}"/>
    <w:embedBold r:id="rId2" w:fontKey="{7AE68803-695B-4D11-BDF5-DC9364F23094}"/>
    <w:embedItalic r:id="rId3" w:fontKey="{25EA4472-E1EE-4E44-ABAD-104ECDA30500}"/>
    <w:embedBoldItalic r:id="rId4" w:fontKey="{1EDDB0C0-3CC9-4FF5-B1D1-A8FDE69CC6B4}"/>
  </w:font>
  <w:font w:name="Tahoma">
    <w:panose1 w:val="020B0604030504040204"/>
    <w:charset w:val="00"/>
    <w:family w:val="swiss"/>
    <w:pitch w:val="variable"/>
    <w:sig w:usb0="E1002EFF" w:usb1="C000605B" w:usb2="00000029" w:usb3="00000000" w:csb0="000101FF" w:csb1="00000000"/>
    <w:embedRegular r:id="rId5" w:fontKey="{FE646798-E58D-431B-9827-1DA78B681752}"/>
  </w:font>
  <w:font w:name="cmr10">
    <w:charset w:val="00"/>
    <w:family w:val="swiss"/>
    <w:pitch w:val="variable"/>
    <w:sig w:usb0="00000003" w:usb1="00000000" w:usb2="00000000" w:usb3="00000000" w:csb0="00000001" w:csb1="00000000"/>
    <w:embedRegular r:id="rId6" w:fontKey="{023722A4-94CA-4F51-A240-677BE28681E6}"/>
  </w:font>
  <w:font w:name="Cambria Math">
    <w:panose1 w:val="02040503050406030204"/>
    <w:charset w:val="00"/>
    <w:family w:val="roman"/>
    <w:pitch w:val="variable"/>
    <w:sig w:usb0="E00002FF" w:usb1="420024FF" w:usb2="00000000" w:usb3="00000000" w:csb0="0000019F" w:csb1="00000000"/>
    <w:embedItalic r:id="rId7" w:fontKey="{A11A831C-D384-4396-B3E4-70A8A800259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030A51" w:rsidRDefault="00030A51">
        <w:pPr>
          <w:pStyle w:val="Footer"/>
          <w:jc w:val="center"/>
        </w:pPr>
        <w:r>
          <w:fldChar w:fldCharType="begin"/>
        </w:r>
        <w:r>
          <w:instrText xml:space="preserve"> PAGE   \* MERGEFORMAT </w:instrText>
        </w:r>
        <w:r>
          <w:fldChar w:fldCharType="separate"/>
        </w:r>
        <w:r w:rsidR="00BA3BDB">
          <w:rPr>
            <w:noProof/>
          </w:rPr>
          <w:t>13</w:t>
        </w:r>
        <w:r>
          <w:rPr>
            <w:noProof/>
          </w:rPr>
          <w:fldChar w:fldCharType="end"/>
        </w:r>
      </w:p>
    </w:sdtContent>
  </w:sdt>
  <w:p w:rsidR="00030A51" w:rsidRDefault="00030A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861" w:rsidRDefault="009E6861" w:rsidP="009A122D">
      <w:pPr>
        <w:spacing w:after="0" w:line="240" w:lineRule="auto"/>
      </w:pPr>
      <w:r>
        <w:separator/>
      </w:r>
    </w:p>
  </w:footnote>
  <w:footnote w:type="continuationSeparator" w:id="0">
    <w:p w:rsidR="009E6861" w:rsidRDefault="009E6861"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A51" w:rsidRDefault="00030A51"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A51"/>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474D"/>
    <w:rsid w:val="004C5F1B"/>
    <w:rsid w:val="004C72D0"/>
    <w:rsid w:val="004C737E"/>
    <w:rsid w:val="004C763B"/>
    <w:rsid w:val="004C76D4"/>
    <w:rsid w:val="004D3794"/>
    <w:rsid w:val="004D568B"/>
    <w:rsid w:val="004D5FC0"/>
    <w:rsid w:val="004D6F60"/>
    <w:rsid w:val="004D7ABB"/>
    <w:rsid w:val="004E278A"/>
    <w:rsid w:val="004E7076"/>
    <w:rsid w:val="004E782E"/>
    <w:rsid w:val="004F4440"/>
    <w:rsid w:val="004F5395"/>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1A13"/>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E6861"/>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B45BB"/>
    <w:rsid w:val="00DB52C0"/>
    <w:rsid w:val="00DB6D14"/>
    <w:rsid w:val="00DB6D2A"/>
    <w:rsid w:val="00DB72B7"/>
    <w:rsid w:val="00DB77BD"/>
    <w:rsid w:val="00DB7BB5"/>
    <w:rsid w:val="00DB7DD7"/>
    <w:rsid w:val="00DC713E"/>
    <w:rsid w:val="00DD62C4"/>
    <w:rsid w:val="00DD7A57"/>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9F425-F010-418D-886B-4DA0055CC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37</Pages>
  <Words>47901</Words>
  <Characters>239506</Characters>
  <Application>Microsoft Office Word</Application>
  <DocSecurity>0</DocSecurity>
  <Lines>1995</Lines>
  <Paragraphs>573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286834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94</cp:revision>
  <dcterms:created xsi:type="dcterms:W3CDTF">2013-12-24T07:01:00Z</dcterms:created>
  <dcterms:modified xsi:type="dcterms:W3CDTF">2014-03-27T07:33:00Z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