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 xml:space="preserve">nd </w:t>
      </w:r>
      <w:proofErr w:type="spellStart"/>
      <w:r w:rsidR="0038310A" w:rsidRPr="0038310A">
        <w:rPr>
          <w:sz w:val="32"/>
          <w:szCs w:val="24"/>
        </w:rPr>
        <w:t>Adaptedness</w:t>
      </w:r>
      <w:proofErr w:type="spellEnd"/>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 xml:space="preserve">SIM, adaptability and </w:t>
      </w:r>
      <w:proofErr w:type="spellStart"/>
      <w:r w:rsidRPr="004E278A">
        <w:rPr>
          <w:lang w:bidi="hi-IN"/>
        </w:rPr>
        <w:t>adaptedness</w:t>
      </w:r>
      <w:proofErr w:type="spellEnd"/>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8310A">
      <w:pPr>
        <w:spacing w:line="480" w:lineRule="auto"/>
        <w:ind w:firstLine="284"/>
        <w:rPr>
          <w:lang w:bidi="hi-IN"/>
        </w:rPr>
      </w:pPr>
      <w:r w:rsidRPr="0038310A">
        <w:rPr>
          <w:b/>
          <w:bCs/>
          <w:lang w:bidi="hi-IN"/>
        </w:rPr>
        <w:t>Counts</w:t>
      </w:r>
      <w:r>
        <w:rPr>
          <w:lang w:bidi="hi-IN"/>
        </w:rPr>
        <w:t xml:space="preserve">: </w:t>
      </w:r>
      <w:r w:rsidR="00347C94" w:rsidRPr="00347C94">
        <w:rPr>
          <w:lang w:bidi="hi-IN"/>
        </w:rPr>
        <w:t>2898</w:t>
      </w:r>
      <w:r w:rsidR="00347C94">
        <w:rPr>
          <w:lang w:bidi="hi-IN"/>
        </w:rPr>
        <w:t xml:space="preserve"> words, 4 figures, 1 table</w:t>
      </w:r>
    </w:p>
    <w:p w:rsidR="0038310A" w:rsidRDefault="00347C94" w:rsidP="0038310A">
      <w:pPr>
        <w:spacing w:line="480" w:lineRule="auto"/>
        <w:ind w:firstLine="284"/>
        <w:rPr>
          <w:lang w:bidi="hi-IN"/>
        </w:rPr>
      </w:pPr>
      <w:r w:rsidRPr="0038310A">
        <w:rPr>
          <w:b/>
          <w:bCs/>
          <w:lang w:bidi="hi-IN"/>
        </w:rPr>
        <w:t>Data archiving</w:t>
      </w:r>
      <w:r>
        <w:rPr>
          <w:lang w:bidi="hi-IN"/>
        </w:rPr>
        <w:t>: Dryad/</w:t>
      </w:r>
      <w:proofErr w:type="spellStart"/>
      <w:r>
        <w:rPr>
          <w:lang w:bidi="hi-IN"/>
        </w:rPr>
        <w:t>FigShare</w:t>
      </w:r>
      <w:proofErr w:type="spellEnd"/>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3757EA" w:rsidRPr="003757EA" w:rsidRDefault="003757EA" w:rsidP="002A0DCC">
      <w:pPr>
        <w:spacing w:line="480" w:lineRule="auto"/>
      </w:pPr>
    </w:p>
    <w:p w:rsidR="00625517" w:rsidRDefault="00625517" w:rsidP="002A0DCC">
      <w:pPr>
        <w:pStyle w:val="Heading1"/>
        <w:keepLines w:val="0"/>
        <w:tabs>
          <w:tab w:val="left" w:pos="482"/>
        </w:tabs>
        <w:spacing w:after="180" w:line="480" w:lineRule="auto"/>
        <w:ind w:left="0" w:firstLine="0"/>
        <w:jc w:val="both"/>
      </w:pPr>
      <w:bookmarkStart w:id="0" w:name="_GoBack"/>
      <w:bookmarkEnd w:id="0"/>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531CC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531CC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"ITEM-3", "issued" : { "date-parts" : [ [ "1997" ] ] }, "page" : "4",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"(Kessler and Levine 1997; Sniegowski et al. 1997; Taddei et al. 1997; Denamur and Matic 2006; Wielgoss et al. 2012)" }, "properties" : { "noteIndex" : 0 }, "schema" : "https://github.com/citation-style-language/schema/raw/master/csl-citation.json" }</w:instrText>
      </w:r>
      <w:r w:rsidR="00CA7DA9">
        <w:fldChar w:fldCharType="separate"/>
      </w:r>
      <w:r w:rsidR="00531CC2" w:rsidRPr="00531CC2">
        <w:rPr>
          <w:noProof/>
        </w:rPr>
        <w:t>(Kessler and Levine 1997; Sniegowski et al. 1997; 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531CC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531CC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531CC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531CC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w:t>
      </w:r>
      <w:r w:rsidR="00AE0B1E">
        <w:lastRenderedPageBreak/>
        <w:t xml:space="preserve">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531CC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531CC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531CC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531CC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1" w:name="_Ref361735010"/>
      <w:r>
        <w:rPr>
          <w:lang w:bidi="hi-IN"/>
        </w:rPr>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w:t>
      </w:r>
      <w:r>
        <w:rPr>
          <w:lang w:bidi="hi-IN"/>
        </w:rPr>
        <w:lastRenderedPageBreak/>
        <w:t>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531CC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lastRenderedPageBreak/>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31CC2"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m:t>
                  </m:r>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531CC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531CC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5"/>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531CC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31CC2"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31CC2"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31CC2"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A0DCC">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0DCC">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531CC2">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2A0DCC">
      <w:pPr>
        <w:pStyle w:val="Heading2"/>
        <w:spacing w:line="480" w:lineRule="auto"/>
      </w:pPr>
      <w:r>
        <w:t xml:space="preserve">The trade-off between adaptability and </w:t>
      </w:r>
      <w:proofErr w:type="spellStart"/>
      <w:r>
        <w:t>adaptedness</w:t>
      </w:r>
      <w:proofErr w:type="spellEnd"/>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531CC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w:t>
      </w:r>
      <w:r w:rsidR="005515F1">
        <w:rPr>
          <w:lang w:bidi="hi-IN"/>
        </w:rPr>
        <w:lastRenderedPageBreak/>
        <w:t xml:space="preserve">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531CC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531CC2"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2A0DCC">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531CC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lastRenderedPageBreak/>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531CC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531CC2">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531CC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531CC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531CC2">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531CC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531CC2">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531CC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531CC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(Crow et al. 1990; Wade and </w:t>
      </w:r>
      <w:r w:rsidR="00663378" w:rsidRPr="00663378">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531CC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531CC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531CC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531CC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lastRenderedPageBreak/>
        <w:t>Acknowledgments</w:t>
      </w:r>
    </w:p>
    <w:p w:rsidR="00F441B1" w:rsidRDefault="00F441B1" w:rsidP="002A0DCC">
      <w:pPr>
        <w:spacing w:line="480" w:lineRule="auto"/>
      </w:pPr>
      <w:r w:rsidRPr="00EF44A6">
        <w:t>We thank the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531CC2" w:rsidRPr="00531CC2" w:rsidRDefault="007F0A97">
      <w:pPr>
        <w:pStyle w:val="NormalWeb"/>
        <w:divId w:val="1720126286"/>
        <w:rPr>
          <w:noProof/>
        </w:rPr>
      </w:pPr>
      <w:r>
        <w:fldChar w:fldCharType="begin" w:fldLock="1"/>
      </w:r>
      <w:r>
        <w:instrText xml:space="preserve">ADDIN Mendeley Bibliography CSL_BIBLIOGRAPHY </w:instrText>
      </w:r>
      <w:r>
        <w:fldChar w:fldCharType="separate"/>
      </w:r>
      <w:r w:rsidR="00531CC2" w:rsidRPr="00531CC2">
        <w:rPr>
          <w:noProof/>
        </w:rPr>
        <w:t>Agrawal, A. F. 2002. Genetic loads under fitness-dependent mutation rates. J. Evol. Biol. 15:1004–1010. Wiley Online Library.</w:t>
      </w:r>
    </w:p>
    <w:p w:rsidR="00531CC2" w:rsidRPr="00531CC2" w:rsidRDefault="00531CC2">
      <w:pPr>
        <w:pStyle w:val="NormalWeb"/>
        <w:divId w:val="1720126286"/>
        <w:rPr>
          <w:noProof/>
        </w:rPr>
      </w:pPr>
      <w:r w:rsidRPr="00531CC2">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531CC2" w:rsidRPr="00531CC2" w:rsidRDefault="00531CC2">
      <w:pPr>
        <w:pStyle w:val="NormalWeb"/>
        <w:divId w:val="1720126286"/>
        <w:rPr>
          <w:noProof/>
        </w:rPr>
      </w:pPr>
      <w:r w:rsidRPr="00531CC2">
        <w:rPr>
          <w:noProof/>
        </w:rPr>
        <w:t>Berg, O. G. 1996. Selection intensity for codon bias and the effective population size of Escherichia coli. Genetics 142:1379–82.</w:t>
      </w:r>
    </w:p>
    <w:p w:rsidR="00531CC2" w:rsidRPr="00531CC2" w:rsidRDefault="00531CC2">
      <w:pPr>
        <w:pStyle w:val="NormalWeb"/>
        <w:divId w:val="1720126286"/>
        <w:rPr>
          <w:noProof/>
        </w:rPr>
      </w:pPr>
      <w:r w:rsidRPr="00531CC2">
        <w:rPr>
          <w:noProof/>
        </w:rPr>
        <w:t>Bjedov, I., O. Tenaillon, B. Gérard, V. Souza, E. Denamur, M. Radman, F. Taddei, and I. Matic. 2003. Stress-induced mutagenesis in bacteria. Science (80-. ). 300:1404–9.</w:t>
      </w:r>
    </w:p>
    <w:p w:rsidR="00531CC2" w:rsidRPr="00531CC2" w:rsidRDefault="00531CC2">
      <w:pPr>
        <w:pStyle w:val="NormalWeb"/>
        <w:divId w:val="1720126286"/>
        <w:rPr>
          <w:noProof/>
        </w:rPr>
      </w:pPr>
      <w:r w:rsidRPr="00531CC2">
        <w:rPr>
          <w:noProof/>
        </w:rPr>
        <w:t>Cairns, J., J. Overbaugh, and S. Miller. 1988. The origin of mutants. Nature 335:142–5.</w:t>
      </w:r>
    </w:p>
    <w:p w:rsidR="00531CC2" w:rsidRPr="00531CC2" w:rsidRDefault="00531CC2">
      <w:pPr>
        <w:pStyle w:val="NormalWeb"/>
        <w:divId w:val="1720126286"/>
        <w:rPr>
          <w:noProof/>
        </w:rPr>
      </w:pPr>
      <w:r w:rsidRPr="00531CC2">
        <w:rPr>
          <w:noProof/>
        </w:rPr>
        <w:t>Cirz, R. T., and F. E. Romesberg. 2007. Controlling mutation: intervening in evolution as a therapeutic strategy. Crit. Rev. Biochem. Mol. Biol. 42:341–54.</w:t>
      </w:r>
    </w:p>
    <w:p w:rsidR="00531CC2" w:rsidRPr="00531CC2" w:rsidRDefault="00531CC2">
      <w:pPr>
        <w:pStyle w:val="NormalWeb"/>
        <w:divId w:val="1720126286"/>
        <w:rPr>
          <w:noProof/>
        </w:rPr>
      </w:pPr>
      <w:r w:rsidRPr="00531CC2">
        <w:rPr>
          <w:noProof/>
        </w:rPr>
        <w:t>Coyne, J. A., N. H. Barton, and M. Turelli. 2000. Is Wright’s shifting balance process important in evolution? Evolution (N. Y). 54:306–317.</w:t>
      </w:r>
    </w:p>
    <w:p w:rsidR="00531CC2" w:rsidRPr="00531CC2" w:rsidRDefault="00531CC2">
      <w:pPr>
        <w:pStyle w:val="NormalWeb"/>
        <w:divId w:val="1720126286"/>
        <w:rPr>
          <w:noProof/>
        </w:rPr>
      </w:pPr>
      <w:r w:rsidRPr="00531CC2">
        <w:rPr>
          <w:noProof/>
        </w:rPr>
        <w:t>Crow, J. F., W. R. Engels, and C. Denniston. 1990. Phase Three of Wright’s Shifting-Balance Theory. Evolution (N. Y). 44:233.</w:t>
      </w:r>
    </w:p>
    <w:p w:rsidR="00531CC2" w:rsidRPr="00531CC2" w:rsidRDefault="00531CC2">
      <w:pPr>
        <w:pStyle w:val="NormalWeb"/>
        <w:divId w:val="1720126286"/>
        <w:rPr>
          <w:noProof/>
        </w:rPr>
      </w:pPr>
      <w:r w:rsidRPr="00531CC2">
        <w:rPr>
          <w:noProof/>
        </w:rPr>
        <w:t>Dawson, K. J. 1998. Evolutionarily stable mutation rates. J. Theor. Biol. 194:143–57.</w:t>
      </w:r>
    </w:p>
    <w:p w:rsidR="00531CC2" w:rsidRPr="00531CC2" w:rsidRDefault="00531CC2">
      <w:pPr>
        <w:pStyle w:val="NormalWeb"/>
        <w:divId w:val="1720126286"/>
        <w:rPr>
          <w:noProof/>
        </w:rPr>
      </w:pPr>
      <w:r w:rsidRPr="00531CC2">
        <w:rPr>
          <w:noProof/>
        </w:rPr>
        <w:lastRenderedPageBreak/>
        <w:t>Debora, B. N., L. E. Vidales, R. Ramírez, M. Ramírez, E. A. Robleto, R. E. Yasbin, and M. Pedraza-Reyes. 2010. Mismatch Repair Modulation of MutY Activity Drives Bacillus subtilis Stationary-Phase Mutagenesis. J. Bacteriol. 193:236–45.</w:t>
      </w:r>
    </w:p>
    <w:p w:rsidR="00531CC2" w:rsidRPr="00531CC2" w:rsidRDefault="00531CC2">
      <w:pPr>
        <w:pStyle w:val="NormalWeb"/>
        <w:divId w:val="1720126286"/>
        <w:rPr>
          <w:noProof/>
        </w:rPr>
      </w:pPr>
      <w:r w:rsidRPr="00531CC2">
        <w:rPr>
          <w:noProof/>
        </w:rPr>
        <w:t>Denamur, E., and I. Matic. 2006. Evolution of mutation rates in bacteria. Mol. Microbiol. 60:820–7.</w:t>
      </w:r>
    </w:p>
    <w:p w:rsidR="00531CC2" w:rsidRPr="00531CC2" w:rsidRDefault="00531CC2">
      <w:pPr>
        <w:pStyle w:val="NormalWeb"/>
        <w:divId w:val="1720126286"/>
        <w:rPr>
          <w:noProof/>
        </w:rPr>
      </w:pPr>
      <w:r w:rsidRPr="00531CC2">
        <w:rPr>
          <w:noProof/>
        </w:rPr>
        <w:t>Drake, J. W., B. Charlesworth, D. Charlesworth, and J. F. Crow. 1998. Rates of spontaneous mutation. Genetics 148:1667–86. Genetics Soc America.</w:t>
      </w:r>
    </w:p>
    <w:p w:rsidR="00531CC2" w:rsidRPr="00531CC2" w:rsidRDefault="00531CC2">
      <w:pPr>
        <w:pStyle w:val="NormalWeb"/>
        <w:divId w:val="1720126286"/>
        <w:rPr>
          <w:noProof/>
        </w:rPr>
      </w:pPr>
      <w:r w:rsidRPr="00531CC2">
        <w:rPr>
          <w:noProof/>
        </w:rPr>
        <w:t>Eshel, I. 1981. On the survival probability of a slightly advantageous mutant gene with a general distribution of progeny size - a branching process model. J. Math. Biol. 12:355–362.</w:t>
      </w:r>
    </w:p>
    <w:p w:rsidR="00531CC2" w:rsidRPr="00531CC2" w:rsidRDefault="00531CC2">
      <w:pPr>
        <w:pStyle w:val="NormalWeb"/>
        <w:divId w:val="1720126286"/>
        <w:rPr>
          <w:noProof/>
        </w:rPr>
      </w:pPr>
      <w:r w:rsidRPr="00531CC2">
        <w:rPr>
          <w:noProof/>
        </w:rPr>
        <w:t>Fisher, R. A. 1930. The Genetical Theory of Natural Selection. Clarendon Press, Oxford.</w:t>
      </w:r>
    </w:p>
    <w:p w:rsidR="00531CC2" w:rsidRPr="00531CC2" w:rsidRDefault="00531CC2">
      <w:pPr>
        <w:pStyle w:val="NormalWeb"/>
        <w:divId w:val="1720126286"/>
        <w:rPr>
          <w:noProof/>
        </w:rPr>
      </w:pPr>
      <w:r w:rsidRPr="00531CC2">
        <w:rPr>
          <w:noProof/>
        </w:rPr>
        <w:t>Galhardo, R. S., P. J. Hastings, and S. M. Rosenberg. 2007. Mutation as a stress response and the regulation of evolvability. Crit. Rev. Biochem. Mol. Biol. 42:399–435.</w:t>
      </w:r>
    </w:p>
    <w:p w:rsidR="00531CC2" w:rsidRPr="00531CC2" w:rsidRDefault="00531CC2">
      <w:pPr>
        <w:pStyle w:val="NormalWeb"/>
        <w:divId w:val="1720126286"/>
        <w:rPr>
          <w:noProof/>
        </w:rPr>
      </w:pPr>
      <w:r w:rsidRPr="00531CC2">
        <w:rPr>
          <w:noProof/>
        </w:rPr>
        <w:t>Gavrilets, S. 1996. On phase three of the shifting-balance theory. Evolution (N. Y). 50:1034–1041. JSTOR.</w:t>
      </w:r>
    </w:p>
    <w:p w:rsidR="00531CC2" w:rsidRPr="00531CC2" w:rsidRDefault="00531CC2">
      <w:pPr>
        <w:pStyle w:val="NormalWeb"/>
        <w:divId w:val="1720126286"/>
        <w:rPr>
          <w:noProof/>
        </w:rPr>
      </w:pPr>
      <w:r w:rsidRPr="00531CC2">
        <w:rPr>
          <w:noProof/>
        </w:rPr>
        <w:t>Gordo, I., and F. Dionisio. 2005. Nonequilibrium model for estimating parameters of deleterious mutations. Phys. Rev. E 71:18–21.</w:t>
      </w:r>
    </w:p>
    <w:p w:rsidR="00531CC2" w:rsidRPr="00531CC2" w:rsidRDefault="00531CC2">
      <w:pPr>
        <w:pStyle w:val="NormalWeb"/>
        <w:divId w:val="1720126286"/>
        <w:rPr>
          <w:noProof/>
        </w:rPr>
      </w:pPr>
      <w:r w:rsidRPr="00531CC2">
        <w:rPr>
          <w:noProof/>
        </w:rPr>
        <w:t>Gordo, I., L. Perfeito, and A. Sousa. 2011. Fitness effects of mutations in bacteria. J. Mol. Microbiol. Biotechnol. 21:20–35.</w:t>
      </w:r>
    </w:p>
    <w:p w:rsidR="00531CC2" w:rsidRPr="00531CC2" w:rsidRDefault="00531CC2">
      <w:pPr>
        <w:pStyle w:val="NormalWeb"/>
        <w:divId w:val="1720126286"/>
        <w:rPr>
          <w:noProof/>
        </w:rPr>
      </w:pPr>
      <w:r w:rsidRPr="00531CC2">
        <w:rPr>
          <w:noProof/>
        </w:rPr>
        <w:t>Hadany, L. 2003. Adaptive peak shifts in a heterogenous environment. Theor. Popul. Biol. 63:41–51.</w:t>
      </w:r>
    </w:p>
    <w:p w:rsidR="00531CC2" w:rsidRPr="00531CC2" w:rsidRDefault="00531CC2">
      <w:pPr>
        <w:pStyle w:val="NormalWeb"/>
        <w:divId w:val="1720126286"/>
        <w:rPr>
          <w:noProof/>
        </w:rPr>
      </w:pPr>
      <w:r w:rsidRPr="00531CC2">
        <w:rPr>
          <w:noProof/>
        </w:rPr>
        <w:t>Hadany, L., and T. Beker. 2003. Fitness-associated recombination on rugged adaptive landscapes. J. Evol. Biol. 16:862–870.</w:t>
      </w:r>
    </w:p>
    <w:p w:rsidR="00531CC2" w:rsidRPr="00531CC2" w:rsidRDefault="00531CC2">
      <w:pPr>
        <w:pStyle w:val="NormalWeb"/>
        <w:divId w:val="1720126286"/>
        <w:rPr>
          <w:noProof/>
        </w:rPr>
      </w:pPr>
      <w:r w:rsidRPr="00531CC2">
        <w:rPr>
          <w:noProof/>
        </w:rPr>
        <w:t>Haigh, J. 1978. The accumulation of deleterious genes in a population - Muller’s Ratchet. Theor. Popul. Biol. 14:251–267.</w:t>
      </w:r>
    </w:p>
    <w:p w:rsidR="00531CC2" w:rsidRPr="00531CC2" w:rsidRDefault="00531CC2">
      <w:pPr>
        <w:pStyle w:val="NormalWeb"/>
        <w:divId w:val="1720126286"/>
        <w:rPr>
          <w:noProof/>
        </w:rPr>
      </w:pPr>
      <w:r w:rsidRPr="00531CC2">
        <w:rPr>
          <w:noProof/>
        </w:rPr>
        <w:t>Hall, L. M. C., and S. K. Henderson-Begg. 2006. Hypermutable bacteria isolated from humans--a critical analysis. Microbiology 152:2505–14.</w:t>
      </w:r>
    </w:p>
    <w:p w:rsidR="00531CC2" w:rsidRPr="00531CC2" w:rsidRDefault="00531CC2">
      <w:pPr>
        <w:pStyle w:val="NormalWeb"/>
        <w:divId w:val="1720126286"/>
        <w:rPr>
          <w:noProof/>
        </w:rPr>
      </w:pPr>
      <w:r w:rsidRPr="00531CC2">
        <w:rPr>
          <w:noProof/>
        </w:rPr>
        <w:t>Hartfield, M., and S. P. Otto. 2011. Recombination and hitchhiking of deleterious alleles. Evolution 65:2421–34.</w:t>
      </w:r>
    </w:p>
    <w:p w:rsidR="00531CC2" w:rsidRPr="00531CC2" w:rsidRDefault="00531CC2">
      <w:pPr>
        <w:pStyle w:val="NormalWeb"/>
        <w:divId w:val="1720126286"/>
        <w:rPr>
          <w:noProof/>
        </w:rPr>
      </w:pPr>
      <w:r w:rsidRPr="00531CC2">
        <w:rPr>
          <w:noProof/>
        </w:rPr>
        <w:t>Kessler, D. A., and H. Levine. 1997. Mutator Dynamics on a Smooth Evolutionary Landscape. Phys. Rev. Lett. 80:4.</w:t>
      </w:r>
    </w:p>
    <w:p w:rsidR="00531CC2" w:rsidRPr="00531CC2" w:rsidRDefault="00531CC2">
      <w:pPr>
        <w:pStyle w:val="NormalWeb"/>
        <w:divId w:val="1720126286"/>
        <w:rPr>
          <w:noProof/>
        </w:rPr>
      </w:pPr>
      <w:r w:rsidRPr="00531CC2">
        <w:rPr>
          <w:noProof/>
        </w:rPr>
        <w:t>Kibota, T. T., and M. Lynch. 1996. Estimate of the genomic mutation rate deleterious to overall fitness in E. coli. Nature 381:694–6.</w:t>
      </w:r>
    </w:p>
    <w:p w:rsidR="00531CC2" w:rsidRPr="00531CC2" w:rsidRDefault="00531CC2">
      <w:pPr>
        <w:pStyle w:val="NormalWeb"/>
        <w:divId w:val="1720126286"/>
        <w:rPr>
          <w:noProof/>
        </w:rPr>
      </w:pPr>
      <w:r w:rsidRPr="00531CC2">
        <w:rPr>
          <w:noProof/>
        </w:rPr>
        <w:lastRenderedPageBreak/>
        <w:t>Leigh, E. G. J. 1970. Natural Selection and Mutability. Am. Nat. 104:301–305.</w:t>
      </w:r>
    </w:p>
    <w:p w:rsidR="00531CC2" w:rsidRPr="00531CC2" w:rsidRDefault="00531CC2">
      <w:pPr>
        <w:pStyle w:val="NormalWeb"/>
        <w:divId w:val="1720126286"/>
        <w:rPr>
          <w:noProof/>
        </w:rPr>
      </w:pPr>
      <w:r w:rsidRPr="00531CC2">
        <w:rPr>
          <w:noProof/>
        </w:rPr>
        <w:t>MacLean, R. C., C. Torres-Barceló, and R. Moxon. 2013. Evaluating evolutionary models of stress-induced mutagenesis in bacteria. Nat. Rev. Genet. 14:221–7. Nature Publishing Group.</w:t>
      </w:r>
    </w:p>
    <w:p w:rsidR="00531CC2" w:rsidRPr="00531CC2" w:rsidRDefault="00531CC2">
      <w:pPr>
        <w:pStyle w:val="NormalWeb"/>
        <w:divId w:val="1720126286"/>
        <w:rPr>
          <w:noProof/>
        </w:rPr>
      </w:pPr>
      <w:r w:rsidRPr="00531CC2">
        <w:rPr>
          <w:noProof/>
        </w:rPr>
        <w:t>Moore, F. B.-G., and S. J. Tonsor. 1994. A Simulation of Wright’s Shifting-Balance Process: Migration and the Three Phases. Evolution (N. Y). 48:69.</w:t>
      </w:r>
    </w:p>
    <w:p w:rsidR="00531CC2" w:rsidRPr="00531CC2" w:rsidRDefault="00531CC2">
      <w:pPr>
        <w:pStyle w:val="NormalWeb"/>
        <w:divId w:val="1720126286"/>
        <w:rPr>
          <w:noProof/>
        </w:rPr>
      </w:pPr>
      <w:r w:rsidRPr="00531CC2">
        <w:rPr>
          <w:noProof/>
        </w:rPr>
        <w:t>Obolski, U., and L. Hadany. 2012. Implications of stress-induced genetic variation for minimizing multidrug resistance in bacteria. BMC Med. 10:1–30.</w:t>
      </w:r>
    </w:p>
    <w:p w:rsidR="00531CC2" w:rsidRPr="00531CC2" w:rsidRDefault="00531CC2">
      <w:pPr>
        <w:pStyle w:val="NormalWeb"/>
        <w:divId w:val="1720126286"/>
        <w:rPr>
          <w:noProof/>
        </w:rPr>
      </w:pPr>
      <w:r w:rsidRPr="00531CC2">
        <w:rPr>
          <w:noProof/>
        </w:rPr>
        <w:t>Otto, S. P., and T. Day. 2007. A biologist’s guide to mathematical modeling in ecology and evolution. Princeton University Press.</w:t>
      </w:r>
    </w:p>
    <w:p w:rsidR="00531CC2" w:rsidRPr="00531CC2" w:rsidRDefault="00531CC2">
      <w:pPr>
        <w:pStyle w:val="NormalWeb"/>
        <w:divId w:val="1720126286"/>
        <w:rPr>
          <w:noProof/>
        </w:rPr>
      </w:pPr>
      <w:r w:rsidRPr="00531CC2">
        <w:rPr>
          <w:noProof/>
        </w:rPr>
        <w:t>Peck, S. L., S. P. Ellner, and F. Gould. 2000. Varying migration and deme size and the feasibility of the shifting balance. Evolution 54:324–7.</w:t>
      </w:r>
    </w:p>
    <w:p w:rsidR="00531CC2" w:rsidRPr="00531CC2" w:rsidRDefault="00531CC2">
      <w:pPr>
        <w:pStyle w:val="NormalWeb"/>
        <w:divId w:val="1720126286"/>
        <w:rPr>
          <w:noProof/>
        </w:rPr>
      </w:pPr>
      <w:r w:rsidRPr="00531CC2">
        <w:rPr>
          <w:noProof/>
        </w:rPr>
        <w:t>Ponder, R. G., N. C. Fonville, and S. M. Rosenberg. 2005. A switch from high-fidelity to error-prone DNA double-strand break repair underlies stress-induced mutation. Mol. Cell 19:791–804.</w:t>
      </w:r>
    </w:p>
    <w:p w:rsidR="00531CC2" w:rsidRPr="00531CC2" w:rsidRDefault="00531CC2">
      <w:pPr>
        <w:pStyle w:val="NormalWeb"/>
        <w:divId w:val="1720126286"/>
        <w:rPr>
          <w:noProof/>
        </w:rPr>
      </w:pPr>
      <w:r w:rsidRPr="00531CC2">
        <w:rPr>
          <w:noProof/>
        </w:rPr>
        <w:t>Pupo, G. M., and B. J. Richardson. 1995. Biochemical genetics of a natural population of Escherichia coli: seasonal changes in alleles and haplotypes. Microbiology 141:1037–44.</w:t>
      </w:r>
    </w:p>
    <w:p w:rsidR="00531CC2" w:rsidRPr="00531CC2" w:rsidRDefault="00531CC2">
      <w:pPr>
        <w:pStyle w:val="NormalWeb"/>
        <w:divId w:val="1720126286"/>
        <w:rPr>
          <w:noProof/>
        </w:rPr>
      </w:pPr>
      <w:r w:rsidRPr="00531CC2">
        <w:rPr>
          <w:noProof/>
        </w:rPr>
        <w:t>Ram, Y., and L. Hadany. 2012. The evolution of stress-induced hypermutation in asexual populations. Evolution (N. Y). 66:2315–28.</w:t>
      </w:r>
    </w:p>
    <w:p w:rsidR="00531CC2" w:rsidRPr="00531CC2" w:rsidRDefault="00531CC2">
      <w:pPr>
        <w:pStyle w:val="NormalWeb"/>
        <w:divId w:val="1720126286"/>
        <w:rPr>
          <w:noProof/>
        </w:rPr>
      </w:pPr>
      <w:r w:rsidRPr="00531CC2">
        <w:rPr>
          <w:noProof/>
        </w:rPr>
        <w:t>Rosenberg, S. M., C. Shee, R. L. Frisch, and P. J. Hastings. 2012. Stress-induced mutation via DNA breaks in Escherichia coli: A molecular mechanism with implications for evolution and medicine. BioEssays 1–8.</w:t>
      </w:r>
    </w:p>
    <w:p w:rsidR="00531CC2" w:rsidRPr="00531CC2" w:rsidRDefault="00531CC2">
      <w:pPr>
        <w:pStyle w:val="NormalWeb"/>
        <w:divId w:val="1720126286"/>
        <w:rPr>
          <w:noProof/>
        </w:rPr>
      </w:pPr>
      <w:r w:rsidRPr="00531CC2">
        <w:rPr>
          <w:noProof/>
        </w:rPr>
        <w:t>Sharp, N. P., and A. F. Agrawal. 2012. Evidence for elevated mutation rates in low-quality genotypes. Proc. Natl. Acad. Sci. 109:6142–6.</w:t>
      </w:r>
    </w:p>
    <w:p w:rsidR="00531CC2" w:rsidRPr="00531CC2" w:rsidRDefault="00531CC2">
      <w:pPr>
        <w:pStyle w:val="NormalWeb"/>
        <w:divId w:val="1720126286"/>
        <w:rPr>
          <w:noProof/>
        </w:rPr>
      </w:pPr>
      <w:r w:rsidRPr="00531CC2">
        <w:rPr>
          <w:noProof/>
        </w:rPr>
        <w:t>Shaw, F. H., and C. F. Baer. 2011. Fitness-dependent mutation rates in finite populations. J. Evol. Biol. 24:1677–84.</w:t>
      </w:r>
    </w:p>
    <w:p w:rsidR="00531CC2" w:rsidRPr="00531CC2" w:rsidRDefault="00531CC2">
      <w:pPr>
        <w:pStyle w:val="NormalWeb"/>
        <w:divId w:val="1720126286"/>
        <w:rPr>
          <w:noProof/>
        </w:rPr>
      </w:pPr>
      <w:r w:rsidRPr="00531CC2">
        <w:rPr>
          <w:noProof/>
        </w:rPr>
        <w:t>Shor, E., C. a. Fox, and J. R. Broach. 2013. The Yeast Environmental Stress Response Regulates Mutagenesis Induced by Proteotoxic Stress. PLoS Genet. 9:e1003680.</w:t>
      </w:r>
    </w:p>
    <w:p w:rsidR="00531CC2" w:rsidRPr="00531CC2" w:rsidRDefault="00531CC2">
      <w:pPr>
        <w:pStyle w:val="NormalWeb"/>
        <w:divId w:val="1720126286"/>
        <w:rPr>
          <w:noProof/>
        </w:rPr>
      </w:pPr>
      <w:r w:rsidRPr="00531CC2">
        <w:rPr>
          <w:noProof/>
        </w:rPr>
        <w:t>Sniegowski, P. D., P. J. Gerrish, T. Johnson, and A. Shaver. 2000. The evolution of mutation rates: separating causes from consequences. BioEssays 22:1057–66.</w:t>
      </w:r>
    </w:p>
    <w:p w:rsidR="00531CC2" w:rsidRPr="00531CC2" w:rsidRDefault="00531CC2">
      <w:pPr>
        <w:pStyle w:val="NormalWeb"/>
        <w:divId w:val="1720126286"/>
        <w:rPr>
          <w:noProof/>
        </w:rPr>
      </w:pPr>
      <w:r w:rsidRPr="00531CC2">
        <w:rPr>
          <w:noProof/>
        </w:rPr>
        <w:t>Sniegowski, P. D., P. J. Gerrish, and R. E. Lenski. 1997. Evolution of high mutation rates in experimental populations of E. coli. Nature 387:703–5. Nature Publishing Group.</w:t>
      </w:r>
    </w:p>
    <w:p w:rsidR="00531CC2" w:rsidRPr="00531CC2" w:rsidRDefault="00531CC2">
      <w:pPr>
        <w:pStyle w:val="NormalWeb"/>
        <w:divId w:val="1720126286"/>
        <w:rPr>
          <w:noProof/>
        </w:rPr>
      </w:pPr>
      <w:r w:rsidRPr="00531CC2">
        <w:rPr>
          <w:noProof/>
        </w:rPr>
        <w:lastRenderedPageBreak/>
        <w:t>Sung, W., M. S. Ackerman, S. F. Miller, T. G. Doak, and M. Lynch. 2012. Drift-barrier hypothesis and mutation-rate evolution. Proc. Natl. Acad. Sci., doi: 10.1073/pnas.1216223109.</w:t>
      </w:r>
    </w:p>
    <w:p w:rsidR="00531CC2" w:rsidRPr="00531CC2" w:rsidRDefault="00531CC2">
      <w:pPr>
        <w:pStyle w:val="NormalWeb"/>
        <w:divId w:val="1720126286"/>
        <w:rPr>
          <w:noProof/>
        </w:rPr>
      </w:pPr>
      <w:r w:rsidRPr="00531CC2">
        <w:rPr>
          <w:noProof/>
        </w:rPr>
        <w:t>Taddei, F., M. Radman, J. Maynard Smith, B. Toupance, P.-H. Gouyon, and B. Godelle. 1997. Role of mutator alleles in adaptive evolution. Nature 387:700–2.</w:t>
      </w:r>
    </w:p>
    <w:p w:rsidR="00531CC2" w:rsidRPr="00531CC2" w:rsidRDefault="00531CC2">
      <w:pPr>
        <w:pStyle w:val="NormalWeb"/>
        <w:divId w:val="1720126286"/>
        <w:rPr>
          <w:noProof/>
        </w:rPr>
      </w:pPr>
      <w:r w:rsidRPr="00531CC2">
        <w:rPr>
          <w:noProof/>
        </w:rPr>
        <w:t>Tenaillon, O., E. Denamur, and I. Matic. 2004. Evolutionary significance of stress-induced mutagenesis in bacteria. Trends Microbiol. 12:264–70.</w:t>
      </w:r>
    </w:p>
    <w:p w:rsidR="00531CC2" w:rsidRPr="00531CC2" w:rsidRDefault="00531CC2">
      <w:pPr>
        <w:pStyle w:val="NormalWeb"/>
        <w:divId w:val="1720126286"/>
        <w:rPr>
          <w:noProof/>
        </w:rPr>
      </w:pPr>
      <w:r w:rsidRPr="00531CC2">
        <w:rPr>
          <w:noProof/>
        </w:rPr>
        <w:t>Tenaillon, O., F. Taddei, M. Radman, and I. Matic. 2001. Second-order selection in bacterial evolution: selection acting on mutation and recombination rates in the course of adaptation. Res. Microbiol. 152:11–6.</w:t>
      </w:r>
    </w:p>
    <w:p w:rsidR="00531CC2" w:rsidRPr="00531CC2" w:rsidRDefault="00531CC2">
      <w:pPr>
        <w:pStyle w:val="NormalWeb"/>
        <w:divId w:val="1720126286"/>
        <w:rPr>
          <w:noProof/>
        </w:rPr>
      </w:pPr>
      <w:r w:rsidRPr="00531CC2">
        <w:rPr>
          <w:noProof/>
        </w:rPr>
        <w:t>Torres-Barceló, C., G. Cabot, A. Oliver, A. Buckling, and R. C. Maclean. 2013. A trade-off between oxidative stress resistance and DNA repair plays a role in the evolution of elevated mutation rates in bacteria. Proc. Biol. Sci. 280:20130007.</w:t>
      </w:r>
    </w:p>
    <w:p w:rsidR="00531CC2" w:rsidRPr="00531CC2" w:rsidRDefault="00531CC2">
      <w:pPr>
        <w:pStyle w:val="NormalWeb"/>
        <w:divId w:val="1720126286"/>
        <w:rPr>
          <w:noProof/>
        </w:rPr>
      </w:pPr>
      <w:r w:rsidRPr="00531CC2">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531CC2" w:rsidRPr="00531CC2" w:rsidRDefault="00531CC2">
      <w:pPr>
        <w:pStyle w:val="NormalWeb"/>
        <w:divId w:val="1720126286"/>
        <w:rPr>
          <w:noProof/>
        </w:rPr>
      </w:pPr>
      <w:r w:rsidRPr="00531CC2">
        <w:rPr>
          <w:noProof/>
        </w:rPr>
        <w:t>Wade, M., and C. Goodnight. 1991. Wright’s shifting balance theory: an experimental study. Science (80-. ). 253:1015–1018.</w:t>
      </w:r>
    </w:p>
    <w:p w:rsidR="00531CC2" w:rsidRPr="00531CC2" w:rsidRDefault="00531CC2">
      <w:pPr>
        <w:pStyle w:val="NormalWeb"/>
        <w:divId w:val="1720126286"/>
        <w:rPr>
          <w:noProof/>
        </w:rPr>
      </w:pPr>
      <w:r w:rsidRPr="00531CC2">
        <w:rPr>
          <w:noProof/>
        </w:rPr>
        <w:t>Weissman, D. B., M. M. Desai, D. S. Fisher, and M. W. Feldman. 2009. The rate at which asexual populations cross fitness valleys. Theor. Popul. Biol. 75:286–300. Elsevier Inc.</w:t>
      </w:r>
    </w:p>
    <w:p w:rsidR="00531CC2" w:rsidRPr="00531CC2" w:rsidRDefault="00531CC2">
      <w:pPr>
        <w:pStyle w:val="NormalWeb"/>
        <w:divId w:val="1720126286"/>
        <w:rPr>
          <w:noProof/>
        </w:rPr>
      </w:pPr>
      <w:r w:rsidRPr="00531CC2">
        <w:rPr>
          <w:noProof/>
        </w:rPr>
        <w:t>Whitlock, M. C. 1997. Founder Effects and Peak Shifts Without Genetic Drift: Adaptive Peak Shifts Occur Easily When Environments Fluctuate Slightly. Evolution (N. Y). 51:1044.</w:t>
      </w:r>
    </w:p>
    <w:p w:rsidR="00531CC2" w:rsidRPr="00531CC2" w:rsidRDefault="00531CC2">
      <w:pPr>
        <w:pStyle w:val="NormalWeb"/>
        <w:divId w:val="1720126286"/>
        <w:rPr>
          <w:noProof/>
        </w:rPr>
      </w:pPr>
      <w:r w:rsidRPr="00531CC2">
        <w:rPr>
          <w:noProof/>
        </w:rPr>
        <w:t>Whitlock, M. C. 1995. Variance-Induced Peak Shifts. Evolution (N. Y). 49:252.</w:t>
      </w:r>
    </w:p>
    <w:p w:rsidR="00531CC2" w:rsidRPr="00531CC2" w:rsidRDefault="00531CC2">
      <w:pPr>
        <w:pStyle w:val="NormalWeb"/>
        <w:divId w:val="1720126286"/>
        <w:rPr>
          <w:noProof/>
        </w:rPr>
      </w:pPr>
      <w:r w:rsidRPr="00531CC2">
        <w:rPr>
          <w:noProof/>
        </w:rPr>
        <w:t>Whitlock, M. C., and P. C. Phillips. 2000. The exquisite corpse: a shifting view of the shifting balance. Trends Ecol. Evol. 15:347–348.</w:t>
      </w:r>
    </w:p>
    <w:p w:rsidR="00531CC2" w:rsidRPr="00531CC2" w:rsidRDefault="00531CC2">
      <w:pPr>
        <w:pStyle w:val="NormalWeb"/>
        <w:divId w:val="1720126286"/>
        <w:rPr>
          <w:noProof/>
        </w:rPr>
      </w:pPr>
      <w:r w:rsidRPr="00531CC2">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531CC2" w:rsidRPr="00531CC2" w:rsidRDefault="00531CC2">
      <w:pPr>
        <w:pStyle w:val="NormalWeb"/>
        <w:divId w:val="1720126286"/>
        <w:rPr>
          <w:noProof/>
        </w:rPr>
      </w:pPr>
      <w:r w:rsidRPr="00531CC2">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531CC2" w:rsidRPr="00531CC2" w:rsidRDefault="00531CC2">
      <w:pPr>
        <w:pStyle w:val="NormalWeb"/>
        <w:divId w:val="1720126286"/>
        <w:rPr>
          <w:noProof/>
        </w:rPr>
      </w:pPr>
      <w:r w:rsidRPr="00531CC2">
        <w:rPr>
          <w:noProof/>
        </w:rPr>
        <w:t>Wright, S. 1931. Evolution in Mendelian Populations. Genetics 16:97–159.</w:t>
      </w:r>
    </w:p>
    <w:p w:rsidR="00531CC2" w:rsidRPr="00531CC2" w:rsidRDefault="00531CC2">
      <w:pPr>
        <w:pStyle w:val="NormalWeb"/>
        <w:divId w:val="1720126286"/>
        <w:rPr>
          <w:noProof/>
        </w:rPr>
      </w:pPr>
      <w:r w:rsidRPr="00531CC2">
        <w:rPr>
          <w:noProof/>
        </w:rPr>
        <w:lastRenderedPageBreak/>
        <w:t xml:space="preserve">Wright, S. 1988. Surfaces of selective value revisited. Am. Nat. 131:115–123. </w:t>
      </w:r>
    </w:p>
    <w:p w:rsidR="00347C94" w:rsidRPr="00347C94" w:rsidRDefault="007F0A97" w:rsidP="00531CC2">
      <w:pPr>
        <w:pStyle w:val="NormalWeb"/>
        <w:divId w:val="482738522"/>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531CC2"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531CC2"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531CC2"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lastRenderedPageBreak/>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531CC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5" w:name="_Ref363980903"/>
      <w:r>
        <w:lastRenderedPageBreak/>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531CC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484EB431" wp14:editId="0E63A0BC">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1F19F31D" wp14:editId="41905675">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5951A5D0" wp14:editId="2C52F83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06089BFD" wp14:editId="1354FC20">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w:t>
      </w:r>
      <w:proofErr w:type="spellStart"/>
      <w:r w:rsidRPr="009F5B3A">
        <w:rPr>
          <w:i/>
          <w:iCs/>
        </w:rPr>
        <w:t>adaptedness</w:t>
      </w:r>
      <w:proofErr w:type="spellEnd"/>
      <w:r>
        <w:t xml:space="preserve"> trade-off of CM, increasing the </w:t>
      </w:r>
      <w:r w:rsidRPr="00031301">
        <w:rPr>
          <w:i/>
          <w:iCs/>
        </w:rPr>
        <w:t>adaptability</w:t>
      </w:r>
      <w:r>
        <w:t xml:space="preserve"> without compromising the </w:t>
      </w:r>
      <w:proofErr w:type="spellStart"/>
      <w:r>
        <w:rPr>
          <w:i/>
          <w:iCs/>
        </w:rPr>
        <w:t>adaptedness</w:t>
      </w:r>
      <w:proofErr w:type="spellEnd"/>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CC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CC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CC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531CC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531CC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531CC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p w:rsidR="00701833" w:rsidRPr="00F650EA" w:rsidRDefault="00701833" w:rsidP="002A0DCC">
      <w:pPr>
        <w:pStyle w:val="Heading1"/>
        <w:spacing w:line="480" w:lineRule="auto"/>
      </w:pPr>
      <w:r>
        <w:t xml:space="preserve">Supporting </w:t>
      </w:r>
      <w:r w:rsidR="0034713C">
        <w:t>f</w:t>
      </w:r>
      <w:r>
        <w:t>igures</w:t>
      </w:r>
    </w:p>
    <w:p w:rsidR="00701833" w:rsidRDefault="00C96FC9" w:rsidP="002A0DCC">
      <w:pPr>
        <w:keepNext/>
        <w:spacing w:line="480" w:lineRule="auto"/>
        <w:jc w:val="center"/>
      </w:pPr>
      <w:r>
        <w:rPr>
          <w:noProof/>
        </w:rPr>
        <w:softHyphen/>
      </w:r>
      <w:r w:rsidR="00F71C83">
        <w:rPr>
          <w:noProof/>
        </w:rPr>
        <w:drawing>
          <wp:inline distT="0" distB="0" distL="0" distR="0" wp14:anchorId="20E01D69" wp14:editId="50D500A3">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2A0DCC">
      <w:pPr>
        <w:pStyle w:val="FigureLegend"/>
        <w:spacing w:line="480" w:lineRule="auto"/>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2A0DCC">
      <w:pPr>
        <w:spacing w:line="480" w:lineRule="auto"/>
        <w:jc w:val="center"/>
      </w:pPr>
      <w:r>
        <w:rPr>
          <w:noProof/>
        </w:rPr>
        <w:lastRenderedPageBreak/>
        <w:t xml:space="preserve"> </w:t>
      </w:r>
      <w:r w:rsidR="00201A26">
        <w:rPr>
          <w:noProof/>
        </w:rPr>
        <w:drawing>
          <wp:inline distT="0" distB="0" distL="0" distR="0" wp14:anchorId="16864F99" wp14:editId="39A86704">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2A0DCC">
      <w:pPr>
        <w:pStyle w:val="FigureLegend"/>
        <w:spacing w:line="480" w:lineRule="auto"/>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 xml:space="preserve">the </w:t>
      </w:r>
      <w:r w:rsidR="00EE6EA2" w:rsidRPr="008062FB">
        <w:t>simulation results</w:t>
      </w:r>
      <w:r w:rsidR="00C23983" w:rsidRPr="008062FB">
        <w:t xml:space="preserve">. </w:t>
      </w:r>
      <w:r w:rsidR="009A2A4B" w:rsidRPr="008062FB">
        <w:t xml:space="preserve">The three left panels are results of the standard simulations (described in the </w:t>
      </w:r>
      <w:r w:rsidR="00CA7DA9" w:rsidRPr="008062FB">
        <w:fldChar w:fldCharType="begin"/>
      </w:r>
      <w:r w:rsidR="009A2A4B" w:rsidRPr="008062FB">
        <w:instrText xml:space="preserve"> REF _Ref361735010 \r \h </w:instrText>
      </w:r>
      <w:r w:rsidR="00A14950" w:rsidRPr="008062FB">
        <w:instrText xml:space="preserve"> \* MERGEFORMAT </w:instrText>
      </w:r>
      <w:r w:rsidR="00CA7DA9" w:rsidRPr="008062FB">
        <w:fldChar w:fldCharType="end"/>
      </w:r>
      <w:r w:rsidR="00072D95" w:rsidRPr="008062FB">
        <w:fldChar w:fldCharType="begin"/>
      </w:r>
      <w:r w:rsidR="00072D95" w:rsidRPr="008062FB">
        <w:instrText xml:space="preserve"> REF _Ref361735010 \h  \* MERGEFORMAT </w:instrText>
      </w:r>
      <w:r w:rsidR="00072D95" w:rsidRPr="008062FB">
        <w:fldChar w:fldCharType="separate"/>
      </w:r>
      <w:r w:rsidR="009A2A4B" w:rsidRPr="008062FB">
        <w:rPr>
          <w:lang w:bidi="hi-IN"/>
        </w:rPr>
        <w:t>Model</w:t>
      </w:r>
      <w:r w:rsidR="00072D95" w:rsidRPr="008062FB">
        <w:fldChar w:fldCharType="end"/>
      </w:r>
      <w:r w:rsidR="009A2A4B" w:rsidRPr="008062FB">
        <w:t xml:space="preserve"> section). The three right panels are results of simulations in which </w:t>
      </w:r>
      <w:r w:rsidR="009A2A4B" w:rsidRPr="008062FB">
        <w:rPr>
          <w:i/>
          <w:iCs/>
        </w:rPr>
        <w:t>AB</w:t>
      </w:r>
      <w:r w:rsidR="009A2A4B" w:rsidRPr="008062FB">
        <w:t xml:space="preserve"> </w:t>
      </w:r>
      <w:r w:rsidR="005E7700" w:rsidRPr="008062FB">
        <w:t xml:space="preserve">could not </w:t>
      </w:r>
      <w:r w:rsidR="009A2A4B" w:rsidRPr="008062FB">
        <w:t xml:space="preserve">appear on a deleterious background. </w:t>
      </w:r>
      <w:r w:rsidR="005E7700" w:rsidRPr="008062FB">
        <w:t>I</w:t>
      </w:r>
      <w:r w:rsidR="009A2A4B" w:rsidRPr="008062FB">
        <w:t xml:space="preserve">f </w:t>
      </w:r>
      <w:r w:rsidR="00A14950" w:rsidRPr="008062FB">
        <w:rPr>
          <w:i/>
          <w:iCs/>
        </w:rPr>
        <w:t>AB</w:t>
      </w:r>
      <w:r w:rsidR="00A14950" w:rsidRPr="008062FB">
        <w:t xml:space="preserve"> </w:t>
      </w:r>
      <w:r w:rsidR="009A2A4B" w:rsidRPr="008062FB">
        <w:t>cannot appear on a deleterious background</w:t>
      </w:r>
      <w:r w:rsidR="00A14950" w:rsidRPr="008062FB">
        <w:t xml:space="preserve"> (right panels)</w:t>
      </w:r>
      <w:r w:rsidR="009A2A4B" w:rsidRPr="008062FB">
        <w:t xml:space="preserve"> than the </w:t>
      </w:r>
      <w:r w:rsidR="005E7700" w:rsidRPr="008062FB">
        <w:t xml:space="preserve">differences between the simulation results and </w:t>
      </w:r>
      <w:r w:rsidR="009A2A4B" w:rsidRPr="008062FB">
        <w:t xml:space="preserve">our analytic approximations </w:t>
      </w:r>
      <w:r w:rsidR="005E7700" w:rsidRPr="008062FB">
        <w:t xml:space="preserve">are not statistically significant </w:t>
      </w:r>
      <w:r w:rsidR="009A2A4B" w:rsidRPr="008062FB">
        <w:t>(compare solid and dashed lines</w:t>
      </w:r>
      <w:r w:rsidR="005E7700" w:rsidRPr="008062FB">
        <w:t>; P&lt;0.001</w:t>
      </w:r>
      <w:r w:rsidR="009A2A4B" w:rsidRPr="008062FB">
        <w:t xml:space="preserve">). However, if </w:t>
      </w:r>
      <w:r w:rsidR="00A14950" w:rsidRPr="008062FB">
        <w:rPr>
          <w:i/>
          <w:iCs/>
        </w:rPr>
        <w:t xml:space="preserve">AB </w:t>
      </w:r>
      <w:r w:rsidR="009A2A4B" w:rsidRPr="008062FB">
        <w:t xml:space="preserve">can appear on a deleterious background </w:t>
      </w:r>
      <w:r w:rsidR="00A14950" w:rsidRPr="008062FB">
        <w:t xml:space="preserve">(left panels) </w:t>
      </w:r>
      <w:r w:rsidR="009A2A4B" w:rsidRPr="008062FB">
        <w:t>th</w:t>
      </w:r>
      <w:r w:rsidR="00A14950" w:rsidRPr="008062FB">
        <w:t>e</w:t>
      </w:r>
      <w:r w:rsidR="009A2A4B" w:rsidRPr="008062FB">
        <w:t>n its fixation probability is lower</w:t>
      </w:r>
      <w:proofErr w:type="gramStart"/>
      <w:r w:rsidR="005E7700" w:rsidRPr="008062FB">
        <w:t>,</w:t>
      </w:r>
      <w:r w:rsidR="00A14950" w:rsidRPr="008062FB">
        <w:t xml:space="preserve"> </w:t>
      </w:r>
      <w:proofErr w:type="gramEnd"/>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w:r w:rsidR="005F6245" w:rsidRPr="008062FB">
        <w:t>. In addition,</w:t>
      </w:r>
      <w:r w:rsidR="00C23983" w:rsidRPr="008062FB">
        <w:t xml:space="preserve"> </w:t>
      </w:r>
      <w:r w:rsidR="005F6245" w:rsidRPr="008062FB">
        <w:t xml:space="preserve">the figure shows that </w:t>
      </w:r>
      <w:proofErr w:type="spellStart"/>
      <w:r w:rsidR="00C23983" w:rsidRPr="008062FB">
        <w:t>SIMe</w:t>
      </w:r>
      <w:proofErr w:type="spellEnd"/>
      <w:r w:rsidR="00EE6EA2" w:rsidRPr="008062FB">
        <w:rPr>
          <w:vertAlign w:val="subscript"/>
        </w:rPr>
        <w:softHyphen/>
        <w:t xml:space="preserve"> </w:t>
      </w:r>
      <w:r w:rsidR="00EE6EA2" w:rsidRPr="008062FB">
        <w:t xml:space="preserve">has a </w:t>
      </w:r>
      <w:r w:rsidR="00C23983" w:rsidRPr="008062FB">
        <w:t xml:space="preserve">higher fixation probability than CM and SIM. </w:t>
      </w:r>
      <w:r w:rsidR="000F3C41" w:rsidRPr="008062FB">
        <w:t>The parameters are the sam</w:t>
      </w:r>
      <w:r w:rsidR="000F3C41" w:rsidRPr="00320207">
        <w:t xml:space="preserve">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2A0DCC">
      <w:pPr>
        <w:pStyle w:val="Heading1"/>
        <w:spacing w:line="480" w:lineRule="auto"/>
      </w:pPr>
      <w:r>
        <w:lastRenderedPageBreak/>
        <w:t>Supporting Information</w:t>
      </w:r>
    </w:p>
    <w:p w:rsidR="00072D95" w:rsidRPr="008062FB" w:rsidRDefault="000F7D03" w:rsidP="002A0DCC">
      <w:pPr>
        <w:pStyle w:val="Heading2"/>
        <w:spacing w:line="480" w:lineRule="auto"/>
      </w:pPr>
      <w:r w:rsidRPr="008062FB">
        <w:t>Mean fitness at the m</w:t>
      </w:r>
      <w:r w:rsidR="00072D95" w:rsidRPr="008062FB">
        <w:t>utation-selection balance</w:t>
      </w:r>
    </w:p>
    <w:p w:rsidR="00072D95" w:rsidRDefault="00072D95" w:rsidP="002A0DCC">
      <w:pPr>
        <w:spacing w:line="480" w:lineRule="auto"/>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2A0DCC">
            <w:pPr>
              <w:spacing w:line="480" w:lineRule="auto"/>
              <w:rPr>
                <w:rFonts w:eastAsiaTheme="minorEastAsia"/>
                <w:lang w:bidi="hi-IN"/>
              </w:rPr>
            </w:pPr>
          </w:p>
        </w:tc>
        <w:tc>
          <w:tcPr>
            <w:tcW w:w="2843" w:type="dxa"/>
          </w:tcPr>
          <w:p w:rsidR="00072D95" w:rsidRDefault="00531CC2" w:rsidP="002A0DCC">
            <w:pPr>
              <w:spacing w:line="480" w:lineRule="auto"/>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2A0DCC">
            <w:pPr>
              <w:spacing w:line="480" w:lineRule="auto"/>
              <w:jc w:val="right"/>
              <w:rPr>
                <w:rFonts w:eastAsiaTheme="minorEastAsia"/>
                <w:lang w:bidi="hi-IN"/>
              </w:rPr>
            </w:pPr>
          </w:p>
        </w:tc>
      </w:tr>
    </w:tbl>
    <w:p w:rsidR="00072D95" w:rsidRPr="00096116" w:rsidRDefault="00072D95"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531CC2" w:rsidP="002A0DCC">
      <w:pPr>
        <w:spacing w:line="480" w:lineRule="auto"/>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2A0DCC">
      <w:pPr>
        <w:spacing w:line="480" w:lineRule="auto"/>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531CC2"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2A0DCC">
      <w:pPr>
        <w:spacing w:line="480" w:lineRule="auto"/>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531CC2" w:rsidP="002A0DCC">
      <w:pPr>
        <w:spacing w:line="480" w:lineRule="auto"/>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2A0DCC">
      <w:pPr>
        <w:spacing w:line="480" w:lineRule="auto"/>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531CC2" w:rsidP="002A0DCC">
      <w:pPr>
        <w:spacing w:line="480" w:lineRule="auto"/>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2A0DCC">
      <w:pPr>
        <w:spacing w:line="480" w:lineRule="auto"/>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31CC2">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2A0DCC">
      <w:pPr>
        <w:spacing w:line="480" w:lineRule="auto"/>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531CC2"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2A0DCC">
      <w:pPr>
        <w:spacing w:line="480" w:lineRule="auto"/>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31CC2">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00663378" w:rsidRPr="00663378">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531CC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663378" w:rsidRPr="00663378">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2A0DCC">
      <w:pPr>
        <w:spacing w:line="480" w:lineRule="auto"/>
        <w:rPr>
          <w:rFonts w:eastAsiaTheme="minorEastAsia"/>
          <w:lang w:bidi="hi-IN"/>
        </w:rPr>
      </w:pPr>
      <w:r>
        <w:rPr>
          <w:rFonts w:eastAsiaTheme="minorEastAsia"/>
          <w:lang w:bidi="hi-IN"/>
        </w:rPr>
        <w:lastRenderedPageBreak/>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31CC2">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00663378" w:rsidRPr="00663378">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2A0DCC">
      <w:pPr>
        <w:spacing w:line="480" w:lineRule="auto"/>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2A0DCC">
      <w:pPr>
        <w:spacing w:line="480" w:lineRule="auto"/>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8062FB" w:rsidRDefault="0069770A" w:rsidP="002A0DCC">
      <w:pPr>
        <w:pStyle w:val="Heading2"/>
        <w:spacing w:line="480" w:lineRule="auto"/>
        <w:rPr>
          <w:rFonts w:eastAsiaTheme="minorEastAsia"/>
        </w:rPr>
      </w:pPr>
      <w:r w:rsidRPr="008062FB">
        <w:rPr>
          <w:rFonts w:eastAsiaTheme="minorEastAsia"/>
        </w:rPr>
        <w:t xml:space="preserve">Figure reproduction </w:t>
      </w:r>
    </w:p>
    <w:p w:rsidR="004178FE" w:rsidRPr="004178FE" w:rsidRDefault="0069770A" w:rsidP="002A0DCC">
      <w:pPr>
        <w:spacing w:line="480" w:lineRule="auto"/>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8"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9"/>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084" w:rsidRDefault="005C0084" w:rsidP="009A122D">
      <w:pPr>
        <w:spacing w:after="0" w:line="240" w:lineRule="auto"/>
      </w:pPr>
      <w:r>
        <w:separator/>
      </w:r>
    </w:p>
  </w:endnote>
  <w:endnote w:type="continuationSeparator" w:id="0">
    <w:p w:rsidR="005C0084" w:rsidRDefault="005C008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45CFE7D-0CB1-4FBC-B980-6F5B9C4298F2}"/>
    <w:embedBold r:id="rId2" w:fontKey="{7B975A6C-DFD8-49CD-AE26-1D2B27B35573}"/>
    <w:embedItalic r:id="rId3" w:fontKey="{189ED281-15CE-48F6-97FB-45E8F59E8F20}"/>
    <w:embedBoldItalic r:id="rId4" w:fontKey="{D2DF0599-99C7-4F51-9816-096DA462C5CD}"/>
  </w:font>
  <w:font w:name="Tahoma">
    <w:panose1 w:val="020B0604030504040204"/>
    <w:charset w:val="00"/>
    <w:family w:val="swiss"/>
    <w:pitch w:val="variable"/>
    <w:sig w:usb0="E1002EFF" w:usb1="C000605B" w:usb2="00000029" w:usb3="00000000" w:csb0="000101FF" w:csb1="00000000"/>
    <w:embedRegular r:id="rId5" w:fontKey="{8C3C68C0-0D60-4FDD-9730-2F19B63682F9}"/>
  </w:font>
  <w:font w:name="cmr10">
    <w:charset w:val="00"/>
    <w:family w:val="swiss"/>
    <w:pitch w:val="variable"/>
    <w:sig w:usb0="00000003" w:usb1="00000000" w:usb2="00000000" w:usb3="00000000" w:csb0="00000001" w:csb1="00000000"/>
    <w:embedRegular r:id="rId6" w:fontKey="{0B0115A2-C6FA-4CF1-BA26-FDC5C32FBF4D}"/>
  </w:font>
  <w:font w:name="Cambria Math">
    <w:panose1 w:val="02040503050406030204"/>
    <w:charset w:val="00"/>
    <w:family w:val="roman"/>
    <w:pitch w:val="variable"/>
    <w:sig w:usb0="E00002FF" w:usb1="420024FF" w:usb2="00000000" w:usb3="00000000" w:csb0="0000019F" w:csb1="00000000"/>
    <w:embedRegular r:id="rId7" w:fontKey="{7DEA6911-5077-431D-A996-347B74B4FF27}"/>
    <w:embedItalic r:id="rId8" w:fontKey="{5BE2B076-D81B-4898-97AE-A9C55431377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0C745E">
          <w:rPr>
            <w:noProof/>
          </w:rPr>
          <w:t>2</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084" w:rsidRDefault="005C0084" w:rsidP="009A122D">
      <w:pPr>
        <w:spacing w:after="0" w:line="240" w:lineRule="auto"/>
      </w:pPr>
      <w:r>
        <w:separator/>
      </w:r>
    </w:p>
  </w:footnote>
  <w:footnote w:type="continuationSeparator" w:id="0">
    <w:p w:rsidR="005C0084" w:rsidRDefault="005C008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0DCC"/>
    <w:rsid w:val="002A275A"/>
    <w:rsid w:val="002B1207"/>
    <w:rsid w:val="002C54C0"/>
    <w:rsid w:val="002D501F"/>
    <w:rsid w:val="002D7506"/>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C0084"/>
    <w:rsid w:val="005D7A01"/>
    <w:rsid w:val="005E0580"/>
    <w:rsid w:val="005E19DB"/>
    <w:rsid w:val="005E3A59"/>
    <w:rsid w:val="005E7700"/>
    <w:rsid w:val="005F1227"/>
    <w:rsid w:val="005F1B6B"/>
    <w:rsid w:val="005F620D"/>
    <w:rsid w:val="005F6245"/>
    <w:rsid w:val="00607B56"/>
    <w:rsid w:val="00625517"/>
    <w:rsid w:val="00630B3C"/>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ipython.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5D183-55AA-47F4-A80E-23BB6ACB2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6708</TotalTime>
  <Pages>28</Pages>
  <Words>32063</Words>
  <Characters>160319</Characters>
  <Application>Microsoft Office Word</Application>
  <DocSecurity>0</DocSecurity>
  <Lines>1335</Lines>
  <Paragraphs>383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191999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50</cp:revision>
  <dcterms:created xsi:type="dcterms:W3CDTF">2013-08-25T12:42:00Z</dcterms:created>
  <dcterms:modified xsi:type="dcterms:W3CDTF">2013-10-02T08:47:00Z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