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D111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ED111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ED111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ED111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ED111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ED111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ED111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ED111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ED111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ED111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ED111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ED111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ED111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ED111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ED111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ED111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ED111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ED111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ED111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ED111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ED111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D2A59"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C362E9">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necessary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D111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D5C6B">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D111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483013">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D2A59"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D2A59"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305556">
              <w:fldChar w:fldCharType="begin"/>
            </w:r>
            <w:r w:rsidR="00305556">
              <w:instrText xml:space="preserve"> SEQ Equation </w:instrText>
            </w:r>
            <w:r w:rsidR="00305556">
              <w:fldChar w:fldCharType="separate"/>
            </w:r>
            <w:r w:rsidR="00CA58CA">
              <w:rPr>
                <w:noProof/>
              </w:rPr>
              <w:t>6</w:t>
            </w:r>
            <w:r w:rsidR="00305556">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D2A59"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D104F2">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D111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w:t>
      </w:r>
      <w:r w:rsidR="005D511F">
        <w:rPr>
          <w:lang w:bidi="hi-IN"/>
        </w:rPr>
        <w:lastRenderedPageBreak/>
        <w:t xml:space="preserve">beneficial (compensatory) mutations are allowed </w:t>
      </w:r>
      <w:r w:rsidR="005D511F">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w:instrText>
      </w:r>
      <w:r w:rsidR="005D511F">
        <w:rPr>
          <w:lang w:bidi="hi-IN"/>
        </w:rPr>
      </w:r>
      <w:r w:rsidR="005D511F">
        <w:rPr>
          <w:lang w:bidi="hi-IN"/>
        </w:rPr>
        <w:instrText xml:space="preserve"> \* MERGEFORMAT </w:instrText>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FB4F13" w:rsidRDefault="00042973" w:rsidP="002A0DCC">
      <w:pPr>
        <w:pStyle w:val="Heading2"/>
        <w:spacing w:line="480" w:lineRule="auto"/>
        <w:rPr>
          <w:highlight w:val="red"/>
        </w:rPr>
      </w:pPr>
      <w:bookmarkStart w:id="7" w:name="_Ref374010899"/>
      <w:r w:rsidRPr="00FB4F13">
        <w:rPr>
          <w:highlight w:val="red"/>
        </w:rPr>
        <w:lastRenderedPageBreak/>
        <w:t>Effect of environmental stress</w:t>
      </w:r>
      <w:bookmarkEnd w:id="7"/>
    </w:p>
    <w:p w:rsidR="00683B42" w:rsidRPr="00683B42" w:rsidRDefault="00FA72C5" w:rsidP="00683B42">
      <w:pPr>
        <w:spacing w:line="480" w:lineRule="auto"/>
        <w:rPr>
          <w:vertAlign w:val="subscript"/>
        </w:rPr>
      </w:pPr>
      <w:r>
        <w:t>So far,</w:t>
      </w:r>
      <w:r w:rsidR="00042973">
        <w:t xml:space="preserve"> we considered </w:t>
      </w:r>
      <w:r w:rsidR="003A2920">
        <w:t xml:space="preserve">the case where the environmental change creates an opportunity for adaptation without affecting the absolute fitness of the population. Therefore, the </w:t>
      </w:r>
      <w:proofErr w:type="spellStart"/>
      <w:r w:rsidR="003A2920">
        <w:t>wildtype</w:t>
      </w:r>
      <w:proofErr w:type="spellEnd"/>
      <w:r w:rsidR="003A2920">
        <w:t xml:space="preserve"> </w:t>
      </w:r>
      <w:proofErr w:type="spellStart"/>
      <w:r w:rsidR="003A2920">
        <w:rPr>
          <w:i/>
          <w:iCs/>
        </w:rPr>
        <w:t>ab</w:t>
      </w:r>
      <w:proofErr w:type="spellEnd"/>
      <w:r w:rsidR="003A2920">
        <w:t xml:space="preserve"> wasn't under stressed and was not </w:t>
      </w:r>
      <w:proofErr w:type="spellStart"/>
      <w:r w:rsidR="003A2920">
        <w:t>hypermutating</w:t>
      </w:r>
      <w:proofErr w:type="spellEnd"/>
      <w:r w:rsidR="00042973">
        <w:t>.</w:t>
      </w:r>
      <w:r w:rsidR="003A2920">
        <w:t xml:space="preserve"> </w:t>
      </w:r>
      <w:r w:rsidR="00042973">
        <w:t xml:space="preserve"> </w:t>
      </w:r>
      <w:r w:rsidR="003A2920">
        <w:t xml:space="preserve">Next, we consider a different scenario in which the environmental change </w:t>
      </w:r>
      <w:r w:rsidR="00042973">
        <w:t xml:space="preserve">reduces the </w:t>
      </w:r>
      <w:r w:rsidR="003A2920">
        <w:t xml:space="preserve">absolute </w:t>
      </w:r>
      <w:r w:rsidR="00042973">
        <w:t xml:space="preserve">fitness of </w:t>
      </w:r>
      <w:r w:rsidR="003A2920">
        <w:t>the entire population, for example,</w:t>
      </w:r>
      <w:r w:rsidR="00042973">
        <w:t xml:space="preserve"> </w:t>
      </w:r>
      <w:r w:rsidR="003A2920">
        <w:t xml:space="preserve">the introduction of an </w:t>
      </w:r>
      <w:r w:rsidR="00042973">
        <w:t>antibiotic drug</w:t>
      </w:r>
      <w:r>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the </w:t>
      </w:r>
      <w:proofErr w:type="spellStart"/>
      <w:r w:rsidR="00683B42">
        <w:t>wildtype</w:t>
      </w:r>
      <w:proofErr w:type="spellEnd"/>
      <w:r w:rsidR="00683B42">
        <w:t xml:space="preserve"> </w:t>
      </w:r>
      <w:r w:rsidR="00683B42">
        <w:rPr>
          <w:i/>
          <w:iCs/>
        </w:rPr>
        <w:t>ab</w:t>
      </w:r>
      <w:r w:rsidR="00683B42">
        <w:t xml:space="preserve">. Moreover, in this scenario the </w:t>
      </w:r>
      <w:proofErr w:type="spellStart"/>
      <w:r w:rsidR="00683B42">
        <w:t>wildtype</w:t>
      </w:r>
      <w:proofErr w:type="spellEnd"/>
      <w:r w:rsidR="00683B42">
        <w:t xml:space="preserve"> is also under stress: formally, individuals with fitness </w:t>
      </w:r>
      <w:r w:rsidR="00683B42">
        <w:rPr>
          <w:rFonts w:ascii="Times New Roman" w:hAnsi="Times New Roman" w:cs="Times New Roman"/>
        </w:rPr>
        <w:t>lower or equal to</w:t>
      </w:r>
      <w:r w:rsidR="00683B42">
        <w:t xml:space="preserve"> 1 increase their mutation rates, whereas in the previous sections only individuals with fitness strictly lower than 1 increased their mutation rates. </w:t>
      </w:r>
      <w:r w:rsidR="00683B42">
        <w:t xml:space="preserve">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p>
    <w:p w:rsidR="00042973" w:rsidRDefault="002C54C0" w:rsidP="003A2920">
      <w:pPr>
        <w:spacing w:line="480" w:lineRule="auto"/>
      </w:pPr>
      <w:r>
        <w:t xml:space="preserve">This scenario has an important biological relevance, as SIM has been implicated in the evolution of drug resistance in bacteria and yeast </w:t>
      </w:r>
      <w:r>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D2A59"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highlight w:val="red"/>
                      <w:lang w:bidi="hi-IN"/>
                    </w:rPr>
                  </m:ctrlPr>
                </m:sSubPr>
                <m:e>
                  <m:r>
                    <w:rPr>
                      <w:rFonts w:ascii="Cambria Math" w:eastAsiaTheme="minorEastAsia" w:hAnsi="Cambria Math"/>
                      <w:highlight w:val="red"/>
                      <w:lang w:bidi="hi-IN"/>
                    </w:rPr>
                    <m:t>ν</m:t>
                  </m:r>
                </m:e>
                <m:sub>
                  <m:r>
                    <w:rPr>
                      <w:rFonts w:ascii="Cambria Math" w:eastAsiaTheme="minorEastAsia" w:hAnsi="Cambria Math"/>
                      <w:highlight w:val="red"/>
                      <w:lang w:bidi="hi-IN"/>
                    </w:rPr>
                    <m:t>CM</m:t>
                  </m:r>
                </m:sub>
              </m:sSub>
              <m:r>
                <w:rPr>
                  <w:rFonts w:ascii="Cambria Math" w:eastAsiaTheme="minorEastAsia" w:hAnsi="Cambria Math"/>
                  <w:highlight w:val="red"/>
                  <w:lang w:bidi="hi-IN"/>
                </w:rPr>
                <m:t>∙</m:t>
              </m:r>
              <m:d>
                <m:dPr>
                  <m:ctrlPr>
                    <w:rPr>
                      <w:rFonts w:ascii="Cambria Math" w:eastAsiaTheme="minorEastAsia" w:hAnsi="Cambria Math"/>
                      <w:i/>
                      <w:highlight w:val="red"/>
                      <w:lang w:bidi="hi-IN"/>
                    </w:rPr>
                  </m:ctrlPr>
                </m:dPr>
                <m:e>
                  <m:r>
                    <w:rPr>
                      <w:rFonts w:ascii="Cambria Math" w:eastAsiaTheme="minorEastAsia" w:hAnsi="Cambria Math"/>
                      <w:highlight w:val="red"/>
                      <w:lang w:bidi="hi-IN"/>
                    </w:rPr>
                    <m:t>1+</m:t>
                  </m:r>
                  <m:f>
                    <m:fPr>
                      <m:ctrlPr>
                        <w:rPr>
                          <w:rFonts w:ascii="Cambria Math" w:hAnsi="Cambria Math"/>
                          <w:i/>
                          <w:highlight w:val="red"/>
                          <w:lang w:bidi="hi-IN"/>
                        </w:rPr>
                      </m:ctrlPr>
                    </m:fPr>
                    <m:num>
                      <m:r>
                        <w:rPr>
                          <w:rFonts w:ascii="Cambria Math" w:hAnsi="Cambria Math"/>
                          <w:highlight w:val="red"/>
                          <w:lang w:bidi="hi-IN"/>
                        </w:rPr>
                        <m:t>U</m:t>
                      </m:r>
                      <m:d>
                        <m:dPr>
                          <m:ctrlPr>
                            <w:rPr>
                              <w:rFonts w:ascii="Cambria Math" w:hAnsi="Cambria Math"/>
                              <w:i/>
                              <w:highlight w:val="red"/>
                              <w:lang w:bidi="hi-IN"/>
                            </w:rPr>
                          </m:ctrlPr>
                        </m:dPr>
                        <m:e>
                          <m:r>
                            <w:rPr>
                              <w:rFonts w:ascii="Cambria Math" w:hAnsi="Cambria Math"/>
                              <w:highlight w:val="red"/>
                              <w:lang w:bidi="hi-IN"/>
                            </w:rPr>
                            <m:t>τ-1</m:t>
                          </m:r>
                        </m:e>
                      </m:d>
                    </m:num>
                    <m:den>
                      <m:r>
                        <w:rPr>
                          <w:rFonts w:ascii="Cambria Math" w:hAnsi="Cambria Math"/>
                          <w:highlight w:val="red"/>
                          <w:lang w:bidi="hi-IN"/>
                        </w:rPr>
                        <m:t>sH</m:t>
                      </m:r>
                    </m:den>
                  </m:f>
                  <m:ctrlPr>
                    <w:rPr>
                      <w:rFonts w:ascii="Cambria Math" w:hAnsi="Cambria Math"/>
                      <w:i/>
                      <w:highlight w:val="red"/>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8"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8"/>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9"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9"/>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D111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w:t>
      </w:r>
      <w:r w:rsidR="0094207C" w:rsidRPr="007F656F">
        <w:rPr>
          <w:lang w:bidi="hi-IN"/>
        </w:rPr>
        <w:lastRenderedPageBreak/>
        <w:t xml:space="preserve">of this increase depends on the level of stress the cell </w:t>
      </w:r>
      <w:r w:rsidR="00360699" w:rsidRPr="007F656F">
        <w:rPr>
          <w:lang w:bidi="hi-IN"/>
        </w:rPr>
        <w:t xml:space="preserve">experiences </w:t>
      </w:r>
      <w:r w:rsidR="00CA7DA9" w:rsidRPr="007F656F">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A67023" w:rsidRPr="00ED111F"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ED111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w:t>
      </w:r>
      <w:r w:rsidR="00ED111F">
        <w:rPr>
          <w:lang w:bidi="hi-IN"/>
        </w:rPr>
        <w:t xml:space="preserve">unrelated </w:t>
      </w:r>
      <w:r w:rsidR="00ED111F">
        <w:rPr>
          <w:lang w:bidi="hi-IN"/>
        </w:rPr>
        <w:t xml:space="preserve">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ED111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and this is probably the case is other organisms as well .</w:t>
      </w:r>
      <w:bookmarkStart w:id="10" w:name="_GoBack"/>
      <w:r w:rsidR="00ED111F">
        <w:rPr>
          <w:lang w:bidi="hi-IN"/>
        </w:rPr>
        <w:t xml:space="preserve"> </w:t>
      </w:r>
      <w:bookmarkEnd w:id="10"/>
    </w:p>
    <w:p w:rsidR="0007409B" w:rsidRPr="008A3174" w:rsidRDefault="00514DED" w:rsidP="00A67023">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D111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w:t>
      </w:r>
      <w:r w:rsidR="0007409B">
        <w:rPr>
          <w:lang w:bidi="hi-IN"/>
        </w:rPr>
        <w:lastRenderedPageBreak/>
        <w:t xml:space="preserve">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D111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ED111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ED111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D111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D111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ED111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ED111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ED111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ED111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ED111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lastRenderedPageBreak/>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D111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9D54F1">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proofErr w:type="gramStart"/>
      <w:r w:rsidR="009D54F1">
        <w:t>,  and</w:t>
      </w:r>
      <w:proofErr w:type="gramEnd"/>
      <w:r w:rsidR="009D54F1">
        <w:t xml:space="preserve"> A.F. Agrawal and two anonymous reviewers for helpful comments on the manuscript</w:t>
      </w:r>
      <w:r w:rsidR="00B25D55" w:rsidRPr="00EF44A6">
        <w:t>.</w:t>
      </w:r>
      <w:r w:rsidR="009D54F1">
        <w:t xml:space="preserve"> </w:t>
      </w:r>
      <w:r w:rsidR="00B25D55" w:rsidRPr="00EF44A6">
        <w:lastRenderedPageBreak/>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ED111F" w:rsidRPr="00ED111F" w:rsidRDefault="007F0A97">
      <w:pPr>
        <w:pStyle w:val="NormalWeb"/>
        <w:divId w:val="1789816281"/>
        <w:rPr>
          <w:rFonts w:ascii="Palatino Linotype" w:hAnsi="Palatino Linotype"/>
          <w:noProof/>
          <w:sz w:val="22"/>
        </w:rPr>
      </w:pPr>
      <w:r>
        <w:fldChar w:fldCharType="begin" w:fldLock="1"/>
      </w:r>
      <w:r>
        <w:instrText xml:space="preserve">ADDIN Mendeley Bibliography CSL_BIBLIOGRAPHY </w:instrText>
      </w:r>
      <w:r>
        <w:fldChar w:fldCharType="separate"/>
      </w:r>
      <w:r w:rsidR="00ED111F" w:rsidRPr="00ED111F">
        <w:rPr>
          <w:rFonts w:ascii="Palatino Linotype" w:hAnsi="Palatino Linotype"/>
          <w:noProof/>
          <w:sz w:val="22"/>
        </w:rPr>
        <w:t>Agrawal, A. F. 2002. Genetic loads under fitness-dependent mutation rates. J. Evol. Biol. 15:1004–1010. Wiley Online Library.</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Berg, O. G. 1996. Selection intensity for codon bias and the effective population size of Escherichia coli. Genetics 142:1379–82.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Bjedov, I., O. Tenaillon, B. Gérard, V. Souza, E. Denamur, M. Radman, F. Taddei, and I. Matic. 2003. Stress-induced mutagenesis in bacteria. Science (80-. ). 300:1404–9.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Bristow, R. G., and R. P. Hill. 2008. Hypoxia and metabolism: Hypoxia, DNA repair and genetic instability. Nat. Rev. Cancer 8:180–92.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Cairns, J., J. Overbaugh, and S. Miller. 1988. The origin of mutants. Nature 335:142–5.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Cirz, R. T., and F. E. Romesberg. 2007. Controlling mutation: intervening in evolution as a therapeutic strategy. Crit. Rev. Biochem. Mol. Biol. 42:341–54.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Coyne, J. A., N. H. Barton, and M. Turelli. 2000. Is Wright’s shifting balance process important in evolution? Evolution (N. Y). 54:306–317.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Crow, J. F., W. R. Engels, and C. Denniston. 1990. Phase Three of Wright’s Shifting-Balance Theory. Evolution (N. Y). 44:233.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Dawson, K. J. 1998. Evolutionarily stable mutation rates. J. Theor. Biol. 194:143–57.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 Visser, J. A. G. M. 2002. The fate of microbial mutators. Microbiology 148:1247–52.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Denamur, E., and I. Matic. 2006. Evolution of mutation rates in bacteria. Mol. Microbiol. 60:820–7.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Drake, J. W., B. Charlesworth, D. Charlesworth, and J. F. Crow. 1998. Rates of spontaneous mutation. Genetics 148:1667–86. Genetics Soc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Fisher, R. A. 1930. The Genetical Theory of Natural Selection. Clarendon Press, Oxford.</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Foster, P. L. 2007. Stress-induced mutagenesis in bacteria. Crit. Rev. Biochem. Mol. Biol. 42:373–97.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Galhardo, R. S., P. J. Hastings, and S. M. Rosenberg. 2007. Mutation as a stress response and the regulation of evolvability. Crit. Rev. Biochem. Mol. Biol. 42:399–435.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Gavrilets, S. 1996. On phase three of the shifting-balance theory. Evolution (N. Y). 50:1034–1041. JSTOR.</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Gentile, C. F., S.-C. Yu, S. A. Serrano, P. J. Gerrish, and P. D. Sniegowski. 2011. Competition between high- and higher-mutating strains of Escherichia coli. Biol. Lett. 7:422–4.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Goho, S., and G. Bell. 2000. Mild environmental stress elicits mutations affecting fitness in Chlamydomonas. Proc. R. Soc. B Biol. Sci. 267:123–9.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and F. Dionisio. 2005. Nonequilibrium model for estimating parameters of deleterious mutations. Phys. Rev. E 71:18–21.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L. Perfeito, and A. Sousa. 2011. Fitness effects of mutations in bacteria. J. Mol. Microbiol. Biotechnol. 21:20–35.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2003. Adaptive peak shifts in a heterogenous environment. Theor. Popul. Biol. 63:41–51.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and T. Beker. 2003. Fitness-associated recombination on rugged adaptive landscapes. J. Evol. Biol. 16:862–870.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Haigh, J. 1978. The accumulation of deleterious genes in a population - Muller’s Ratchet. Theor. Popul. Biol. 14:251–267.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Hall, L. M. C., and S. K. Henderson-Begg. 2006. Hypermutable bacteria isolated from humans--a critical analysis. Microbiology 152:2505–14.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Hartfield, M., and S. P. Otto. 2011. Recombination and hitchhiking of deleterious alleles. Evolution 65:2421–34.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Heidenreich, E. 2007. Adaptive mutation in Saccharomyces cerevisiae. Crit. Rev. Biochem. Mol. Biol. 42:285–311.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Kang, J. M., N. M. Iovine, and M. J. Blaser. 2006. A paradigm for direct stress-induced mutation in prokaryotes. FASEB J. 20:2476–85.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Kessler, D. A., and H. Levine. 1998. Mutator Dynamics on a Smooth Evolutionary Landscape. Phys. Rev. Lett. 80:2012–2015.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Kibota, T. T., and M. Lynch. 1996. Estimate of the genomic mutation rate deleterious to overall fitness in E. coli. Nature 381:694–6.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Kivisaar, M. 2010. Mechanisms of stationary-phase mutagenesis in bacteria: mutational processes in pseudomonads. FEMS Microbiol. Lett. 312:1–14.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Leigh, E. G. J. 1970. Natural Selection and Mutability. Am. Nat. 104:301–305.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Loh, E., J. J. Salk, and L. A. Loeb. 2010. Optimization of DNA polymerase mutation rates during bacterial evolution. Proc. Natl. Acad. Sci. 107:1154–9.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Moore, F. B.-G., and S. J. Tonsor. 1994. A Simulation of Wright’s Shifting-Balance Process: Migration and the Three Phases. Evolution (N. Y). 48:69.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Obolski, U., and L. Hadany. 2012. Implications of stress-induced genetic variation for minimizing multidrug resistance in bacteria. BMC Med. 10:1–30.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Peck, S. L., S. P. Ellner, and F. Gould. 2000. Varying migration and deme size and the feasibility of the shifting balance. Evolution 54:324–7.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Ponder, R. G., N. C. Fonville, and S. M. Rosenberg. 2005. A switch from high-fidelity to error-prone DNA double-strand break repair underlies stress-induced mutation. Mol. Cell 19:791–804.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Pupo, G. M., and B. J. Richardson. 1995. Biochemical genetics of a natural population of Escherichia coli: seasonal changes in alleles and haplotypes. Microbiology 141:1037–44.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Ram, Y., and L. Hadany. 2012. The evolution of stress-induced hypermutation in asexual populations. Evolution (N. Y). 66:2315–28.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Rodriguez, G. P., N. V Romanova, G. Bao, N. C. Rouf, Y. W. Kow, and G. F. Crouse. 2012. Mismatch repair-dependent mutagenesis in nondividing cells. Proc. Natl. Acad. Sci. 109:6153–8.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Sharp, N. P., and A. F. Agrawal. 2012. Evidence for elevated mutation rates in low-quality genotypes. Proc. Natl. Acad. Sci. 109:6142–6.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Shaw, F. H., and C. F. Baer. 2011. Fitness-dependent mutation rates in finite populations. J. Evol. Biol. 24:1677–84.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Shor, E., C. a. Fox, and J. R. Broach. 2013. The Yeast Environmental Stress Response Regulates Mutagenesis Induced by Proteotoxic Stress. PLoS Genet. 9:e1003680.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Sniegowski, P. D., P. J. Gerrish, T. Johnson, and A. Shaver. 2000. The evolution of mutation rates: separating causes from consequences. BioEssays 22:1057–66.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Sniegowski, P. D., P. J. Gerrish, and R. E. Lenski. 1997. Evolution of high mutation rates in experimental populations of E. coli. Nature 387:703–5.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Sung, W., M. S. Ackerman, S. F. Miller, T. G. Doak, and M. Lynch. 2012. Drift-barrier hypothesis and mutation-rate evolution. Proc. Natl. Acad. Sci., doi: 10.1073/pnas.1216223109.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Taddei, F., M. Radman, J. Maynard Smith, B. Toupance, P.-H. Gouyon, and B. Godelle. 1997. Role of mutator alleles in adaptive evolution. Nature 387:700–2.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E. Denamur, and I. Matic. 2004. Evolutionary significance of stress-induced mutagenesis in bacteria. Trends Microbiol. 12:264–70.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Tenaillon, O., B. Toupance, H. Le Nagard, F. Taddei, and B. Godelle. 1999. Mutators, Population Size, Adaptive Landscape and the Adaptation of Asexual Populations of Bacteria. Genetics 152:485–493.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Wade, M., and C. Goodnight. 1991. Wright’s shifting balance theory: an experimental study. Science (80-. ). 253:1015–1018.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Weissman, D. B., M. W. Feldman, and D. S. Fisher. 2010. The rate of fitness-valley crossing in sexual populations. Genetics 186:1389–410.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1997. Founder Effects and Peak Shifts Without Genetic Drift: Adaptive Peak Shifts Occur Easily When Environments Fluctuate Slightly. Evolution (N. Y). 51:1044.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1995. Variance-Induced Peak Shifts. Evolution (N. Y). 49:252.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and P. C. Phillips. 2000. The exquisite corpse: a shifting view of the shifting balance. Trends Ecol. Evol. 15:347–348.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Wright, S. 1931. Evolution in Mendelian Populations. Genetics 16:97–159.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 xml:space="preserve">Wright, S. 1988. Surfaces of selective value revisited. Am. Nat. 131:115–123. </w:t>
      </w:r>
    </w:p>
    <w:p w:rsidR="00347C94" w:rsidRPr="00347C94" w:rsidRDefault="007F0A97" w:rsidP="00ED111F">
      <w:pPr>
        <w:pStyle w:val="NormalWeb"/>
        <w:divId w:val="576476138"/>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11" w:name="_Ref360530640"/>
      <w:bookmarkStart w:id="12" w:name="_Ref363980873"/>
      <w:r>
        <w:t xml:space="preserve">Appendix </w:t>
      </w:r>
      <w:bookmarkEnd w:id="11"/>
      <w:r w:rsidR="000F7D03">
        <w:t>1</w:t>
      </w:r>
      <w:bookmarkEnd w:id="12"/>
    </w:p>
    <w:p w:rsidR="0002786D" w:rsidRDefault="00044F35" w:rsidP="00E628F4">
      <w:pPr>
        <w:spacing w:line="480" w:lineRule="auto"/>
      </w:pPr>
      <w:r>
        <w:t xml:space="preserve">In the following analysis we assume that </w:t>
      </w:r>
      <m:oMath>
        <m:r>
          <w:rPr>
            <w:rFonts w:ascii="Cambria Math" w:hAnsi="Cambria Math"/>
          </w:rPr>
          <m:t>μ≪</m:t>
        </m:r>
        <m:r>
          <w:rPr>
            <w:rFonts w:ascii="Cambria Math" w:hAnsi="Cambria Math"/>
          </w:rPr>
          <m:t>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r>
              <w:rPr>
                <w:rFonts w:ascii="Cambria Math" w:hAnsi="Cambria Math"/>
              </w:rPr>
              <m:t>-U/s</m:t>
            </m:r>
          </m:sup>
        </m:sSup>
        <m:d>
          <m:dPr>
            <m:ctrlPr>
              <w:rPr>
                <w:rFonts w:ascii="Cambria Math" w:hAnsi="Cambria Math"/>
                <w:i/>
              </w:rPr>
            </m:ctrlPr>
          </m:dPr>
          <m:e>
            <m:r>
              <w:rPr>
                <w:rFonts w:ascii="Cambria Math" w:hAnsi="Cambria Math"/>
              </w:rPr>
              <m:t>2+</m:t>
            </m:r>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r>
              <w:rPr>
                <w:rFonts w:ascii="Cambria Math" w:hAnsi="Cambria Math"/>
              </w:rPr>
              <m:t>-U/s</m:t>
            </m:r>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m:t>
        </m:r>
        <m:r>
          <w:rPr>
            <w:rFonts w:ascii="Cambria Math" w:hAnsi="Cambria Math"/>
          </w:rPr>
          <m:t>≪</m:t>
        </m:r>
        <m:r>
          <w:rPr>
            <w:rFonts w:ascii="Cambria Math" w:hAnsi="Cambria Math"/>
          </w:rPr>
          <m:t>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02786D" w:rsidRDefault="00C36DFD" w:rsidP="002A0DCC">
      <w:pPr>
        <w:spacing w:line="480" w:lineRule="auto"/>
      </w:pPr>
      <w:r>
        <w:t xml:space="preserve">For a population with </w:t>
      </w:r>
      <w:r w:rsidR="00CB2260">
        <w:t>SIM</w:t>
      </w:r>
      <w:r w:rsidR="0002786D">
        <w:t>:</w:t>
      </w:r>
    </w:p>
    <w:p w:rsidR="0002786D" w:rsidRPr="005579CA" w:rsidRDefault="009D2A59" w:rsidP="0007316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m:t>
                </m:r>
                <m:r>
                  <w:rPr>
                    <w:rFonts w:ascii="Cambria Math" w:hAnsi="Cambria Math"/>
                  </w:rPr>
                  <m:t>+2τ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m:t>
            </m:r>
            <m:r>
              <w:rPr>
                <w:rFonts w:ascii="Cambria Math" w:hAnsi="Cambria Math"/>
              </w:rPr>
              <m:t>τ</m:t>
            </m:r>
            <m:r>
              <w:rPr>
                <w:rFonts w:ascii="Cambria Math" w:hAnsi="Cambria Math"/>
              </w:rPr>
              <m:t>U</m:t>
            </m:r>
            <m:ctrlPr>
              <w:rPr>
                <w:rFonts w:ascii="Cambria Math" w:eastAsiaTheme="minorEastAsia" w:hAnsi="Cambria Math"/>
                <w:i/>
              </w:rPr>
            </m:ctrlPr>
          </m:e>
        </m:d>
      </m:oMath>
      <w:r w:rsidR="004C763B">
        <w:rPr>
          <w:rFonts w:eastAsiaTheme="minorEastAsia"/>
        </w:rPr>
        <w:t>.</w:t>
      </w:r>
    </w:p>
    <w:p w:rsidR="0002786D" w:rsidRDefault="0002786D" w:rsidP="0007316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Now, the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D2A59"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073161">
      <w:pPr>
        <w:spacing w:line="480" w:lineRule="auto"/>
        <w:rPr>
          <w:rFonts w:eastAsiaTheme="minorEastAsia"/>
        </w:rPr>
      </w:pPr>
      <w:r w:rsidRPr="00BA00E0">
        <w:t>Note that by setting</w:t>
      </w:r>
      <w:r w:rsidR="00946A45" w:rsidRPr="00946A45">
        <w:rPr>
          <w:i/>
          <w:iCs/>
        </w:rPr>
        <w:t xml:space="preserve"> </w:t>
      </w:r>
      <m:oMath>
        <m:r>
          <w:rPr>
            <w:rFonts w:ascii="Cambria Math" w:hAnsi="Cambria Math"/>
          </w:rPr>
          <m:t>τ</m:t>
        </m:r>
        <m:r>
          <w:rPr>
            <w:rFonts w:ascii="Cambria Math" w:hAnsi="Cambria Math"/>
          </w:rPr>
          <m:t>=1</m:t>
        </m:r>
      </m:oMath>
      <w:r w:rsidR="00946A45">
        <w:t xml:space="preserve"> </w:t>
      </w:r>
      <w:r w:rsidRPr="00BA00E0">
        <w:t xml:space="preserve">and </w:t>
      </w:r>
      <w:proofErr w:type="gramStart"/>
      <w:r>
        <w:t>because</w:t>
      </w:r>
      <w:r w:rsidRPr="00BA00E0">
        <w:t xml:space="preserve"> </w:t>
      </w:r>
      <w:proofErr w:type="gramEnd"/>
      <m:oMath>
        <m:r>
          <w:rPr>
            <w:rFonts w:ascii="Cambria Math" w:hAnsi="Cambria Math"/>
          </w:rPr>
          <m:t>U</m:t>
        </m:r>
        <m:r>
          <w:rPr>
            <w:rFonts w:ascii="Cambria Math" w:hAnsi="Cambria Math"/>
          </w:rPr>
          <m:t>&lt;&lt;1</m:t>
        </m:r>
      </m:oMath>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3" w:name="_Ref360530760"/>
      <w:bookmarkStart w:id="14" w:name="_Ref363980888"/>
      <w:r>
        <w:lastRenderedPageBreak/>
        <w:t>Appendix</w:t>
      </w:r>
      <w:bookmarkEnd w:id="13"/>
      <w:r w:rsidR="000F7D03">
        <w:t xml:space="preserve"> 2</w:t>
      </w:r>
      <w:bookmarkEnd w:id="14"/>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5"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6" w:name="_Ref363980903"/>
      <w:r>
        <w:t xml:space="preserve">Appendix </w:t>
      </w:r>
      <w:bookmarkEnd w:id="15"/>
      <w:r w:rsidR="000F7D03">
        <w:t>3</w:t>
      </w:r>
      <w:bookmarkEnd w:id="16"/>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w:t>
      </w:r>
      <w:r>
        <w:rPr>
          <w:lang w:bidi="hi-IN"/>
        </w:rPr>
        <w:lastRenderedPageBreak/>
        <w:t xml:space="preserve">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D111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m:t>
            </m:r>
            <m:r>
              <w:rPr>
                <w:rFonts w:ascii="Cambria Math" w:eastAsiaTheme="minorEastAsia" w:hAnsi="Cambria Math"/>
                <w:lang w:bidi="hi-IN"/>
              </w:rPr>
              <m:t>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6F130675" wp14:editId="47EBA77F">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7"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7"/>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368589AE" wp14:editId="3BFFAA2F">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92861">
      <w:pPr>
        <w:pStyle w:val="FigureLegend"/>
        <w:spacing w:line="480" w:lineRule="auto"/>
      </w:pPr>
      <w:bookmarkStart w:id="18"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8"/>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5A309BF9" wp14:editId="15DC8390">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9"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9"/>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w:t>
      </w:r>
      <w:r w:rsidRPr="003C4248">
        <w:rPr>
          <w:sz w:val="16"/>
          <w:szCs w:val="16"/>
        </w:rPr>
        <w:lastRenderedPageBreak/>
        <w:t xml:space="preserve">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7AFF890" wp14:editId="44DF909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EE776B">
      <w:pPr>
        <w:pStyle w:val="FigureLegend"/>
        <w:spacing w:line="480" w:lineRule="auto"/>
        <w:rPr>
          <w:lang w:bidi="hi-IN"/>
        </w:rPr>
      </w:pPr>
      <w:bookmarkStart w:id="20"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20"/>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1"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1"/>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D111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EA7" w:rsidRDefault="00F33EA7" w:rsidP="009A122D">
      <w:pPr>
        <w:spacing w:after="0" w:line="240" w:lineRule="auto"/>
      </w:pPr>
      <w:r>
        <w:separator/>
      </w:r>
    </w:p>
  </w:endnote>
  <w:endnote w:type="continuationSeparator" w:id="0">
    <w:p w:rsidR="00F33EA7" w:rsidRDefault="00F33EA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F34B222-2101-4E27-9955-3065F15697FA}"/>
    <w:embedBold r:id="rId2" w:fontKey="{211AAEFF-154C-421B-9C34-23D8B98F98D0}"/>
    <w:embedItalic r:id="rId3" w:fontKey="{3A6F078A-3344-44A2-9DFD-A36A0B4A8A5C}"/>
    <w:embedBoldItalic r:id="rId4" w:fontKey="{D65AE018-E5F7-4142-90FC-3540B49167BF}"/>
  </w:font>
  <w:font w:name="Tahoma">
    <w:panose1 w:val="020B0604030504040204"/>
    <w:charset w:val="00"/>
    <w:family w:val="swiss"/>
    <w:pitch w:val="variable"/>
    <w:sig w:usb0="E1002EFF" w:usb1="C000605B" w:usb2="00000029" w:usb3="00000000" w:csb0="000101FF" w:csb1="00000000"/>
    <w:embedRegular r:id="rId5" w:fontKey="{000B5A21-20FB-4B18-970E-B96B3911FC5C}"/>
  </w:font>
  <w:font w:name="cmr10">
    <w:charset w:val="00"/>
    <w:family w:val="swiss"/>
    <w:pitch w:val="variable"/>
    <w:sig w:usb0="00000003" w:usb1="00000000" w:usb2="00000000" w:usb3="00000000" w:csb0="00000001" w:csb1="00000000"/>
    <w:embedRegular r:id="rId6" w:fontKey="{72E5BD33-5435-471D-9ACA-98F44DA8D4A4}"/>
  </w:font>
  <w:font w:name="Cambria Math">
    <w:panose1 w:val="02040503050406030204"/>
    <w:charset w:val="00"/>
    <w:family w:val="roman"/>
    <w:pitch w:val="variable"/>
    <w:sig w:usb0="E00002FF" w:usb1="420024FF" w:usb2="00000000" w:usb3="00000000" w:csb0="0000019F" w:csb1="00000000"/>
    <w:embedItalic r:id="rId7" w:fontKey="{1B471FC8-C1CE-47BE-B68F-DCE3FC41D09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47165" w:rsidRDefault="00E47165">
        <w:pPr>
          <w:pStyle w:val="Footer"/>
          <w:jc w:val="center"/>
        </w:pPr>
        <w:r>
          <w:fldChar w:fldCharType="begin"/>
        </w:r>
        <w:r>
          <w:instrText xml:space="preserve"> PAGE   \* MERGEFORMAT </w:instrText>
        </w:r>
        <w:r>
          <w:fldChar w:fldCharType="separate"/>
        </w:r>
        <w:r w:rsidR="00ED111F">
          <w:rPr>
            <w:noProof/>
          </w:rPr>
          <w:t>29</w:t>
        </w:r>
        <w:r>
          <w:rPr>
            <w:noProof/>
          </w:rPr>
          <w:fldChar w:fldCharType="end"/>
        </w:r>
      </w:p>
    </w:sdtContent>
  </w:sdt>
  <w:p w:rsidR="00E47165" w:rsidRDefault="00E471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EA7" w:rsidRDefault="00F33EA7" w:rsidP="009A122D">
      <w:pPr>
        <w:spacing w:after="0" w:line="240" w:lineRule="auto"/>
      </w:pPr>
      <w:r>
        <w:separator/>
      </w:r>
    </w:p>
  </w:footnote>
  <w:footnote w:type="continuationSeparator" w:id="0">
    <w:p w:rsidR="00F33EA7" w:rsidRDefault="00F33EA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C4D"/>
    <w:rsid w:val="0008670D"/>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DE0"/>
    <w:rsid w:val="00290173"/>
    <w:rsid w:val="0029078B"/>
    <w:rsid w:val="00292861"/>
    <w:rsid w:val="00295B91"/>
    <w:rsid w:val="00295FB4"/>
    <w:rsid w:val="002A0DCC"/>
    <w:rsid w:val="002A275A"/>
    <w:rsid w:val="002B1207"/>
    <w:rsid w:val="002B5E98"/>
    <w:rsid w:val="002C490D"/>
    <w:rsid w:val="002C54C0"/>
    <w:rsid w:val="002D501F"/>
    <w:rsid w:val="002D7506"/>
    <w:rsid w:val="002E0EBF"/>
    <w:rsid w:val="002F4E2F"/>
    <w:rsid w:val="00305197"/>
    <w:rsid w:val="00305556"/>
    <w:rsid w:val="00313F54"/>
    <w:rsid w:val="00320207"/>
    <w:rsid w:val="003247B3"/>
    <w:rsid w:val="00325953"/>
    <w:rsid w:val="0033327A"/>
    <w:rsid w:val="00335E62"/>
    <w:rsid w:val="0034713C"/>
    <w:rsid w:val="00347C94"/>
    <w:rsid w:val="00354774"/>
    <w:rsid w:val="00360699"/>
    <w:rsid w:val="003657AC"/>
    <w:rsid w:val="00373875"/>
    <w:rsid w:val="003757EA"/>
    <w:rsid w:val="0038310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F5091"/>
    <w:rsid w:val="00401E4A"/>
    <w:rsid w:val="00412A85"/>
    <w:rsid w:val="00414AEF"/>
    <w:rsid w:val="004163AF"/>
    <w:rsid w:val="004178FE"/>
    <w:rsid w:val="00435563"/>
    <w:rsid w:val="0043685D"/>
    <w:rsid w:val="00440833"/>
    <w:rsid w:val="00446BDA"/>
    <w:rsid w:val="00453133"/>
    <w:rsid w:val="0045618B"/>
    <w:rsid w:val="0046652F"/>
    <w:rsid w:val="004747BD"/>
    <w:rsid w:val="00475C27"/>
    <w:rsid w:val="00477861"/>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5FC0"/>
    <w:rsid w:val="004D6F60"/>
    <w:rsid w:val="004E278A"/>
    <w:rsid w:val="004F4440"/>
    <w:rsid w:val="004F5395"/>
    <w:rsid w:val="00511EA8"/>
    <w:rsid w:val="00514DED"/>
    <w:rsid w:val="005202A0"/>
    <w:rsid w:val="0052063A"/>
    <w:rsid w:val="00531BD5"/>
    <w:rsid w:val="00531CC2"/>
    <w:rsid w:val="005447DA"/>
    <w:rsid w:val="00544FA2"/>
    <w:rsid w:val="005467DB"/>
    <w:rsid w:val="005515F1"/>
    <w:rsid w:val="00552B96"/>
    <w:rsid w:val="00563FAB"/>
    <w:rsid w:val="00564668"/>
    <w:rsid w:val="005754EE"/>
    <w:rsid w:val="005757FF"/>
    <w:rsid w:val="00575BB5"/>
    <w:rsid w:val="005816EE"/>
    <w:rsid w:val="005821AF"/>
    <w:rsid w:val="00587E54"/>
    <w:rsid w:val="005A2F68"/>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511"/>
    <w:rsid w:val="00652D72"/>
    <w:rsid w:val="00663378"/>
    <w:rsid w:val="00665310"/>
    <w:rsid w:val="006733DF"/>
    <w:rsid w:val="0067436B"/>
    <w:rsid w:val="00683120"/>
    <w:rsid w:val="00683B42"/>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85EDE"/>
    <w:rsid w:val="007A2944"/>
    <w:rsid w:val="007B25AD"/>
    <w:rsid w:val="007C4DDB"/>
    <w:rsid w:val="007D5C6B"/>
    <w:rsid w:val="007E1D16"/>
    <w:rsid w:val="007E25F3"/>
    <w:rsid w:val="007E4A3D"/>
    <w:rsid w:val="007E6659"/>
    <w:rsid w:val="007F0A97"/>
    <w:rsid w:val="007F101A"/>
    <w:rsid w:val="007F26D6"/>
    <w:rsid w:val="007F656F"/>
    <w:rsid w:val="008062FB"/>
    <w:rsid w:val="00806F37"/>
    <w:rsid w:val="00812097"/>
    <w:rsid w:val="00812DB3"/>
    <w:rsid w:val="00814BE5"/>
    <w:rsid w:val="00817816"/>
    <w:rsid w:val="00817B34"/>
    <w:rsid w:val="00821FF3"/>
    <w:rsid w:val="00824294"/>
    <w:rsid w:val="0082586B"/>
    <w:rsid w:val="00830F34"/>
    <w:rsid w:val="008350C0"/>
    <w:rsid w:val="0085140E"/>
    <w:rsid w:val="00851EBB"/>
    <w:rsid w:val="008643AC"/>
    <w:rsid w:val="00870ED3"/>
    <w:rsid w:val="008752E9"/>
    <w:rsid w:val="008851DB"/>
    <w:rsid w:val="00890BB3"/>
    <w:rsid w:val="008967F9"/>
    <w:rsid w:val="008A0C66"/>
    <w:rsid w:val="008A3174"/>
    <w:rsid w:val="008A35F3"/>
    <w:rsid w:val="008A5282"/>
    <w:rsid w:val="008A7A0A"/>
    <w:rsid w:val="008E3DFA"/>
    <w:rsid w:val="008E7880"/>
    <w:rsid w:val="008F5983"/>
    <w:rsid w:val="009040D1"/>
    <w:rsid w:val="00915B29"/>
    <w:rsid w:val="00917C32"/>
    <w:rsid w:val="009207F0"/>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75E44"/>
    <w:rsid w:val="009770F6"/>
    <w:rsid w:val="009850ED"/>
    <w:rsid w:val="00986F1F"/>
    <w:rsid w:val="00992FC4"/>
    <w:rsid w:val="009969E9"/>
    <w:rsid w:val="009A0E7D"/>
    <w:rsid w:val="009A122D"/>
    <w:rsid w:val="009A294A"/>
    <w:rsid w:val="009A2A4B"/>
    <w:rsid w:val="009B5BE5"/>
    <w:rsid w:val="009C438B"/>
    <w:rsid w:val="009D2A59"/>
    <w:rsid w:val="009D3762"/>
    <w:rsid w:val="009D54F1"/>
    <w:rsid w:val="009D699D"/>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9277F"/>
    <w:rsid w:val="00A95F28"/>
    <w:rsid w:val="00A96D14"/>
    <w:rsid w:val="00AB0448"/>
    <w:rsid w:val="00AC2BE1"/>
    <w:rsid w:val="00AC498F"/>
    <w:rsid w:val="00AC687F"/>
    <w:rsid w:val="00AC75F5"/>
    <w:rsid w:val="00AD2B33"/>
    <w:rsid w:val="00AD32AA"/>
    <w:rsid w:val="00AE0B1E"/>
    <w:rsid w:val="00AE42B5"/>
    <w:rsid w:val="00AE4609"/>
    <w:rsid w:val="00AE4A3F"/>
    <w:rsid w:val="00AF1C24"/>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5518"/>
    <w:rsid w:val="00BC359F"/>
    <w:rsid w:val="00BF06EE"/>
    <w:rsid w:val="00BF2DDC"/>
    <w:rsid w:val="00BF336A"/>
    <w:rsid w:val="00C023C7"/>
    <w:rsid w:val="00C11B88"/>
    <w:rsid w:val="00C157F4"/>
    <w:rsid w:val="00C2015F"/>
    <w:rsid w:val="00C2360B"/>
    <w:rsid w:val="00C23983"/>
    <w:rsid w:val="00C24454"/>
    <w:rsid w:val="00C32D39"/>
    <w:rsid w:val="00C35E46"/>
    <w:rsid w:val="00C362E9"/>
    <w:rsid w:val="00C36DFD"/>
    <w:rsid w:val="00C40CB3"/>
    <w:rsid w:val="00C43354"/>
    <w:rsid w:val="00C47221"/>
    <w:rsid w:val="00C53C8F"/>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23504"/>
    <w:rsid w:val="00F25234"/>
    <w:rsid w:val="00F27D77"/>
    <w:rsid w:val="00F33489"/>
    <w:rsid w:val="00F33EA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9F7D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6F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6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C8CCA-E543-47A9-BD2C-22636D386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7431</TotalTime>
  <Pages>29</Pages>
  <Words>40181</Words>
  <Characters>200906</Characters>
  <Application>Microsoft Office Word</Application>
  <DocSecurity>0</DocSecurity>
  <Lines>1674</Lines>
  <Paragraphs>481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240606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136</cp:revision>
  <dcterms:created xsi:type="dcterms:W3CDTF">2013-08-25T12:42:00Z</dcterms:created>
  <dcterms:modified xsi:type="dcterms:W3CDTF">2013-12-05T19:44:00Z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