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7"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 xml:space="preserve">Dept. of Molecular Biology and Ecology </w:t>
      </w:r>
      <w:r>
        <w:rPr>
          <w:lang w:bidi="hi-IN"/>
        </w:rPr>
        <w:t>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2630C5" w:rsidRDefault="002630C5" w:rsidP="001033CA">
      <w:pPr>
        <w:pStyle w:val="Heading1"/>
        <w:rPr>
          <w:lang w:bidi="hi-IN"/>
        </w:rPr>
      </w:pPr>
      <w:r>
        <w:rPr>
          <w:lang w:bidi="hi-IN"/>
        </w:rPr>
        <w:lastRenderedPageBreak/>
        <w:t>Model</w:t>
      </w:r>
    </w:p>
    <w:p w:rsidR="00101FCD" w:rsidRDefault="001910E3" w:rsidP="00E466DE">
      <w:pPr>
        <w:rPr>
          <w:lang w:bidi="hi-IN"/>
        </w:rPr>
      </w:pPr>
      <w:r>
        <w:rPr>
          <w:lang w:bidi="hi-IN"/>
        </w:rPr>
        <w:t xml:space="preserve">We consider a population of </w:t>
      </w:r>
      <w:r>
        <w:rPr>
          <w:i/>
          <w:iCs/>
          <w:lang w:bidi="hi-IN"/>
        </w:rPr>
        <w:t>N</w:t>
      </w:r>
      <w:r>
        <w:rPr>
          <w:lang w:bidi="hi-IN"/>
        </w:rPr>
        <w:t xml:space="preserve"> haploid asexual individuals. The number of new 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A mutation is deleterious or beneficial with probabilities </w:t>
      </w:r>
      <w:r w:rsidR="002B1207" w:rsidRPr="002B1207">
        <w:rPr>
          <w:rFonts w:cs="Times New Roman"/>
          <w:i/>
          <w:iCs/>
          <w:lang w:bidi="hi-IN"/>
        </w:rPr>
        <w:t>δ</w:t>
      </w:r>
      <w:r w:rsidR="002B1207" w:rsidRPr="002B1207">
        <w:rPr>
          <w:rFonts w:cs="Times New Roman"/>
          <w:lang w:bidi="hi-IN"/>
        </w:rPr>
        <w:t xml:space="preserve"> </w:t>
      </w:r>
      <w:r w:rsidR="002B1207" w:rsidRPr="002B1207">
        <w:rPr>
          <w:lang w:bidi="hi-IN"/>
        </w:rPr>
        <w:t>and</w:t>
      </w:r>
      <w:r w:rsidR="002B1207" w:rsidRPr="002B1207">
        <w:rPr>
          <w:rFonts w:cs="Times New Roman"/>
          <w:lang w:bidi="hi-IN"/>
        </w:rPr>
        <w:t xml:space="preserve"> </w:t>
      </w:r>
      <w:r w:rsidR="002B1207" w:rsidRPr="002B1207">
        <w:rPr>
          <w:rFonts w:cs="Times New Roman"/>
          <w:i/>
          <w:iCs/>
          <w:lang w:bidi="hi-IN"/>
        </w:rPr>
        <w:t>β</w:t>
      </w:r>
      <w:r w:rsidR="002B1207">
        <w:rPr>
          <w:lang w:bidi="hi-IN"/>
        </w:rPr>
        <w:t xml:space="preserve"> such that </w:t>
      </w:r>
      <w:r w:rsidR="002B1207" w:rsidRPr="002B1207">
        <w:rPr>
          <w:rFonts w:cs="Times New Roman"/>
          <w:i/>
          <w:iCs/>
          <w:lang w:bidi="hi-IN"/>
        </w:rPr>
        <w:t>δ</w:t>
      </w:r>
      <w:r w:rsidR="002B1207" w:rsidRPr="002B1207">
        <w:rPr>
          <w:rFonts w:cs="Times New Roman"/>
          <w:lang w:bidi="hi-IN"/>
        </w:rPr>
        <w:t>+</w:t>
      </w:r>
      <w:r w:rsidR="002B1207" w:rsidRPr="002B1207">
        <w:rPr>
          <w:rFonts w:cs="Times New Roman"/>
          <w:i/>
          <w:iCs/>
          <w:lang w:bidi="hi-IN"/>
        </w:rPr>
        <w:t>β</w:t>
      </w:r>
      <w:r w:rsidR="002B1207">
        <w:rPr>
          <w:rFonts w:cs="Times New Roman"/>
          <w:i/>
          <w:iCs/>
          <w:lang w:bidi="hi-IN"/>
        </w:rPr>
        <w:t>=1</w:t>
      </w:r>
      <w:r w:rsidR="002B1207">
        <w:rPr>
          <w:lang w:bidi="hi-IN"/>
        </w:rPr>
        <w:t>.</w:t>
      </w:r>
      <w:r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E466DE">
        <w:rPr>
          <w:lang w:bidi="hi-IN"/>
        </w:rPr>
        <w:t xml:space="preserve"> which we assume is higher than the mutation rate: </w:t>
      </w:r>
      <w:r w:rsidR="00E466DE">
        <w:rPr>
          <w:i/>
          <w:iCs/>
          <w:lang w:bidi="hi-IN"/>
        </w:rPr>
        <w:t>s&gt;U</w:t>
      </w:r>
      <w:r>
        <w:rPr>
          <w:lang w:bidi="hi-IN"/>
        </w:rPr>
        <w:t>.</w:t>
      </w:r>
      <w:r w:rsidR="002B1207">
        <w:rPr>
          <w:lang w:bidi="hi-IN"/>
        </w:rPr>
        <w:t xml:space="preserve"> Unless otherwise mentioned, beneficial mutations have an opposite effect, essentially reducing the number of deleterious mutations in the individual.</w:t>
      </w:r>
      <w:r w:rsidR="00101FCD">
        <w:rPr>
          <w:lang w:bidi="hi-IN"/>
        </w:rPr>
        <w:t xml:space="preserve"> </w:t>
      </w:r>
      <w:r w:rsidR="00101FCD">
        <w:t xml:space="preserve">Mutational strategies </w:t>
      </w:r>
      <w:r w:rsidR="00101FCD" w:rsidRPr="00101FCD">
        <w:t xml:space="preserve">are defined by two parameters: the fold increase in mutation rate, </w:t>
      </w:r>
      <w:r w:rsidR="00101FCD" w:rsidRPr="00101FCD">
        <w:rPr>
          <w:i/>
          <w:iCs/>
        </w:rPr>
        <w:t>τ</w:t>
      </w:r>
      <w:r w:rsidR="00101FCD" w:rsidRPr="00101FCD">
        <w:t>, and the</w:t>
      </w:r>
      <w:r w:rsidR="00101FCD">
        <w:rPr>
          <w:lang w:bidi="hi-IN"/>
        </w:rPr>
        <w:t xml:space="preserve"> minimum number of deleterious mutations sufficient to induce hypermutation, </w:t>
      </w:r>
      <w:r w:rsidR="00101FCD" w:rsidRPr="00101FCD">
        <w:rPr>
          <w:i/>
          <w:iCs/>
        </w:rPr>
        <w:t>π</w:t>
      </w:r>
      <w:r w:rsidR="00101FCD">
        <w:rPr>
          <w:lang w:bidi="hi-IN"/>
        </w:rPr>
        <w:t xml:space="preserve">. The three prototypical strategies are: normal mutagenesis (NM),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=1</w:t>
      </w:r>
      <w:r w:rsidR="00101FCD">
        <w:t xml:space="preserve">, where there is no increase in mutation rates; constitutive mutagenesis (CM)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&gt;</w:t>
      </w:r>
      <w:r w:rsidR="00101FCD">
        <w:rPr>
          <w:i/>
          <w:iCs/>
        </w:rPr>
        <w:t>1</w:t>
      </w:r>
      <w:r w:rsidR="00101FCD">
        <w:t xml:space="preserve">, where all individuals increase their mutation rate by </w:t>
      </w:r>
      <w:r w:rsidR="00101FCD" w:rsidRPr="00101FCD">
        <w:rPr>
          <w:i/>
          <w:iCs/>
        </w:rPr>
        <w:t>τ</w:t>
      </w:r>
      <w:r w:rsidR="00101FCD">
        <w:t xml:space="preserve">; and stress-induced mutagenesis (SIM), with </w:t>
      </w:r>
      <w:r w:rsidR="00101FCD" w:rsidRPr="00101FCD">
        <w:rPr>
          <w:i/>
          <w:iCs/>
        </w:rPr>
        <w:t>π</w:t>
      </w:r>
      <w:r w:rsidR="00101FCD">
        <w:rPr>
          <w:i/>
          <w:iCs/>
        </w:rPr>
        <w:t>&gt;</w:t>
      </w:r>
      <w:r w:rsidR="00101FCD">
        <w:rPr>
          <w:i/>
          <w:iCs/>
        </w:rPr>
        <w:t xml:space="preserve">0 </w:t>
      </w:r>
      <w:r w:rsidR="00101FCD" w:rsidRPr="00101FCD">
        <w:t xml:space="preserve">and </w:t>
      </w:r>
      <w:r w:rsidR="00101FCD" w:rsidRPr="00101FCD">
        <w:rPr>
          <w:i/>
          <w:iCs/>
        </w:rPr>
        <w:t>τ</w:t>
      </w:r>
      <w:r w:rsidR="00101FCD">
        <w:rPr>
          <w:i/>
          <w:iCs/>
        </w:rPr>
        <w:t>&gt;</w:t>
      </w:r>
      <w:r w:rsidR="00101FCD">
        <w:rPr>
          <w:i/>
          <w:iCs/>
        </w:rPr>
        <w:t>1</w:t>
      </w:r>
      <w:r w:rsidR="00101FCD">
        <w:t xml:space="preserve">, where only individuals with at least </w:t>
      </w:r>
      <w:r w:rsidR="00101FCD" w:rsidRPr="00101FCD">
        <w:t>π</w:t>
      </w:r>
      <w:r w:rsidR="00101FCD">
        <w:t xml:space="preserve"> deleterious mutations increase their mutation rate by </w:t>
      </w:r>
      <w:r w:rsidR="00101FCD" w:rsidRPr="00101FCD">
        <w:rPr>
          <w:i/>
          <w:iCs/>
        </w:rPr>
        <w:t>τ</w:t>
      </w:r>
      <w:r w:rsidR="00101FCD" w:rsidRPr="00101FCD">
        <w:t>.</w:t>
      </w:r>
      <w:r w:rsidR="001033CA">
        <w:t xml:space="preserve"> </w:t>
      </w:r>
    </w:p>
    <w:p w:rsidR="001033CA" w:rsidRDefault="001033CA" w:rsidP="001033CA">
      <w:pPr>
        <w:rPr>
          <w:lang w:bidi="hi-IN"/>
        </w:rPr>
      </w:pPr>
      <w:r>
        <w:rPr>
          <w:lang w:bidi="hi-IN"/>
        </w:rPr>
        <w:t>We develop four distinct models: (</w:t>
      </w:r>
      <w:proofErr w:type="spellStart"/>
      <w:r>
        <w:rPr>
          <w:lang w:bidi="hi-IN"/>
        </w:rPr>
        <w:t>i</w:t>
      </w:r>
      <w:proofErr w:type="spellEnd"/>
      <w:r>
        <w:rPr>
          <w:lang w:bidi="hi-IN"/>
        </w:rPr>
        <w:t xml:space="preserve">) mutation-selection balance in a constant environment, (ii) adaptive evolution of a one-locus trait in a smooth fitness landscape, (iii) adaptive evolution of a double-locus trait in a rugged fitness landscape, and </w:t>
      </w:r>
      <w:proofErr w:type="gramStart"/>
      <w:r>
        <w:rPr>
          <w:lang w:bidi="hi-IN"/>
        </w:rPr>
        <w:t>(iv) the</w:t>
      </w:r>
      <w:proofErr w:type="gramEnd"/>
      <w:r>
        <w:rPr>
          <w:lang w:bidi="hi-IN"/>
        </w:rPr>
        <w:t xml:space="preserve"> loss of the fittest genotype by drift, aka </w:t>
      </w:r>
      <w:r>
        <w:rPr>
          <w:i/>
          <w:iCs/>
          <w:lang w:bidi="hi-IN"/>
        </w:rPr>
        <w:t>Muller's ratchet</w:t>
      </w:r>
      <w:r>
        <w:rPr>
          <w:lang w:bidi="hi-IN"/>
        </w:rPr>
        <w:t>. We use a mixture of analytic approximations and stochastic simulation to compare the effect of differ</w:t>
      </w:r>
      <w:bookmarkStart w:id="0" w:name="_GoBack"/>
      <w:bookmarkEnd w:id="0"/>
      <w:r>
        <w:rPr>
          <w:lang w:bidi="hi-IN"/>
        </w:rPr>
        <w:t>ent mutational strategies (NM, CM and SIM) in these models.</w:t>
      </w:r>
    </w:p>
    <w:p w:rsidR="001033CA" w:rsidRDefault="001033CA" w:rsidP="001033CA">
      <w:pPr>
        <w:pStyle w:val="Heading2"/>
      </w:pPr>
      <w:r>
        <w:t>Mutation-selection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4A2989">
      <w:pPr>
        <w:rPr>
          <w:rFonts w:eastAsiaTheme="minorEastAsia"/>
          <w:lang w:bidi="hi-IN"/>
        </w:rPr>
      </w:pPr>
      <w:r>
        <w:rPr>
          <w:rFonts w:eastAsiaTheme="minorEastAsia"/>
          <w:lang w:bidi="hi-IN"/>
        </w:rPr>
        <w:t>This can also be written as a matrix equation by:</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03104">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lastRenderedPageBreak/>
        <w:t xml:space="preserve">Without beneficial mutations, </w:t>
      </w:r>
      <w:r w:rsidR="004A2989" w:rsidRPr="004A2989">
        <w:rPr>
          <w:rFonts w:cs="Times New Roman"/>
          <w:lang w:bidi="hi-IN"/>
        </w:rPr>
        <w:t>δ</w:t>
      </w:r>
      <w:r w:rsidR="004A2989" w:rsidRPr="004A2989">
        <w:rPr>
          <w:rFonts w:cs="Times New Roman"/>
          <w:lang w:bidi="hi-IN"/>
        </w:rPr>
        <w:t>=1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Default="00A03104" w:rsidP="00A03104">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w:t>
      </w:r>
      <w:r>
        <w:rPr>
          <w:rFonts w:eastAsiaTheme="minorEastAsia"/>
          <w:lang w:bidi="hi-IN"/>
        </w:rPr>
        <w:t xml:space="preserv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w:t>
      </w:r>
      <w:r>
        <w:rPr>
          <w:rFonts w:eastAsiaTheme="minorEastAsia"/>
          <w:lang w:bidi="hi-IN"/>
        </w:rPr>
        <w:t xml:space="preserve">eglecting elements outside the main three diagonals we have shown before </w:t>
      </w:r>
      <w:r>
        <w:rPr>
          <w:rFonts w:eastAsiaTheme="minorEastAsia"/>
          <w:lang w:bidi="hi-IN"/>
        </w:rPr>
        <w:fldChar w:fldCharType="begin" w:fldLock="1"/>
      </w:r>
      <w:r>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w:t>
      </w:r>
      <w:proofErr w:type="gramStart"/>
      <w:r>
        <w:rPr>
          <w:rFonts w:eastAsiaTheme="minorEastAsia"/>
          <w:lang w:bidi="hi-IN"/>
        </w:rPr>
        <w:t xml:space="preserve">that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A03104" w:rsidRDefault="00A03104" w:rsidP="00A03104">
      <w:pPr>
        <w:rPr>
          <w:rFonts w:eastAsiaTheme="minorEastAsia"/>
          <w:lang w:bidi="hi-IN"/>
        </w:rPr>
      </w:pPr>
    </w:p>
    <w:p w:rsidR="00A03104" w:rsidRDefault="00A03104" w:rsidP="00A03104">
      <w:pPr>
        <w:jc w:val="center"/>
        <w:rPr>
          <w:rFonts w:eastAsiaTheme="minorEastAsia"/>
          <w:lang w:bidi="hi-IN"/>
        </w:rPr>
      </w:pPr>
    </w:p>
    <w:p w:rsidR="00A03104" w:rsidRDefault="00A03104" w:rsidP="00A03104">
      <w:pPr>
        <w:rPr>
          <w:rFonts w:eastAsiaTheme="minorEastAsia"/>
          <w:lang w:bidi="hi-IN"/>
        </w:rPr>
      </w:pP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033CA" w:rsidRPr="006C02DB" w:rsidRDefault="001033CA" w:rsidP="001033CA">
      <w:pPr>
        <w:rPr>
          <w:vertAlign w:val="subscript"/>
        </w:rPr>
      </w:pPr>
      <w:r>
        <w:t>With only deleterious mutations, with a mutation rate constant in time and uniform across the population and with selection stronger than mutation (</w:t>
      </w:r>
      <w:r>
        <w:rPr>
          <w:i/>
          <w:iCs/>
        </w:rPr>
        <w:t>U&gt;</w:t>
      </w:r>
      <w:r w:rsidRPr="001033CA">
        <w:t>s</w:t>
      </w:r>
      <w:r>
        <w:t xml:space="preserve">), </w:t>
      </w:r>
      <w:r w:rsidRPr="001033CA">
        <w:t>the</w:t>
      </w:r>
      <w:r>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Pr>
          <w:vertAlign w:val="subscript"/>
        </w:rPr>
        <w:t xml:space="preserve"> </w:t>
      </w:r>
      <w:r>
        <w:fldChar w:fldCharType="begin" w:fldLock="1"/>
      </w:r>
      <w:r w:rsidR="00A03104">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fldChar w:fldCharType="separate"/>
      </w:r>
      <w:r w:rsidRPr="006C02DB">
        <w:rPr>
          <w:noProof/>
        </w:rPr>
        <w:t>(Kimura and Maruyama 1966)</w:t>
      </w:r>
      <w:r>
        <w:fldChar w:fldCharType="end"/>
      </w:r>
      <w:r>
        <w:t>. With beneficial mutations, this is still a good approximation, but the actual value of the population mean fitness is slightly higher. With SIM, it is even higher.</w:t>
      </w:r>
    </w:p>
    <w:p w:rsidR="001033CA" w:rsidRPr="001033CA" w:rsidRDefault="001033CA" w:rsidP="001033CA">
      <w:pPr>
        <w:rPr>
          <w:lang w:bidi="hi-IN"/>
        </w:rPr>
      </w:pPr>
    </w:p>
    <w:sectPr w:rsidR="001033CA" w:rsidRPr="001033CA" w:rsidSect="00275A3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1364996-E587-4AE1-93AC-48D492175176}"/>
    <w:embedBold r:id="rId2" w:fontKey="{8388DC06-D815-4BFD-B9D8-6E578C0E3A49}"/>
    <w:embedItalic r:id="rId3" w:fontKey="{496FD1FB-9122-4AC8-BC68-29B12AA86FE4}"/>
    <w:embedBoldItalic r:id="rId4" w:fontKey="{1DB21DD5-2DB6-4E78-BA27-45329E057BC8}"/>
  </w:font>
  <w:font w:name="Tahoma">
    <w:panose1 w:val="020B0604030504040204"/>
    <w:charset w:val="00"/>
    <w:family w:val="swiss"/>
    <w:pitch w:val="variable"/>
    <w:sig w:usb0="E1002EFF" w:usb1="C000605B" w:usb2="00000029" w:usb3="00000000" w:csb0="000101FF" w:csb1="00000000"/>
    <w:embedRegular r:id="rId5" w:fontKey="{0057310D-D7BF-4035-AE50-50A5B2741A0F}"/>
  </w:font>
  <w:font w:name="Cambria Math">
    <w:panose1 w:val="02040503050406030204"/>
    <w:charset w:val="00"/>
    <w:family w:val="roman"/>
    <w:pitch w:val="variable"/>
    <w:sig w:usb0="E00002FF" w:usb1="420024FF" w:usb2="00000000" w:usb3="00000000" w:csb0="0000019F" w:csb1="00000000"/>
    <w:embedRegular r:id="rId6" w:fontKey="{054AD5C5-BDF3-4BB1-8326-2462246C1FEF}"/>
    <w:embedItalic r:id="rId7" w:fontKey="{A2D226B2-F649-4478-85B8-6038F134789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1">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2">
    <w:nsid w:val="6C7A48C7"/>
    <w:multiLevelType w:val="multilevel"/>
    <w:tmpl w:val="D68EC694"/>
    <w:numStyleLink w:val="Headings"/>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545AB"/>
    <w:rsid w:val="00101FCD"/>
    <w:rsid w:val="001033CA"/>
    <w:rsid w:val="001910E3"/>
    <w:rsid w:val="002630C5"/>
    <w:rsid w:val="00275A3C"/>
    <w:rsid w:val="002B1207"/>
    <w:rsid w:val="004A2989"/>
    <w:rsid w:val="006C02DB"/>
    <w:rsid w:val="00A03104"/>
    <w:rsid w:val="00B86C28"/>
    <w:rsid w:val="00B96911"/>
    <w:rsid w:val="00BA6231"/>
    <w:rsid w:val="00E466DE"/>
    <w:rsid w:val="00EB5020"/>
    <w:rsid w:val="00F83F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Normal"/>
    <w:next w:val="Normal"/>
    <w:link w:val="Heading3Char"/>
    <w:uiPriority w:val="9"/>
    <w:semiHidden/>
    <w:unhideWhenUsed/>
    <w:qFormat/>
    <w:rsid w:val="006C02DB"/>
    <w:pPr>
      <w:keepNext/>
      <w:keepLines/>
      <w:numPr>
        <w:ilvl w:val="2"/>
        <w:numId w:val="4"/>
      </w:numPr>
      <w:spacing w:before="20" w:after="0" w:line="240" w:lineRule="auto"/>
      <w:outlineLvl w:val="2"/>
    </w:pPr>
    <w:rPr>
      <w:rFonts w:eastAsiaTheme="majorEastAsia" w:cstheme="majorBidi"/>
      <w:b/>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semiHidden/>
    <w:rsid w:val="006C02DB"/>
    <w:rPr>
      <w:rFonts w:eastAsiaTheme="majorEastAsia" w:cstheme="majorBidi"/>
      <w:b/>
      <w:bCs/>
      <w:color w:val="000000" w:themeColor="text2"/>
      <w:sz w:val="24"/>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Normal"/>
    <w:next w:val="Normal"/>
    <w:link w:val="Heading3Char"/>
    <w:uiPriority w:val="9"/>
    <w:semiHidden/>
    <w:unhideWhenUsed/>
    <w:qFormat/>
    <w:rsid w:val="006C02DB"/>
    <w:pPr>
      <w:keepNext/>
      <w:keepLines/>
      <w:numPr>
        <w:ilvl w:val="2"/>
        <w:numId w:val="4"/>
      </w:numPr>
      <w:spacing w:before="20" w:after="0" w:line="240" w:lineRule="auto"/>
      <w:outlineLvl w:val="2"/>
    </w:pPr>
    <w:rPr>
      <w:rFonts w:eastAsiaTheme="majorEastAsia" w:cstheme="majorBidi"/>
      <w:b/>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semiHidden/>
    <w:rsid w:val="006C02DB"/>
    <w:rPr>
      <w:rFonts w:eastAsiaTheme="majorEastAsia" w:cstheme="majorBidi"/>
      <w:b/>
      <w:bCs/>
      <w:color w:val="000000" w:themeColor="text2"/>
      <w:sz w:val="24"/>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lilach.hadany@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64480-D111-4149-9217-6F125794E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Pages>
  <Words>1638</Words>
  <Characters>8194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6</cp:revision>
  <dcterms:created xsi:type="dcterms:W3CDTF">2013-06-18T10:07:00Z</dcterms:created>
  <dcterms:modified xsi:type="dcterms:W3CDTF">2013-06-18T12:53:00Z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