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FD35E1">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FD35E1">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FD35E1">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FD35E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FD35E1">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FD35E1">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FD35E1">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FD35E1">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FD35E1">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FD35E1">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FD35E1">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FD35E1">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FD35E1">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FD35E1">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FD35E1">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FD35E1">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FD35E1">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FD35E1">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FD35E1">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FD35E1">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FD35E1">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F0097B">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U/s</w:t>
      </w:r>
      <w:r w:rsidR="008752E9">
        <w:t xml:space="preserve"> </w:t>
      </w:r>
      <w:r w:rsidR="00CA7DA9">
        <w:fldChar w:fldCharType="begin" w:fldLock="1"/>
      </w:r>
      <w:r w:rsidR="00FD35E1">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1968C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1968C9">
        <w:t xml:space="preserve"> We also use this simulation model to study competitions between the different mutational strategies.</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7E1D16">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5F6C08">
      <w:pPr>
        <w:spacing w:line="480" w:lineRule="auto"/>
      </w:pPr>
      <w:r>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w:t>
      </w:r>
      <w:r w:rsidR="005F6C08">
        <w:t>the current</w:t>
      </w:r>
      <w:r w:rsidR="00A95F28">
        <w:t xml:space="preserve"> generation</w:t>
      </w:r>
      <w:r w:rsidR="005F6C08">
        <w:t>,</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9E4DC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6A278B"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FD35E1">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w:t>
      </w:r>
      <w:r>
        <w:lastRenderedPageBreak/>
        <w:t xml:space="preserve">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Pr="007B5572">
        <w:rPr>
          <w:highlight w:val="red"/>
        </w:rPr>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FD35E1">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w:t>
      </w:r>
      <w:r w:rsidR="00CD4474">
        <w:lastRenderedPageBreak/>
        <w:t>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6A278B"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6A278B"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w:t>
      </w:r>
      <w:r w:rsidR="00A853B5">
        <w:lastRenderedPageBreak/>
        <w:t>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FD35E1">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lastRenderedPageBreak/>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w:t>
      </w:r>
      <w:r w:rsidR="00B85CA4">
        <w:lastRenderedPageBreak/>
        <w:t xml:space="preserve">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2A0DCC">
      <w:pPr>
        <w:pStyle w:val="Heading2"/>
        <w:spacing w:line="480" w:lineRule="auto"/>
      </w:pPr>
      <w:bookmarkStart w:id="10" w:name="_Ref374010899"/>
      <w:r w:rsidRPr="00AE0A66">
        <w:t>Effect of environmental stress</w:t>
      </w:r>
      <w:bookmarkEnd w:id="10"/>
    </w:p>
    <w:p w:rsidR="0081579B" w:rsidRDefault="00FA72C5" w:rsidP="004E7076">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carbon source can create a new niche without affecting the well-being of the </w:t>
      </w:r>
      <w:r w:rsidR="0081579B">
        <w:t>current population</w:t>
      </w:r>
      <w:r w:rsidR="003A2920">
        <w:t xml:space="preserve">. </w:t>
      </w:r>
      <w:r w:rsidR="0081579B">
        <w:t>In that scenario</w:t>
      </w:r>
      <w:r w:rsidR="003A2920">
        <w:t xml:space="preserv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683B42" w:rsidRPr="00683B42" w:rsidRDefault="003A2920" w:rsidP="00DE6521">
      <w:pPr>
        <w:spacing w:line="480" w:lineRule="auto"/>
        <w:rPr>
          <w:vertAlign w:val="subscript"/>
        </w:rPr>
      </w:pPr>
      <w:r>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t xml:space="preserve">the introduction of an </w:t>
      </w:r>
      <w:r w:rsidR="00042973">
        <w:t>antibiotic drug</w:t>
      </w:r>
      <w:r w:rsidR="0081579B">
        <w:t xml:space="preserve"> which not only creates an opportunity for adaptation but also affects the well-being of the current population</w:t>
      </w:r>
      <w:r w:rsidR="00FA72C5">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w:t>
      </w:r>
      <w:r w:rsidR="0038712A">
        <w:t xml:space="preserve">either </w:t>
      </w:r>
      <w:r w:rsidR="00683B42">
        <w:t xml:space="preserve">the </w:t>
      </w:r>
      <w:proofErr w:type="spellStart"/>
      <w:r w:rsidR="00683B42">
        <w:t>wildtype</w:t>
      </w:r>
      <w:proofErr w:type="spellEnd"/>
      <w:r w:rsidR="00683B42">
        <w:t xml:space="preserve"> </w:t>
      </w:r>
      <w:proofErr w:type="spellStart"/>
      <w:r w:rsidR="00683B42">
        <w:rPr>
          <w:i/>
          <w:iCs/>
        </w:rPr>
        <w:t>ab</w:t>
      </w:r>
      <w:proofErr w:type="spellEnd"/>
      <w:r w:rsidR="0038712A">
        <w:t xml:space="preserve"> or the non-resistant si</w:t>
      </w:r>
      <w:bookmarkStart w:id="11" w:name="_GoBack"/>
      <w:bookmarkEnd w:id="11"/>
      <w:r w:rsidR="0038712A">
        <w:t xml:space="preserve">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Moreover, in this scenario the </w:t>
      </w:r>
      <w:proofErr w:type="spellStart"/>
      <w:r w:rsidR="00683B42">
        <w:t>wildtype</w:t>
      </w:r>
      <w:proofErr w:type="spellEnd"/>
      <w:r w:rsidR="00683B42">
        <w:t xml:space="preserve"> is also under stress: formally, individuals with fitness </w:t>
      </w:r>
      <w:r w:rsidR="00683B42" w:rsidRPr="0038712A">
        <w:t>lower</w:t>
      </w:r>
      <w:r w:rsidR="0038712A">
        <w:t xml:space="preserve"> than</w:t>
      </w:r>
      <w:r w:rsidR="00683B42" w:rsidRPr="0038712A">
        <w:t xml:space="preserve"> or equal to</w:t>
      </w:r>
      <w:r w:rsidR="00683B42">
        <w:t xml:space="preserve"> 1 increase their mutation rates, whereas in the previous sections only </w:t>
      </w:r>
      <w:r w:rsidR="00683B42">
        <w:lastRenderedPageBreak/>
        <w:t xml:space="preserve">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Default="002C54C0" w:rsidP="00DE6521">
      <w:pPr>
        <w:spacing w:line="480" w:lineRule="auto"/>
      </w:pPr>
      <w:r>
        <w:t xml:space="preserve">This scenario has an important biological relevance, as SIM has been implicated in the evolution of drug resistance in bacteria and yeast </w:t>
      </w:r>
      <w:r>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6A278B"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2"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2"/>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3"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3"/>
          </w:p>
        </w:tc>
      </w:tr>
    </w:tbl>
    <w:p w:rsidR="00B32510" w:rsidRDefault="00042973" w:rsidP="00FD35E1">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r>
        <w:t>Relationship</w:t>
      </w:r>
      <w:r w:rsidR="003E68BE">
        <w:t>s</w:t>
      </w:r>
      <w:r>
        <w:t xml:space="preserve"> between stress and mutation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t>
      </w:r>
      <w:r>
        <w:rPr>
          <w:lang w:bidi="hi-IN"/>
        </w:rPr>
        <w:lastRenderedPageBreak/>
        <w:t xml:space="preserve">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FD35E1"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w:instrText>
      </w:r>
      <w:r w:rsidRPr="002825FD">
        <w:rPr>
          <w:lang w:bidi="hi-IN"/>
        </w:rPr>
      </w:r>
      <w:r w:rsidRPr="002825FD">
        <w:rPr>
          <w:lang w:bidi="hi-IN"/>
        </w:rPr>
        <w:instrText xml:space="preserve"> \* MERGEFORMAT </w:instrText>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w:instrText>
      </w:r>
      <w:r w:rsidR="00463A01" w:rsidRPr="002825FD">
        <w:rPr>
          <w:lang w:bidi="hi-IN"/>
        </w:rPr>
      </w:r>
      <w:r w:rsidR="00463A01" w:rsidRPr="002825FD">
        <w:rPr>
          <w:lang w:bidi="hi-IN"/>
        </w:rPr>
        <w:instrText xml:space="preserve"> \* MERGEFORMAT </w:instrText>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F60029">
      <w:pPr>
        <w:spacing w:line="480" w:lineRule="auto"/>
        <w:rPr>
          <w:lang w:bidi="hi-IN"/>
        </w:rPr>
      </w:pPr>
      <w:r>
        <w:rPr>
          <w:lang w:bidi="hi-IN"/>
        </w:rPr>
        <w:t xml:space="preserve">We simulated direct competitions between the different mutational strategies to determine which is more advantageous at the individual level. </w:t>
      </w:r>
      <w:r w:rsidR="00F60029">
        <w:rPr>
          <w:lang w:bidi="hi-IN"/>
        </w:rPr>
        <w:fldChar w:fldCharType="begin"/>
      </w:r>
      <w:r w:rsidR="00F60029">
        <w:rPr>
          <w:lang w:bidi="hi-IN"/>
        </w:rPr>
        <w:instrText xml:space="preserve"> REF _Ref374366687 \h </w:instrText>
      </w:r>
      <w:r w:rsidR="00F60029">
        <w:rPr>
          <w:lang w:bidi="hi-IN"/>
        </w:rPr>
      </w:r>
      <w:r w:rsidR="00F60029">
        <w:rPr>
          <w:lang w:bidi="hi-IN"/>
        </w:rPr>
        <w:instrText xml:space="preserve"> \* MERGEFORMAT </w:instrText>
      </w:r>
      <w:r w:rsidR="00F60029">
        <w:rPr>
          <w:lang w:bidi="hi-IN"/>
        </w:rPr>
        <w:fldChar w:fldCharType="separate"/>
      </w:r>
      <w:r w:rsidR="00F60029" w:rsidRPr="00F60029">
        <w:rPr>
          <w:lang w:bidi="hi-IN"/>
        </w:rPr>
        <w:t>Figure 5</w:t>
      </w:r>
      <w:r w:rsidR="00F60029">
        <w:rPr>
          <w:lang w:bidi="hi-IN"/>
        </w:rPr>
        <w:fldChar w:fldCharType="end"/>
      </w:r>
      <w:r w:rsidR="00F60029">
        <w:rPr>
          <w:lang w:bidi="hi-IN"/>
        </w:rPr>
        <w:t xml:space="preserve"> summarizes </w:t>
      </w:r>
      <w:r w:rsidR="00F60029">
        <w:rPr>
          <w:lang w:bidi="hi-IN"/>
        </w:rPr>
        <w:lastRenderedPageBreak/>
        <w:t>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FD35E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FD35E1">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FD35E1">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A67023" w:rsidRPr="00ED111F" w:rsidRDefault="00D84632" w:rsidP="008A6B5D">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Further work </w:t>
      </w:r>
      <w:r>
        <w:rPr>
          <w:lang w:bidi="hi-IN"/>
        </w:rPr>
        <w:lastRenderedPageBreak/>
        <w:t xml:space="preserve">is needed to study how recombination and sex </w:t>
      </w:r>
      <w:r w:rsidR="008A6B5D">
        <w:rPr>
          <w:lang w:bidi="hi-IN"/>
        </w:rPr>
        <w:t xml:space="preserve">will </w:t>
      </w:r>
      <w:r>
        <w:rPr>
          <w:lang w:bidi="hi-IN"/>
        </w:rPr>
        <w:t>affect the evolutionary advantage of SIM</w:t>
      </w:r>
      <w:r w:rsidR="008A6B5D">
        <w:rPr>
          <w:lang w:bidi="hi-IN"/>
        </w:rPr>
        <w:t>, but we expect this advantage to decrease in sexual populations.</w:t>
      </w:r>
    </w:p>
    <w:p w:rsidR="0007409B" w:rsidRPr="008A3174" w:rsidRDefault="00514DED" w:rsidP="00D76319">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FD35E1">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FD35E1">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FD35E1">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FD35E1">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FD35E1">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the trend continues: SIM is favored over both CM and NM by selection.</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FD35E1">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w:t>
      </w:r>
      <w:r>
        <w:rPr>
          <w:lang w:bidi="hi-IN"/>
        </w:rPr>
        <w:lastRenderedPageBreak/>
        <w:t xml:space="preserve">of evolution" </w:t>
      </w:r>
      <w:r w:rsidR="00CA7DA9">
        <w:rPr>
          <w:lang w:bidi="hi-IN"/>
        </w:rPr>
        <w:fldChar w:fldCharType="begin" w:fldLock="1"/>
      </w:r>
      <w:r w:rsidR="00FD35E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FD35E1">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FD35E1">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FD35E1">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FD35E1">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FD35E1">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FD35E1">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FD35E1">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FD35E1">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FD35E1">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w:t>
      </w:r>
      <w:r w:rsidR="00FB30D0">
        <w:rPr>
          <w:lang w:bidi="hi-IN"/>
        </w:rPr>
        <w:lastRenderedPageBreak/>
        <w:t xml:space="preserve">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FD35E1" w:rsidRPr="00FD35E1" w:rsidRDefault="007F0A97">
      <w:pPr>
        <w:pStyle w:val="NormalWeb"/>
        <w:divId w:val="632557935"/>
        <w:rPr>
          <w:rFonts w:ascii="Palatino Linotype" w:hAnsi="Palatino Linotype"/>
          <w:noProof/>
          <w:sz w:val="22"/>
        </w:rPr>
      </w:pPr>
      <w:r>
        <w:fldChar w:fldCharType="begin" w:fldLock="1"/>
      </w:r>
      <w:r>
        <w:instrText xml:space="preserve">ADDIN Mendeley Bibliography CSL_BIBLIOGRAPHY </w:instrText>
      </w:r>
      <w:r>
        <w:fldChar w:fldCharType="separate"/>
      </w:r>
      <w:r w:rsidR="00FD35E1" w:rsidRPr="00FD35E1">
        <w:rPr>
          <w:rFonts w:ascii="Palatino Linotype" w:hAnsi="Palatino Linotype"/>
          <w:noProof/>
          <w:sz w:val="22"/>
        </w:rPr>
        <w:t>Agrawal, A. F. 2002. Genetic loads under fitness-dependent mutation rates. J. Evol. Biol. 15:1004–1010. Wiley Online Library.</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Berg, O. G. 1996. Selection intensity for codon bias and the effective population size of Escherichia coli. Genetics 142:1379–82.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Bjedov, I., O. Tenaillon, B. Gérard, V. Souza, E. Denamur, M. Radman, F. Taddei, and I. Matic. 2003. Stress-induced mutagenesis in bacteria. Science (80-. ). 300:1404–9.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Bristow, R. G., and R. P. Hill. 2008. Hypoxia and metabolism: Hypoxia, DNA repair and genetic instability. Nat. Rev. Cancer 8:180–92.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Cairns, J., J. Overbaugh, and S. Miller. 1988. The origin of mutants. Nature 335:142–5.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Cirz, R. T., and F. E. Romesberg. 2007. Controlling mutation: intervening in evolution as a therapeutic strategy. Crit. Rev. Biochem. Mol. Biol. 42:341–54.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Coyne, J. A., N. H. Barton, and M. Turelli. 2000. Is Wright’s shifting balance process important in evolution? Evolution (N. Y). 54:306–317.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Crow, J. F., W. R. Engels, and C. Denniston. 1990. Phase Three of Wright’s Shifting-Balance Theory. Evolution (N. Y). 44:233.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Dawson, K. J. 1998. Evolutionarily stable mutation rates. J. Theor. Biol. 194:143–57.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 Visser, J. A. G. M. 2002. The fate of microbial mutators. Microbiology 148:1247–52.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Denamur, E., and I. Matic. 2006. Evolution of mutation rates in bacteria. Mol. Microbiol. 60:820–7.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Drake, J. W., B. Charlesworth, D. Charlesworth, and J. F. Crow. 1998. Rates of spontaneous mutation. Genetics 148:1667–86. Genetics Soc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Fisher, R. A. 1930. The Genetical Theory of Natural Selection. Clarendon Press, Oxford.</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Foster, P. L. 2007. Stress-induced mutagenesis in bacteria. Crit. Rev. Biochem. Mol. Biol. 42:373–97.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Galhardo, R. S., P. J. Hastings, and S. M. Rosenberg. 2007. Mutation as a stress response and the regulation of evolvability. Crit. Rev. Biochem. Mol. Biol. 42:399–435.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Gavrilets, S. 1996. On phase three of the shifting-balance theory. Evolution (N. Y). 50:1034–1041. JSTOR.</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Gentile, C. F., S.-C. Yu, S. A. Serrano, P. J. Gerrish, and P. D. Sniegowski. 2011. Competition between high- and higher-mutating strains of Escherichia coli. Biol. Lett. 7:422–4.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Goho, S., and G. Bell. 2000. Mild environmental stress elicits mutations affecting fitness in Chlamydomonas. Proc. R. Soc. B Biol. Sci. 267:123–9.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and F. Dionisio. 2005. Nonequilibrium model for estimating parameters of deleterious mutations. Phys. Rev. E 71:18–21.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Gordo, I., L. Perfeito, and A. Sousa. 2011. Fitness effects of mutations in bacteria. J. Mol. Microbiol. Biotechnol. 21:20–35.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2003. Adaptive peak shifts in a heterogenous environment. Theor. Popul. Biol. 63:41–51.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Hadany, L., and T. Beker. 2003. Fitness-associated recombination on rugged adaptive landscapes. J. Evol. Biol. 16:862–870.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Haigh, J. 1978. The accumulation of deleterious genes in a population - Muller’s Ratchet. Theor. Popul. Biol. 14:251–267.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Hall, L. M. C., and S. K. Henderson-Begg. 2006. Hypermutable bacteria isolated from humans--a critical analysis. Microbiology 152:2505–14.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Hartfield, M., and S. P. Otto. 2011. Recombination and hitchhiking of deleterious alleles. Evolution 65:2421–34.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Heidenreich, E. 2007. Adaptive mutation in Saccharomyces cerevisiae. Crit. Rev. Biochem. Mol. Biol. 42:285–311.</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Kang, J. M., N. M. Iovine, and M. J. Blaser. 2006. A paradigm for direct stress-induced mutation in prokaryotes. FASEB J. 20:2476–85.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Kessler, D. A., and H. Levine. 1998. Mutator Dynamics on a Smooth Evolutionary Landscape. Phys. Rev. Lett. 80:2012–2015.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Kibota, T. T., and M. Lynch. 1996. Estimate of the genomic mutation rate deleterious to overall fitness in E. coli. Nature 381:694–6.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Kivisaar, M. 2010. Mechanisms of stationary-phase mutagenesis in bacteria: mutational processes in pseudomonads. FEMS Microbiol. Lett. 312:1–14.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Leigh, E. G. J. 1970. Natural Selection and Mutability. Am. Nat. 104:301–305.</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Loh, E., J. J. Salk, and L. A. Loeb. 2010. Optimization of DNA polymerase mutation rates during bacterial evolution. Proc. Natl. Acad. Sci. 107:1154–9.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Matsuba, C., D. G. Ostrow, M. P. Salomon, A. Tolani, and C. F. Baer. 2012. Temperature, stress and spontaneous mutation in Caenorhabditis briggsae and Caenorhabditis elegans. Biol. Lett. 8–12.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Moore, F. B.-G., and S. J. Tonsor. 1994. A Simulation of Wright’s Shifting-Balance Process: Migration and the Three Phases. Evolution (N. Y). 48:69.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Obolski, U., and L. Hadany. 2012. Implications of stress-induced genetic variation for minimizing multidrug resistance in bacteria. BMC Med. 10:1–30.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Peck, S. L., S. P. Ellner, and F. Gould. 2000. Varying migration and deme size and the feasibility of the shifting balance. Evolution 54:324–7.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Ponder, R. G., N. C. Fonville, and S. M. Rosenberg. 2005. A switch from high-fidelity to error-prone DNA double-strand break repair underlies stress-induced mutation. Mol. Cell 19:791–804.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Pupo, G. M., and B. J. Richardson. 1995. Biochemical genetics of a natural population of Escherichia coli: seasonal changes in alleles and haplotypes. Microbiology 141:1037–44.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Ram, Y., and L. Hadany. 2012. The evolution of stress-induced hypermutation in asexual populations. Evolution (N. Y). 66:2315–28.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Rodriguez, G. P., N. V Romanova, G. Bao, N. C. Rouf, Y. W. Kow, and G. F. Crouse. 2012. Mismatch repair-dependent mutagenesis in nondividing cells. Proc. Natl. Acad. Sci. 109:6153–8.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Sharp, N. P., and A. F. Agrawal. 2012. Evidence for elevated mutation rates in low-quality genotypes. Proc. Natl. Acad. Sci. 109:6142–6.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Shaw, F. H., and C. F. Baer. 2011. Fitness-dependent mutation rates in finite populations. J. Evol. Biol. 24:1677–84.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Shor, E., C. a. Fox, and J. R. Broach. 2013. The Yeast Environmental Stress Response Regulates Mutagenesis Induced by Proteotoxic Stress. PLoS Genet. 9:e1003680.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Sniegowski, P. D., P. J. Gerrish, T. Johnson, and A. Shaver. 2000. The evolution of mutation rates: separating causes from consequences. BioEssays 22:1057–66.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Sniegowski, P. D., P. J. Gerrish, and R. E. Lenski. 1997. Evolution of high mutation rates in experimental populations of E. coli. Nature 387:703–5. Nature Publishing Group.</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Sung, W., M. S. Ackerman, S. F. Miller, T. G. Doak, and M. Lynch. 2012. Drift-barrier hypothesis and mutation-rate evolution. Proc. Natl. Acad. Sci., doi: 10.1073/pnas.1216223109.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Taddei, F., M. Radman, J. Maynard Smith, B. Toupance, P.-H. Gouyon, and B. Godelle. 1997. Role of mutator alleles in adaptive evolution. Nature 387:700–2.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E. Denamur, and I. Matic. 2004. Evolutionary significance of stress-induced mutagenesis in bacteria. Trends Microbiol. 12:264–70.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F. Taddei, M. Radman, and I. Matic. 2001. Second-order selection in bacterial evolution: selection acting on mutation and recombination rates in the course of adaptation. Res. Microbiol. 152:11–6.</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Wade, M., and C. Goodnight. 1991. Wright’s shifting balance theory: an experimental study. Science (80-. ). 253:1015–1018.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Weissman, D. B., M. W. Feldman, and D. S. Fisher. 2010. The rate of fitness-valley crossing in sexual populations. Genetics 186:1389–410.</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1997. Founder Effects and Peak Shifts Without Genetic Drift: Adaptive Peak Shifts Occur Easily When Environments Fluctuate Slightly. Evolution (N. Y). 51:1044.</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1995. Variance-Induced Peak Shifts. Evolution (N. Y). 49:252.</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Whitlock, M. C., and P. C. Phillips. 2000. The exquisite corpse: a shifting view of the shifting balance. Trends Ecol. Evol. 15:347–348.</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lastRenderedPageBreak/>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Wright, S. 1931. Evolution in Mendelian Populations. Genetics 16:97–159.</w:t>
      </w:r>
    </w:p>
    <w:p w:rsidR="00FD35E1" w:rsidRPr="00FD35E1" w:rsidRDefault="00FD35E1">
      <w:pPr>
        <w:pStyle w:val="NormalWeb"/>
        <w:divId w:val="632557935"/>
        <w:rPr>
          <w:rFonts w:ascii="Palatino Linotype" w:hAnsi="Palatino Linotype"/>
          <w:noProof/>
          <w:sz w:val="22"/>
        </w:rPr>
      </w:pPr>
      <w:r w:rsidRPr="00FD35E1">
        <w:rPr>
          <w:rFonts w:ascii="Palatino Linotype" w:hAnsi="Palatino Linotype"/>
          <w:noProof/>
          <w:sz w:val="22"/>
        </w:rPr>
        <w:t xml:space="preserve">Wright, S. 1988. Surfaces of selective value revisited. Am. Nat. 131:115–123. </w:t>
      </w:r>
    </w:p>
    <w:p w:rsidR="00347C94" w:rsidRPr="00347C94" w:rsidRDefault="007F0A97" w:rsidP="00FD35E1">
      <w:pPr>
        <w:pStyle w:val="NormalWeb"/>
        <w:divId w:val="901402198"/>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6A278B"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lastRenderedPageBreak/>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6A278B"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6A278B"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6A278B"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FD35E1">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lastRenderedPageBreak/>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FD35E1">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6A278B"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79C7E6E9" wp14:editId="04F2801E">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2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0"/>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lastRenderedPageBreak/>
        <w:drawing>
          <wp:inline distT="0" distB="0" distL="0" distR="0" wp14:anchorId="6629C1F5" wp14:editId="6B02C3A5">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671C1A">
      <w:pPr>
        <w:pStyle w:val="FigureLegend"/>
        <w:spacing w:line="480" w:lineRule="auto"/>
      </w:pPr>
      <w:bookmarkStart w:id="21"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1"/>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510E20" w:rsidRPr="00510E20">
        <w:rPr>
          <w:highlight w:val="red"/>
        </w:rPr>
        <w:t>XX</w:t>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64188381" wp14:editId="1B79E1BA">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2A0DCC">
      <w:pPr>
        <w:spacing w:line="480" w:lineRule="auto"/>
        <w:jc w:val="center"/>
        <w:rPr>
          <w:sz w:val="16"/>
          <w:szCs w:val="16"/>
        </w:rPr>
      </w:pPr>
      <w:bookmarkStart w:id="22"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2"/>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w:t>
      </w:r>
      <w:r w:rsidR="001C3DA4">
        <w:rPr>
          <w:sz w:val="16"/>
          <w:szCs w:val="16"/>
        </w:rPr>
        <w:t xml:space="preserve"> </w:t>
      </w:r>
      <w:proofErr w:type="gramStart"/>
      <w:r w:rsidR="001C3DA4">
        <w:rPr>
          <w:sz w:val="16"/>
          <w:szCs w:val="16"/>
        </w:rPr>
        <w:t xml:space="preserve">See </w:t>
      </w:r>
      <w:r w:rsidRPr="003C4248">
        <w:rPr>
          <w:sz w:val="16"/>
          <w:szCs w:val="16"/>
        </w:rPr>
        <w:t xml:space="preserve"> The</w:t>
      </w:r>
      <w:proofErr w:type="gramEnd"/>
      <w:r w:rsidRPr="003C4248">
        <w:rPr>
          <w:sz w:val="16"/>
          <w:szCs w:val="16"/>
        </w:rPr>
        <w:t xml:space="preserv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2DD56BB2" wp14:editId="6F915E4F">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EE776B">
      <w:pPr>
        <w:pStyle w:val="FigureLegend"/>
        <w:spacing w:line="480" w:lineRule="auto"/>
        <w:rPr>
          <w:rFonts w:eastAsiaTheme="minorEastAsia"/>
          <w:lang w:bidi="hi-IN"/>
        </w:rPr>
      </w:pPr>
      <w:bookmarkStart w:id="23"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3"/>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36DBE3F4" wp14:editId="2CC4C6A8">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2D3652">
      <w:pPr>
        <w:pStyle w:val="Caption"/>
        <w:spacing w:line="480" w:lineRule="auto"/>
        <w:jc w:val="center"/>
        <w:rPr>
          <w:rFonts w:eastAsiaTheme="minorHAnsi"/>
          <w:b w:val="0"/>
          <w:bCs w:val="0"/>
          <w:smallCaps w:val="0"/>
          <w:noProof/>
          <w:color w:val="auto"/>
          <w:spacing w:val="0"/>
          <w:sz w:val="16"/>
          <w:szCs w:val="16"/>
          <w:lang w:bidi="he-IL"/>
        </w:rPr>
      </w:pPr>
      <w:bookmarkStart w:id="24"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4"/>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 xml:space="preserve">The figure shows the average final frequency of (from left to right): normal mutagenesis (NM; green) vs. NM (control); stress-induced mutagenesis (SIM; blue) vs. NM; constitutive mutagenesis (CM; red) vs. NM; and SIM vs. CM.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7E2D9A" w:rsidRPr="00AF69B6">
        <w:rPr>
          <w:rFonts w:eastAsiaTheme="minorHAnsi"/>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AF69B6">
        <w:rPr>
          <w:rFonts w:eastAsiaTheme="minorHAnsi"/>
          <w:b w:val="0"/>
          <w:bCs w:val="0"/>
          <w:smallCaps w:val="0"/>
          <w:noProof/>
          <w:color w:val="auto"/>
          <w:spacing w:val="0"/>
          <w:sz w:val="16"/>
          <w:szCs w:val="16"/>
          <w:lang w:bidi="he-IL"/>
        </w:rPr>
        <w:t>0).</w:t>
      </w:r>
      <w:r w:rsidR="007E2D9A" w:rsidRP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instrText xml:space="preserve"> \* MERGEFORMAT </w:instrText>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5"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5"/>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FD35E1">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FD35E1">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FD35E1">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ECC" w:rsidRDefault="00AB0ECC" w:rsidP="009A122D">
      <w:pPr>
        <w:spacing w:after="0" w:line="240" w:lineRule="auto"/>
      </w:pPr>
      <w:r>
        <w:separator/>
      </w:r>
    </w:p>
  </w:endnote>
  <w:endnote w:type="continuationSeparator" w:id="0">
    <w:p w:rsidR="00AB0ECC" w:rsidRDefault="00AB0EC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866D20C7-A114-40E6-8D32-1F3F8A331728}"/>
    <w:embedBold r:id="rId2" w:fontKey="{0ECD6A7F-E1C5-44B6-8101-F2A390DA0EB5}"/>
    <w:embedItalic r:id="rId3" w:fontKey="{62E80763-FE90-48F8-B16C-319044B4CE68}"/>
    <w:embedBoldItalic r:id="rId4" w:fontKey="{07D30936-C7CE-44EC-9177-52878D7FDE09}"/>
  </w:font>
  <w:font w:name="Tahoma">
    <w:panose1 w:val="020B0604030504040204"/>
    <w:charset w:val="00"/>
    <w:family w:val="swiss"/>
    <w:pitch w:val="variable"/>
    <w:sig w:usb0="E1002EFF" w:usb1="C000605B" w:usb2="00000029" w:usb3="00000000" w:csb0="000101FF" w:csb1="00000000"/>
    <w:embedRegular r:id="rId5" w:fontKey="{9E574F9B-3DF4-4600-B8AB-9B7837B0319A}"/>
  </w:font>
  <w:font w:name="cmr10">
    <w:charset w:val="00"/>
    <w:family w:val="swiss"/>
    <w:pitch w:val="variable"/>
    <w:sig w:usb0="00000003" w:usb1="00000000" w:usb2="00000000" w:usb3="00000000" w:csb0="00000001" w:csb1="00000000"/>
    <w:embedRegular r:id="rId6" w:fontKey="{01A2C403-02FD-48E2-AB82-4798FE3046FD}"/>
  </w:font>
  <w:font w:name="Cambria Math">
    <w:panose1 w:val="02040503050406030204"/>
    <w:charset w:val="00"/>
    <w:family w:val="roman"/>
    <w:pitch w:val="variable"/>
    <w:sig w:usb0="E00002FF" w:usb1="420024FF" w:usb2="00000000" w:usb3="00000000" w:csb0="0000019F" w:csb1="00000000"/>
    <w:embedItalic r:id="rId7" w:fontKey="{4D83E407-1D67-4823-BC35-16F35C99EB2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343645" w:rsidRDefault="00343645">
        <w:pPr>
          <w:pStyle w:val="Footer"/>
          <w:jc w:val="center"/>
        </w:pPr>
        <w:r>
          <w:fldChar w:fldCharType="begin"/>
        </w:r>
        <w:r>
          <w:instrText xml:space="preserve"> PAGE   \* MERGEFORMAT </w:instrText>
        </w:r>
        <w:r>
          <w:fldChar w:fldCharType="separate"/>
        </w:r>
        <w:r w:rsidR="00DE6521">
          <w:rPr>
            <w:noProof/>
          </w:rPr>
          <w:t>14</w:t>
        </w:r>
        <w:r>
          <w:rPr>
            <w:noProof/>
          </w:rPr>
          <w:fldChar w:fldCharType="end"/>
        </w:r>
      </w:p>
    </w:sdtContent>
  </w:sdt>
  <w:p w:rsidR="00343645" w:rsidRDefault="00343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ECC" w:rsidRDefault="00AB0ECC" w:rsidP="009A122D">
      <w:pPr>
        <w:spacing w:after="0" w:line="240" w:lineRule="auto"/>
      </w:pPr>
      <w:r>
        <w:separator/>
      </w:r>
    </w:p>
  </w:footnote>
  <w:footnote w:type="continuationSeparator" w:id="0">
    <w:p w:rsidR="00AB0ECC" w:rsidRDefault="00AB0EC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3133"/>
    <w:rsid w:val="0045618B"/>
    <w:rsid w:val="00463A01"/>
    <w:rsid w:val="0046652F"/>
    <w:rsid w:val="004703D4"/>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E7076"/>
    <w:rsid w:val="004F4440"/>
    <w:rsid w:val="004F5395"/>
    <w:rsid w:val="00510E20"/>
    <w:rsid w:val="00511EA8"/>
    <w:rsid w:val="00514DED"/>
    <w:rsid w:val="005202A0"/>
    <w:rsid w:val="0052063A"/>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6767E"/>
    <w:rsid w:val="00671C1A"/>
    <w:rsid w:val="006733DF"/>
    <w:rsid w:val="0067436B"/>
    <w:rsid w:val="00683120"/>
    <w:rsid w:val="00683B42"/>
    <w:rsid w:val="006911A5"/>
    <w:rsid w:val="00691767"/>
    <w:rsid w:val="0069770A"/>
    <w:rsid w:val="006A278B"/>
    <w:rsid w:val="006A479B"/>
    <w:rsid w:val="006B774C"/>
    <w:rsid w:val="006C02DB"/>
    <w:rsid w:val="006D14E9"/>
    <w:rsid w:val="006D3220"/>
    <w:rsid w:val="006D5802"/>
    <w:rsid w:val="006D6585"/>
    <w:rsid w:val="006E04FA"/>
    <w:rsid w:val="006F4747"/>
    <w:rsid w:val="00701833"/>
    <w:rsid w:val="007058D2"/>
    <w:rsid w:val="00720682"/>
    <w:rsid w:val="00723F0C"/>
    <w:rsid w:val="00733446"/>
    <w:rsid w:val="00753267"/>
    <w:rsid w:val="00760FC5"/>
    <w:rsid w:val="0077094B"/>
    <w:rsid w:val="00775F58"/>
    <w:rsid w:val="00785EDE"/>
    <w:rsid w:val="007A2944"/>
    <w:rsid w:val="007B25AD"/>
    <w:rsid w:val="007B5572"/>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30F34"/>
    <w:rsid w:val="008350C0"/>
    <w:rsid w:val="0085140E"/>
    <w:rsid w:val="00851EBB"/>
    <w:rsid w:val="008643AC"/>
    <w:rsid w:val="00866ADE"/>
    <w:rsid w:val="00870ED3"/>
    <w:rsid w:val="008752E9"/>
    <w:rsid w:val="008851DB"/>
    <w:rsid w:val="00890BB3"/>
    <w:rsid w:val="008967F9"/>
    <w:rsid w:val="008A0C66"/>
    <w:rsid w:val="008A3174"/>
    <w:rsid w:val="008A35F3"/>
    <w:rsid w:val="008A5282"/>
    <w:rsid w:val="008A6B5D"/>
    <w:rsid w:val="008A7A0A"/>
    <w:rsid w:val="008E3DFA"/>
    <w:rsid w:val="008E7880"/>
    <w:rsid w:val="008F5983"/>
    <w:rsid w:val="009040D1"/>
    <w:rsid w:val="00915B29"/>
    <w:rsid w:val="00917C32"/>
    <w:rsid w:val="009207F0"/>
    <w:rsid w:val="00921CC9"/>
    <w:rsid w:val="00922611"/>
    <w:rsid w:val="00925154"/>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75D7"/>
    <w:rsid w:val="00A579F7"/>
    <w:rsid w:val="00A67023"/>
    <w:rsid w:val="00A70358"/>
    <w:rsid w:val="00A709C3"/>
    <w:rsid w:val="00A725E6"/>
    <w:rsid w:val="00A74527"/>
    <w:rsid w:val="00A81E09"/>
    <w:rsid w:val="00A81E4B"/>
    <w:rsid w:val="00A853B5"/>
    <w:rsid w:val="00A9277F"/>
    <w:rsid w:val="00A95F28"/>
    <w:rsid w:val="00A96D14"/>
    <w:rsid w:val="00AB0448"/>
    <w:rsid w:val="00AB0ECC"/>
    <w:rsid w:val="00AC2BE1"/>
    <w:rsid w:val="00AC498F"/>
    <w:rsid w:val="00AC687F"/>
    <w:rsid w:val="00AC75F5"/>
    <w:rsid w:val="00AD0C7A"/>
    <w:rsid w:val="00AD2B33"/>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26DA"/>
    <w:rsid w:val="00BC359F"/>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DC1"/>
    <w:rsid w:val="000B06F4"/>
    <w:rsid w:val="00224535"/>
    <w:rsid w:val="00987B7B"/>
    <w:rsid w:val="009F7DC1"/>
    <w:rsid w:val="00CE71F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1F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1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5607C-5118-4F7D-9EB7-A6E5237F4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8514</TotalTime>
  <Pages>32</Pages>
  <Words>41697</Words>
  <Characters>208485</Characters>
  <Application>Microsoft Office Word</Application>
  <DocSecurity>0</DocSecurity>
  <Lines>1737</Lines>
  <Paragraphs>499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249683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177</cp:revision>
  <dcterms:created xsi:type="dcterms:W3CDTF">2013-08-25T12:42:00Z</dcterms:created>
  <dcterms:modified xsi:type="dcterms:W3CDTF">2013-12-09T14:31:00Z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