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5F1227">
        <w:rPr>
          <w:noProof/>
          <w:lang w:bidi="hi-IN"/>
        </w:rPr>
        <w:t>June 23,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625517" w:rsidP="00625517">
      <w:r>
        <w:t xml:space="preserve">Stress-induced mutagenesis (SIM), the phenomenon in which the mutation rate of stressed or maladapted individuals is increased, has been demonstrated in numerous species, both prokaryote and eukaryote </w:t>
      </w:r>
      <w:r>
        <w:fldChar w:fldCharType="begin" w:fldLock="1"/>
      </w:r>
      <w:r w:rsidR="005515F1">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More specifically, various stress responses have been shown to regulate increases in the mutation rate by shifting the cell to use error-prone DNA polymerases </w:t>
      </w:r>
      <w:r>
        <w:fldChar w:fldCharType="begin" w:fldLock="1"/>
      </w:r>
      <w:r w:rsidR="005515F1">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5515F1">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625517" w:rsidRDefault="001307C7" w:rsidP="001307C7">
      <w:r>
        <w:t xml:space="preserve">There is both experimental, clinical and theoretical evidence that increased mutation rates have an effect on adaptation and that during adaptive evolution constitutive mutators - alleles that constitutively increase the mutation rate – can rise in frequency because of this effect </w:t>
      </w:r>
      <w:r>
        <w:fldChar w:fldCharType="begin" w:fldLock="1"/>
      </w:r>
      <w:r w:rsidR="005515F1">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these mutators suffer from the accumulation of deleterious mutations and are purged from the environment, leading to the idiom of "the rise and fall of the mutator allele" </w:t>
      </w:r>
      <w:r>
        <w:fldChar w:fldCharType="begin" w:fldLock="1"/>
      </w:r>
      <w:r w:rsidR="005515F1">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Therefore, it seems that the mutation rate must balance two traits – adaptability and adaptedness</w:t>
      </w:r>
      <w:r w:rsidR="00932C9B">
        <w:t>, was coined by Leigh</w:t>
      </w:r>
      <w:r>
        <w:t xml:space="preserve"> </w:t>
      </w:r>
      <w:r>
        <w:fldChar w:fldCharType="begin" w:fldLock="1"/>
      </w:r>
      <w:r w:rsidR="005515F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00932C9B" w:rsidRPr="00932C9B">
        <w:rPr>
          <w:noProof/>
        </w:rPr>
        <w:t>(1970)</w:t>
      </w:r>
      <w:r>
        <w:fldChar w:fldCharType="end"/>
      </w:r>
      <w:r>
        <w:t>.</w:t>
      </w:r>
    </w:p>
    <w:p w:rsidR="001307C7" w:rsidRDefault="001307C7" w:rsidP="00932C9B">
      <w:r>
        <w:t xml:space="preserve">SIM is considered by many to have a meaningful impact on </w:t>
      </w:r>
      <w:r>
        <w:rPr>
          <w:i/>
          <w:iCs/>
        </w:rPr>
        <w:t xml:space="preserve">adaptability </w:t>
      </w:r>
      <w:r>
        <w:t xml:space="preserve">or </w:t>
      </w:r>
      <w:r>
        <w:rPr>
          <w:i/>
          <w:iCs/>
        </w:rPr>
        <w:t>evolvability</w:t>
      </w:r>
      <w:r>
        <w:t xml:space="preserve"> - the capacity of individuals and populations to evolve and adapt </w:t>
      </w:r>
      <w:r>
        <w:fldChar w:fldCharType="begin" w:fldLock="1"/>
      </w:r>
      <w:r w:rsidR="005515F1">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t xml:space="preserve">, but there is currently no theoretical treatment of this effect. The effect of SIM on adaptedness – the capacity of populations to remain adapted to current environmental conditions – did receive theoretical treatment by </w:t>
      </w:r>
      <w:proofErr w:type="spellStart"/>
      <w:r>
        <w:t>Agrawal</w:t>
      </w:r>
      <w:proofErr w:type="spellEnd"/>
      <w:r>
        <w:t xml:space="preserve"> </w:t>
      </w:r>
      <w:r>
        <w:fldChar w:fldCharType="begin" w:fldLock="1"/>
      </w:r>
      <w:r w:rsidR="005515F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SIM doesn't affect the population mean fitness in constant environments. In a more recent work, we have showed that this if rare beneficial mutations can occur than SIM is slightly advantageous in a constant environment </w:t>
      </w:r>
      <w:r w:rsidR="00932C9B">
        <w:fldChar w:fldCharType="begin" w:fldLock="1"/>
      </w:r>
      <w:r w:rsidR="005515F1">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p>
    <w:p w:rsidR="00625517" w:rsidRDefault="00625517" w:rsidP="00932C9B">
      <w:pPr>
        <w:rPr>
          <w:lang w:bidi="hi-IN"/>
        </w:rPr>
      </w:pPr>
      <w:r>
        <w:t>Here, we analyze a population geneti</w:t>
      </w:r>
      <w:r w:rsidR="00932C9B">
        <w:t>c model of an asexual population</w:t>
      </w:r>
      <w:r>
        <w:t xml:space="preserve">. We derive analytical expressions that demonstrate that SIM increases </w:t>
      </w:r>
      <w:r w:rsidR="00932C9B">
        <w:t xml:space="preserve">both the mean fitness and the </w:t>
      </w:r>
      <w:r>
        <w:t xml:space="preserve">adaptation rate </w:t>
      </w:r>
      <w:r w:rsidR="00932C9B">
        <w:t>of asexual populations</w:t>
      </w:r>
      <w:r w:rsidR="00932C9B">
        <w:rPr>
          <w:lang w:bidi="hi-IN"/>
        </w:rPr>
        <w:t xml:space="preserve">. We compare SIM to CM and non-mutators (NM) to show that SIM is a more efficient mutational strategy, allowing individuals and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101FCD"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lastRenderedPageBreak/>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r w:rsidR="00401E4A">
        <w:rPr>
          <w:lang w:bidi="hi-IN"/>
        </w:rPr>
        <w:t xml:space="preserve">We consider three </w:t>
      </w:r>
      <w:r w:rsidR="00401E4A">
        <w:t>m</w:t>
      </w:r>
      <w:r w:rsidR="00101FCD">
        <w:t>utational strategies</w:t>
      </w:r>
      <w:r w:rsidR="00401E4A">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rsidR="00401E4A">
        <w:t>, the mutation rate fold increase</w:t>
      </w:r>
      <w:r w:rsidR="00101FCD">
        <w:t xml:space="preserve">; and stress-induced mutagenesis (SIM) where only </w:t>
      </w:r>
      <w:r w:rsidR="00401E4A">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401E4A" w:rsidP="00401E4A">
      <w:pPr>
        <w:rPr>
          <w:lang w:bidi="hi-IN"/>
        </w:rPr>
      </w:pPr>
      <w:r>
        <w:rPr>
          <w:lang w:bidi="hi-IN"/>
        </w:rPr>
        <w:t xml:space="preserve">We analyzed two models, one of evolution toward a </w:t>
      </w:r>
      <w:r w:rsidR="001033CA">
        <w:rPr>
          <w:lang w:bidi="hi-IN"/>
        </w:rPr>
        <w:t xml:space="preserve">mutation-selection balance </w:t>
      </w:r>
      <w:r>
        <w:rPr>
          <w:lang w:bidi="hi-IN"/>
        </w:rPr>
        <w:t xml:space="preserve">(MSB) </w:t>
      </w:r>
      <w:r w:rsidR="001033CA">
        <w:rPr>
          <w:lang w:bidi="hi-IN"/>
        </w:rPr>
        <w:t xml:space="preserve">in a constant environment, </w:t>
      </w:r>
      <w:r>
        <w:rPr>
          <w:lang w:bidi="hi-IN"/>
        </w:rPr>
        <w:t xml:space="preserve">the other of </w:t>
      </w:r>
      <w:r w:rsidR="001033CA">
        <w:rPr>
          <w:lang w:bidi="hi-IN"/>
        </w:rPr>
        <w:t xml:space="preserve">adaptive evolution </w:t>
      </w:r>
      <w:r>
        <w:rPr>
          <w:lang w:bidi="hi-IN"/>
        </w:rPr>
        <w:t xml:space="preserve">of a complex trait </w:t>
      </w:r>
      <w:r w:rsidR="001033CA">
        <w:rPr>
          <w:lang w:bidi="hi-IN"/>
        </w:rPr>
        <w:t xml:space="preserve">in a rugged fitness landscape. We </w:t>
      </w:r>
      <w:r>
        <w:rPr>
          <w:lang w:bidi="hi-IN"/>
        </w:rPr>
        <w:t xml:space="preserve">developed </w:t>
      </w:r>
      <w:r w:rsidR="001033CA">
        <w:rPr>
          <w:lang w:bidi="hi-IN"/>
        </w:rPr>
        <w:t xml:space="preserve">analytic approximations </w:t>
      </w:r>
      <w:r>
        <w:rPr>
          <w:lang w:bidi="hi-IN"/>
        </w:rPr>
        <w:t xml:space="preserve">for the adaptation rate and mean fitness of populations and used </w:t>
      </w:r>
      <w:r w:rsidR="001033CA">
        <w:rPr>
          <w:lang w:bidi="hi-IN"/>
        </w:rPr>
        <w:t>stochastic simulation</w:t>
      </w:r>
      <w:r>
        <w:rPr>
          <w:lang w:bidi="hi-IN"/>
        </w:rPr>
        <w:t>s</w:t>
      </w:r>
      <w:r w:rsidR="001033CA">
        <w:rPr>
          <w:lang w:bidi="hi-IN"/>
        </w:rPr>
        <w:t xml:space="preserve"> to </w:t>
      </w:r>
      <w:r>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564668">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564668">
        <w:rPr>
          <w:lang w:bidi="hi-IN"/>
        </w:rPr>
        <w:t xml:space="preserve">Let us assume that a small fraction </w:t>
      </w:r>
      <m:oMath>
        <m:r>
          <w:rPr>
            <w:rFonts w:ascii="Cambria Math" w:hAnsi="Cambria Math"/>
            <w:lang w:bidi="hi-IN"/>
          </w:rPr>
          <m:t>β≪1</m:t>
        </m:r>
      </m:oMath>
      <w:r w:rsidR="00564668">
        <w:rPr>
          <w:rFonts w:eastAsiaTheme="minorEastAsia"/>
          <w:lang w:bidi="hi-IN"/>
        </w:rPr>
        <w:t xml:space="preserve"> of the mutations are back-mutations or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5F122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5F1227"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5F1227">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sidR="005F1227">
        <w:rPr>
          <w:rStyle w:val="FootnoteReference"/>
          <w:rFonts w:eastAsiaTheme="minorEastAsia"/>
          <w:lang w:bidi="hi-IN"/>
        </w:rPr>
        <w:footnoteReference w:id="1"/>
      </w:r>
      <w:r>
        <w:rPr>
          <w:rFonts w:eastAsiaTheme="minorEastAsia"/>
          <w:lang w:bidi="hi-IN"/>
        </w:rPr>
        <w:t xml:space="preserve"> fulfills</w:t>
      </w:r>
      <w:r w:rsidR="005F1227">
        <w:rPr>
          <w:rFonts w:eastAsiaTheme="minorEastAsia"/>
          <w:lang w:bidi="hi-IN"/>
        </w:rPr>
        <w:t xml:space="preserve"> ()</w:t>
      </w:r>
      <w:r>
        <w:rPr>
          <w:rFonts w:eastAsiaTheme="minorEastAsia"/>
          <w:lang w:bidi="hi-IN"/>
        </w:rPr>
        <w:t>:</w:t>
      </w:r>
    </w:p>
    <w:p w:rsidR="004A2989" w:rsidRPr="004A2989" w:rsidRDefault="005F1227"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4A2989" w:rsidP="005F1227">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5515F1">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w:t>
      </w:r>
      <w:r w:rsidR="005F1227">
        <w:rPr>
          <w:rFonts w:eastAsiaTheme="minorEastAsia"/>
          <w:lang w:bidi="hi-IN"/>
        </w:rPr>
        <w:t xml:space="preserve"> no</w:t>
      </w:r>
      <w:r>
        <w:rPr>
          <w:rFonts w:eastAsiaTheme="minorEastAsia"/>
          <w:lang w:bidi="hi-IN"/>
        </w:rPr>
        <w:t xml:space="preserve">n-negative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5F122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lastRenderedPageBreak/>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5515F1">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5515F1">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Python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w:instrText>
      </w:r>
      <w:r w:rsidRPr="005F1227">
        <w:instrText xml:space="preserve">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651708A1" wp14:editId="3FB3077E">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009040D1">
        <w:rPr>
          <w:b/>
          <w:bCs/>
          <w:noProof/>
        </w:rPr>
        <w:t>1</w:t>
      </w:r>
      <w:r w:rsidRPr="000D56CE">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r>
              <w:fldChar w:fldCharType="begin"/>
            </w:r>
            <w:r>
              <w:instrText xml:space="preserve"> SEQ Equation </w:instrText>
            </w:r>
            <w:r>
              <w:fldChar w:fldCharType="separate"/>
            </w:r>
            <w:r>
              <w:rPr>
                <w:noProof/>
              </w:rPr>
              <w:t>1</w:t>
            </w:r>
            <w:r>
              <w:fldChar w:fldCharType="end"/>
            </w:r>
            <w:bookmarkEnd w:id="1"/>
            <w:r>
              <w:t>)</w:t>
            </w:r>
            <w:bookmarkEnd w:id="2"/>
          </w:p>
        </w:tc>
      </w:tr>
      <w:tr w:rsidR="002D7506" w:rsidTr="00563FAB">
        <w:tc>
          <w:tcPr>
            <w:tcW w:w="4500" w:type="pct"/>
            <w:vAlign w:val="center"/>
          </w:tcPr>
          <w:p w:rsidR="002D7506" w:rsidRDefault="005F1227"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r>
              <w:fldChar w:fldCharType="begin"/>
            </w:r>
            <w:r>
              <w:instrText xml:space="preserve"> SEQ Equation </w:instrText>
            </w:r>
            <w:r>
              <w:fldChar w:fldCharType="separate"/>
            </w:r>
            <w:r>
              <w:rPr>
                <w:noProof/>
              </w:rPr>
              <w:t>2</w:t>
            </w:r>
            <w:r>
              <w:fldChar w:fldCharType="end"/>
            </w:r>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r>
        <w:fldChar w:fldCharType="begin"/>
      </w:r>
      <w:r>
        <w:instrText xml:space="preserve"> SEQ Table \* ARABIC </w:instrText>
      </w:r>
      <w:r>
        <w:fldChar w:fldCharType="separate"/>
      </w:r>
      <w:r>
        <w:rPr>
          <w:noProof/>
        </w:rPr>
        <w:t>1</w:t>
      </w:r>
      <w:r>
        <w:fldChar w:fldCharType="end"/>
      </w:r>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5515F1">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5515F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5515F1">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5515F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5515F1">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5515F1">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r>
              <w:fldChar w:fldCharType="begin"/>
            </w:r>
            <w:r>
              <w:instrText xml:space="preserve"> SEQ Equation </w:instrText>
            </w:r>
            <w:r>
              <w:fldChar w:fldCharType="separate"/>
            </w:r>
            <w:r>
              <w:rPr>
                <w:noProof/>
              </w:rPr>
              <w:t>3</w:t>
            </w:r>
            <w:r>
              <w:fldChar w:fldCharType="end"/>
            </w:r>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F5091"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r>
              <w:fldChar w:fldCharType="begin"/>
            </w:r>
            <w:r>
              <w:instrText xml:space="preserve"> SEQ Equation </w:instrText>
            </w:r>
            <w:r>
              <w:fldChar w:fldCharType="separate"/>
            </w:r>
            <w:r>
              <w:rPr>
                <w:noProof/>
              </w:rPr>
              <w:t>4</w:t>
            </w:r>
            <w:r>
              <w:fldChar w:fldCharType="end"/>
            </w:r>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5F122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5F1227"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5F1227"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r>
              <w:fldChar w:fldCharType="begin"/>
            </w:r>
            <w:r>
              <w:instrText xml:space="preserve"> SEQ Equation </w:instrText>
            </w:r>
            <w:r>
              <w:fldChar w:fldCharType="separate"/>
            </w:r>
            <w:r>
              <w:rPr>
                <w:noProof/>
              </w:rPr>
              <w:t>5</w:t>
            </w:r>
            <w:r>
              <w:fldChar w:fldCharType="end"/>
            </w:r>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3F5091"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5F122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F1227"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F1227"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3F5091"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3F5091"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r>
              <w:fldChar w:fldCharType="begin"/>
            </w:r>
            <w:r>
              <w:instrText xml:space="preserve"> SEQ Equation </w:instrText>
            </w:r>
            <w:r>
              <w:fldChar w:fldCharType="separate"/>
            </w:r>
            <w:r>
              <w:rPr>
                <w:noProof/>
              </w:rPr>
              <w:t>6</w:t>
            </w:r>
            <w:r>
              <w:fldChar w:fldCharType="end"/>
            </w:r>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5515F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w:t>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0F2E02">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0F2E02">
            <w:r>
              <w:t>(</w:t>
            </w:r>
            <w:r>
              <w:fldChar w:fldCharType="begin"/>
            </w:r>
            <w:r>
              <w:instrText xml:space="preserve"> SEQ Equation </w:instrText>
            </w:r>
            <w:r>
              <w:fldChar w:fldCharType="separate"/>
            </w:r>
            <w:r>
              <w:rPr>
                <w:noProof/>
              </w:rPr>
              <w:t>7</w:t>
            </w:r>
            <w:r>
              <w:fldChar w:fldCharType="end"/>
            </w:r>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w:t>
      </w:r>
      <w:r>
        <w:t xml:space="preser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0F2E02">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0F2E02">
            <w:r>
              <w:t>(</w:t>
            </w:r>
            <w:r>
              <w:fldChar w:fldCharType="begin"/>
            </w:r>
            <w:r>
              <w:instrText xml:space="preserve"> SEQ Equation </w:instrText>
            </w:r>
            <w:r>
              <w:fldChar w:fldCharType="separate"/>
            </w:r>
            <w:r>
              <w:rPr>
                <w:noProof/>
              </w:rPr>
              <w:t>8</w:t>
            </w:r>
            <w:r>
              <w:fldChar w:fldCharType="end"/>
            </w:r>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At this stage, double mutants are still very rate, so we can use the population mean fitness at the MSB. Without stress-induced mutagenesis, this evaluates to</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m:t>
                </m:r>
                <m:r>
                  <w:rPr>
                    <w:rFonts w:ascii="Cambria Math" w:hAnsi="Cambria Math"/>
                  </w:rPr>
                  <m:t>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r>
              <w:fldChar w:fldCharType="begin"/>
            </w:r>
            <w:r>
              <w:instrText xml:space="preserve"> SEQ Equation </w:instrText>
            </w:r>
            <w:r>
              <w:fldChar w:fldCharType="separate"/>
            </w:r>
            <w:r>
              <w:rPr>
                <w:noProof/>
              </w:rPr>
              <w:t>9</w:t>
            </w:r>
            <w:r>
              <w:fldChar w:fldCharType="end"/>
            </w:r>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m:t>
                </m:r>
                <m:r>
                  <w:rPr>
                    <w:rFonts w:ascii="Cambria Math" w:hAnsi="Cambria Math"/>
                  </w:rPr>
                  <m:t>≈2sH</m:t>
                </m:r>
              </m:oMath>
            </m:oMathPara>
          </w:p>
        </w:tc>
        <w:tc>
          <w:tcPr>
            <w:tcW w:w="500" w:type="pct"/>
            <w:vAlign w:val="center"/>
          </w:tcPr>
          <w:p w:rsidR="002D7506" w:rsidRDefault="002D7506" w:rsidP="00563FAB">
            <w:bookmarkStart w:id="12" w:name="_Ref354134928"/>
            <w:r>
              <w:t>(</w:t>
            </w:r>
            <w:r>
              <w:fldChar w:fldCharType="begin"/>
            </w:r>
            <w:r>
              <w:instrText xml:space="preserve"> SEQ Equation </w:instrText>
            </w:r>
            <w:r>
              <w:fldChar w:fldCharType="separate"/>
            </w:r>
            <w:r>
              <w:rPr>
                <w:noProof/>
              </w:rPr>
              <w:t>10</w:t>
            </w:r>
            <w:r>
              <w:fldChar w:fldCharType="end"/>
            </w:r>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5515F1">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544FA2"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r>
        <w:t>Adaptation rate</w:t>
      </w:r>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Once a double muta</w:t>
      </w:r>
      <w:r>
        <w:t xml:space="preserve">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t>
      </w:r>
      <w:r>
        <w:t>who</w:t>
      </w:r>
      <w:r>
        <w:t xml:space="preserve"> will go to fixation</w:t>
      </w:r>
      <w:r>
        <w:t>,</w:t>
      </w:r>
      <w:r>
        <w:t xml:space="preserve"> </w:t>
      </w:r>
      <w:r>
        <w:rPr>
          <w:i/>
          <w:iCs/>
        </w:rPr>
        <w:t>T</w:t>
      </w:r>
      <w:r>
        <w:rPr>
          <w:i/>
          <w:iCs/>
          <w:vertAlign w:val="subscript"/>
        </w:rPr>
        <w:t>w</w:t>
      </w:r>
      <w:r>
        <w:t xml:space="preserve">. This is true as long as fixation </w:t>
      </w:r>
      <w:r>
        <w:t>is much</w:t>
      </w:r>
      <w:r>
        <w:t xml:space="preserve">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sidRPr="00B82D73">
        <w:rPr>
          <w:rFonts w:ascii="Times New Roman" w:hAnsi="Times New Roman"/>
          <w:highlight w:val="yellow"/>
        </w:rPr>
      </w:r>
      <w:r>
        <w:rPr>
          <w:rFonts w:ascii="Times New Roman" w:hAnsi="Times New Roman"/>
          <w:highlight w:val="yellow"/>
        </w:rPr>
        <w:instrText xml:space="preserve"> \* MERGEFORMAT </w:instrText>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w:t>
      </w:r>
      <w:r>
        <w:t xml:space="preserve">c distribution with probability </w:t>
      </w:r>
      <w:proofErr w:type="spellStart"/>
      <w:r w:rsidRPr="00B82D73">
        <w:rPr>
          <w:i/>
          <w:iCs/>
        </w:rPr>
        <w:t>Nqρ</w:t>
      </w:r>
      <w:proofErr w:type="spellEnd"/>
      <w:r w:rsidRPr="00B82D73">
        <w:t xml:space="preserve"> </w:t>
      </w:r>
      <w:r>
        <w:t>and therefore t</w:t>
      </w:r>
      <w:r>
        <w:t xml:space="preserve">he expected time for adaptation </w:t>
      </w:r>
      <w:r>
        <w:t>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0F2E02">
        <w:tc>
          <w:tcPr>
            <w:tcW w:w="4500" w:type="pct"/>
            <w:vAlign w:val="center"/>
          </w:tcPr>
          <w:p w:rsidR="00B82D73" w:rsidRDefault="00B82D73" w:rsidP="000F2E02">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0F2E02">
            <w:bookmarkStart w:id="13" w:name="_Ref354319010"/>
            <w:r>
              <w:t>(</w:t>
            </w:r>
            <w:r>
              <w:fldChar w:fldCharType="begin"/>
            </w:r>
            <w:r>
              <w:instrText xml:space="preserve"> SEQ Equation </w:instrText>
            </w:r>
            <w:r>
              <w:fldChar w:fldCharType="separate"/>
            </w:r>
            <w:r>
              <w:rPr>
                <w:noProof/>
              </w:rPr>
              <w:t>11</w:t>
            </w:r>
            <w:r>
              <w:fldChar w:fldCharType="end"/>
            </w:r>
            <w:r>
              <w:t>)</w:t>
            </w:r>
            <w:bookmarkEnd w:id="13"/>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4" w:name="_Ref359745744"/>
      <w:r>
        <w:t>Mutation-selection balance</w:t>
      </w:r>
      <w:bookmarkEnd w:id="14"/>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5515F1">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5515F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5515F1">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82D73">
      <w:pPr>
        <w:rPr>
          <w:i/>
          <w:iCs/>
          <w:lang w:bidi="hi-IN"/>
        </w:rPr>
      </w:pPr>
      <w:r>
        <w:t xml:space="preserve">We define two adaptive evolution scenarios: in scenario I, the appearance of a new carbon source which can only be utilized by the double mutant </w:t>
      </w:r>
      <w:r>
        <w:rPr>
          <w:i/>
          <w:iCs/>
        </w:rPr>
        <w:t>AB</w:t>
      </w:r>
      <w:r>
        <w:t xml:space="preserve"> appears, making the </w:t>
      </w:r>
      <w:r w:rsidRPr="00607B56">
        <w:rPr>
          <w:i/>
          <w:iCs/>
        </w:rPr>
        <w:t>AB</w:t>
      </w:r>
      <w:r>
        <w:t xml:space="preserve"> genotype the optimal one without affecting the fitness values of other genotypes</w:t>
      </w:r>
      <w:r w:rsidR="00B82D73">
        <w:t xml:space="preserve">, and therefore in this scenario SIM does not induce hypermutation in neither </w:t>
      </w:r>
      <w:r w:rsidR="00B82D73" w:rsidRPr="00B82D73">
        <w:rPr>
          <w:i/>
          <w:iCs/>
        </w:rPr>
        <w:t xml:space="preserve">AB </w:t>
      </w:r>
      <w:r w:rsidR="00B82D73">
        <w:t xml:space="preserve">nor </w:t>
      </w:r>
      <w:r w:rsidR="00B82D73">
        <w:rPr>
          <w:i/>
          <w:iCs/>
        </w:rPr>
        <w:t>ab</w:t>
      </w:r>
      <w:r>
        <w:t xml:space="preserve">. In the second scenario, an antibiotic drug renders all genotypes less fit, and the double mutant </w:t>
      </w:r>
      <w:r w:rsidRPr="00607B56">
        <w:rPr>
          <w:i/>
          <w:iCs/>
        </w:rPr>
        <w:t>AB</w:t>
      </w:r>
      <w:r>
        <w:t>, which confers resistance to the drug, is the optimal genotype.</w:t>
      </w:r>
      <w:r w:rsidR="00B82D73">
        <w:t xml:space="preserve"> In this scenario SIM induces hypermutation in all genotypes except for </w:t>
      </w:r>
      <w:r w:rsidR="00B82D73">
        <w:rPr>
          <w:i/>
          <w:iCs/>
        </w:rPr>
        <w:t>AB</w:t>
      </w:r>
      <w:r w:rsidR="00B82D73" w:rsidRPr="00B82D73">
        <w:t>.</w:t>
      </w:r>
      <w:r w:rsidR="00B82D73">
        <w:t xml:space="preserve"> Therefore, when analyzing SIM we differ between SIM-I and SIM-II.</w:t>
      </w:r>
      <w:r w:rsidR="00B82D73">
        <w:rPr>
          <w:i/>
          <w:iCs/>
        </w:rPr>
        <w:t xml:space="preserve"> </w:t>
      </w:r>
    </w:p>
    <w:p w:rsidR="00354774" w:rsidRDefault="00354774" w:rsidP="00B82D73">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 xml:space="preserve">adaptation time which can be approximated, similar to,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5F1227"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m:t>
          </m:r>
          <m:r>
            <w:rPr>
              <w:rFonts w:ascii="Cambria Math" w:hAnsi="Cambria Math"/>
              <w:lang w:bidi="hi-IN"/>
            </w:rPr>
            <m:t>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5F1227"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5A2F6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5A2F6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r>
                <w:rPr>
                  <w:rFonts w:ascii="Cambria Math" w:eastAsiaTheme="minorEastAsia" w:hAnsi="Cambria Math"/>
                  <w:lang w:bidi="hi-IN"/>
                </w:rPr>
                <m:t>+</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lastRenderedPageBreak/>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B82D73">
      <w:pPr>
        <w:rPr>
          <w:rFonts w:eastAsiaTheme="minorEastAsia"/>
          <w:lang w:bidi="hi-IN"/>
        </w:rPr>
      </w:pPr>
      <w:r>
        <w:rPr>
          <w:rFonts w:eastAsiaTheme="minorEastAsia"/>
          <w:lang w:bidi="hi-IN"/>
        </w:rPr>
        <w:t xml:space="preserve">There are several interpretations we can make from these expressions. First, </w:t>
      </w:r>
      <w:r w:rsidR="005A2F68">
        <w:rPr>
          <w:rFonts w:eastAsiaTheme="minorEastAsia"/>
          <w:lang w:bidi="hi-IN"/>
        </w:rPr>
        <w:t xml:space="preserve">adaptation with CM is faster than with NM because of faster appearance of double mutants and an unchanged fixation probability.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 Third, adaptation with SIM-II is the fastest, because the appearance of double mutants is the same as with CM but their fixation is more probable because of the difference in mutation rate between double mutants and the rest of the population.</w:t>
      </w:r>
      <w:r w:rsidR="00B82D73">
        <w:t xml:space="preserve"> Note that this advantage</w:t>
      </w:r>
      <w:r w:rsidR="00544FA2">
        <w:rPr>
          <w:rFonts w:eastAsiaTheme="minorEastAsia"/>
          <w:lang w:bidi="hi-IN"/>
        </w:rPr>
        <w:t xml:space="preserve"> increases linearly with </w:t>
      </w:r>
      <w:r w:rsidR="00544FA2" w:rsidRPr="00DE1C4B">
        <w:rPr>
          <w:i/>
          <w:iCs/>
        </w:rPr>
        <w:t>τ</w:t>
      </w:r>
      <w:r w:rsidR="00B82D73">
        <w:rPr>
          <w:rFonts w:eastAsiaTheme="minorEastAsia"/>
          <w:lang w:bidi="hi-IN"/>
        </w:rPr>
        <w:t>.</w:t>
      </w:r>
    </w:p>
    <w:p w:rsidR="00DB72B7" w:rsidRDefault="00B82D73" w:rsidP="000E60A3">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generally, we can expect that is selection is strong and mutation rates are low, then CM and SIM will have a big advantage over NM. </w:t>
      </w:r>
    </w:p>
    <w:p w:rsidR="00AC687F" w:rsidRDefault="00AC687F" w:rsidP="00AC687F">
      <w:pPr>
        <w:pStyle w:val="Heading2"/>
      </w:pPr>
      <w:r>
        <w:t>Adaptability and adaptedness</w:t>
      </w:r>
    </w:p>
    <w:p w:rsidR="00AC687F" w:rsidRPr="00B85CA4" w:rsidRDefault="009040D1" w:rsidP="00B85CA4">
      <w:r>
        <w:rPr>
          <w:lang w:bidi="hi-IN"/>
        </w:rPr>
        <w:t>Figure X 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line through the figure) </w:t>
      </w:r>
      <w:r w:rsidR="005515F1">
        <w:rPr>
          <w:lang w:bidi="hi-IN"/>
        </w:rPr>
        <w:t xml:space="preserve">can be achieved using both CM and SIM. The highest mean fitness will always be attained with SIM (which even has a slight advantage over NM which cannot be seen in this figure).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xml:space="preserve">) the same adaptation rate can be achieved via a mixed strategy (dashed green line) in which the mutation rate of the entire population is increased by a low value and the mutation rate of stressed individuals in further increased by a higher value </w:t>
      </w:r>
      <w:r w:rsidR="005515F1" w:rsidRPr="005515F1">
        <w:fldChar w:fldCharType="begin" w:fldLock="1"/>
      </w:r>
      <w:r w:rsidR="005515F1" w:rsidRPr="005515F1">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5515F1" w:rsidRPr="005515F1">
        <w:fldChar w:fldCharType="separate"/>
      </w:r>
      <w:r w:rsidR="005515F1" w:rsidRPr="005515F1">
        <w:t>(Torres-Barceló et al. 2013)</w:t>
      </w:r>
      <w:r w:rsidR="005515F1" w:rsidRPr="005515F1">
        <w:fldChar w:fldCharType="end"/>
      </w:r>
      <w:r w:rsidR="005515F1" w:rsidRPr="005515F1">
        <w:t>.</w:t>
      </w:r>
      <w:r w:rsidR="00B85CA4">
        <w:t xml:space="preserve"> For example, a 50-fold increase in adaptation rate can be </w:t>
      </w:r>
      <w:r w:rsidR="005202A0">
        <w:t>achieved</w:t>
      </w:r>
      <w:bookmarkStart w:id="15" w:name="_GoBack"/>
      <w:bookmarkEnd w:id="15"/>
      <w:r w:rsidR="00B85CA4">
        <w:t xml:space="preserve"> with CM with </w:t>
      </w:r>
      <w:r w:rsidR="00B85CA4" w:rsidRPr="00B85CA4">
        <w:rPr>
          <w:i/>
          <w:iCs/>
        </w:rPr>
        <w:t>τ=7</w:t>
      </w:r>
      <w:r w:rsidR="00B85CA4">
        <w:t xml:space="preserve">, SIM with </w:t>
      </w:r>
      <w:r w:rsidR="00B85CA4" w:rsidRPr="00B85CA4">
        <w:rPr>
          <w:i/>
          <w:iCs/>
        </w:rPr>
        <w:t>τ</w:t>
      </w:r>
      <w:r w:rsidR="00B85CA4">
        <w:rPr>
          <w:i/>
          <w:iCs/>
        </w:rPr>
        <w:t>=50</w:t>
      </w:r>
      <w:r w:rsidR="00B85CA4">
        <w:t xml:space="preserve"> or a mixed strategy with </w:t>
      </w:r>
      <w:r w:rsidR="00B85CA4" w:rsidRPr="00B85CA4">
        <w:rPr>
          <w:i/>
          <w:iCs/>
          <w:highlight w:val="yellow"/>
        </w:rPr>
        <w:t>τ</w:t>
      </w:r>
      <w:r w:rsidR="00B85CA4" w:rsidRPr="00B85CA4">
        <w:rPr>
          <w:i/>
          <w:iCs/>
          <w:highlight w:val="yellow"/>
          <w:vertAlign w:val="subscript"/>
        </w:rPr>
        <w:t>1</w:t>
      </w:r>
      <w:r w:rsidR="00B85CA4" w:rsidRPr="00B85CA4">
        <w:rPr>
          <w:i/>
          <w:iCs/>
          <w:highlight w:val="yellow"/>
        </w:rPr>
        <w:t>=</w:t>
      </w:r>
      <w:r w:rsidR="00B85CA4" w:rsidRPr="00B85CA4">
        <w:rPr>
          <w:i/>
          <w:iCs/>
          <w:highlight w:val="yellow"/>
        </w:rPr>
        <w:t xml:space="preserve">2 </w:t>
      </w:r>
      <w:r w:rsidR="00B85CA4" w:rsidRPr="00B85CA4">
        <w:rPr>
          <w:highlight w:val="yellow"/>
        </w:rPr>
        <w:t>and</w:t>
      </w:r>
      <w:r w:rsidR="00B85CA4" w:rsidRPr="00B85CA4">
        <w:rPr>
          <w:i/>
          <w:iCs/>
          <w:highlight w:val="yellow"/>
        </w:rPr>
        <w:t xml:space="preserve"> </w:t>
      </w:r>
      <w:r w:rsidR="00B85CA4" w:rsidRPr="00B85CA4">
        <w:rPr>
          <w:i/>
          <w:iCs/>
          <w:highlight w:val="yellow"/>
        </w:rPr>
        <w:t>τ</w:t>
      </w:r>
      <w:r w:rsidR="00B85CA4" w:rsidRPr="00B85CA4">
        <w:rPr>
          <w:i/>
          <w:iCs/>
          <w:highlight w:val="yellow"/>
          <w:vertAlign w:val="subscript"/>
        </w:rPr>
        <w:t>2</w:t>
      </w:r>
      <w:r w:rsidR="00B85CA4" w:rsidRPr="00B85CA4">
        <w:rPr>
          <w:i/>
          <w:iCs/>
          <w:highlight w:val="yellow"/>
        </w:rPr>
        <w:t>=</w:t>
      </w:r>
      <w:r w:rsidR="00B85CA4" w:rsidRPr="00B85CA4">
        <w:rPr>
          <w:i/>
          <w:iCs/>
          <w:highlight w:val="yellow"/>
        </w:rPr>
        <w:t>10</w:t>
      </w:r>
      <w:r w:rsidR="00B85CA4">
        <w:t xml:space="preserve">. The mutational burden will decrease the mean fitness 0.9972-fold with CM and </w:t>
      </w:r>
      <w:r w:rsidR="00B85CA4" w:rsidRPr="005202A0">
        <w:rPr>
          <w:highlight w:val="yellow"/>
        </w:rPr>
        <w:t>0.996-fold</w:t>
      </w:r>
      <w:r w:rsidR="00B85CA4">
        <w:t xml:space="preserve"> with the mixed strategy, but will not have an effect with SIM.</w:t>
      </w:r>
    </w:p>
    <w:p w:rsidR="009040D1" w:rsidRDefault="009040D1" w:rsidP="009040D1">
      <w:pPr>
        <w:rPr>
          <w:lang w:bidi="hi-IN"/>
        </w:rPr>
      </w:pPr>
    </w:p>
    <w:p w:rsidR="009040D1" w:rsidRDefault="009040D1" w:rsidP="009040D1">
      <w:pPr>
        <w:keepNext/>
      </w:pPr>
      <w:r>
        <w:rPr>
          <w:noProof/>
        </w:rPr>
        <w:lastRenderedPageBreak/>
        <w:drawing>
          <wp:inline distT="0" distB="0" distL="0" distR="0" wp14:anchorId="092CBDF5" wp14:editId="14801342">
            <wp:extent cx="5274310" cy="4220845"/>
            <wp:effectExtent l="0" t="0" r="2540" b="8255"/>
            <wp:docPr id="1" name="Picture 1" descr="D:\workspace\ruggedsim\manuscript\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pare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9040D1" w:rsidRPr="006D14E9" w:rsidRDefault="009040D1" w:rsidP="006D14E9">
      <w:pPr>
        <w:pStyle w:val="FigureLegend"/>
        <w:rPr>
          <w:lang w:bidi="hi-IN"/>
        </w:rPr>
      </w:pPr>
      <w:r w:rsidRPr="009040D1">
        <w:rPr>
          <w:b/>
          <w:bCs/>
        </w:rPr>
        <w:t xml:space="preserve">Figure </w:t>
      </w:r>
      <w:r w:rsidRPr="009040D1">
        <w:rPr>
          <w:b/>
          <w:bCs/>
        </w:rPr>
        <w:fldChar w:fldCharType="begin"/>
      </w:r>
      <w:r w:rsidRPr="009040D1">
        <w:rPr>
          <w:b/>
          <w:bCs/>
        </w:rPr>
        <w:instrText xml:space="preserve"> SEQ Figure \* ARABIC </w:instrText>
      </w:r>
      <w:r w:rsidRPr="009040D1">
        <w:rPr>
          <w:b/>
          <w:bCs/>
        </w:rPr>
        <w:fldChar w:fldCharType="separate"/>
      </w:r>
      <w:r w:rsidRPr="009040D1">
        <w:rPr>
          <w:b/>
          <w:bCs/>
          <w:noProof/>
        </w:rPr>
        <w:t>2</w:t>
      </w:r>
      <w:r w:rsidRPr="009040D1">
        <w:rPr>
          <w:b/>
          <w:bCs/>
        </w:rPr>
        <w:fldChar w:fldCharType="end"/>
      </w:r>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population mean fitness and adaptation rate of a mutator compared to non-mutators (NM) on the </w:t>
      </w:r>
      <w:r>
        <w:rPr>
          <w:lang w:bidi="hi-IN"/>
        </w:rPr>
        <w:t>x-axis and y-axis, respectively. Constitutive mutators (CM; in red) increase the mutation rate of all individuals; Stress-induced mutators (SIM; in blue) increase the mutation rate of stressed or maladapted individuals; Mixed strategies (in</w:t>
      </w:r>
      <w:r w:rsidR="005515F1">
        <w:rPr>
          <w:lang w:bidi="hi-IN"/>
        </w:rPr>
        <w:t xml:space="preserve"> dashed</w:t>
      </w:r>
      <w:r>
        <w:rPr>
          <w:lang w:bidi="hi-IN"/>
        </w:rPr>
        <w:t xml:space="preserve"> green) increase the mutation rate of </w:t>
      </w:r>
      <w:r w:rsidRPr="009040D1">
        <w:rPr>
          <w:i/>
          <w:iCs/>
        </w:rPr>
        <w:t>α</w:t>
      </w:r>
      <w:r>
        <w:rPr>
          <w:lang w:bidi="hi-IN"/>
        </w:rPr>
        <w:t xml:space="preserve"> of the individuals when stressed and of </w:t>
      </w:r>
      <w:r w:rsidRPr="009040D1">
        <w:rPr>
          <w:i/>
          <w:iCs/>
          <w:lang w:bidi="hi-IN"/>
        </w:rPr>
        <w:t>1-</w:t>
      </w:r>
      <w:r w:rsidRPr="009040D1">
        <w:rPr>
          <w:i/>
          <w:iCs/>
        </w:rPr>
        <w:t>α</w:t>
      </w:r>
      <w:r>
        <w:t xml:space="preserve"> of the individuals constitutively. </w:t>
      </w:r>
      <w:proofErr w:type="gramStart"/>
      <w:r>
        <w:rPr>
          <w:rFonts w:ascii="Times New Roman" w:hAnsi="Times New Roman" w:cs="Times New Roman"/>
          <w:i/>
          <w:iCs/>
        </w:rPr>
        <w:t>τ</w:t>
      </w:r>
      <w:proofErr w:type="gramEnd"/>
      <w:r>
        <w:rPr>
          <w:i/>
          <w:iCs/>
        </w:rPr>
        <w:t xml:space="preserve"> </w:t>
      </w:r>
      <w:r>
        <w:t xml:space="preserve">is the mutation rate fold increase in hypermutating individuals. </w:t>
      </w:r>
      <w:r w:rsidR="006D14E9">
        <w:t>SIM breaks the adaptability-adaptedness trade-off of CM, increasing the adaptation rate without reducing the population mean fitness.</w:t>
      </w:r>
      <w:r w:rsidR="006D14E9">
        <w:rPr>
          <w:lang w:bidi="hi-IN"/>
        </w:rPr>
        <w:t xml:space="preserve"> Parameter values: </w:t>
      </w:r>
      <w:r w:rsidR="006D14E9">
        <w:rPr>
          <w:lang w:bidi="hi-IN"/>
        </w:rPr>
        <w:t xml:space="preserve">population size </w:t>
      </w:r>
      <w:r w:rsidR="006D14E9">
        <w:rPr>
          <w:i/>
          <w:iCs/>
          <w:lang w:bidi="hi-IN"/>
        </w:rPr>
        <w:t>N=10</w:t>
      </w:r>
      <w:r w:rsidR="006D14E9">
        <w:rPr>
          <w:i/>
          <w:iCs/>
          <w:vertAlign w:val="superscript"/>
          <w:lang w:bidi="hi-IN"/>
        </w:rPr>
        <w:t>6</w:t>
      </w:r>
      <w:r w:rsidR="006D14E9">
        <w:rPr>
          <w:lang w:bidi="hi-IN"/>
        </w:rPr>
        <w:t xml:space="preserve">, deleterious mutation rate </w:t>
      </w:r>
      <w:r w:rsidR="006D14E9">
        <w:rPr>
          <w:i/>
          <w:iCs/>
          <w:lang w:bidi="hi-IN"/>
        </w:rPr>
        <w:t>U=</w:t>
      </w:r>
      <w:r w:rsidR="006D14E9">
        <w:rPr>
          <w:i/>
          <w:iCs/>
          <w:lang w:bidi="hi-IN"/>
        </w:rPr>
        <w:softHyphen/>
        <w:t>0.0004</w:t>
      </w:r>
      <w:r w:rsidR="006D14E9">
        <w:rPr>
          <w:lang w:bidi="hi-IN"/>
        </w:rPr>
        <w:t xml:space="preserve">, site-specific mutation rate </w:t>
      </w:r>
      <w:r w:rsidR="006D14E9">
        <w:rPr>
          <w:rFonts w:ascii="Times New Roman" w:hAnsi="Times New Roman" w:cs="Times New Roman"/>
          <w:i/>
          <w:iCs/>
          <w:lang w:bidi="hi-IN"/>
        </w:rPr>
        <w:t>µ</w:t>
      </w:r>
      <w:r w:rsidR="006D14E9">
        <w:rPr>
          <w:i/>
          <w:iCs/>
          <w:lang w:bidi="hi-IN"/>
        </w:rPr>
        <w:t>=U/5000</w:t>
      </w:r>
      <w:r w:rsidR="006D14E9">
        <w:rPr>
          <w:lang w:bidi="hi-IN"/>
        </w:rPr>
        <w:t xml:space="preserve">, selection coefficient </w:t>
      </w:r>
      <w:r w:rsidR="006D14E9">
        <w:rPr>
          <w:i/>
          <w:iCs/>
          <w:lang w:bidi="hi-IN"/>
        </w:rPr>
        <w:t>s=0.05</w:t>
      </w:r>
      <w:r w:rsidR="006D14E9">
        <w:rPr>
          <w:lang w:bidi="hi-IN"/>
        </w:rPr>
        <w:t xml:space="preserve">, double mutant advantage </w:t>
      </w:r>
      <w:r w:rsidR="006D14E9">
        <w:rPr>
          <w:i/>
          <w:iCs/>
          <w:lang w:bidi="hi-IN"/>
        </w:rPr>
        <w:t>H=2</w:t>
      </w:r>
      <w:r w:rsidR="006D14E9">
        <w:rPr>
          <w:lang w:bidi="hi-IN"/>
        </w:rPr>
        <w:t>.</w:t>
      </w:r>
    </w:p>
    <w:sectPr w:rsidR="009040D1" w:rsidRPr="006D14E9" w:rsidSect="00753267">
      <w:footerReference w:type="default" r:id="rId12"/>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6A4" w:rsidRDefault="008566A4" w:rsidP="009A122D">
      <w:pPr>
        <w:spacing w:after="0" w:line="240" w:lineRule="auto"/>
      </w:pPr>
      <w:r>
        <w:separator/>
      </w:r>
    </w:p>
  </w:endnote>
  <w:endnote w:type="continuationSeparator" w:id="0">
    <w:p w:rsidR="008566A4" w:rsidRDefault="008566A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1B0BB37-9CF9-491B-813B-231089E21D04}"/>
    <w:embedBold r:id="rId2" w:fontKey="{A466D3FF-8267-4988-8315-D65179288725}"/>
    <w:embedItalic r:id="rId3" w:fontKey="{C4A0306F-AF50-4207-82C6-B52558264F58}"/>
    <w:embedBoldItalic r:id="rId4" w:fontKey="{26BDD731-AA9D-4B18-9F80-7D05951F1422}"/>
  </w:font>
  <w:font w:name="Tahoma">
    <w:panose1 w:val="020B0604030504040204"/>
    <w:charset w:val="00"/>
    <w:family w:val="swiss"/>
    <w:pitch w:val="variable"/>
    <w:sig w:usb0="E1002EFF" w:usb1="C000605B" w:usb2="00000029" w:usb3="00000000" w:csb0="000101FF" w:csb1="00000000"/>
    <w:embedRegular r:id="rId5" w:fontKey="{8906C9B5-49F2-4793-B1E6-67BA1C2E8F53}"/>
  </w:font>
  <w:font w:name="cmr10">
    <w:panose1 w:val="020B0500000000000000"/>
    <w:charset w:val="00"/>
    <w:family w:val="swiss"/>
    <w:pitch w:val="variable"/>
    <w:sig w:usb0="00000003" w:usb1="00000000" w:usb2="00000000" w:usb3="00000000" w:csb0="00000001" w:csb1="00000000"/>
    <w:embedRegular r:id="rId6" w:fontKey="{91D9C620-608B-459F-868C-C0679EB894ED}"/>
  </w:font>
  <w:font w:name="Cambria Math">
    <w:panose1 w:val="02040503050406030204"/>
    <w:charset w:val="00"/>
    <w:family w:val="roman"/>
    <w:pitch w:val="variable"/>
    <w:sig w:usb0="E00002FF" w:usb1="420024FF" w:usb2="00000000" w:usb3="00000000" w:csb0="0000019F" w:csb1="00000000"/>
    <w:embedRegular r:id="rId7" w:fontKey="{BA5C3B05-80CB-4338-A423-5CA823F8259B}"/>
    <w:embedItalic r:id="rId8" w:fontKey="{8DACB55E-8610-4028-94D4-9A2DA4D4123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F1227" w:rsidRDefault="005F1227">
        <w:pPr>
          <w:pStyle w:val="Footer"/>
          <w:jc w:val="center"/>
        </w:pPr>
        <w:r>
          <w:fldChar w:fldCharType="begin"/>
        </w:r>
        <w:r>
          <w:instrText xml:space="preserve"> PAGE   \* MERGEFORMAT </w:instrText>
        </w:r>
        <w:r>
          <w:fldChar w:fldCharType="separate"/>
        </w:r>
        <w:r w:rsidR="005202A0">
          <w:rPr>
            <w:noProof/>
          </w:rPr>
          <w:t>11</w:t>
        </w:r>
        <w:r>
          <w:rPr>
            <w:noProof/>
          </w:rPr>
          <w:fldChar w:fldCharType="end"/>
        </w:r>
      </w:p>
    </w:sdtContent>
  </w:sdt>
  <w:p w:rsidR="005F1227" w:rsidRDefault="005F12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6A4" w:rsidRDefault="008566A4" w:rsidP="009A122D">
      <w:pPr>
        <w:spacing w:after="0" w:line="240" w:lineRule="auto"/>
      </w:pPr>
      <w:r>
        <w:separator/>
      </w:r>
    </w:p>
  </w:footnote>
  <w:footnote w:type="continuationSeparator" w:id="0">
    <w:p w:rsidR="008566A4" w:rsidRDefault="008566A4" w:rsidP="009A122D">
      <w:pPr>
        <w:spacing w:after="0" w:line="240" w:lineRule="auto"/>
      </w:pPr>
      <w:r>
        <w:continuationSeparator/>
      </w:r>
    </w:p>
  </w:footnote>
  <w:footnote w:id="1">
    <w:p w:rsidR="005F1227" w:rsidRDefault="005F1227" w:rsidP="005F1227">
      <w:pPr>
        <w:pStyle w:val="FootnoteText"/>
      </w:pPr>
      <w:r>
        <w:rPr>
          <w:rStyle w:val="FootnoteReference"/>
        </w:rPr>
        <w:footnoteRef/>
      </w:r>
      <w:r>
        <w:t xml:space="preserve"> </w:t>
      </w:r>
      <w:r>
        <w:rPr>
          <w:rFonts w:eastAsiaTheme="minorEastAsia"/>
          <w:lang w:bidi="hi-IN"/>
        </w:rPr>
        <w:t xml:space="preserve">A star </w:t>
      </w:r>
      <w:r w:rsidRPr="005F1227">
        <w:rPr>
          <w:rFonts w:eastAsiaTheme="minorEastAsia"/>
          <w:i/>
          <w:iCs/>
          <w:lang w:bidi="hi-IN"/>
        </w:rPr>
        <w:t>*</w:t>
      </w:r>
      <w:r>
        <w:rPr>
          <w:rFonts w:eastAsiaTheme="minorEastAsia"/>
          <w:lang w:bidi="hi-IN"/>
        </w:rPr>
        <w:t xml:space="preserve"> denotes equilibrium values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10EC0"/>
    <w:rsid w:val="00042C46"/>
    <w:rsid w:val="000545AB"/>
    <w:rsid w:val="0008670D"/>
    <w:rsid w:val="000C6518"/>
    <w:rsid w:val="000D56CE"/>
    <w:rsid w:val="000E60A3"/>
    <w:rsid w:val="00101FCD"/>
    <w:rsid w:val="001033CA"/>
    <w:rsid w:val="00125157"/>
    <w:rsid w:val="001307C7"/>
    <w:rsid w:val="001910E3"/>
    <w:rsid w:val="001C455A"/>
    <w:rsid w:val="001F5496"/>
    <w:rsid w:val="002135AE"/>
    <w:rsid w:val="0021470E"/>
    <w:rsid w:val="00245A8B"/>
    <w:rsid w:val="002630C5"/>
    <w:rsid w:val="00275A3C"/>
    <w:rsid w:val="002B1207"/>
    <w:rsid w:val="002D7506"/>
    <w:rsid w:val="00354774"/>
    <w:rsid w:val="00373875"/>
    <w:rsid w:val="003D42F5"/>
    <w:rsid w:val="003D4900"/>
    <w:rsid w:val="003F5091"/>
    <w:rsid w:val="00401E4A"/>
    <w:rsid w:val="0046652F"/>
    <w:rsid w:val="004A2989"/>
    <w:rsid w:val="005202A0"/>
    <w:rsid w:val="00544FA2"/>
    <w:rsid w:val="005515F1"/>
    <w:rsid w:val="00563FAB"/>
    <w:rsid w:val="00564668"/>
    <w:rsid w:val="005A2F68"/>
    <w:rsid w:val="005E3A59"/>
    <w:rsid w:val="005F1227"/>
    <w:rsid w:val="00607B56"/>
    <w:rsid w:val="00625517"/>
    <w:rsid w:val="006C02DB"/>
    <w:rsid w:val="006D14E9"/>
    <w:rsid w:val="00753267"/>
    <w:rsid w:val="007E25F3"/>
    <w:rsid w:val="007E6659"/>
    <w:rsid w:val="008566A4"/>
    <w:rsid w:val="009040D1"/>
    <w:rsid w:val="00925154"/>
    <w:rsid w:val="00932C9B"/>
    <w:rsid w:val="009A122D"/>
    <w:rsid w:val="00A03104"/>
    <w:rsid w:val="00A70358"/>
    <w:rsid w:val="00A9277F"/>
    <w:rsid w:val="00AB0448"/>
    <w:rsid w:val="00AC498F"/>
    <w:rsid w:val="00AC687F"/>
    <w:rsid w:val="00B10C13"/>
    <w:rsid w:val="00B5286A"/>
    <w:rsid w:val="00B72912"/>
    <w:rsid w:val="00B82D73"/>
    <w:rsid w:val="00B85CA4"/>
    <w:rsid w:val="00B86C28"/>
    <w:rsid w:val="00B96911"/>
    <w:rsid w:val="00BA6231"/>
    <w:rsid w:val="00BF2DDC"/>
    <w:rsid w:val="00C2360B"/>
    <w:rsid w:val="00C555BC"/>
    <w:rsid w:val="00D3522A"/>
    <w:rsid w:val="00D40F2C"/>
    <w:rsid w:val="00D82F82"/>
    <w:rsid w:val="00DB72B7"/>
    <w:rsid w:val="00DE1C4B"/>
    <w:rsid w:val="00E466DE"/>
    <w:rsid w:val="00EA4F71"/>
    <w:rsid w:val="00EB3214"/>
    <w:rsid w:val="00EB5020"/>
    <w:rsid w:val="00F27D77"/>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6B2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6B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AAB89-BAA2-47E0-80EC-55FA2CE41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12</Pages>
  <Words>16355</Words>
  <Characters>81780</Characters>
  <Application>Microsoft Office Word</Application>
  <DocSecurity>0</DocSecurity>
  <Lines>681</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39</cp:revision>
  <dcterms:created xsi:type="dcterms:W3CDTF">2013-06-18T10:07:00Z</dcterms:created>
  <dcterms:modified xsi:type="dcterms:W3CDTF">2013-06-23T08:58:00Z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