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430A5A" w:rsidRDefault="00D5184D" w:rsidP="00121E76">
      <w:pPr>
        <w:pStyle w:val="Title"/>
        <w:spacing w:line="480" w:lineRule="auto"/>
        <w:ind w:firstLine="284"/>
        <w:jc w:val="center"/>
        <w:rPr>
          <w:sz w:val="36"/>
          <w:szCs w:val="28"/>
        </w:rPr>
      </w:pPr>
      <w:r w:rsidRPr="00430A5A">
        <w:rPr>
          <w:sz w:val="36"/>
          <w:szCs w:val="28"/>
        </w:rPr>
        <w:softHyphen/>
        <w:t>Stress-Induced Mutagenesis and Complex Adaptation</w:t>
      </w:r>
    </w:p>
    <w:p w:rsidR="002630C5" w:rsidRPr="00430A5A" w:rsidRDefault="002630C5" w:rsidP="00121E76">
      <w:pPr>
        <w:pStyle w:val="Subtitle"/>
        <w:spacing w:line="480" w:lineRule="auto"/>
        <w:ind w:firstLine="284"/>
        <w:jc w:val="center"/>
      </w:pPr>
      <w:proofErr w:type="spellStart"/>
      <w:r w:rsidRPr="00430A5A">
        <w:t>Yoav</w:t>
      </w:r>
      <w:proofErr w:type="spellEnd"/>
      <w:r w:rsidRPr="00430A5A">
        <w:t xml:space="preserve"> Ram and </w:t>
      </w:r>
      <w:proofErr w:type="spellStart"/>
      <w:r w:rsidRPr="00430A5A">
        <w:t>Lilach</w:t>
      </w:r>
      <w:proofErr w:type="spellEnd"/>
      <w:r w:rsidRPr="00430A5A">
        <w:t xml:space="preserve"> </w:t>
      </w:r>
      <w:proofErr w:type="spellStart"/>
      <w:r w:rsidRPr="00430A5A">
        <w:t>Hadany</w:t>
      </w:r>
      <w:proofErr w:type="spellEnd"/>
    </w:p>
    <w:p w:rsidR="0038310A" w:rsidRPr="00430A5A" w:rsidRDefault="0038310A" w:rsidP="00121E76">
      <w:pPr>
        <w:spacing w:line="480" w:lineRule="auto"/>
        <w:ind w:firstLine="284"/>
        <w:rPr>
          <w:rFonts w:ascii="Times New Roman" w:hAnsi="Times New Roman" w:cs="Times New Roman"/>
          <w:sz w:val="24"/>
          <w:szCs w:val="24"/>
        </w:rPr>
      </w:pPr>
    </w:p>
    <w:p w:rsidR="00CA14DA" w:rsidRDefault="0038310A" w:rsidP="00463A59">
      <w:pPr>
        <w:spacing w:line="480" w:lineRule="auto"/>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463A59" w:rsidP="00121E76">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sidR="00CA14DA">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463A59">
      <w:pPr>
        <w:spacing w:line="480" w:lineRule="auto"/>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463A59" w:rsidRDefault="002630C5" w:rsidP="00463A59">
      <w:pPr>
        <w:spacing w:line="480" w:lineRule="auto"/>
        <w:ind w:firstLine="284"/>
        <w:rPr>
          <w:lang w:bidi="hi-IN"/>
        </w:rPr>
      </w:pPr>
      <w:r>
        <w:rPr>
          <w:lang w:bidi="hi-IN"/>
        </w:rPr>
        <w:t>Tel-Aviv 69978, Israel</w:t>
      </w:r>
      <w:r w:rsidR="0038310A">
        <w:rPr>
          <w:lang w:bidi="hi-IN"/>
        </w:rPr>
        <w:t>. Tel. +972.3.640.6886</w:t>
      </w:r>
    </w:p>
    <w:p w:rsidR="0092329E" w:rsidRPr="0092329E" w:rsidRDefault="0092329E" w:rsidP="00463A59">
      <w:pPr>
        <w:spacing w:line="480" w:lineRule="auto"/>
        <w:rPr>
          <w:lang w:bidi="hi-IN"/>
        </w:rPr>
      </w:pPr>
      <w:r>
        <w:rPr>
          <w:b/>
          <w:bCs/>
          <w:lang w:bidi="hi-IN"/>
        </w:rPr>
        <w:t>Date:</w:t>
      </w:r>
      <w:r>
        <w:rPr>
          <w:lang w:bidi="hi-IN"/>
        </w:rPr>
        <w:t xml:space="preserve"> 14 July 2014</w:t>
      </w:r>
    </w:p>
    <w:p w:rsidR="00347C94" w:rsidRDefault="00347C94" w:rsidP="00463A59">
      <w:pPr>
        <w:spacing w:line="480" w:lineRule="auto"/>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sidR="00463A59">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121E76">
      <w:pPr>
        <w:spacing w:line="480" w:lineRule="auto"/>
        <w:rPr>
          <w:lang w:bidi="hi-IN"/>
        </w:rPr>
      </w:pPr>
      <w:r>
        <w:rPr>
          <w:lang w:bidi="hi-IN"/>
        </w:rPr>
        <w:br w:type="page"/>
      </w:r>
    </w:p>
    <w:p w:rsidR="003757EA" w:rsidRDefault="002C7209" w:rsidP="00121E76">
      <w:pPr>
        <w:pStyle w:val="Heading1"/>
        <w:keepLines w:val="0"/>
        <w:numPr>
          <w:ilvl w:val="0"/>
          <w:numId w:val="0"/>
        </w:numPr>
        <w:tabs>
          <w:tab w:val="left" w:pos="482"/>
        </w:tabs>
        <w:spacing w:after="180" w:line="480" w:lineRule="auto"/>
        <w:jc w:val="both"/>
      </w:pPr>
      <w:r>
        <w:lastRenderedPageBreak/>
        <w:t>Summary</w:t>
      </w:r>
    </w:p>
    <w:p w:rsidR="00961941" w:rsidRDefault="00C22795" w:rsidP="00121E7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121E76">
      <w:pPr>
        <w:spacing w:line="480" w:lineRule="auto"/>
      </w:pPr>
      <w:r>
        <w:br w:type="page"/>
      </w:r>
    </w:p>
    <w:p w:rsidR="00625517" w:rsidRDefault="00625517" w:rsidP="00121E76">
      <w:pPr>
        <w:pStyle w:val="Heading1"/>
        <w:keepLines w:val="0"/>
        <w:tabs>
          <w:tab w:val="left" w:pos="482"/>
        </w:tabs>
        <w:spacing w:after="180" w:line="480" w:lineRule="auto"/>
        <w:ind w:left="0" w:firstLine="0"/>
        <w:jc w:val="both"/>
      </w:pPr>
      <w:r>
        <w:lastRenderedPageBreak/>
        <w:t>Introduction</w:t>
      </w:r>
    </w:p>
    <w:p w:rsidR="00F63FED" w:rsidRDefault="001307C7" w:rsidP="00121E7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121E7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121E7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121E7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121E7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121E7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121E7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121E7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121E7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121E7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121E7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121E7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121E7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121E7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121E7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121E7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121E76">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121E7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121E7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121E7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121E7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121E7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121E7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121E7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121E7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121E7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121E7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121E7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121E7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121E7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121E7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121E7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121E7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121E76">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121E7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121E7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121E76">
      <w:pPr>
        <w:spacing w:line="480" w:lineRule="auto"/>
        <w:rPr>
          <w:lang w:bidi="hi-IN"/>
        </w:rPr>
      </w:pPr>
    </w:p>
    <w:p w:rsidR="00CD3F78" w:rsidRDefault="002D7AB0" w:rsidP="00121E76">
      <w:pPr>
        <w:pStyle w:val="FigureLegend"/>
        <w:spacing w:line="480" w:lineRule="auto"/>
        <w:rPr>
          <w:b/>
          <w:bCs/>
          <w:sz w:val="20"/>
          <w:szCs w:val="20"/>
        </w:rPr>
      </w:pPr>
      <w:bookmarkStart w:id="1" w:name="_Ref354316371"/>
      <w:r w:rsidRPr="00121E76">
        <w:rPr>
          <w:b/>
          <w:bCs/>
          <w:noProof/>
          <w:sz w:val="20"/>
          <w:szCs w:val="20"/>
        </w:rPr>
        <w:lastRenderedPageBreak/>
        <w:drawing>
          <wp:inline distT="0" distB="0" distL="0" distR="0" wp14:anchorId="431B3D6D" wp14:editId="071043E9">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121E76">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r w:rsidR="002D7AB0">
        <w:rPr>
          <w:sz w:val="20"/>
          <w:szCs w:val="20"/>
        </w:rPr>
        <w:t xml:space="preserve"> (genotypes are jittered to increase separation)</w:t>
      </w:r>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121E7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121E76">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121E7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121E76">
            <w:pPr>
              <w:spacing w:line="480" w:lineRule="auto"/>
            </w:pPr>
            <w:bookmarkStart w:id="2" w:name="_Ref374443384"/>
            <w:bookmarkStart w:id="3"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2"/>
            <w:r w:rsidRPr="00BA2B02">
              <w:t>)</w:t>
            </w:r>
            <w:bookmarkEnd w:id="3"/>
          </w:p>
        </w:tc>
      </w:tr>
    </w:tbl>
    <w:p w:rsidR="005316EE" w:rsidRDefault="005316EE" w:rsidP="00121E7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121E7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lastRenderedPageBreak/>
        <w:t>either goes</w:t>
      </w:r>
      <w:proofErr w:type="gramEnd"/>
      <w:r>
        <w:t xml:space="preserve"> to extinction or avoids extinction, increases in frequency, and goes to fixation. </w:t>
      </w:r>
    </w:p>
    <w:p w:rsidR="005316EE" w:rsidRDefault="005316EE" w:rsidP="00121E7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121E7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121E76">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121E76">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121E76">
      <w:pPr>
        <w:pStyle w:val="Heading2"/>
        <w:spacing w:line="480" w:lineRule="auto"/>
      </w:pPr>
      <w:r>
        <w:t>Wright-Fisher simulations</w:t>
      </w:r>
    </w:p>
    <w:p w:rsidR="005316EE" w:rsidRPr="00020A87" w:rsidRDefault="005316EE" w:rsidP="00121E76">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w:t>
      </w:r>
      <w:r w:rsidRPr="00020A87">
        <w:lastRenderedPageBreak/>
        <w:t xml:space="preserve">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121E7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121E76">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121E76">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121E76">
      <w:pPr>
        <w:pStyle w:val="Heading1"/>
        <w:spacing w:line="480" w:lineRule="auto"/>
        <w:rPr>
          <w:lang w:bidi="hi-IN"/>
        </w:rPr>
      </w:pPr>
      <w:r w:rsidRPr="00BA2B02">
        <w:rPr>
          <w:lang w:bidi="hi-IN"/>
        </w:rPr>
        <w:t>Results</w:t>
      </w:r>
    </w:p>
    <w:p w:rsidR="005316EE" w:rsidRDefault="00DD0EC1" w:rsidP="00121E76">
      <w:pPr>
        <w:pStyle w:val="Heading2"/>
        <w:spacing w:line="480" w:lineRule="auto"/>
      </w:pPr>
      <w:r>
        <w:softHyphen/>
      </w:r>
      <w:r>
        <w:softHyphen/>
      </w:r>
      <w:r>
        <w:softHyphen/>
      </w:r>
      <w:r>
        <w:softHyphen/>
      </w:r>
      <w:r w:rsidR="005316EE">
        <w:t>Appearance of a double mutant</w:t>
      </w:r>
    </w:p>
    <w:p w:rsidR="005316EE" w:rsidRDefault="005316EE" w:rsidP="00121E7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121E76">
      <w:pPr>
        <w:spacing w:after="0" w:line="480" w:lineRule="auto"/>
        <w:jc w:val="both"/>
      </w:pPr>
      <w:r>
        <w:lastRenderedPageBreak/>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121E7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121E7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121E76">
            <w:pPr>
              <w:spacing w:line="480" w:lineRule="auto"/>
            </w:pPr>
            <w:bookmarkStart w:id="4" w:name="_Ref378231031"/>
            <w:bookmarkStart w:id="5"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4"/>
            <w:r w:rsidRPr="00BA2B02">
              <w:t>)</w:t>
            </w:r>
            <w:bookmarkEnd w:id="5"/>
          </w:p>
        </w:tc>
      </w:tr>
    </w:tbl>
    <w:p w:rsidR="005316EE" w:rsidRDefault="005316EE" w:rsidP="00121E7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121E7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121E76">
            <w:pPr>
              <w:spacing w:line="480" w:lineRule="auto"/>
            </w:pPr>
            <w:bookmarkStart w:id="6"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6"/>
          </w:p>
        </w:tc>
      </w:tr>
    </w:tbl>
    <w:p w:rsidR="005316EE" w:rsidRDefault="005316EE" w:rsidP="00121E7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121E76">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121E76">
      <w:pPr>
        <w:pStyle w:val="Heading2"/>
        <w:spacing w:line="480" w:lineRule="auto"/>
      </w:pPr>
      <w:bookmarkStart w:id="7" w:name="_Ref354319797"/>
      <w:r>
        <w:t xml:space="preserve">Fixation probability </w:t>
      </w:r>
      <w:bookmarkEnd w:id="7"/>
      <w:r>
        <w:t>of the double mutant</w:t>
      </w:r>
    </w:p>
    <w:p w:rsidR="005316EE" w:rsidRPr="005447DA" w:rsidRDefault="005316EE" w:rsidP="00121E7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121E7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121E76">
            <w:pPr>
              <w:spacing w:line="480" w:lineRule="auto"/>
            </w:pPr>
            <w:bookmarkStart w:id="8"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8"/>
            <w:r>
              <w:t>)</w:t>
            </w:r>
          </w:p>
        </w:tc>
      </w:tr>
    </w:tbl>
    <w:p w:rsidR="005316EE" w:rsidRDefault="005316EE" w:rsidP="00121E76">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121E7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121E7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121E76">
      <w:pPr>
        <w:pStyle w:val="Heading2"/>
        <w:spacing w:line="480" w:lineRule="auto"/>
      </w:pPr>
      <w:r>
        <w:t>Adaptation rate</w:t>
      </w:r>
      <w:bookmarkEnd w:id="9"/>
    </w:p>
    <w:p w:rsidR="005316EE" w:rsidRPr="000448EE" w:rsidRDefault="005316EE" w:rsidP="00121E76">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121E76">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w:t>
      </w:r>
      <w:r w:rsidR="005316EE" w:rsidRPr="00CB2F61">
        <w:lastRenderedPageBreak/>
        <w:t xml:space="preserve">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121E76">
            <w:pPr>
              <w:spacing w:line="480" w:lineRule="auto"/>
            </w:pPr>
            <w:bookmarkStart w:id="10"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
            <w:r>
              <w:t>)</w:t>
            </w:r>
          </w:p>
        </w:tc>
      </w:tr>
    </w:tbl>
    <w:p w:rsidR="005316EE" w:rsidRDefault="005316EE" w:rsidP="00121E76">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121E7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121E7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121E76">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121E76">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121E7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121E7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121E76">
      <w:pPr>
        <w:spacing w:after="200" w:line="480" w:lineRule="auto"/>
        <w:rPr>
          <w:lang w:bidi="hi-IN"/>
        </w:rPr>
      </w:pPr>
      <w:r>
        <w:rPr>
          <w:lang w:bidi="hi-IN"/>
        </w:rPr>
        <w:br w:type="page"/>
      </w:r>
    </w:p>
    <w:p w:rsidR="00CD3F78" w:rsidRDefault="00CD3F78" w:rsidP="00121E76">
      <w:pPr>
        <w:pStyle w:val="FigureLegend"/>
        <w:spacing w:line="480" w:lineRule="auto"/>
        <w:rPr>
          <w:b/>
          <w:bCs/>
          <w:sz w:val="20"/>
          <w:szCs w:val="20"/>
        </w:rPr>
      </w:pPr>
      <w:r>
        <w:rPr>
          <w:b/>
          <w:bCs/>
          <w:noProof/>
          <w:sz w:val="20"/>
          <w:szCs w:val="20"/>
        </w:rPr>
        <w:lastRenderedPageBreak/>
        <w:drawing>
          <wp:inline distT="0" distB="0" distL="0" distR="0" wp14:anchorId="79F1E5EE" wp14:editId="500ECEB3">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121E76">
      <w:pPr>
        <w:pStyle w:val="FigureLegend"/>
        <w:spacing w:line="480" w:lineRule="auto"/>
        <w:jc w:val="left"/>
        <w:rPr>
          <w:sz w:val="20"/>
          <w:szCs w:val="20"/>
        </w:rPr>
      </w:pPr>
      <w:bookmarkStart w:id="11"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1"/>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p>
    <w:p w:rsidR="00CD3F78" w:rsidRDefault="00CD3F78" w:rsidP="00121E76">
      <w:pPr>
        <w:spacing w:after="200" w:line="480" w:lineRule="auto"/>
        <w:rPr>
          <w:sz w:val="20"/>
          <w:szCs w:val="20"/>
        </w:rPr>
      </w:pPr>
      <w:r>
        <w:rPr>
          <w:sz w:val="20"/>
          <w:szCs w:val="20"/>
        </w:rPr>
        <w:br w:type="page"/>
      </w:r>
    </w:p>
    <w:p w:rsidR="005316EE" w:rsidRDefault="005316EE" w:rsidP="00121E76">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121E76">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121E76">
      <w:pPr>
        <w:spacing w:after="200" w:line="480" w:lineRule="auto"/>
      </w:pPr>
      <w:r>
        <w:br w:type="page"/>
      </w:r>
    </w:p>
    <w:p w:rsidR="0080478F" w:rsidRDefault="006E3084" w:rsidP="00121E76">
      <w:pPr>
        <w:keepNext/>
        <w:spacing w:line="480" w:lineRule="auto"/>
        <w:jc w:val="center"/>
      </w:pPr>
      <w:r>
        <w:rPr>
          <w:noProof/>
        </w:rPr>
        <w:lastRenderedPageBreak/>
        <w:drawing>
          <wp:inline distT="0" distB="0" distL="0" distR="0" wp14:anchorId="631C90CD" wp14:editId="59EBF844">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80478F" w:rsidRPr="00886250" w:rsidRDefault="0080478F" w:rsidP="00121E76">
      <w:pPr>
        <w:spacing w:line="480" w:lineRule="auto"/>
        <w:rPr>
          <w:noProof/>
          <w:sz w:val="20"/>
          <w:szCs w:val="20"/>
        </w:rPr>
      </w:pPr>
      <w:bookmarkStart w:id="12"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2"/>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r w:rsidRPr="00886250">
        <w:rPr>
          <w:sz w:val="20"/>
          <w:szCs w:val="20"/>
        </w:rPr>
        <w:t>.</w:t>
      </w:r>
      <w:r w:rsidRPr="00886250">
        <w:rPr>
          <w:noProof/>
          <w:sz w:val="20"/>
          <w:szCs w:val="20"/>
        </w:rPr>
        <w:t xml:space="preserve"> </w:t>
      </w:r>
    </w:p>
    <w:p w:rsidR="005316EE" w:rsidRPr="006418C7" w:rsidRDefault="005316EE" w:rsidP="00121E76">
      <w:pPr>
        <w:spacing w:line="480" w:lineRule="auto"/>
      </w:pPr>
    </w:p>
    <w:p w:rsidR="005316EE" w:rsidRDefault="005316EE" w:rsidP="00121E76">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121E7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121E7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121E7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Appendix D.</w:t>
      </w:r>
    </w:p>
    <w:p w:rsidR="005316EE" w:rsidRPr="005950EE" w:rsidRDefault="00DD7A57" w:rsidP="00121E7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121E7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121E76">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121E7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121E76">
      <w:pPr>
        <w:spacing w:after="200" w:line="480" w:lineRule="auto"/>
        <w:rPr>
          <w:lang w:bidi="hi-IN"/>
        </w:rPr>
      </w:pPr>
      <w:r>
        <w:rPr>
          <w:lang w:bidi="hi-IN"/>
        </w:rPr>
        <w:br w:type="page"/>
      </w:r>
    </w:p>
    <w:p w:rsidR="00CD3F78" w:rsidRPr="00733307" w:rsidRDefault="00CD3F78" w:rsidP="00121E76">
      <w:pPr>
        <w:spacing w:line="480" w:lineRule="auto"/>
        <w:jc w:val="center"/>
        <w:rPr>
          <w:sz w:val="20"/>
          <w:szCs w:val="20"/>
        </w:rPr>
      </w:pPr>
      <w:r>
        <w:rPr>
          <w:noProof/>
          <w:sz w:val="20"/>
          <w:szCs w:val="20"/>
        </w:rPr>
        <w:lastRenderedPageBreak/>
        <w:drawing>
          <wp:inline distT="0" distB="0" distL="0" distR="0" wp14:anchorId="0139CF46" wp14:editId="21D17045">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121E76">
      <w:pPr>
        <w:pStyle w:val="FigureLegend"/>
        <w:spacing w:line="480" w:lineRule="auto"/>
        <w:jc w:val="left"/>
        <w:rPr>
          <w:rFonts w:eastAsiaTheme="minorEastAsia"/>
          <w:sz w:val="20"/>
          <w:szCs w:val="20"/>
          <w:lang w:bidi="hi-IN"/>
        </w:rPr>
      </w:pPr>
      <w:bookmarkStart w:id="13"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121E76">
      <w:pPr>
        <w:spacing w:line="480" w:lineRule="auto"/>
        <w:rPr>
          <w:lang w:bidi="hi-IN"/>
        </w:rPr>
      </w:pPr>
    </w:p>
    <w:p w:rsidR="005316EE" w:rsidRPr="00AB4B01" w:rsidRDefault="005316EE" w:rsidP="00121E76">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121E7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121E76">
      <w:pPr>
        <w:pStyle w:val="Heading2"/>
        <w:spacing w:line="480" w:lineRule="auto"/>
      </w:pPr>
      <w:r w:rsidRPr="00BA2B02">
        <w:t>Environmental stress</w:t>
      </w:r>
    </w:p>
    <w:p w:rsidR="005316EE" w:rsidRPr="00BA2B02" w:rsidRDefault="005316EE" w:rsidP="00121E7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121E76">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121E7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2329E" w:rsidP="00121E7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121E76">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121E76">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121E7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121E76">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"[51]" }, "properties" : { "noteIndex" : 0 }, "schema" : "https://github.com/citation-style-language/schema/raw/master/csl-citation.json" }</w:instrText>
      </w:r>
      <w:r w:rsidR="00A328A2">
        <w:fldChar w:fldCharType="separate"/>
      </w:r>
      <w:r w:rsidR="00A328A2" w:rsidRPr="00A328A2">
        <w:rPr>
          <w:noProof/>
        </w:rPr>
        <w:t>[51]</w:t>
      </w:r>
      <w:r w:rsidR="00A328A2">
        <w:fldChar w:fldCharType="end"/>
      </w:r>
      <w:r w:rsidR="004E017A">
        <w:t>.</w:t>
      </w:r>
    </w:p>
    <w:p w:rsidR="005316EE" w:rsidRPr="00042973" w:rsidRDefault="00703925" w:rsidP="00121E7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121E7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2329E" w:rsidP="00121E7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121E76">
            <w:pPr>
              <w:spacing w:line="480" w:lineRule="auto"/>
            </w:pPr>
            <w:bookmarkStart w:id="14"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4"/>
          </w:p>
        </w:tc>
      </w:tr>
    </w:tbl>
    <w:p w:rsidR="005316EE" w:rsidRPr="008F3447" w:rsidRDefault="00A7180F" w:rsidP="00121E76">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121E76">
            <w:pPr>
              <w:spacing w:line="480" w:lineRule="auto"/>
            </w:pPr>
            <w:bookmarkStart w:id="15"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5"/>
          </w:p>
        </w:tc>
      </w:tr>
    </w:tbl>
    <w:p w:rsidR="005316EE" w:rsidRPr="000448EE" w:rsidRDefault="005316EE" w:rsidP="00121E7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121E76">
      <w:pPr>
        <w:pStyle w:val="Heading1"/>
        <w:spacing w:line="480" w:lineRule="auto"/>
        <w:rPr>
          <w:lang w:bidi="hi-IN"/>
        </w:rPr>
      </w:pPr>
      <w:r>
        <w:rPr>
          <w:lang w:bidi="hi-IN"/>
        </w:rPr>
        <w:t>Discussion</w:t>
      </w:r>
    </w:p>
    <w:p w:rsidR="00004B35" w:rsidRDefault="00004B35" w:rsidP="00121E7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121E7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121E7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w:t>
      </w:r>
      <w:r w:rsidR="00CE78D0">
        <w:rPr>
          <w:lang w:bidi="hi-IN"/>
        </w:rPr>
        <w:lastRenderedPageBreak/>
        <w:t>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121E7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"[52]"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[52]</w:t>
      </w:r>
      <w:r w:rsidR="00616194" w:rsidRPr="00BA2B02">
        <w:rPr>
          <w:lang w:bidi="hi-IN"/>
        </w:rPr>
        <w:fldChar w:fldCharType="end"/>
      </w:r>
      <w:r w:rsidR="00CE78D0" w:rsidRPr="00BA2B02">
        <w:rPr>
          <w:lang w:bidi="hi-IN"/>
        </w:rPr>
        <w:t>.</w:t>
      </w:r>
    </w:p>
    <w:p w:rsidR="00D84632" w:rsidRPr="00BA2B02" w:rsidRDefault="00A67023" w:rsidP="00121E7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121E7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"[53]"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[53]</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121E7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"[54\u201357]"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[54–57]</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121E7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121E7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 xml:space="preserve">an </w:t>
      </w:r>
      <w:r w:rsidR="008A6B5D" w:rsidRPr="00BA2B02">
        <w:rPr>
          <w:lang w:bidi="hi-IN"/>
        </w:rPr>
        <w:lastRenderedPageBreak/>
        <w:t>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121E7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121E7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"[58]"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[58]</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121E7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121E7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Appendix F</w:t>
      </w:r>
      <w:r w:rsidR="00396506">
        <w:rPr>
          <w:lang w:bidi="hi-IN"/>
        </w:rPr>
        <w:t>)</w:t>
      </w:r>
      <w:r w:rsidR="00D76319" w:rsidRPr="00BA2B02">
        <w:rPr>
          <w:lang w:bidi="hi-IN"/>
        </w:rPr>
        <w:t>.</w:t>
      </w:r>
    </w:p>
    <w:p w:rsidR="00616194" w:rsidRDefault="00B37F95" w:rsidP="00121E7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121E7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121E7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"[59\u201361]" }, "properties" : { "noteIndex" : 0 }, "schema" : "https://github.com/citation-style-language/schema/raw/master/csl-citation.json" }</w:instrText>
      </w:r>
      <w:r w:rsidR="00616194">
        <w:rPr>
          <w:lang w:bidi="hi-IN"/>
        </w:rPr>
        <w:fldChar w:fldCharType="separate"/>
      </w:r>
      <w:r w:rsidR="00A328A2" w:rsidRPr="00A328A2">
        <w:rPr>
          <w:noProof/>
          <w:lang w:bidi="hi-IN"/>
        </w:rPr>
        <w:t>[59–61]</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121E7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"[62\u201365]"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[62–65]</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121E7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"[66]"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[66]</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121E7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"[67]"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[67]</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121E7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"[68]"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[68]</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121E7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"[69]"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[69]</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121E76">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"[70]" }, "properties" : { "noteIndex" : 0 }, "schema" : "https://github.com/citation-style-language/schema/raw/master/csl-citation.json" }</w:instrText>
      </w:r>
      <w:r w:rsidR="00616194">
        <w:rPr>
          <w:lang w:bidi="hi-IN"/>
        </w:rPr>
        <w:fldChar w:fldCharType="separate"/>
      </w:r>
      <w:r w:rsidR="00A328A2" w:rsidRPr="00A328A2">
        <w:rPr>
          <w:noProof/>
          <w:lang w:bidi="hi-IN"/>
        </w:rPr>
        <w:t>[70]</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121E7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"[71]"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[71]</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121E7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lastRenderedPageBreak/>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121E7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121E7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121E7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"[72]" }, "properties" : { "noteIndex" : 0 }, "schema" : "https://github.com/citation-style-language/schema/raw/master/csl-citation.json" }</w:instrText>
      </w:r>
      <w:r w:rsidR="00616194" w:rsidRPr="00FB3C6B">
        <w:fldChar w:fldCharType="separate"/>
      </w:r>
      <w:r w:rsidR="00A328A2" w:rsidRPr="00A328A2">
        <w:rPr>
          <w:noProof/>
        </w:rPr>
        <w:t>[72]</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121E76">
      <w:pPr>
        <w:pStyle w:val="Heading2"/>
        <w:numPr>
          <w:ilvl w:val="0"/>
          <w:numId w:val="0"/>
        </w:numPr>
        <w:spacing w:line="480" w:lineRule="auto"/>
        <w:ind w:left="357" w:hanging="357"/>
      </w:pPr>
      <w:r w:rsidRPr="00FB3C6B">
        <w:t>Conclusions</w:t>
      </w:r>
    </w:p>
    <w:p w:rsidR="00DF6C0E" w:rsidRPr="008F3447" w:rsidRDefault="00DF6C0E" w:rsidP="00121E76">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121E7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"[17,33,73]" }, "properties" : { "noteIndex" : 0 }, "schema" : "https://github.com/citation-style-language/schema/raw/master/csl-citation.json" }</w:instrText>
      </w:r>
      <w:r w:rsidR="00616194">
        <w:rPr>
          <w:lang w:bidi="hi-IN"/>
        </w:rPr>
        <w:fldChar w:fldCharType="separate"/>
      </w:r>
      <w:r w:rsidR="00A328A2" w:rsidRPr="00A328A2">
        <w:rPr>
          <w:noProof/>
          <w:lang w:bidi="hi-IN"/>
        </w:rPr>
        <w:t>[17,33,73]</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121E76" w:rsidRDefault="00121E76">
      <w:pPr>
        <w:spacing w:after="200" w:line="276" w:lineRule="auto"/>
        <w:rPr>
          <w:rFonts w:asciiTheme="majorHAnsi" w:eastAsiaTheme="majorEastAsia" w:hAnsiTheme="majorHAnsi" w:cstheme="majorBidi"/>
          <w:bCs/>
          <w:color w:val="000000" w:themeColor="text2"/>
          <w:sz w:val="32"/>
          <w:szCs w:val="28"/>
        </w:rPr>
      </w:pPr>
      <w:r>
        <w:br w:type="page"/>
      </w:r>
    </w:p>
    <w:p w:rsidR="00F441B1" w:rsidRPr="008F3447" w:rsidRDefault="00F441B1" w:rsidP="00121E76">
      <w:pPr>
        <w:pStyle w:val="Heading1"/>
        <w:spacing w:line="480" w:lineRule="auto"/>
      </w:pPr>
      <w:r w:rsidRPr="008F3447">
        <w:lastRenderedPageBreak/>
        <w:t>Acknowledgments</w:t>
      </w:r>
    </w:p>
    <w:p w:rsidR="00F441B1" w:rsidRDefault="00F441B1" w:rsidP="00430A5A">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430A5A">
        <w:t xml:space="preserve"> </w:t>
      </w:r>
      <w:bookmarkStart w:id="16" w:name="_GoBack"/>
      <w:bookmarkEnd w:id="16"/>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121E76" w:rsidRDefault="00121E76" w:rsidP="00121E76">
      <w:pPr>
        <w:pStyle w:val="Heading1"/>
        <w:spacing w:line="480" w:lineRule="auto"/>
      </w:pPr>
      <w:bookmarkStart w:id="17" w:name="_Ref360530640"/>
      <w:bookmarkStart w:id="18" w:name="_Ref363980873"/>
      <w:r>
        <w:t>References</w:t>
      </w:r>
    </w:p>
    <w:p w:rsidR="00121E76" w:rsidRPr="00121E76" w:rsidRDefault="00121E76" w:rsidP="00121E76">
      <w:pPr>
        <w:pStyle w:val="NormalWeb"/>
        <w:ind w:left="640" w:hanging="640"/>
        <w:rPr>
          <w:rFonts w:ascii="Palatino Linotype" w:hAnsi="Palatino Linotype"/>
          <w:noProof/>
          <w:sz w:val="22"/>
        </w:rPr>
      </w:pPr>
      <w:r>
        <w:fldChar w:fldCharType="begin" w:fldLock="1"/>
      </w:r>
      <w:r>
        <w:instrText xml:space="preserve">ADDIN Mendeley Bibliography CSL_BIBLIOGRAPHY </w:instrText>
      </w:r>
      <w:r>
        <w:fldChar w:fldCharType="separate"/>
      </w:r>
      <w:r w:rsidRPr="00121E76">
        <w:rPr>
          <w:rFonts w:ascii="Palatino Linotype" w:hAnsi="Palatino Linotype"/>
          <w:noProof/>
          <w:sz w:val="22"/>
        </w:rPr>
        <w:t>1.</w:t>
      </w:r>
      <w:r w:rsidRPr="00121E76">
        <w:rPr>
          <w:rFonts w:ascii="Palatino Linotype" w:hAnsi="Palatino Linotype"/>
          <w:noProof/>
          <w:sz w:val="22"/>
        </w:rPr>
        <w:tab/>
        <w:t xml:space="preserve">Sniegowski, P. D., Gerrish, P. J., Johnson, T. &amp; Shaver, A. 2000 The evolution of mutation rates: separating causes from consequences. </w:t>
      </w:r>
      <w:r w:rsidRPr="00121E76">
        <w:rPr>
          <w:rFonts w:ascii="Palatino Linotype" w:hAnsi="Palatino Linotype"/>
          <w:i/>
          <w:iCs/>
          <w:noProof/>
          <w:sz w:val="22"/>
        </w:rPr>
        <w:t>BioEssays</w:t>
      </w:r>
      <w:r w:rsidRPr="00121E76">
        <w:rPr>
          <w:rFonts w:ascii="Palatino Linotype" w:hAnsi="Palatino Linotype"/>
          <w:noProof/>
          <w:sz w:val="22"/>
        </w:rPr>
        <w:t xml:space="preserve"> </w:t>
      </w:r>
      <w:r w:rsidRPr="00121E76">
        <w:rPr>
          <w:rFonts w:ascii="Palatino Linotype" w:hAnsi="Palatino Linotype"/>
          <w:b/>
          <w:bCs/>
          <w:noProof/>
          <w:sz w:val="22"/>
        </w:rPr>
        <w:t>22</w:t>
      </w:r>
      <w:r w:rsidRPr="00121E76">
        <w:rPr>
          <w:rFonts w:ascii="Palatino Linotype" w:hAnsi="Palatino Linotype"/>
          <w:noProof/>
          <w:sz w:val="22"/>
        </w:rPr>
        <w:t>, 1057–66. (doi:10.1002/1521-1878(200012)22:12&lt;1057::AID-BIES3&gt;3.0.CO;2-W)</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w:t>
      </w:r>
      <w:r w:rsidRPr="00121E76">
        <w:rPr>
          <w:rFonts w:ascii="Palatino Linotype" w:hAnsi="Palatino Linotype"/>
          <w:noProof/>
          <w:sz w:val="22"/>
        </w:rPr>
        <w:tab/>
        <w:t xml:space="preserve">Denamur, E. &amp; Matic, I. 2006 Evolution of mutation rates in bacteria. </w:t>
      </w:r>
      <w:r w:rsidRPr="00121E76">
        <w:rPr>
          <w:rFonts w:ascii="Palatino Linotype" w:hAnsi="Palatino Linotype"/>
          <w:i/>
          <w:iCs/>
          <w:noProof/>
          <w:sz w:val="22"/>
        </w:rPr>
        <w:t>Mol. Microbiol.</w:t>
      </w:r>
      <w:r w:rsidRPr="00121E76">
        <w:rPr>
          <w:rFonts w:ascii="Palatino Linotype" w:hAnsi="Palatino Linotype"/>
          <w:noProof/>
          <w:sz w:val="22"/>
        </w:rPr>
        <w:t xml:space="preserve"> </w:t>
      </w:r>
      <w:r w:rsidRPr="00121E76">
        <w:rPr>
          <w:rFonts w:ascii="Palatino Linotype" w:hAnsi="Palatino Linotype"/>
          <w:b/>
          <w:bCs/>
          <w:noProof/>
          <w:sz w:val="22"/>
        </w:rPr>
        <w:t>60</w:t>
      </w:r>
      <w:r w:rsidRPr="00121E76">
        <w:rPr>
          <w:rFonts w:ascii="Palatino Linotype" w:hAnsi="Palatino Linotype"/>
          <w:noProof/>
          <w:sz w:val="22"/>
        </w:rPr>
        <w:t>, 820–7. (doi:10.1111/j.1365-2958.2006.05150.x)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w:t>
      </w:r>
      <w:r w:rsidRPr="00121E76">
        <w:rPr>
          <w:rFonts w:ascii="Palatino Linotype" w:hAnsi="Palatino Linotype"/>
          <w:noProof/>
          <w:sz w:val="22"/>
        </w:rPr>
        <w:tab/>
        <w:t xml:space="preserve">De Visser, J. A. G. M. 2002 The fate of microbial mutators. </w:t>
      </w:r>
      <w:r w:rsidRPr="00121E76">
        <w:rPr>
          <w:rFonts w:ascii="Palatino Linotype" w:hAnsi="Palatino Linotype"/>
          <w:i/>
          <w:iCs/>
          <w:noProof/>
          <w:sz w:val="22"/>
        </w:rPr>
        <w:t>Microbiology</w:t>
      </w:r>
      <w:r w:rsidRPr="00121E76">
        <w:rPr>
          <w:rFonts w:ascii="Palatino Linotype" w:hAnsi="Palatino Linotype"/>
          <w:noProof/>
          <w:sz w:val="22"/>
        </w:rPr>
        <w:t xml:space="preserve"> </w:t>
      </w:r>
      <w:r w:rsidRPr="00121E76">
        <w:rPr>
          <w:rFonts w:ascii="Palatino Linotype" w:hAnsi="Palatino Linotype"/>
          <w:b/>
          <w:bCs/>
          <w:noProof/>
          <w:sz w:val="22"/>
        </w:rPr>
        <w:t>148</w:t>
      </w:r>
      <w:r w:rsidRPr="00121E76">
        <w:rPr>
          <w:rFonts w:ascii="Palatino Linotype" w:hAnsi="Palatino Linotype"/>
          <w:noProof/>
          <w:sz w:val="22"/>
        </w:rPr>
        <w:t xml:space="preserve">, 1247–52.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w:t>
      </w:r>
      <w:r w:rsidRPr="00121E76">
        <w:rPr>
          <w:rFonts w:ascii="Palatino Linotype" w:hAnsi="Palatino Linotype"/>
          <w:noProof/>
          <w:sz w:val="22"/>
        </w:rPr>
        <w:tab/>
        <w:t xml:space="preserve">Funchain, P., Yeung, A., Stewart, J. L., Lin, R., Slupska, M. M. &amp; Miller, J. H. 2000 The consequences of growth of a mutator strain of </w:t>
      </w:r>
      <w:r w:rsidRPr="00121E76">
        <w:rPr>
          <w:rFonts w:ascii="Palatino Linotype" w:hAnsi="Palatino Linotype"/>
          <w:i/>
          <w:iCs/>
          <w:noProof/>
          <w:sz w:val="22"/>
        </w:rPr>
        <w:t>Escherichia coli</w:t>
      </w:r>
      <w:r w:rsidRPr="00121E76">
        <w:rPr>
          <w:rFonts w:ascii="Palatino Linotype" w:hAnsi="Palatino Linotype"/>
          <w:noProof/>
          <w:sz w:val="22"/>
        </w:rPr>
        <w:t xml:space="preserve"> as measured by loss of function among multiple gene targets and loss of fitness.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154</w:t>
      </w:r>
      <w:r w:rsidRPr="00121E76">
        <w:rPr>
          <w:rFonts w:ascii="Palatino Linotype" w:hAnsi="Palatino Linotype"/>
          <w:noProof/>
          <w:sz w:val="22"/>
        </w:rPr>
        <w:t xml:space="preserve">, 959–70.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w:t>
      </w:r>
      <w:r w:rsidRPr="00121E76">
        <w:rPr>
          <w:rFonts w:ascii="Palatino Linotype" w:hAnsi="Palatino Linotype"/>
          <w:noProof/>
          <w:sz w:val="22"/>
        </w:rPr>
        <w:tab/>
        <w:t xml:space="preserve">Montanari, S. et al. 2007 Biological cost of hypermutation in </w:t>
      </w:r>
      <w:r w:rsidRPr="00121E76">
        <w:rPr>
          <w:rFonts w:ascii="Palatino Linotype" w:hAnsi="Palatino Linotype"/>
          <w:i/>
          <w:iCs/>
          <w:noProof/>
          <w:sz w:val="22"/>
        </w:rPr>
        <w:t>Pseudomonas aeruginosa</w:t>
      </w:r>
      <w:r w:rsidRPr="00121E76">
        <w:rPr>
          <w:rFonts w:ascii="Palatino Linotype" w:hAnsi="Palatino Linotype"/>
          <w:noProof/>
          <w:sz w:val="22"/>
        </w:rPr>
        <w:t xml:space="preserve"> strains from patients with cystic fibrosis. </w:t>
      </w:r>
      <w:r w:rsidRPr="00121E76">
        <w:rPr>
          <w:rFonts w:ascii="Palatino Linotype" w:hAnsi="Palatino Linotype"/>
          <w:i/>
          <w:iCs/>
          <w:noProof/>
          <w:sz w:val="22"/>
        </w:rPr>
        <w:t>Microbiology</w:t>
      </w:r>
      <w:r w:rsidRPr="00121E76">
        <w:rPr>
          <w:rFonts w:ascii="Palatino Linotype" w:hAnsi="Palatino Linotype"/>
          <w:noProof/>
          <w:sz w:val="22"/>
        </w:rPr>
        <w:t xml:space="preserve"> </w:t>
      </w:r>
      <w:r w:rsidRPr="00121E76">
        <w:rPr>
          <w:rFonts w:ascii="Palatino Linotype" w:hAnsi="Palatino Linotype"/>
          <w:b/>
          <w:bCs/>
          <w:noProof/>
          <w:sz w:val="22"/>
        </w:rPr>
        <w:t>153</w:t>
      </w:r>
      <w:r w:rsidRPr="00121E76">
        <w:rPr>
          <w:rFonts w:ascii="Palatino Linotype" w:hAnsi="Palatino Linotype"/>
          <w:noProof/>
          <w:sz w:val="22"/>
        </w:rPr>
        <w:t>, 1445–54. (doi:10.1099/mic.0.2006/003400-0)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w:t>
      </w:r>
      <w:r w:rsidRPr="00121E76">
        <w:rPr>
          <w:rFonts w:ascii="Palatino Linotype" w:hAnsi="Palatino Linotype"/>
          <w:noProof/>
          <w:sz w:val="22"/>
        </w:rPr>
        <w:tab/>
        <w:t xml:space="preserve">Kimura, M. 1967 On the evolutionary adjustment of spontaneous mutation rates. </w:t>
      </w:r>
      <w:r w:rsidRPr="00121E76">
        <w:rPr>
          <w:rFonts w:ascii="Palatino Linotype" w:hAnsi="Palatino Linotype"/>
          <w:i/>
          <w:iCs/>
          <w:noProof/>
          <w:sz w:val="22"/>
        </w:rPr>
        <w:t>Genet. Res.</w:t>
      </w:r>
      <w:r w:rsidRPr="00121E76">
        <w:rPr>
          <w:rFonts w:ascii="Palatino Linotype" w:hAnsi="Palatino Linotype"/>
          <w:noProof/>
          <w:sz w:val="22"/>
        </w:rPr>
        <w:t xml:space="preserve"> </w:t>
      </w:r>
      <w:r w:rsidRPr="00121E76">
        <w:rPr>
          <w:rFonts w:ascii="Palatino Linotype" w:hAnsi="Palatino Linotype"/>
          <w:b/>
          <w:bCs/>
          <w:noProof/>
          <w:sz w:val="22"/>
        </w:rPr>
        <w:t>9</w:t>
      </w:r>
      <w:r w:rsidRPr="00121E76">
        <w:rPr>
          <w:rFonts w:ascii="Palatino Linotype" w:hAnsi="Palatino Linotype"/>
          <w:noProof/>
          <w:sz w:val="22"/>
        </w:rPr>
        <w:t>, 23–34. (doi:10.1017/S0016672300010284)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w:t>
      </w:r>
      <w:r w:rsidRPr="00121E76">
        <w:rPr>
          <w:rFonts w:ascii="Palatino Linotype" w:hAnsi="Palatino Linotype"/>
          <w:noProof/>
          <w:sz w:val="22"/>
        </w:rPr>
        <w:tab/>
        <w:t xml:space="preserve">Liberman, U. &amp; Feldman, M. W. 1986 Modifiers of mutation rate: a general reduction principle. </w:t>
      </w:r>
      <w:r w:rsidRPr="00121E76">
        <w:rPr>
          <w:rFonts w:ascii="Palatino Linotype" w:hAnsi="Palatino Linotype"/>
          <w:i/>
          <w:iCs/>
          <w:noProof/>
          <w:sz w:val="22"/>
        </w:rPr>
        <w:t>Theor. Popul. Biol.</w:t>
      </w:r>
      <w:r w:rsidRPr="00121E76">
        <w:rPr>
          <w:rFonts w:ascii="Palatino Linotype" w:hAnsi="Palatino Linotype"/>
          <w:noProof/>
          <w:sz w:val="22"/>
        </w:rPr>
        <w:t xml:space="preserve"> </w:t>
      </w:r>
      <w:r w:rsidRPr="00121E76">
        <w:rPr>
          <w:rFonts w:ascii="Palatino Linotype" w:hAnsi="Palatino Linotype"/>
          <w:b/>
          <w:bCs/>
          <w:noProof/>
          <w:sz w:val="22"/>
        </w:rPr>
        <w:t>30</w:t>
      </w:r>
      <w:r w:rsidRPr="00121E76">
        <w:rPr>
          <w:rFonts w:ascii="Palatino Linotype" w:hAnsi="Palatino Linotype"/>
          <w:noProof/>
          <w:sz w:val="22"/>
        </w:rPr>
        <w:t xml:space="preserve">, 125–42.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8.</w:t>
      </w:r>
      <w:r w:rsidRPr="00121E76">
        <w:rPr>
          <w:rFonts w:ascii="Palatino Linotype" w:hAnsi="Palatino Linotype"/>
          <w:noProof/>
          <w:sz w:val="22"/>
        </w:rPr>
        <w:tab/>
        <w:t xml:space="preserve">Giraud, A., Radman, M., Matic, I. &amp; Taddei, F. 2001 The rise and fall of mutator bacteria. </w:t>
      </w:r>
      <w:r w:rsidRPr="00121E76">
        <w:rPr>
          <w:rFonts w:ascii="Palatino Linotype" w:hAnsi="Palatino Linotype"/>
          <w:i/>
          <w:iCs/>
          <w:noProof/>
          <w:sz w:val="22"/>
        </w:rPr>
        <w:t>Curr. Opin. Microbiol.</w:t>
      </w:r>
      <w:r w:rsidRPr="00121E76">
        <w:rPr>
          <w:rFonts w:ascii="Palatino Linotype" w:hAnsi="Palatino Linotype"/>
          <w:noProof/>
          <w:sz w:val="22"/>
        </w:rPr>
        <w:t xml:space="preserve"> </w:t>
      </w:r>
      <w:r w:rsidRPr="00121E76">
        <w:rPr>
          <w:rFonts w:ascii="Palatino Linotype" w:hAnsi="Palatino Linotype"/>
          <w:b/>
          <w:bCs/>
          <w:noProof/>
          <w:sz w:val="22"/>
        </w:rPr>
        <w:t>4</w:t>
      </w:r>
      <w:r w:rsidRPr="00121E76">
        <w:rPr>
          <w:rFonts w:ascii="Palatino Linotype" w:hAnsi="Palatino Linotype"/>
          <w:noProof/>
          <w:sz w:val="22"/>
        </w:rPr>
        <w:t>, 582–585. (doi:10.1016/S1369-5274(00)00254-X)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9.</w:t>
      </w:r>
      <w:r w:rsidRPr="00121E76">
        <w:rPr>
          <w:rFonts w:ascii="Palatino Linotype" w:hAnsi="Palatino Linotype"/>
          <w:noProof/>
          <w:sz w:val="22"/>
        </w:rPr>
        <w:tab/>
        <w:t xml:space="preserve">Sniegowski, P. D., Gerrish, P. J. &amp; Lenski, R. E. 1997 Evolution of high mutation rates in experimental populations of E. coli. </w:t>
      </w:r>
      <w:r w:rsidRPr="00121E76">
        <w:rPr>
          <w:rFonts w:ascii="Palatino Linotype" w:hAnsi="Palatino Linotype"/>
          <w:i/>
          <w:iCs/>
          <w:noProof/>
          <w:sz w:val="22"/>
        </w:rPr>
        <w:t>Nature</w:t>
      </w:r>
      <w:r w:rsidRPr="00121E76">
        <w:rPr>
          <w:rFonts w:ascii="Palatino Linotype" w:hAnsi="Palatino Linotype"/>
          <w:noProof/>
          <w:sz w:val="22"/>
        </w:rPr>
        <w:t xml:space="preserve"> </w:t>
      </w:r>
      <w:r w:rsidRPr="00121E76">
        <w:rPr>
          <w:rFonts w:ascii="Palatino Linotype" w:hAnsi="Palatino Linotype"/>
          <w:b/>
          <w:bCs/>
          <w:noProof/>
          <w:sz w:val="22"/>
        </w:rPr>
        <w:t>387</w:t>
      </w:r>
      <w:r w:rsidRPr="00121E76">
        <w:rPr>
          <w:rFonts w:ascii="Palatino Linotype" w:hAnsi="Palatino Linotype"/>
          <w:noProof/>
          <w:sz w:val="22"/>
        </w:rPr>
        <w:t>, 703–5. (doi:10.1038/42701)</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10.</w:t>
      </w:r>
      <w:r w:rsidRPr="00121E76">
        <w:rPr>
          <w:rFonts w:ascii="Palatino Linotype" w:hAnsi="Palatino Linotype"/>
          <w:noProof/>
          <w:sz w:val="22"/>
        </w:rPr>
        <w:tab/>
        <w:t xml:space="preserve">Wielgoss, S. et al. 2012 Mutation rate dynamics in a bacterial population reflect tension between adaptation and genetic load.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110</w:t>
      </w:r>
      <w:r w:rsidRPr="00121E76">
        <w:rPr>
          <w:rFonts w:ascii="Palatino Linotype" w:hAnsi="Palatino Linotype"/>
          <w:noProof/>
          <w:sz w:val="22"/>
        </w:rPr>
        <w:t>, 222–227. (doi:10.1073/pnas.1219574110)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11.</w:t>
      </w:r>
      <w:r w:rsidRPr="00121E76">
        <w:rPr>
          <w:rFonts w:ascii="Palatino Linotype" w:hAnsi="Palatino Linotype"/>
          <w:noProof/>
          <w:sz w:val="22"/>
        </w:rPr>
        <w:tab/>
        <w:t xml:space="preserve">Taddei, F., Radman, M., Maynard Smith, J., Toupance, B., Gouyon, P.-H. &amp; Godelle, B. 1997 Role of mutator alleles in adaptive evolution. </w:t>
      </w:r>
      <w:r w:rsidRPr="00121E76">
        <w:rPr>
          <w:rFonts w:ascii="Palatino Linotype" w:hAnsi="Palatino Linotype"/>
          <w:i/>
          <w:iCs/>
          <w:noProof/>
          <w:sz w:val="22"/>
        </w:rPr>
        <w:t>Nature</w:t>
      </w:r>
      <w:r w:rsidRPr="00121E76">
        <w:rPr>
          <w:rFonts w:ascii="Palatino Linotype" w:hAnsi="Palatino Linotype"/>
          <w:noProof/>
          <w:sz w:val="22"/>
        </w:rPr>
        <w:t xml:space="preserve"> </w:t>
      </w:r>
      <w:r w:rsidRPr="00121E76">
        <w:rPr>
          <w:rFonts w:ascii="Palatino Linotype" w:hAnsi="Palatino Linotype"/>
          <w:b/>
          <w:bCs/>
          <w:noProof/>
          <w:sz w:val="22"/>
        </w:rPr>
        <w:t>387</w:t>
      </w:r>
      <w:r w:rsidRPr="00121E76">
        <w:rPr>
          <w:rFonts w:ascii="Palatino Linotype" w:hAnsi="Palatino Linotype"/>
          <w:noProof/>
          <w:sz w:val="22"/>
        </w:rPr>
        <w:t>, 700–2. (doi:10.1038/42696)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12.</w:t>
      </w:r>
      <w:r w:rsidRPr="00121E76">
        <w:rPr>
          <w:rFonts w:ascii="Palatino Linotype" w:hAnsi="Palatino Linotype"/>
          <w:noProof/>
          <w:sz w:val="22"/>
        </w:rPr>
        <w:tab/>
        <w:t xml:space="preserve">Kessler, D. &amp; Levine, H. 1998 Mutator Dynamics on a Smooth Evolutionary Landscape. </w:t>
      </w:r>
      <w:r w:rsidRPr="00121E76">
        <w:rPr>
          <w:rFonts w:ascii="Palatino Linotype" w:hAnsi="Palatino Linotype"/>
          <w:i/>
          <w:iCs/>
          <w:noProof/>
          <w:sz w:val="22"/>
        </w:rPr>
        <w:t>Phys. Rev. Lett.</w:t>
      </w:r>
      <w:r w:rsidRPr="00121E76">
        <w:rPr>
          <w:rFonts w:ascii="Palatino Linotype" w:hAnsi="Palatino Linotype"/>
          <w:noProof/>
          <w:sz w:val="22"/>
        </w:rPr>
        <w:t xml:space="preserve"> </w:t>
      </w:r>
      <w:r w:rsidRPr="00121E76">
        <w:rPr>
          <w:rFonts w:ascii="Palatino Linotype" w:hAnsi="Palatino Linotype"/>
          <w:b/>
          <w:bCs/>
          <w:noProof/>
          <w:sz w:val="22"/>
        </w:rPr>
        <w:t>80</w:t>
      </w:r>
      <w:r w:rsidRPr="00121E76">
        <w:rPr>
          <w:rFonts w:ascii="Palatino Linotype" w:hAnsi="Palatino Linotype"/>
          <w:noProof/>
          <w:sz w:val="22"/>
        </w:rPr>
        <w:t>, 2012–2015. (doi:10.1103/PhysRevLett.80.2012)</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13.</w:t>
      </w:r>
      <w:r w:rsidRPr="00121E76">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152</w:t>
      </w:r>
      <w:r w:rsidRPr="00121E76">
        <w:rPr>
          <w:rFonts w:ascii="Palatino Linotype" w:hAnsi="Palatino Linotype"/>
          <w:noProof/>
          <w:sz w:val="22"/>
        </w:rPr>
        <w:t xml:space="preserve">, 485–93.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14.</w:t>
      </w:r>
      <w:r w:rsidRPr="00121E76">
        <w:rPr>
          <w:rFonts w:ascii="Palatino Linotype" w:hAnsi="Palatino Linotype"/>
          <w:noProof/>
          <w:sz w:val="22"/>
        </w:rPr>
        <w:tab/>
        <w:t xml:space="preserve">Leigh, E. G. J. 1970 Natural Selection and Mutability. </w:t>
      </w:r>
      <w:r w:rsidRPr="00121E76">
        <w:rPr>
          <w:rFonts w:ascii="Palatino Linotype" w:hAnsi="Palatino Linotype"/>
          <w:i/>
          <w:iCs/>
          <w:noProof/>
          <w:sz w:val="22"/>
        </w:rPr>
        <w:t>Am. Nat.</w:t>
      </w:r>
      <w:r w:rsidRPr="00121E76">
        <w:rPr>
          <w:rFonts w:ascii="Palatino Linotype" w:hAnsi="Palatino Linotype"/>
          <w:noProof/>
          <w:sz w:val="22"/>
        </w:rPr>
        <w:t xml:space="preserve"> </w:t>
      </w:r>
      <w:r w:rsidRPr="00121E76">
        <w:rPr>
          <w:rFonts w:ascii="Palatino Linotype" w:hAnsi="Palatino Linotype"/>
          <w:b/>
          <w:bCs/>
          <w:noProof/>
          <w:sz w:val="22"/>
        </w:rPr>
        <w:t>104</w:t>
      </w:r>
      <w:r w:rsidRPr="00121E76">
        <w:rPr>
          <w:rFonts w:ascii="Palatino Linotype" w:hAnsi="Palatino Linotype"/>
          <w:noProof/>
          <w:sz w:val="22"/>
        </w:rPr>
        <w:t xml:space="preserve">, 301–305.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15.</w:t>
      </w:r>
      <w:r w:rsidRPr="00121E76">
        <w:rPr>
          <w:rFonts w:ascii="Palatino Linotype" w:hAnsi="Palatino Linotype"/>
          <w:noProof/>
          <w:sz w:val="22"/>
        </w:rPr>
        <w:tab/>
        <w:t xml:space="preserve">Galhardo, R. S., Hastings, P. J. &amp; Rosenberg, S. M. 2007 Mutation as a stress response and the regulation of evolvability. </w:t>
      </w:r>
      <w:r w:rsidRPr="00121E76">
        <w:rPr>
          <w:rFonts w:ascii="Palatino Linotype" w:hAnsi="Palatino Linotype"/>
          <w:i/>
          <w:iCs/>
          <w:noProof/>
          <w:sz w:val="22"/>
        </w:rPr>
        <w:t>Crit. Rev. Biochem. Mol. Biol.</w:t>
      </w:r>
      <w:r w:rsidRPr="00121E76">
        <w:rPr>
          <w:rFonts w:ascii="Palatino Linotype" w:hAnsi="Palatino Linotype"/>
          <w:noProof/>
          <w:sz w:val="22"/>
        </w:rPr>
        <w:t xml:space="preserve"> </w:t>
      </w:r>
      <w:r w:rsidRPr="00121E76">
        <w:rPr>
          <w:rFonts w:ascii="Palatino Linotype" w:hAnsi="Palatino Linotype"/>
          <w:b/>
          <w:bCs/>
          <w:noProof/>
          <w:sz w:val="22"/>
        </w:rPr>
        <w:t>42</w:t>
      </w:r>
      <w:r w:rsidRPr="00121E76">
        <w:rPr>
          <w:rFonts w:ascii="Palatino Linotype" w:hAnsi="Palatino Linotype"/>
          <w:noProof/>
          <w:sz w:val="22"/>
        </w:rPr>
        <w:t>, 399–435. (doi:10.1080/10409230701648502)</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16.</w:t>
      </w:r>
      <w:r w:rsidRPr="00121E76">
        <w:rPr>
          <w:rFonts w:ascii="Palatino Linotype" w:hAnsi="Palatino Linotype"/>
          <w:noProof/>
          <w:sz w:val="22"/>
        </w:rPr>
        <w:tab/>
        <w:t xml:space="preserve">Foster, P. L. 2007 Stress-induced mutagenesis in bacteria. </w:t>
      </w:r>
      <w:r w:rsidRPr="00121E76">
        <w:rPr>
          <w:rFonts w:ascii="Palatino Linotype" w:hAnsi="Palatino Linotype"/>
          <w:i/>
          <w:iCs/>
          <w:noProof/>
          <w:sz w:val="22"/>
        </w:rPr>
        <w:t>Crit. Rev. Biochem. Mol. Biol.</w:t>
      </w:r>
      <w:r w:rsidRPr="00121E76">
        <w:rPr>
          <w:rFonts w:ascii="Palatino Linotype" w:hAnsi="Palatino Linotype"/>
          <w:noProof/>
          <w:sz w:val="22"/>
        </w:rPr>
        <w:t xml:space="preserve"> </w:t>
      </w:r>
      <w:r w:rsidRPr="00121E76">
        <w:rPr>
          <w:rFonts w:ascii="Palatino Linotype" w:hAnsi="Palatino Linotype"/>
          <w:b/>
          <w:bCs/>
          <w:noProof/>
          <w:sz w:val="22"/>
        </w:rPr>
        <w:t>42</w:t>
      </w:r>
      <w:r w:rsidRPr="00121E76">
        <w:rPr>
          <w:rFonts w:ascii="Palatino Linotype" w:hAnsi="Palatino Linotype"/>
          <w:noProof/>
          <w:sz w:val="22"/>
        </w:rPr>
        <w:t>, 373–97. (doi:10.1080/10409230701648494)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17.</w:t>
      </w:r>
      <w:r w:rsidRPr="00121E76">
        <w:rPr>
          <w:rFonts w:ascii="Palatino Linotype" w:hAnsi="Palatino Linotype"/>
          <w:noProof/>
          <w:sz w:val="22"/>
        </w:rPr>
        <w:tab/>
        <w:t xml:space="preserve">Rosenberg, S. M., Shee, C., Frisch, R. L. &amp; Hastings, P. J. 2012 Stress-induced mutation via DNA breaks in </w:t>
      </w:r>
      <w:r w:rsidRPr="00121E76">
        <w:rPr>
          <w:rFonts w:ascii="Palatino Linotype" w:hAnsi="Palatino Linotype"/>
          <w:i/>
          <w:iCs/>
          <w:noProof/>
          <w:sz w:val="22"/>
        </w:rPr>
        <w:t>Escherichia coli</w:t>
      </w:r>
      <w:r w:rsidRPr="00121E76">
        <w:rPr>
          <w:rFonts w:ascii="Palatino Linotype" w:hAnsi="Palatino Linotype"/>
          <w:noProof/>
          <w:sz w:val="22"/>
        </w:rPr>
        <w:t xml:space="preserve">: A molecular mechanism with implications for evolution and medicine. </w:t>
      </w:r>
      <w:r w:rsidRPr="00121E76">
        <w:rPr>
          <w:rFonts w:ascii="Palatino Linotype" w:hAnsi="Palatino Linotype"/>
          <w:i/>
          <w:iCs/>
          <w:noProof/>
          <w:sz w:val="22"/>
        </w:rPr>
        <w:t>BioEssays</w:t>
      </w:r>
      <w:r w:rsidRPr="00121E76">
        <w:rPr>
          <w:rFonts w:ascii="Palatino Linotype" w:hAnsi="Palatino Linotype"/>
          <w:noProof/>
          <w:sz w:val="22"/>
        </w:rPr>
        <w:t xml:space="preserve"> , 1–8. (doi:10.1002/bies.201200050)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18.</w:t>
      </w:r>
      <w:r w:rsidRPr="00121E76">
        <w:rPr>
          <w:rFonts w:ascii="Palatino Linotype" w:hAnsi="Palatino Linotype"/>
          <w:noProof/>
          <w:sz w:val="22"/>
        </w:rPr>
        <w:tab/>
        <w:t xml:space="preserve">Bjedov, I., Tenaillon, O., Gérard, B., Souza, V., Denamur, E., Radman, M., Taddei, F. &amp; Matic, I. 2003 Stress-induced mutagenesis in bacteria. </w:t>
      </w:r>
      <w:r w:rsidRPr="00121E76">
        <w:rPr>
          <w:rFonts w:ascii="Palatino Linotype" w:hAnsi="Palatino Linotype"/>
          <w:i/>
          <w:iCs/>
          <w:noProof/>
          <w:sz w:val="22"/>
        </w:rPr>
        <w:t>Science (80-. ).</w:t>
      </w:r>
      <w:r w:rsidRPr="00121E76">
        <w:rPr>
          <w:rFonts w:ascii="Palatino Linotype" w:hAnsi="Palatino Linotype"/>
          <w:noProof/>
          <w:sz w:val="22"/>
        </w:rPr>
        <w:t xml:space="preserve"> </w:t>
      </w:r>
      <w:r w:rsidRPr="00121E76">
        <w:rPr>
          <w:rFonts w:ascii="Palatino Linotype" w:hAnsi="Palatino Linotype"/>
          <w:b/>
          <w:bCs/>
          <w:noProof/>
          <w:sz w:val="22"/>
        </w:rPr>
        <w:t>300</w:t>
      </w:r>
      <w:r w:rsidRPr="00121E76">
        <w:rPr>
          <w:rFonts w:ascii="Palatino Linotype" w:hAnsi="Palatino Linotype"/>
          <w:noProof/>
          <w:sz w:val="22"/>
        </w:rPr>
        <w:t>, 1404–9. (doi:10.1126/science.1082240)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19.</w:t>
      </w:r>
      <w:r w:rsidRPr="00121E76">
        <w:rPr>
          <w:rFonts w:ascii="Palatino Linotype" w:hAnsi="Palatino Linotype"/>
          <w:noProof/>
          <w:sz w:val="22"/>
        </w:rPr>
        <w:tab/>
        <w:t xml:space="preserve">Katz, S. &amp; Hershberg, R. 2013 Elevated mutagenesis does not explain the increased frequency of antibiotic resistant mutants in starved aging colonies. </w:t>
      </w:r>
      <w:r w:rsidRPr="00121E76">
        <w:rPr>
          <w:rFonts w:ascii="Palatino Linotype" w:hAnsi="Palatino Linotype"/>
          <w:i/>
          <w:iCs/>
          <w:noProof/>
          <w:sz w:val="22"/>
        </w:rPr>
        <w:t>PLoS Genet.</w:t>
      </w:r>
      <w:r w:rsidRPr="00121E76">
        <w:rPr>
          <w:rFonts w:ascii="Palatino Linotype" w:hAnsi="Palatino Linotype"/>
          <w:noProof/>
          <w:sz w:val="22"/>
        </w:rPr>
        <w:t xml:space="preserve"> </w:t>
      </w:r>
      <w:r w:rsidRPr="00121E76">
        <w:rPr>
          <w:rFonts w:ascii="Palatino Linotype" w:hAnsi="Palatino Linotype"/>
          <w:b/>
          <w:bCs/>
          <w:noProof/>
          <w:sz w:val="22"/>
        </w:rPr>
        <w:t>9</w:t>
      </w:r>
      <w:r w:rsidRPr="00121E76">
        <w:rPr>
          <w:rFonts w:ascii="Palatino Linotype" w:hAnsi="Palatino Linotype"/>
          <w:noProof/>
          <w:sz w:val="22"/>
        </w:rPr>
        <w:t>, e1003968. (doi:10.1371/journal.pgen.1003968)</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20.</w:t>
      </w:r>
      <w:r w:rsidRPr="00121E76">
        <w:rPr>
          <w:rFonts w:ascii="Palatino Linotype" w:hAnsi="Palatino Linotype"/>
          <w:noProof/>
          <w:sz w:val="22"/>
        </w:rPr>
        <w:tab/>
        <w:t xml:space="preserve">Kivisaar, M. 2010 Mechanisms of stationary-phase mutagenesis in bacteria: mutational processes in pseudomonads. </w:t>
      </w:r>
      <w:r w:rsidRPr="00121E76">
        <w:rPr>
          <w:rFonts w:ascii="Palatino Linotype" w:hAnsi="Palatino Linotype"/>
          <w:i/>
          <w:iCs/>
          <w:noProof/>
          <w:sz w:val="22"/>
        </w:rPr>
        <w:t>FEMS Microbiol. Lett.</w:t>
      </w:r>
      <w:r w:rsidRPr="00121E76">
        <w:rPr>
          <w:rFonts w:ascii="Palatino Linotype" w:hAnsi="Palatino Linotype"/>
          <w:noProof/>
          <w:sz w:val="22"/>
        </w:rPr>
        <w:t xml:space="preserve"> </w:t>
      </w:r>
      <w:r w:rsidRPr="00121E76">
        <w:rPr>
          <w:rFonts w:ascii="Palatino Linotype" w:hAnsi="Palatino Linotype"/>
          <w:b/>
          <w:bCs/>
          <w:noProof/>
          <w:sz w:val="22"/>
        </w:rPr>
        <w:t>312</w:t>
      </w:r>
      <w:r w:rsidRPr="00121E76">
        <w:rPr>
          <w:rFonts w:ascii="Palatino Linotype" w:hAnsi="Palatino Linotype"/>
          <w:noProof/>
          <w:sz w:val="22"/>
        </w:rPr>
        <w:t>, 1–14. (doi:10.1111/j.1574-6968.2010.02027.x)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21.</w:t>
      </w:r>
      <w:r w:rsidRPr="00121E76">
        <w:rPr>
          <w:rFonts w:ascii="Palatino Linotype" w:hAnsi="Palatino Linotype"/>
          <w:noProof/>
          <w:sz w:val="22"/>
        </w:rPr>
        <w:tab/>
        <w:t xml:space="preserve">Kang, J. M., Iovine, N. M. &amp; Blaser, M. J. 2006 A paradigm for direct stress-induced mutation in prokaryotes. </w:t>
      </w:r>
      <w:r w:rsidRPr="00121E76">
        <w:rPr>
          <w:rFonts w:ascii="Palatino Linotype" w:hAnsi="Palatino Linotype"/>
          <w:i/>
          <w:iCs/>
          <w:noProof/>
          <w:sz w:val="22"/>
        </w:rPr>
        <w:t>FASEB J.</w:t>
      </w:r>
      <w:r w:rsidRPr="00121E76">
        <w:rPr>
          <w:rFonts w:ascii="Palatino Linotype" w:hAnsi="Palatino Linotype"/>
          <w:noProof/>
          <w:sz w:val="22"/>
        </w:rPr>
        <w:t xml:space="preserve"> </w:t>
      </w:r>
      <w:r w:rsidRPr="00121E76">
        <w:rPr>
          <w:rFonts w:ascii="Palatino Linotype" w:hAnsi="Palatino Linotype"/>
          <w:b/>
          <w:bCs/>
          <w:noProof/>
          <w:sz w:val="22"/>
        </w:rPr>
        <w:t>20</w:t>
      </w:r>
      <w:r w:rsidRPr="00121E76">
        <w:rPr>
          <w:rFonts w:ascii="Palatino Linotype" w:hAnsi="Palatino Linotype"/>
          <w:noProof/>
          <w:sz w:val="22"/>
        </w:rPr>
        <w:t>, 2476–85. (doi:10.1096/fj.06-6209com)</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22.</w:t>
      </w:r>
      <w:r w:rsidRPr="00121E76">
        <w:rPr>
          <w:rFonts w:ascii="Palatino Linotype" w:hAnsi="Palatino Linotype"/>
          <w:noProof/>
          <w:sz w:val="22"/>
        </w:rPr>
        <w:tab/>
        <w:t xml:space="preserve">Baharoglu, Z. &amp; Mazel, D. 2011 </w:t>
      </w:r>
      <w:r w:rsidRPr="00121E76">
        <w:rPr>
          <w:rFonts w:ascii="Palatino Linotype" w:hAnsi="Palatino Linotype"/>
          <w:i/>
          <w:iCs/>
          <w:noProof/>
          <w:sz w:val="22"/>
        </w:rPr>
        <w:t>Vibrio cholerae</w:t>
      </w:r>
      <w:r w:rsidRPr="00121E76">
        <w:rPr>
          <w:rFonts w:ascii="Palatino Linotype" w:hAnsi="Palatino Linotype"/>
          <w:noProof/>
          <w:sz w:val="22"/>
        </w:rPr>
        <w:t xml:space="preserve"> triggers SOS and mutagenesis in response to a wide range of antibiotics: a route towards multiresistance. </w:t>
      </w:r>
      <w:r w:rsidRPr="00121E76">
        <w:rPr>
          <w:rFonts w:ascii="Palatino Linotype" w:hAnsi="Palatino Linotype"/>
          <w:i/>
          <w:iCs/>
          <w:noProof/>
          <w:sz w:val="22"/>
        </w:rPr>
        <w:t>Antimicrob. Agents Chemother.</w:t>
      </w:r>
      <w:r w:rsidRPr="00121E76">
        <w:rPr>
          <w:rFonts w:ascii="Palatino Linotype" w:hAnsi="Palatino Linotype"/>
          <w:noProof/>
          <w:sz w:val="22"/>
        </w:rPr>
        <w:t xml:space="preserve"> </w:t>
      </w:r>
      <w:r w:rsidRPr="00121E76">
        <w:rPr>
          <w:rFonts w:ascii="Palatino Linotype" w:hAnsi="Palatino Linotype"/>
          <w:b/>
          <w:bCs/>
          <w:noProof/>
          <w:sz w:val="22"/>
        </w:rPr>
        <w:t>55</w:t>
      </w:r>
      <w:r w:rsidRPr="00121E76">
        <w:rPr>
          <w:rFonts w:ascii="Palatino Linotype" w:hAnsi="Palatino Linotype"/>
          <w:noProof/>
          <w:sz w:val="22"/>
        </w:rPr>
        <w:t>, 2438–41. (doi:10.1128/AAC.01549-10)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23.</w:t>
      </w:r>
      <w:r w:rsidRPr="00121E76">
        <w:rPr>
          <w:rFonts w:ascii="Palatino Linotype" w:hAnsi="Palatino Linotype"/>
          <w:noProof/>
          <w:sz w:val="22"/>
        </w:rPr>
        <w:tab/>
        <w:t xml:space="preserve">Henderson-Begg, S. K., Livermore, D. M. &amp; Hall, L. M. C. 2006 Effect of subinhibitory concentrations of antibiotics on mutation frequency in </w:t>
      </w:r>
      <w:r w:rsidRPr="00121E76">
        <w:rPr>
          <w:rFonts w:ascii="Palatino Linotype" w:hAnsi="Palatino Linotype"/>
          <w:i/>
          <w:iCs/>
          <w:noProof/>
          <w:sz w:val="22"/>
        </w:rPr>
        <w:t>Streptococcus pneumoniae</w:t>
      </w:r>
      <w:r w:rsidRPr="00121E76">
        <w:rPr>
          <w:rFonts w:ascii="Palatino Linotype" w:hAnsi="Palatino Linotype"/>
          <w:noProof/>
          <w:sz w:val="22"/>
        </w:rPr>
        <w:t xml:space="preserve">. </w:t>
      </w:r>
      <w:r w:rsidRPr="00121E76">
        <w:rPr>
          <w:rFonts w:ascii="Palatino Linotype" w:hAnsi="Palatino Linotype"/>
          <w:i/>
          <w:iCs/>
          <w:noProof/>
          <w:sz w:val="22"/>
        </w:rPr>
        <w:t>J. Antimicrob. Chemother.</w:t>
      </w:r>
      <w:r w:rsidRPr="00121E76">
        <w:rPr>
          <w:rFonts w:ascii="Palatino Linotype" w:hAnsi="Palatino Linotype"/>
          <w:noProof/>
          <w:sz w:val="22"/>
        </w:rPr>
        <w:t xml:space="preserve"> </w:t>
      </w:r>
      <w:r w:rsidRPr="00121E76">
        <w:rPr>
          <w:rFonts w:ascii="Palatino Linotype" w:hAnsi="Palatino Linotype"/>
          <w:b/>
          <w:bCs/>
          <w:noProof/>
          <w:sz w:val="22"/>
        </w:rPr>
        <w:t>57</w:t>
      </w:r>
      <w:r w:rsidRPr="00121E76">
        <w:rPr>
          <w:rFonts w:ascii="Palatino Linotype" w:hAnsi="Palatino Linotype"/>
          <w:noProof/>
          <w:sz w:val="22"/>
        </w:rPr>
        <w:t>, 849–54. (doi:10.1093/jac/dkl064)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24.</w:t>
      </w:r>
      <w:r w:rsidRPr="00121E76">
        <w:rPr>
          <w:rFonts w:ascii="Palatino Linotype" w:hAnsi="Palatino Linotype"/>
          <w:noProof/>
          <w:sz w:val="22"/>
        </w:rPr>
        <w:tab/>
        <w:t xml:space="preserve">Heidenreich, E. 2007 Adaptive mutation in </w:t>
      </w:r>
      <w:r w:rsidRPr="00121E76">
        <w:rPr>
          <w:rFonts w:ascii="Palatino Linotype" w:hAnsi="Palatino Linotype"/>
          <w:i/>
          <w:iCs/>
          <w:noProof/>
          <w:sz w:val="22"/>
        </w:rPr>
        <w:t>Saccharomyces cerevisiae</w:t>
      </w:r>
      <w:r w:rsidRPr="00121E76">
        <w:rPr>
          <w:rFonts w:ascii="Palatino Linotype" w:hAnsi="Palatino Linotype"/>
          <w:noProof/>
          <w:sz w:val="22"/>
        </w:rPr>
        <w:t xml:space="preserve">. </w:t>
      </w:r>
      <w:r w:rsidRPr="00121E76">
        <w:rPr>
          <w:rFonts w:ascii="Palatino Linotype" w:hAnsi="Palatino Linotype"/>
          <w:i/>
          <w:iCs/>
          <w:noProof/>
          <w:sz w:val="22"/>
        </w:rPr>
        <w:t>Crit. Rev. Biochem. Mol. Biol.</w:t>
      </w:r>
      <w:r w:rsidRPr="00121E76">
        <w:rPr>
          <w:rFonts w:ascii="Palatino Linotype" w:hAnsi="Palatino Linotype"/>
          <w:noProof/>
          <w:sz w:val="22"/>
        </w:rPr>
        <w:t xml:space="preserve"> </w:t>
      </w:r>
      <w:r w:rsidRPr="00121E76">
        <w:rPr>
          <w:rFonts w:ascii="Palatino Linotype" w:hAnsi="Palatino Linotype"/>
          <w:b/>
          <w:bCs/>
          <w:noProof/>
          <w:sz w:val="22"/>
        </w:rPr>
        <w:t>42</w:t>
      </w:r>
      <w:r w:rsidRPr="00121E76">
        <w:rPr>
          <w:rFonts w:ascii="Palatino Linotype" w:hAnsi="Palatino Linotype"/>
          <w:noProof/>
          <w:sz w:val="22"/>
        </w:rPr>
        <w:t>, 285–311. (doi:10.1080/10409230701507773)</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25.</w:t>
      </w:r>
      <w:r w:rsidRPr="00121E76">
        <w:rPr>
          <w:rFonts w:ascii="Palatino Linotype" w:hAnsi="Palatino Linotype"/>
          <w:noProof/>
          <w:sz w:val="22"/>
        </w:rPr>
        <w:tab/>
        <w:t xml:space="preserve">Rodriguez, G. P., Romanova, N. V, Bao, G., Rouf, N. C., Kow, Y. W. &amp; Crouse, G. F. 2012 Mismatch repair-dependent mutagenesis in nondividing cells.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109</w:t>
      </w:r>
      <w:r w:rsidRPr="00121E76">
        <w:rPr>
          <w:rFonts w:ascii="Palatino Linotype" w:hAnsi="Palatino Linotype"/>
          <w:noProof/>
          <w:sz w:val="22"/>
        </w:rPr>
        <w:t xml:space="preserve">, 6153–8.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26.</w:t>
      </w:r>
      <w:r w:rsidRPr="00121E76">
        <w:rPr>
          <w:rFonts w:ascii="Palatino Linotype" w:hAnsi="Palatino Linotype"/>
          <w:noProof/>
          <w:sz w:val="22"/>
        </w:rPr>
        <w:tab/>
        <w:t xml:space="preserve">Goho, S. &amp; Bell, G. 2000 Mild environmental stress elicits mutations affecting fitness in Chlamydomonas. </w:t>
      </w:r>
      <w:r w:rsidRPr="00121E76">
        <w:rPr>
          <w:rFonts w:ascii="Palatino Linotype" w:hAnsi="Palatino Linotype"/>
          <w:i/>
          <w:iCs/>
          <w:noProof/>
          <w:sz w:val="22"/>
        </w:rPr>
        <w:t>Proc. R. Soc. B Biol. Sci.</w:t>
      </w:r>
      <w:r w:rsidRPr="00121E76">
        <w:rPr>
          <w:rFonts w:ascii="Palatino Linotype" w:hAnsi="Palatino Linotype"/>
          <w:noProof/>
          <w:sz w:val="22"/>
        </w:rPr>
        <w:t xml:space="preserve"> </w:t>
      </w:r>
      <w:r w:rsidRPr="00121E76">
        <w:rPr>
          <w:rFonts w:ascii="Palatino Linotype" w:hAnsi="Palatino Linotype"/>
          <w:b/>
          <w:bCs/>
          <w:noProof/>
          <w:sz w:val="22"/>
        </w:rPr>
        <w:t>267</w:t>
      </w:r>
      <w:r w:rsidRPr="00121E76">
        <w:rPr>
          <w:rFonts w:ascii="Palatino Linotype" w:hAnsi="Palatino Linotype"/>
          <w:noProof/>
          <w:sz w:val="22"/>
        </w:rPr>
        <w:t>, 123–9. (doi:10.1098/rspb.2000.0976)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27.</w:t>
      </w:r>
      <w:r w:rsidRPr="00121E76">
        <w:rPr>
          <w:rFonts w:ascii="Palatino Linotype" w:hAnsi="Palatino Linotype"/>
          <w:noProof/>
          <w:sz w:val="22"/>
        </w:rPr>
        <w:tab/>
        <w:t xml:space="preserve">Matsuba, C., Ostrow, D. G., Salomon, M. P., Tolani, A. &amp; Baer, C. F. 2012 Temperature, stress and spontaneous mutation in </w:t>
      </w:r>
      <w:r w:rsidRPr="00121E76">
        <w:rPr>
          <w:rFonts w:ascii="Palatino Linotype" w:hAnsi="Palatino Linotype"/>
          <w:i/>
          <w:iCs/>
          <w:noProof/>
          <w:sz w:val="22"/>
        </w:rPr>
        <w:t>Caenorhabditis briggsae</w:t>
      </w:r>
      <w:r w:rsidRPr="00121E76">
        <w:rPr>
          <w:rFonts w:ascii="Palatino Linotype" w:hAnsi="Palatino Linotype"/>
          <w:noProof/>
          <w:sz w:val="22"/>
        </w:rPr>
        <w:t xml:space="preserve"> and </w:t>
      </w:r>
      <w:r w:rsidRPr="00121E76">
        <w:rPr>
          <w:rFonts w:ascii="Palatino Linotype" w:hAnsi="Palatino Linotype"/>
          <w:i/>
          <w:iCs/>
          <w:noProof/>
          <w:sz w:val="22"/>
        </w:rPr>
        <w:t>Caenorhabditis elegans</w:t>
      </w:r>
      <w:r w:rsidRPr="00121E76">
        <w:rPr>
          <w:rFonts w:ascii="Palatino Linotype" w:hAnsi="Palatino Linotype"/>
          <w:noProof/>
          <w:sz w:val="22"/>
        </w:rPr>
        <w:t xml:space="preserve">. </w:t>
      </w:r>
      <w:r w:rsidRPr="00121E76">
        <w:rPr>
          <w:rFonts w:ascii="Palatino Linotype" w:hAnsi="Palatino Linotype"/>
          <w:i/>
          <w:iCs/>
          <w:noProof/>
          <w:sz w:val="22"/>
        </w:rPr>
        <w:t>Biol. Lett.</w:t>
      </w:r>
      <w:r w:rsidRPr="00121E76">
        <w:rPr>
          <w:rFonts w:ascii="Palatino Linotype" w:hAnsi="Palatino Linotype"/>
          <w:noProof/>
          <w:sz w:val="22"/>
        </w:rPr>
        <w:t xml:space="preserve"> , 8–12. (doi:10.1098/rsbl.2012.0334)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28.</w:t>
      </w:r>
      <w:r w:rsidRPr="00121E76">
        <w:rPr>
          <w:rFonts w:ascii="Palatino Linotype" w:hAnsi="Palatino Linotype"/>
          <w:noProof/>
          <w:sz w:val="22"/>
        </w:rPr>
        <w:tab/>
        <w:t xml:space="preserve">Sharp, N. P. &amp; Agrawal, A. F. 2012 Evidence for elevated mutation rates in low-quality genotypes.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109</w:t>
      </w:r>
      <w:r w:rsidRPr="00121E76">
        <w:rPr>
          <w:rFonts w:ascii="Palatino Linotype" w:hAnsi="Palatino Linotype"/>
          <w:noProof/>
          <w:sz w:val="22"/>
        </w:rPr>
        <w:t>, 6142–6. (doi:10.1073/pnas.1118918109)</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29.</w:t>
      </w:r>
      <w:r w:rsidRPr="00121E76">
        <w:rPr>
          <w:rFonts w:ascii="Palatino Linotype" w:hAnsi="Palatino Linotype"/>
          <w:noProof/>
          <w:sz w:val="22"/>
        </w:rPr>
        <w:tab/>
        <w:t xml:space="preserve">Bristow, R. G. &amp; Hill, R. P. 2008 Hypoxia and metabolism: Hypoxia, DNA repair and genetic instability. </w:t>
      </w:r>
      <w:r w:rsidRPr="00121E76">
        <w:rPr>
          <w:rFonts w:ascii="Palatino Linotype" w:hAnsi="Palatino Linotype"/>
          <w:i/>
          <w:iCs/>
          <w:noProof/>
          <w:sz w:val="22"/>
        </w:rPr>
        <w:t>Nat. Rev. Cancer</w:t>
      </w:r>
      <w:r w:rsidRPr="00121E76">
        <w:rPr>
          <w:rFonts w:ascii="Palatino Linotype" w:hAnsi="Palatino Linotype"/>
          <w:noProof/>
          <w:sz w:val="22"/>
        </w:rPr>
        <w:t xml:space="preserve"> </w:t>
      </w:r>
      <w:r w:rsidRPr="00121E76">
        <w:rPr>
          <w:rFonts w:ascii="Palatino Linotype" w:hAnsi="Palatino Linotype"/>
          <w:b/>
          <w:bCs/>
          <w:noProof/>
          <w:sz w:val="22"/>
        </w:rPr>
        <w:t>8</w:t>
      </w:r>
      <w:r w:rsidRPr="00121E76">
        <w:rPr>
          <w:rFonts w:ascii="Palatino Linotype" w:hAnsi="Palatino Linotype"/>
          <w:noProof/>
          <w:sz w:val="22"/>
        </w:rPr>
        <w:t>, 180–92. (doi:10.1038/nrc2344)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30.</w:t>
      </w:r>
      <w:r w:rsidRPr="00121E76">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121E76">
        <w:rPr>
          <w:rFonts w:ascii="Palatino Linotype" w:hAnsi="Palatino Linotype"/>
          <w:i/>
          <w:iCs/>
          <w:noProof/>
          <w:sz w:val="22"/>
        </w:rPr>
        <w:t>Mol. Cell</w:t>
      </w:r>
      <w:r w:rsidRPr="00121E76">
        <w:rPr>
          <w:rFonts w:ascii="Palatino Linotype" w:hAnsi="Palatino Linotype"/>
          <w:noProof/>
          <w:sz w:val="22"/>
        </w:rPr>
        <w:t xml:space="preserve"> </w:t>
      </w:r>
      <w:r w:rsidRPr="00121E76">
        <w:rPr>
          <w:rFonts w:ascii="Palatino Linotype" w:hAnsi="Palatino Linotype"/>
          <w:b/>
          <w:bCs/>
          <w:noProof/>
          <w:sz w:val="22"/>
        </w:rPr>
        <w:t>19</w:t>
      </w:r>
      <w:r w:rsidRPr="00121E76">
        <w:rPr>
          <w:rFonts w:ascii="Palatino Linotype" w:hAnsi="Palatino Linotype"/>
          <w:noProof/>
          <w:sz w:val="22"/>
        </w:rPr>
        <w:t>, 791–804. (doi:10.1016/j.molcel.2005.07.025)</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31.</w:t>
      </w:r>
      <w:r w:rsidRPr="00121E76">
        <w:rPr>
          <w:rFonts w:ascii="Palatino Linotype" w:hAnsi="Palatino Linotype"/>
          <w:noProof/>
          <w:sz w:val="22"/>
        </w:rPr>
        <w:tab/>
        <w:t xml:space="preserve">Debora, B. N., Vidales, L. E., Ramírez, R., Ramírez, M., Robleto, E. A., Yasbin, R. E. &amp; Pedraza-Reyes, M. 2010 Mismatch Repair Modulation of MutY Activity Drives </w:t>
      </w:r>
      <w:r w:rsidRPr="00121E76">
        <w:rPr>
          <w:rFonts w:ascii="Palatino Linotype" w:hAnsi="Palatino Linotype"/>
          <w:i/>
          <w:iCs/>
          <w:noProof/>
          <w:sz w:val="22"/>
        </w:rPr>
        <w:t>Bacillus subtilis</w:t>
      </w:r>
      <w:r w:rsidRPr="00121E76">
        <w:rPr>
          <w:rFonts w:ascii="Palatino Linotype" w:hAnsi="Palatino Linotype"/>
          <w:noProof/>
          <w:sz w:val="22"/>
        </w:rPr>
        <w:t xml:space="preserve"> Stationary-Phase Mutagenesis. </w:t>
      </w:r>
      <w:r w:rsidRPr="00121E76">
        <w:rPr>
          <w:rFonts w:ascii="Palatino Linotype" w:hAnsi="Palatino Linotype"/>
          <w:i/>
          <w:iCs/>
          <w:noProof/>
          <w:sz w:val="22"/>
        </w:rPr>
        <w:t>J. Bacteriol.</w:t>
      </w:r>
      <w:r w:rsidRPr="00121E76">
        <w:rPr>
          <w:rFonts w:ascii="Palatino Linotype" w:hAnsi="Palatino Linotype"/>
          <w:noProof/>
          <w:sz w:val="22"/>
        </w:rPr>
        <w:t xml:space="preserve"> </w:t>
      </w:r>
      <w:r w:rsidRPr="00121E76">
        <w:rPr>
          <w:rFonts w:ascii="Palatino Linotype" w:hAnsi="Palatino Linotype"/>
          <w:b/>
          <w:bCs/>
          <w:noProof/>
          <w:sz w:val="22"/>
        </w:rPr>
        <w:t>193</w:t>
      </w:r>
      <w:r w:rsidRPr="00121E76">
        <w:rPr>
          <w:rFonts w:ascii="Palatino Linotype" w:hAnsi="Palatino Linotype"/>
          <w:noProof/>
          <w:sz w:val="22"/>
        </w:rPr>
        <w:t>, 236–45. (doi:10.1128/JB.00940-10)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32.</w:t>
      </w:r>
      <w:r w:rsidRPr="00121E76">
        <w:rPr>
          <w:rFonts w:ascii="Palatino Linotype" w:hAnsi="Palatino Linotype"/>
          <w:noProof/>
          <w:sz w:val="22"/>
        </w:rPr>
        <w:tab/>
        <w:t xml:space="preserve">Al Mamun, A. A. M. et al. 2012 Identity and function of a large gene network underlying mutagenic repair of DNA breaks. </w:t>
      </w:r>
      <w:r w:rsidRPr="00121E76">
        <w:rPr>
          <w:rFonts w:ascii="Palatino Linotype" w:hAnsi="Palatino Linotype"/>
          <w:i/>
          <w:iCs/>
          <w:noProof/>
          <w:sz w:val="22"/>
        </w:rPr>
        <w:t>Science (80-. ).</w:t>
      </w:r>
      <w:r w:rsidRPr="00121E76">
        <w:rPr>
          <w:rFonts w:ascii="Palatino Linotype" w:hAnsi="Palatino Linotype"/>
          <w:noProof/>
          <w:sz w:val="22"/>
        </w:rPr>
        <w:t xml:space="preserve"> </w:t>
      </w:r>
      <w:r w:rsidRPr="00121E76">
        <w:rPr>
          <w:rFonts w:ascii="Palatino Linotype" w:hAnsi="Palatino Linotype"/>
          <w:b/>
          <w:bCs/>
          <w:noProof/>
          <w:sz w:val="22"/>
        </w:rPr>
        <w:t>338</w:t>
      </w:r>
      <w:r w:rsidRPr="00121E76">
        <w:rPr>
          <w:rFonts w:ascii="Palatino Linotype" w:hAnsi="Palatino Linotype"/>
          <w:noProof/>
          <w:sz w:val="22"/>
        </w:rPr>
        <w:t>, 1344–8. (doi:10.1126/science.1226683)</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33.</w:t>
      </w:r>
      <w:r w:rsidRPr="00121E76">
        <w:rPr>
          <w:rFonts w:ascii="Palatino Linotype" w:hAnsi="Palatino Linotype"/>
          <w:noProof/>
          <w:sz w:val="22"/>
        </w:rPr>
        <w:tab/>
        <w:t xml:space="preserve">Tenaillon, O., Denamur, E. &amp; Matic, I. 2004 Evolutionary significance of stress-induced mutagenesis in bacteria. </w:t>
      </w:r>
      <w:r w:rsidRPr="00121E76">
        <w:rPr>
          <w:rFonts w:ascii="Palatino Linotype" w:hAnsi="Palatino Linotype"/>
          <w:i/>
          <w:iCs/>
          <w:noProof/>
          <w:sz w:val="22"/>
        </w:rPr>
        <w:t>Trends Microbiol.</w:t>
      </w:r>
      <w:r w:rsidRPr="00121E76">
        <w:rPr>
          <w:rFonts w:ascii="Palatino Linotype" w:hAnsi="Palatino Linotype"/>
          <w:noProof/>
          <w:sz w:val="22"/>
        </w:rPr>
        <w:t xml:space="preserve"> </w:t>
      </w:r>
      <w:r w:rsidRPr="00121E76">
        <w:rPr>
          <w:rFonts w:ascii="Palatino Linotype" w:hAnsi="Palatino Linotype"/>
          <w:b/>
          <w:bCs/>
          <w:noProof/>
          <w:sz w:val="22"/>
        </w:rPr>
        <w:t>12</w:t>
      </w:r>
      <w:r w:rsidRPr="00121E76">
        <w:rPr>
          <w:rFonts w:ascii="Palatino Linotype" w:hAnsi="Palatino Linotype"/>
          <w:noProof/>
          <w:sz w:val="22"/>
        </w:rPr>
        <w:t>, 264–70. (doi:10.1016/j.tim.2004.04.002)</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34.</w:t>
      </w:r>
      <w:r w:rsidRPr="00121E76">
        <w:rPr>
          <w:rFonts w:ascii="Palatino Linotype" w:hAnsi="Palatino Linotype"/>
          <w:noProof/>
          <w:sz w:val="22"/>
        </w:rPr>
        <w:tab/>
        <w:t xml:space="preserve">Cirz, R. T. &amp; Romesberg, F. E. 2007 Controlling mutation: intervening in evolution as a therapeutic strategy. </w:t>
      </w:r>
      <w:r w:rsidRPr="00121E76">
        <w:rPr>
          <w:rFonts w:ascii="Palatino Linotype" w:hAnsi="Palatino Linotype"/>
          <w:i/>
          <w:iCs/>
          <w:noProof/>
          <w:sz w:val="22"/>
        </w:rPr>
        <w:t>Crit. Rev. Biochem. Mol. Biol.</w:t>
      </w:r>
      <w:r w:rsidRPr="00121E76">
        <w:rPr>
          <w:rFonts w:ascii="Palatino Linotype" w:hAnsi="Palatino Linotype"/>
          <w:noProof/>
          <w:sz w:val="22"/>
        </w:rPr>
        <w:t xml:space="preserve"> </w:t>
      </w:r>
      <w:r w:rsidRPr="00121E76">
        <w:rPr>
          <w:rFonts w:ascii="Palatino Linotype" w:hAnsi="Palatino Linotype"/>
          <w:b/>
          <w:bCs/>
          <w:noProof/>
          <w:sz w:val="22"/>
        </w:rPr>
        <w:t>42</w:t>
      </w:r>
      <w:r w:rsidRPr="00121E76">
        <w:rPr>
          <w:rFonts w:ascii="Palatino Linotype" w:hAnsi="Palatino Linotype"/>
          <w:noProof/>
          <w:sz w:val="22"/>
        </w:rPr>
        <w:t>, 341–54. (doi:10.1080/10409230701597741)</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35.</w:t>
      </w:r>
      <w:r w:rsidRPr="00121E76">
        <w:rPr>
          <w:rFonts w:ascii="Palatino Linotype" w:hAnsi="Palatino Linotype"/>
          <w:noProof/>
          <w:sz w:val="22"/>
        </w:rPr>
        <w:tab/>
        <w:t xml:space="preserve">Agrawal, A. F. 2002 Genetic loads under fitness-dependent mutation rates. </w:t>
      </w:r>
      <w:r w:rsidRPr="00121E76">
        <w:rPr>
          <w:rFonts w:ascii="Palatino Linotype" w:hAnsi="Palatino Linotype"/>
          <w:i/>
          <w:iCs/>
          <w:noProof/>
          <w:sz w:val="22"/>
        </w:rPr>
        <w:t>J. Evol. Biol.</w:t>
      </w:r>
      <w:r w:rsidRPr="00121E76">
        <w:rPr>
          <w:rFonts w:ascii="Palatino Linotype" w:hAnsi="Palatino Linotype"/>
          <w:noProof/>
          <w:sz w:val="22"/>
        </w:rPr>
        <w:t xml:space="preserve"> </w:t>
      </w:r>
      <w:r w:rsidRPr="00121E76">
        <w:rPr>
          <w:rFonts w:ascii="Palatino Linotype" w:hAnsi="Palatino Linotype"/>
          <w:b/>
          <w:bCs/>
          <w:noProof/>
          <w:sz w:val="22"/>
        </w:rPr>
        <w:t>15</w:t>
      </w:r>
      <w:r w:rsidRPr="00121E76">
        <w:rPr>
          <w:rFonts w:ascii="Palatino Linotype" w:hAnsi="Palatino Linotype"/>
          <w:noProof/>
          <w:sz w:val="22"/>
        </w:rPr>
        <w:t>, 1004–1010. (doi:10.1046/j.1420-9101.2002.00464.x)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36.</w:t>
      </w:r>
      <w:r w:rsidRPr="00121E76">
        <w:rPr>
          <w:rFonts w:ascii="Palatino Linotype" w:hAnsi="Palatino Linotype"/>
          <w:noProof/>
          <w:sz w:val="22"/>
        </w:rPr>
        <w:tab/>
        <w:t xml:space="preserve">Shaw, F. H. &amp; Baer, C. F. 2011 Fitness-dependent mutation rates in finite populations. </w:t>
      </w:r>
      <w:r w:rsidRPr="00121E76">
        <w:rPr>
          <w:rFonts w:ascii="Palatino Linotype" w:hAnsi="Palatino Linotype"/>
          <w:i/>
          <w:iCs/>
          <w:noProof/>
          <w:sz w:val="22"/>
        </w:rPr>
        <w:t>J. Evol. Biol.</w:t>
      </w:r>
      <w:r w:rsidRPr="00121E76">
        <w:rPr>
          <w:rFonts w:ascii="Palatino Linotype" w:hAnsi="Palatino Linotype"/>
          <w:noProof/>
          <w:sz w:val="22"/>
        </w:rPr>
        <w:t xml:space="preserve"> </w:t>
      </w:r>
      <w:r w:rsidRPr="00121E76">
        <w:rPr>
          <w:rFonts w:ascii="Palatino Linotype" w:hAnsi="Palatino Linotype"/>
          <w:b/>
          <w:bCs/>
          <w:noProof/>
          <w:sz w:val="22"/>
        </w:rPr>
        <w:t>24</w:t>
      </w:r>
      <w:r w:rsidRPr="00121E76">
        <w:rPr>
          <w:rFonts w:ascii="Palatino Linotype" w:hAnsi="Palatino Linotype"/>
          <w:noProof/>
          <w:sz w:val="22"/>
        </w:rPr>
        <w:t>, 1677–84. (doi:10.1111/j.1420-9101.2011.02320.x)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37.</w:t>
      </w:r>
      <w:r w:rsidRPr="00121E76">
        <w:rPr>
          <w:rFonts w:ascii="Palatino Linotype" w:hAnsi="Palatino Linotype"/>
          <w:noProof/>
          <w:sz w:val="22"/>
        </w:rPr>
        <w:tab/>
        <w:t xml:space="preserve">Ram, Y. &amp; Hadany, L. 2012 The evolution of stress-induced hypermutation in asexual populations.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66</w:t>
      </w:r>
      <w:r w:rsidRPr="00121E76">
        <w:rPr>
          <w:rFonts w:ascii="Palatino Linotype" w:hAnsi="Palatino Linotype"/>
          <w:noProof/>
          <w:sz w:val="22"/>
        </w:rPr>
        <w:t>, 2315–28. (doi:10.1111/j.1558-5646.2012.01576.x)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38.</w:t>
      </w:r>
      <w:r w:rsidRPr="00121E76">
        <w:rPr>
          <w:rFonts w:ascii="Palatino Linotype" w:hAnsi="Palatino Linotype"/>
          <w:noProof/>
          <w:sz w:val="22"/>
        </w:rPr>
        <w:tab/>
        <w:t xml:space="preserve">Wright, S. 1931 Evolution in Mendelian Populations.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16</w:t>
      </w:r>
      <w:r w:rsidRPr="00121E76">
        <w:rPr>
          <w:rFonts w:ascii="Palatino Linotype" w:hAnsi="Palatino Linotype"/>
          <w:noProof/>
          <w:sz w:val="22"/>
        </w:rPr>
        <w:t xml:space="preserve">, 97–159.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39.</w:t>
      </w:r>
      <w:r w:rsidRPr="00121E76">
        <w:rPr>
          <w:rFonts w:ascii="Palatino Linotype" w:hAnsi="Palatino Linotype"/>
          <w:noProof/>
          <w:sz w:val="22"/>
        </w:rPr>
        <w:tab/>
        <w:t xml:space="preserve">Wright, S. 1988 Surfaces of selective value revisited. </w:t>
      </w:r>
      <w:r w:rsidRPr="00121E76">
        <w:rPr>
          <w:rFonts w:ascii="Palatino Linotype" w:hAnsi="Palatino Linotype"/>
          <w:i/>
          <w:iCs/>
          <w:noProof/>
          <w:sz w:val="22"/>
        </w:rPr>
        <w:t>Am. Nat.</w:t>
      </w:r>
      <w:r w:rsidRPr="00121E76">
        <w:rPr>
          <w:rFonts w:ascii="Palatino Linotype" w:hAnsi="Palatino Linotype"/>
          <w:noProof/>
          <w:sz w:val="22"/>
        </w:rPr>
        <w:t xml:space="preserve"> </w:t>
      </w:r>
      <w:r w:rsidRPr="00121E76">
        <w:rPr>
          <w:rFonts w:ascii="Palatino Linotype" w:hAnsi="Palatino Linotype"/>
          <w:b/>
          <w:bCs/>
          <w:noProof/>
          <w:sz w:val="22"/>
        </w:rPr>
        <w:t>131</w:t>
      </w:r>
      <w:r w:rsidRPr="00121E76">
        <w:rPr>
          <w:rFonts w:ascii="Palatino Linotype" w:hAnsi="Palatino Linotype"/>
          <w:noProof/>
          <w:sz w:val="22"/>
        </w:rPr>
        <w:t>, 115–123. (doi:10.1086/284777)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40.</w:t>
      </w:r>
      <w:r w:rsidRPr="00121E76">
        <w:rPr>
          <w:rFonts w:ascii="Palatino Linotype" w:hAnsi="Palatino Linotype"/>
          <w:noProof/>
          <w:sz w:val="22"/>
        </w:rPr>
        <w:tab/>
        <w:t xml:space="preserve">Haigh, J. 1978 The accumulation of deleterious genes in a population - Muller’s Ratchet. </w:t>
      </w:r>
      <w:r w:rsidRPr="00121E76">
        <w:rPr>
          <w:rFonts w:ascii="Palatino Linotype" w:hAnsi="Palatino Linotype"/>
          <w:i/>
          <w:iCs/>
          <w:noProof/>
          <w:sz w:val="22"/>
        </w:rPr>
        <w:t>Theor. Popul. Biol.</w:t>
      </w:r>
      <w:r w:rsidRPr="00121E76">
        <w:rPr>
          <w:rFonts w:ascii="Palatino Linotype" w:hAnsi="Palatino Linotype"/>
          <w:noProof/>
          <w:sz w:val="22"/>
        </w:rPr>
        <w:t xml:space="preserve"> </w:t>
      </w:r>
      <w:r w:rsidRPr="00121E76">
        <w:rPr>
          <w:rFonts w:ascii="Palatino Linotype" w:hAnsi="Palatino Linotype"/>
          <w:b/>
          <w:bCs/>
          <w:noProof/>
          <w:sz w:val="22"/>
        </w:rPr>
        <w:t>14</w:t>
      </w:r>
      <w:r w:rsidRPr="00121E76">
        <w:rPr>
          <w:rFonts w:ascii="Palatino Linotype" w:hAnsi="Palatino Linotype"/>
          <w:noProof/>
          <w:sz w:val="22"/>
        </w:rPr>
        <w:t>, 251–267. (doi:10.1016/0040-5809(78)90027-8)</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41.</w:t>
      </w:r>
      <w:r w:rsidRPr="00121E76">
        <w:rPr>
          <w:rFonts w:ascii="Palatino Linotype" w:hAnsi="Palatino Linotype"/>
          <w:noProof/>
          <w:sz w:val="22"/>
        </w:rPr>
        <w:tab/>
        <w:t xml:space="preserve">Gessler, D. D. G. 1995 The constraints of finite size in asexual populations and the rate of the ratchet. </w:t>
      </w:r>
      <w:r w:rsidRPr="00121E76">
        <w:rPr>
          <w:rFonts w:ascii="Palatino Linotype" w:hAnsi="Palatino Linotype"/>
          <w:i/>
          <w:iCs/>
          <w:noProof/>
          <w:sz w:val="22"/>
        </w:rPr>
        <w:t>Genet. Res.</w:t>
      </w:r>
      <w:r w:rsidRPr="00121E76">
        <w:rPr>
          <w:rFonts w:ascii="Palatino Linotype" w:hAnsi="Palatino Linotype"/>
          <w:noProof/>
          <w:sz w:val="22"/>
        </w:rPr>
        <w:t xml:space="preserve"> </w:t>
      </w:r>
      <w:r w:rsidRPr="00121E76">
        <w:rPr>
          <w:rFonts w:ascii="Palatino Linotype" w:hAnsi="Palatino Linotype"/>
          <w:b/>
          <w:bCs/>
          <w:noProof/>
          <w:sz w:val="22"/>
        </w:rPr>
        <w:t>66</w:t>
      </w:r>
      <w:r w:rsidRPr="00121E76">
        <w:rPr>
          <w:rFonts w:ascii="Palatino Linotype" w:hAnsi="Palatino Linotype"/>
          <w:noProof/>
          <w:sz w:val="22"/>
        </w:rPr>
        <w:t>, 241. (doi:10.1017/S0016672300034686)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42.</w:t>
      </w:r>
      <w:r w:rsidRPr="00121E76">
        <w:rPr>
          <w:rFonts w:ascii="Palatino Linotype" w:hAnsi="Palatino Linotype"/>
          <w:noProof/>
          <w:sz w:val="22"/>
        </w:rPr>
        <w:tab/>
        <w:t xml:space="preserve">Gordo, I. &amp; Dionisio, F. 2005 Nonequilibrium model for estimating parameters of deleterious mutations. </w:t>
      </w:r>
      <w:r w:rsidRPr="00121E76">
        <w:rPr>
          <w:rFonts w:ascii="Palatino Linotype" w:hAnsi="Palatino Linotype"/>
          <w:i/>
          <w:iCs/>
          <w:noProof/>
          <w:sz w:val="22"/>
        </w:rPr>
        <w:t>Phys. Rev. E</w:t>
      </w:r>
      <w:r w:rsidRPr="00121E76">
        <w:rPr>
          <w:rFonts w:ascii="Palatino Linotype" w:hAnsi="Palatino Linotype"/>
          <w:noProof/>
          <w:sz w:val="22"/>
        </w:rPr>
        <w:t xml:space="preserve"> </w:t>
      </w:r>
      <w:r w:rsidRPr="00121E76">
        <w:rPr>
          <w:rFonts w:ascii="Palatino Linotype" w:hAnsi="Palatino Linotype"/>
          <w:b/>
          <w:bCs/>
          <w:noProof/>
          <w:sz w:val="22"/>
        </w:rPr>
        <w:t>71</w:t>
      </w:r>
      <w:r w:rsidRPr="00121E76">
        <w:rPr>
          <w:rFonts w:ascii="Palatino Linotype" w:hAnsi="Palatino Linotype"/>
          <w:noProof/>
          <w:sz w:val="22"/>
        </w:rPr>
        <w:t>, 18–21. (doi:10.1103/PhysRevE.71.031907)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43.</w:t>
      </w:r>
      <w:r w:rsidRPr="00121E76">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121E76">
        <w:rPr>
          <w:rFonts w:ascii="Palatino Linotype" w:hAnsi="Palatino Linotype"/>
          <w:i/>
          <w:iCs/>
          <w:noProof/>
          <w:sz w:val="22"/>
        </w:rPr>
        <w:t>J. Math. Biol.</w:t>
      </w:r>
      <w:r w:rsidRPr="00121E76">
        <w:rPr>
          <w:rFonts w:ascii="Palatino Linotype" w:hAnsi="Palatino Linotype"/>
          <w:noProof/>
          <w:sz w:val="22"/>
        </w:rPr>
        <w:t xml:space="preserve"> </w:t>
      </w:r>
      <w:r w:rsidRPr="00121E76">
        <w:rPr>
          <w:rFonts w:ascii="Palatino Linotype" w:hAnsi="Palatino Linotype"/>
          <w:b/>
          <w:bCs/>
          <w:noProof/>
          <w:sz w:val="22"/>
        </w:rPr>
        <w:t>12</w:t>
      </w:r>
      <w:r w:rsidRPr="00121E76">
        <w:rPr>
          <w:rFonts w:ascii="Palatino Linotype" w:hAnsi="Palatino Linotype"/>
          <w:noProof/>
          <w:sz w:val="22"/>
        </w:rPr>
        <w:t>, 355–362. (doi:10.1007/BF00276922)</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44.</w:t>
      </w:r>
      <w:r w:rsidRPr="00121E76">
        <w:rPr>
          <w:rFonts w:ascii="Palatino Linotype" w:hAnsi="Palatino Linotype"/>
          <w:noProof/>
          <w:sz w:val="22"/>
        </w:rPr>
        <w:tab/>
        <w:t xml:space="preserve">Fisher, R. A. 1930 </w:t>
      </w:r>
      <w:r w:rsidRPr="00121E76">
        <w:rPr>
          <w:rFonts w:ascii="Palatino Linotype" w:hAnsi="Palatino Linotype"/>
          <w:i/>
          <w:iCs/>
          <w:noProof/>
          <w:sz w:val="22"/>
        </w:rPr>
        <w:t>The Genetical Theory of Natural Selection</w:t>
      </w:r>
      <w:r w:rsidRPr="00121E76">
        <w:rPr>
          <w:rFonts w:ascii="Palatino Linotype" w:hAnsi="Palatino Linotype"/>
          <w:noProof/>
          <w:sz w:val="22"/>
        </w:rPr>
        <w:t>. Oxford: Clarendon Press.</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45.</w:t>
      </w:r>
      <w:r w:rsidRPr="00121E76">
        <w:rPr>
          <w:rFonts w:ascii="Palatino Linotype" w:hAnsi="Palatino Linotype"/>
          <w:noProof/>
          <w:sz w:val="22"/>
        </w:rPr>
        <w:tab/>
        <w:t xml:space="preserve">Patwa, Z. &amp; Wahl, L. M. 2008 The fixation probability of beneficial mutations. </w:t>
      </w:r>
      <w:r w:rsidRPr="00121E76">
        <w:rPr>
          <w:rFonts w:ascii="Palatino Linotype" w:hAnsi="Palatino Linotype"/>
          <w:i/>
          <w:iCs/>
          <w:noProof/>
          <w:sz w:val="22"/>
        </w:rPr>
        <w:t>J. R. Soc. Interface</w:t>
      </w:r>
      <w:r w:rsidRPr="00121E76">
        <w:rPr>
          <w:rFonts w:ascii="Palatino Linotype" w:hAnsi="Palatino Linotype"/>
          <w:noProof/>
          <w:sz w:val="22"/>
        </w:rPr>
        <w:t xml:space="preserve"> </w:t>
      </w:r>
      <w:r w:rsidRPr="00121E76">
        <w:rPr>
          <w:rFonts w:ascii="Palatino Linotype" w:hAnsi="Palatino Linotype"/>
          <w:b/>
          <w:bCs/>
          <w:noProof/>
          <w:sz w:val="22"/>
        </w:rPr>
        <w:t>5</w:t>
      </w:r>
      <w:r w:rsidRPr="00121E76">
        <w:rPr>
          <w:rFonts w:ascii="Palatino Linotype" w:hAnsi="Palatino Linotype"/>
          <w:noProof/>
          <w:sz w:val="22"/>
        </w:rPr>
        <w:t>, 1279–89. (doi:10.1098/rsif.2008.0248)</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46.</w:t>
      </w:r>
      <w:r w:rsidRPr="00121E76">
        <w:rPr>
          <w:rFonts w:ascii="Palatino Linotype" w:hAnsi="Palatino Linotype"/>
          <w:noProof/>
          <w:sz w:val="22"/>
        </w:rPr>
        <w:tab/>
        <w:t xml:space="preserve">Weinreich, D. M. &amp; Chao, L. 2005 Rapid evolutionary escape by large populations from local fitness peaks is likely in nature.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59</w:t>
      </w:r>
      <w:r w:rsidRPr="00121E76">
        <w:rPr>
          <w:rFonts w:ascii="Palatino Linotype" w:hAnsi="Palatino Linotype"/>
          <w:noProof/>
          <w:sz w:val="22"/>
        </w:rPr>
        <w:t xml:space="preserve">, 1175–82.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47.</w:t>
      </w:r>
      <w:r w:rsidRPr="00121E76">
        <w:rPr>
          <w:rFonts w:ascii="Palatino Linotype" w:hAnsi="Palatino Linotype"/>
          <w:noProof/>
          <w:sz w:val="22"/>
        </w:rPr>
        <w:tab/>
        <w:t xml:space="preserve">Maynard Smith, J. &amp; Haigh, J. 1974 The hitch-hiking effect of a favourable gene. </w:t>
      </w:r>
      <w:r w:rsidRPr="00121E76">
        <w:rPr>
          <w:rFonts w:ascii="Palatino Linotype" w:hAnsi="Palatino Linotype"/>
          <w:i/>
          <w:iCs/>
          <w:noProof/>
          <w:sz w:val="22"/>
        </w:rPr>
        <w:t>Genet. Res.</w:t>
      </w:r>
      <w:r w:rsidRPr="00121E76">
        <w:rPr>
          <w:rFonts w:ascii="Palatino Linotype" w:hAnsi="Palatino Linotype"/>
          <w:noProof/>
          <w:sz w:val="22"/>
        </w:rPr>
        <w:t xml:space="preserve"> </w:t>
      </w:r>
      <w:r w:rsidRPr="00121E76">
        <w:rPr>
          <w:rFonts w:ascii="Palatino Linotype" w:hAnsi="Palatino Linotype"/>
          <w:b/>
          <w:bCs/>
          <w:noProof/>
          <w:sz w:val="22"/>
        </w:rPr>
        <w:t>23</w:t>
      </w:r>
      <w:r w:rsidRPr="00121E76">
        <w:rPr>
          <w:rFonts w:ascii="Palatino Linotype" w:hAnsi="Palatino Linotype"/>
          <w:noProof/>
          <w:sz w:val="22"/>
        </w:rPr>
        <w:t>, 23–35. (doi:10.1017/S0016672300014634)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48.</w:t>
      </w:r>
      <w:r w:rsidRPr="00121E76">
        <w:rPr>
          <w:rFonts w:ascii="Palatino Linotype" w:hAnsi="Palatino Linotype"/>
          <w:noProof/>
          <w:sz w:val="22"/>
        </w:rPr>
        <w:tab/>
        <w:t xml:space="preserve">Lynch, M., Bürger, R., Butcher, D. &amp; Gabriel, W. 1993 The mutational meltdown in asexual populations. </w:t>
      </w:r>
      <w:r w:rsidRPr="00121E76">
        <w:rPr>
          <w:rFonts w:ascii="Palatino Linotype" w:hAnsi="Palatino Linotype"/>
          <w:i/>
          <w:iCs/>
          <w:noProof/>
          <w:sz w:val="22"/>
        </w:rPr>
        <w:t>J. Hered.</w:t>
      </w:r>
      <w:r w:rsidRPr="00121E76">
        <w:rPr>
          <w:rFonts w:ascii="Palatino Linotype" w:hAnsi="Palatino Linotype"/>
          <w:noProof/>
          <w:sz w:val="22"/>
        </w:rPr>
        <w:t xml:space="preserve"> </w:t>
      </w:r>
      <w:r w:rsidRPr="00121E76">
        <w:rPr>
          <w:rFonts w:ascii="Palatino Linotype" w:hAnsi="Palatino Linotype"/>
          <w:b/>
          <w:bCs/>
          <w:noProof/>
          <w:sz w:val="22"/>
        </w:rPr>
        <w:t>84</w:t>
      </w:r>
      <w:r w:rsidRPr="00121E76">
        <w:rPr>
          <w:rFonts w:ascii="Palatino Linotype" w:hAnsi="Palatino Linotype"/>
          <w:noProof/>
          <w:sz w:val="22"/>
        </w:rPr>
        <w:t xml:space="preserve">, 339–44.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49.</w:t>
      </w:r>
      <w:r w:rsidRPr="00121E76">
        <w:rPr>
          <w:rFonts w:ascii="Palatino Linotype" w:hAnsi="Palatino Linotype"/>
          <w:noProof/>
          <w:sz w:val="22"/>
        </w:rPr>
        <w:tab/>
        <w:t xml:space="preserve">Obolski, U. &amp; Hadany, L. 2012 Implications of stress-induced genetic variation for minimizing multidrug resistance in bacteria. </w:t>
      </w:r>
      <w:r w:rsidRPr="00121E76">
        <w:rPr>
          <w:rFonts w:ascii="Palatino Linotype" w:hAnsi="Palatino Linotype"/>
          <w:i/>
          <w:iCs/>
          <w:noProof/>
          <w:sz w:val="22"/>
        </w:rPr>
        <w:t>BMC Med.</w:t>
      </w:r>
      <w:r w:rsidRPr="00121E76">
        <w:rPr>
          <w:rFonts w:ascii="Palatino Linotype" w:hAnsi="Palatino Linotype"/>
          <w:noProof/>
          <w:sz w:val="22"/>
        </w:rPr>
        <w:t xml:space="preserve"> </w:t>
      </w:r>
      <w:r w:rsidRPr="00121E76">
        <w:rPr>
          <w:rFonts w:ascii="Palatino Linotype" w:hAnsi="Palatino Linotype"/>
          <w:b/>
          <w:bCs/>
          <w:noProof/>
          <w:sz w:val="22"/>
        </w:rPr>
        <w:t>10</w:t>
      </w:r>
      <w:r w:rsidRPr="00121E76">
        <w:rPr>
          <w:rFonts w:ascii="Palatino Linotype" w:hAnsi="Palatino Linotype"/>
          <w:noProof/>
          <w:sz w:val="22"/>
        </w:rPr>
        <w:t>, 1–30. (doi:10.1186/1741-7015-10-89)</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50.</w:t>
      </w:r>
      <w:r w:rsidRPr="00121E76">
        <w:rPr>
          <w:rFonts w:ascii="Palatino Linotype" w:hAnsi="Palatino Linotype"/>
          <w:noProof/>
          <w:sz w:val="22"/>
        </w:rPr>
        <w:tab/>
        <w:t xml:space="preserve">Shor, E., Fox, C. a. &amp; Broach, J. R. 2013 The yeast environmental stress response regulates mutagenesis induced by proteotoxic stress. </w:t>
      </w:r>
      <w:r w:rsidRPr="00121E76">
        <w:rPr>
          <w:rFonts w:ascii="Palatino Linotype" w:hAnsi="Palatino Linotype"/>
          <w:i/>
          <w:iCs/>
          <w:noProof/>
          <w:sz w:val="22"/>
        </w:rPr>
        <w:t>PLoS Genet.</w:t>
      </w:r>
      <w:r w:rsidRPr="00121E76">
        <w:rPr>
          <w:rFonts w:ascii="Palatino Linotype" w:hAnsi="Palatino Linotype"/>
          <w:noProof/>
          <w:sz w:val="22"/>
        </w:rPr>
        <w:t xml:space="preserve"> </w:t>
      </w:r>
      <w:r w:rsidRPr="00121E76">
        <w:rPr>
          <w:rFonts w:ascii="Palatino Linotype" w:hAnsi="Palatino Linotype"/>
          <w:b/>
          <w:bCs/>
          <w:noProof/>
          <w:sz w:val="22"/>
        </w:rPr>
        <w:t>9</w:t>
      </w:r>
      <w:r w:rsidRPr="00121E76">
        <w:rPr>
          <w:rFonts w:ascii="Palatino Linotype" w:hAnsi="Palatino Linotype"/>
          <w:noProof/>
          <w:sz w:val="22"/>
        </w:rPr>
        <w:t>, e1003680. (doi:10.1371/journal.pgen.1003680)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51.</w:t>
      </w:r>
      <w:r w:rsidRPr="00121E76">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121E76">
        <w:rPr>
          <w:rFonts w:ascii="Palatino Linotype" w:hAnsi="Palatino Linotype"/>
          <w:i/>
          <w:iCs/>
          <w:noProof/>
          <w:sz w:val="22"/>
        </w:rPr>
        <w:t>Curr. Genomics</w:t>
      </w:r>
      <w:r w:rsidRPr="00121E76">
        <w:rPr>
          <w:rFonts w:ascii="Palatino Linotype" w:hAnsi="Palatino Linotype"/>
          <w:noProof/>
          <w:sz w:val="22"/>
        </w:rPr>
        <w:t xml:space="preserve"> </w:t>
      </w:r>
      <w:r w:rsidRPr="00121E76">
        <w:rPr>
          <w:rFonts w:ascii="Palatino Linotype" w:hAnsi="Palatino Linotype"/>
          <w:b/>
          <w:bCs/>
          <w:noProof/>
          <w:sz w:val="22"/>
        </w:rPr>
        <w:t>7</w:t>
      </w:r>
      <w:r w:rsidRPr="00121E76">
        <w:rPr>
          <w:rFonts w:ascii="Palatino Linotype" w:hAnsi="Palatino Linotype"/>
          <w:noProof/>
          <w:sz w:val="22"/>
        </w:rPr>
        <w:t xml:space="preserve">, 481–96.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52.</w:t>
      </w:r>
      <w:r w:rsidRPr="00121E76">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121E76">
        <w:rPr>
          <w:rFonts w:ascii="Palatino Linotype" w:hAnsi="Palatino Linotype"/>
          <w:i/>
          <w:iCs/>
          <w:noProof/>
          <w:sz w:val="22"/>
        </w:rPr>
        <w:t>Proc. R. Soc. B Biol. Sci.</w:t>
      </w:r>
      <w:r w:rsidRPr="00121E76">
        <w:rPr>
          <w:rFonts w:ascii="Palatino Linotype" w:hAnsi="Palatino Linotype"/>
          <w:noProof/>
          <w:sz w:val="22"/>
        </w:rPr>
        <w:t xml:space="preserve"> </w:t>
      </w:r>
      <w:r w:rsidRPr="00121E76">
        <w:rPr>
          <w:rFonts w:ascii="Palatino Linotype" w:hAnsi="Palatino Linotype"/>
          <w:b/>
          <w:bCs/>
          <w:noProof/>
          <w:sz w:val="22"/>
        </w:rPr>
        <w:t>280</w:t>
      </w:r>
      <w:r w:rsidRPr="00121E76">
        <w:rPr>
          <w:rFonts w:ascii="Palatino Linotype" w:hAnsi="Palatino Linotype"/>
          <w:noProof/>
          <w:sz w:val="22"/>
        </w:rPr>
        <w:t>, 20130007. (doi:10.1098/rspb.2013.0007)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53.</w:t>
      </w:r>
      <w:r w:rsidRPr="00121E76">
        <w:rPr>
          <w:rFonts w:ascii="Palatino Linotype" w:hAnsi="Palatino Linotype"/>
          <w:noProof/>
          <w:sz w:val="22"/>
        </w:rPr>
        <w:tab/>
        <w:t xml:space="preserve">Dawson, K. J. 1998 Evolutionarily stable mutation rates. </w:t>
      </w:r>
      <w:r w:rsidRPr="00121E76">
        <w:rPr>
          <w:rFonts w:ascii="Palatino Linotype" w:hAnsi="Palatino Linotype"/>
          <w:i/>
          <w:iCs/>
          <w:noProof/>
          <w:sz w:val="22"/>
        </w:rPr>
        <w:t>J. Theor. Biol.</w:t>
      </w:r>
      <w:r w:rsidRPr="00121E76">
        <w:rPr>
          <w:rFonts w:ascii="Palatino Linotype" w:hAnsi="Palatino Linotype"/>
          <w:noProof/>
          <w:sz w:val="22"/>
        </w:rPr>
        <w:t xml:space="preserve"> </w:t>
      </w:r>
      <w:r w:rsidRPr="00121E76">
        <w:rPr>
          <w:rFonts w:ascii="Palatino Linotype" w:hAnsi="Palatino Linotype"/>
          <w:b/>
          <w:bCs/>
          <w:noProof/>
          <w:sz w:val="22"/>
        </w:rPr>
        <w:t>194</w:t>
      </w:r>
      <w:r w:rsidRPr="00121E76">
        <w:rPr>
          <w:rFonts w:ascii="Palatino Linotype" w:hAnsi="Palatino Linotype"/>
          <w:noProof/>
          <w:sz w:val="22"/>
        </w:rPr>
        <w:t>, 143–57. (doi:10.1006/jtbi.1998.0752)</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54.</w:t>
      </w:r>
      <w:r w:rsidRPr="00121E76">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121E76">
        <w:rPr>
          <w:rFonts w:ascii="Palatino Linotype" w:hAnsi="Palatino Linotype"/>
          <w:i/>
          <w:iCs/>
          <w:noProof/>
          <w:sz w:val="22"/>
        </w:rPr>
        <w:t>Science (80-. ).</w:t>
      </w:r>
      <w:r w:rsidRPr="00121E76">
        <w:rPr>
          <w:rFonts w:ascii="Palatino Linotype" w:hAnsi="Palatino Linotype"/>
          <w:noProof/>
          <w:sz w:val="22"/>
        </w:rPr>
        <w:t xml:space="preserve"> </w:t>
      </w:r>
      <w:r w:rsidRPr="00121E76">
        <w:rPr>
          <w:rFonts w:ascii="Palatino Linotype" w:hAnsi="Palatino Linotype"/>
          <w:b/>
          <w:bCs/>
          <w:noProof/>
          <w:sz w:val="22"/>
        </w:rPr>
        <w:t>291</w:t>
      </w:r>
      <w:r w:rsidRPr="00121E76">
        <w:rPr>
          <w:rFonts w:ascii="Palatino Linotype" w:hAnsi="Palatino Linotype"/>
          <w:noProof/>
          <w:sz w:val="22"/>
        </w:rPr>
        <w:t>, 2606–8. (doi:10.1126/science.1056421)</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55.</w:t>
      </w:r>
      <w:r w:rsidRPr="00121E76">
        <w:rPr>
          <w:rFonts w:ascii="Palatino Linotype" w:hAnsi="Palatino Linotype"/>
          <w:noProof/>
          <w:sz w:val="22"/>
        </w:rPr>
        <w:tab/>
        <w:t xml:space="preserve">Loh, E., Salk, J. J. &amp; Loeb, L. A. 2010 Optimization of DNA polymerase mutation rates during bacterial evolution.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107</w:t>
      </w:r>
      <w:r w:rsidRPr="00121E76">
        <w:rPr>
          <w:rFonts w:ascii="Palatino Linotype" w:hAnsi="Palatino Linotype"/>
          <w:noProof/>
          <w:sz w:val="22"/>
        </w:rPr>
        <w:t>, 1154–9. (doi:10.1073/pnas.0912451107)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56.</w:t>
      </w:r>
      <w:r w:rsidRPr="00121E76">
        <w:rPr>
          <w:rFonts w:ascii="Palatino Linotype" w:hAnsi="Palatino Linotype"/>
          <w:noProof/>
          <w:sz w:val="22"/>
        </w:rPr>
        <w:tab/>
        <w:t xml:space="preserve">Gentile, C. F., Yu, S.-C., Serrano, S. A., Gerrish, P. J. &amp; Sniegowski, P. D. 2011 Competition between high- and higher-mutating strains of </w:t>
      </w:r>
      <w:r w:rsidRPr="00121E76">
        <w:rPr>
          <w:rFonts w:ascii="Palatino Linotype" w:hAnsi="Palatino Linotype"/>
          <w:i/>
          <w:iCs/>
          <w:noProof/>
          <w:sz w:val="22"/>
        </w:rPr>
        <w:t>Escherichia coli</w:t>
      </w:r>
      <w:r w:rsidRPr="00121E76">
        <w:rPr>
          <w:rFonts w:ascii="Palatino Linotype" w:hAnsi="Palatino Linotype"/>
          <w:noProof/>
          <w:sz w:val="22"/>
        </w:rPr>
        <w:t xml:space="preserve">. </w:t>
      </w:r>
      <w:r w:rsidRPr="00121E76">
        <w:rPr>
          <w:rFonts w:ascii="Palatino Linotype" w:hAnsi="Palatino Linotype"/>
          <w:i/>
          <w:iCs/>
          <w:noProof/>
          <w:sz w:val="22"/>
        </w:rPr>
        <w:t>Biol. Lett.</w:t>
      </w:r>
      <w:r w:rsidRPr="00121E76">
        <w:rPr>
          <w:rFonts w:ascii="Palatino Linotype" w:hAnsi="Palatino Linotype"/>
          <w:noProof/>
          <w:sz w:val="22"/>
        </w:rPr>
        <w:t xml:space="preserve"> </w:t>
      </w:r>
      <w:r w:rsidRPr="00121E76">
        <w:rPr>
          <w:rFonts w:ascii="Palatino Linotype" w:hAnsi="Palatino Linotype"/>
          <w:b/>
          <w:bCs/>
          <w:noProof/>
          <w:sz w:val="22"/>
        </w:rPr>
        <w:t>7</w:t>
      </w:r>
      <w:r w:rsidRPr="00121E76">
        <w:rPr>
          <w:rFonts w:ascii="Palatino Linotype" w:hAnsi="Palatino Linotype"/>
          <w:noProof/>
          <w:sz w:val="22"/>
        </w:rPr>
        <w:t>, 422–4. (doi:10.1098/rsbl.2010.1036)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57.</w:t>
      </w:r>
      <w:r w:rsidRPr="00121E76">
        <w:rPr>
          <w:rFonts w:ascii="Palatino Linotype" w:hAnsi="Palatino Linotype"/>
          <w:noProof/>
          <w:sz w:val="22"/>
        </w:rPr>
        <w:tab/>
        <w:t xml:space="preserve">Shee, C., Gibson, J. L., Darrow, M. C., Gonzalez, C. &amp; Rosenberg, S. M. 2011 Impact of a stress-inducible switch to mutagenic repair of DNA breaks on mutation in </w:t>
      </w:r>
      <w:r w:rsidRPr="00121E76">
        <w:rPr>
          <w:rFonts w:ascii="Palatino Linotype" w:hAnsi="Palatino Linotype"/>
          <w:i/>
          <w:iCs/>
          <w:noProof/>
          <w:sz w:val="22"/>
        </w:rPr>
        <w:t>Escherichia coli</w:t>
      </w:r>
      <w:r w:rsidRPr="00121E76">
        <w:rPr>
          <w:rFonts w:ascii="Palatino Linotype" w:hAnsi="Palatino Linotype"/>
          <w:noProof/>
          <w:sz w:val="22"/>
        </w:rPr>
        <w:t xml:space="preserve">.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108</w:t>
      </w:r>
      <w:r w:rsidRPr="00121E76">
        <w:rPr>
          <w:rFonts w:ascii="Palatino Linotype" w:hAnsi="Palatino Linotype"/>
          <w:noProof/>
          <w:sz w:val="22"/>
        </w:rPr>
        <w:t>, 13659–13664. (doi:10.1073/pnas.1104681108)</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58.</w:t>
      </w:r>
      <w:r w:rsidRPr="00121E76">
        <w:rPr>
          <w:rFonts w:ascii="Palatino Linotype" w:hAnsi="Palatino Linotype"/>
          <w:noProof/>
          <w:sz w:val="22"/>
        </w:rPr>
        <w:tab/>
        <w:t xml:space="preserve">Tenaillon, O., Le Nagard, H., Godelle, B. &amp; Taddei, F. 2000 Mutators and sex in bacteria: conflict between adaptive strategies. </w:t>
      </w:r>
      <w:r w:rsidRPr="00121E76">
        <w:rPr>
          <w:rFonts w:ascii="Palatino Linotype" w:hAnsi="Palatino Linotype"/>
          <w:i/>
          <w:iCs/>
          <w:noProof/>
          <w:sz w:val="22"/>
        </w:rPr>
        <w:t>Proc. Natl. Acad. Sci.</w:t>
      </w:r>
      <w:r w:rsidRPr="00121E76">
        <w:rPr>
          <w:rFonts w:ascii="Palatino Linotype" w:hAnsi="Palatino Linotype"/>
          <w:noProof/>
          <w:sz w:val="22"/>
        </w:rPr>
        <w:t xml:space="preserve"> </w:t>
      </w:r>
      <w:r w:rsidRPr="00121E76">
        <w:rPr>
          <w:rFonts w:ascii="Palatino Linotype" w:hAnsi="Palatino Linotype"/>
          <w:b/>
          <w:bCs/>
          <w:noProof/>
          <w:sz w:val="22"/>
        </w:rPr>
        <w:t>97</w:t>
      </w:r>
      <w:r w:rsidRPr="00121E76">
        <w:rPr>
          <w:rFonts w:ascii="Palatino Linotype" w:hAnsi="Palatino Linotype"/>
          <w:noProof/>
          <w:sz w:val="22"/>
        </w:rPr>
        <w:t>, 10465–70. (doi:10.1073/pnas.180063397)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59.</w:t>
      </w:r>
      <w:r w:rsidRPr="00121E76">
        <w:rPr>
          <w:rFonts w:ascii="Palatino Linotype" w:hAnsi="Palatino Linotype"/>
          <w:noProof/>
          <w:sz w:val="22"/>
        </w:rPr>
        <w:tab/>
        <w:t xml:space="preserve">Crow, J. F., Engels, W. R. &amp; Denniston, C. 1990 Phase Three of Wright’s Shifting-Balance Theory.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44</w:t>
      </w:r>
      <w:r w:rsidRPr="00121E76">
        <w:rPr>
          <w:rFonts w:ascii="Palatino Linotype" w:hAnsi="Palatino Linotype"/>
          <w:noProof/>
          <w:sz w:val="22"/>
        </w:rPr>
        <w:t>, 233. (doi:10.2307/2409403)</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60.</w:t>
      </w:r>
      <w:r w:rsidRPr="00121E76">
        <w:rPr>
          <w:rFonts w:ascii="Palatino Linotype" w:hAnsi="Palatino Linotype"/>
          <w:noProof/>
          <w:sz w:val="22"/>
        </w:rPr>
        <w:tab/>
        <w:t xml:space="preserve">Wade, M. J. &amp; Goodnight, C. J. 1991 Wright’s shifting balance theory: an experimental study. </w:t>
      </w:r>
      <w:r w:rsidRPr="00121E76">
        <w:rPr>
          <w:rFonts w:ascii="Palatino Linotype" w:hAnsi="Palatino Linotype"/>
          <w:i/>
          <w:iCs/>
          <w:noProof/>
          <w:sz w:val="22"/>
        </w:rPr>
        <w:t>Science (80-. ).</w:t>
      </w:r>
      <w:r w:rsidRPr="00121E76">
        <w:rPr>
          <w:rFonts w:ascii="Palatino Linotype" w:hAnsi="Palatino Linotype"/>
          <w:noProof/>
          <w:sz w:val="22"/>
        </w:rPr>
        <w:t xml:space="preserve"> </w:t>
      </w:r>
      <w:r w:rsidRPr="00121E76">
        <w:rPr>
          <w:rFonts w:ascii="Palatino Linotype" w:hAnsi="Palatino Linotype"/>
          <w:b/>
          <w:bCs/>
          <w:noProof/>
          <w:sz w:val="22"/>
        </w:rPr>
        <w:t>253</w:t>
      </w:r>
      <w:r w:rsidRPr="00121E76">
        <w:rPr>
          <w:rFonts w:ascii="Palatino Linotype" w:hAnsi="Palatino Linotype"/>
          <w:noProof/>
          <w:sz w:val="22"/>
        </w:rPr>
        <w:t>, 1015–8. (doi:10.1126/science.1887214)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61.</w:t>
      </w:r>
      <w:r w:rsidRPr="00121E76">
        <w:rPr>
          <w:rFonts w:ascii="Palatino Linotype" w:hAnsi="Palatino Linotype"/>
          <w:noProof/>
          <w:sz w:val="22"/>
        </w:rPr>
        <w:tab/>
        <w:t xml:space="preserve">Peck, S. L., Ellner, S. P. &amp; Gould, F. 2000 Varying migration and deme size and the feasibility of the shifting balance.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54</w:t>
      </w:r>
      <w:r w:rsidRPr="00121E76">
        <w:rPr>
          <w:rFonts w:ascii="Palatino Linotype" w:hAnsi="Palatino Linotype"/>
          <w:noProof/>
          <w:sz w:val="22"/>
        </w:rPr>
        <w:t>, 324–7. (doi:10.1111/j.0014-3820.2000.tb00035.x)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62.</w:t>
      </w:r>
      <w:r w:rsidRPr="00121E76">
        <w:rPr>
          <w:rFonts w:ascii="Palatino Linotype" w:hAnsi="Palatino Linotype"/>
          <w:noProof/>
          <w:sz w:val="22"/>
        </w:rPr>
        <w:tab/>
        <w:t xml:space="preserve">Moore, F. B.-G. &amp; Tonsor, S. J. 1994 A Simulation of Wright’s Shifting-Balance Process: Migration and the Three Phases.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48</w:t>
      </w:r>
      <w:r w:rsidRPr="00121E76">
        <w:rPr>
          <w:rFonts w:ascii="Palatino Linotype" w:hAnsi="Palatino Linotype"/>
          <w:noProof/>
          <w:sz w:val="22"/>
        </w:rPr>
        <w:t>, 69. (doi:10.2307/2410004)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63.</w:t>
      </w:r>
      <w:r w:rsidRPr="00121E76">
        <w:rPr>
          <w:rFonts w:ascii="Palatino Linotype" w:hAnsi="Palatino Linotype"/>
          <w:noProof/>
          <w:sz w:val="22"/>
        </w:rPr>
        <w:tab/>
        <w:t xml:space="preserve">Gavrilets, S. 1996 On phase three of the shifting-balance theory.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50</w:t>
      </w:r>
      <w:r w:rsidRPr="00121E76">
        <w:rPr>
          <w:rFonts w:ascii="Palatino Linotype" w:hAnsi="Palatino Linotype"/>
          <w:noProof/>
          <w:sz w:val="22"/>
        </w:rPr>
        <w:t>, 1034–1041. (doi:10.2307/2410644)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64.</w:t>
      </w:r>
      <w:r w:rsidRPr="00121E76">
        <w:rPr>
          <w:rFonts w:ascii="Palatino Linotype" w:hAnsi="Palatino Linotype"/>
          <w:noProof/>
          <w:sz w:val="22"/>
        </w:rPr>
        <w:tab/>
        <w:t xml:space="preserve">Coyne, J. A., Barton, N. H. &amp; Turelli, M. 2000 Is Wright’s shifting balance process important in evolution?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54</w:t>
      </w:r>
      <w:r w:rsidRPr="00121E76">
        <w:rPr>
          <w:rFonts w:ascii="Palatino Linotype" w:hAnsi="Palatino Linotype"/>
          <w:noProof/>
          <w:sz w:val="22"/>
        </w:rPr>
        <w:t>, 306–317. (doi:10.1111/j.0014-3820.2000.tb00033.x)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65.</w:t>
      </w:r>
      <w:r w:rsidRPr="00121E76">
        <w:rPr>
          <w:rFonts w:ascii="Palatino Linotype" w:hAnsi="Palatino Linotype"/>
          <w:noProof/>
          <w:sz w:val="22"/>
        </w:rPr>
        <w:tab/>
        <w:t xml:space="preserve">Whitlock, M. C. &amp; Phillips, P. C. 2000 The exquisite corpse: a shifting view of the shifting balance. </w:t>
      </w:r>
      <w:r w:rsidRPr="00121E76">
        <w:rPr>
          <w:rFonts w:ascii="Palatino Linotype" w:hAnsi="Palatino Linotype"/>
          <w:i/>
          <w:iCs/>
          <w:noProof/>
          <w:sz w:val="22"/>
        </w:rPr>
        <w:t>Trends Ecol. Evol.</w:t>
      </w:r>
      <w:r w:rsidRPr="00121E76">
        <w:rPr>
          <w:rFonts w:ascii="Palatino Linotype" w:hAnsi="Palatino Linotype"/>
          <w:noProof/>
          <w:sz w:val="22"/>
        </w:rPr>
        <w:t xml:space="preserve"> </w:t>
      </w:r>
      <w:r w:rsidRPr="00121E76">
        <w:rPr>
          <w:rFonts w:ascii="Palatino Linotype" w:hAnsi="Palatino Linotype"/>
          <w:b/>
          <w:bCs/>
          <w:noProof/>
          <w:sz w:val="22"/>
        </w:rPr>
        <w:t>15</w:t>
      </w:r>
      <w:r w:rsidRPr="00121E76">
        <w:rPr>
          <w:rFonts w:ascii="Palatino Linotype" w:hAnsi="Palatino Linotype"/>
          <w:noProof/>
          <w:sz w:val="22"/>
        </w:rPr>
        <w:t>, 347–348. (doi:10.1016/S0169-5347(00)01930-3)</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66.</w:t>
      </w:r>
      <w:r w:rsidRPr="00121E76">
        <w:rPr>
          <w:rFonts w:ascii="Palatino Linotype" w:hAnsi="Palatino Linotype"/>
          <w:noProof/>
          <w:sz w:val="22"/>
        </w:rPr>
        <w:tab/>
        <w:t xml:space="preserve">Whitlock, M. C. 1995 Variance-induced peak shifts.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49</w:t>
      </w:r>
      <w:r w:rsidRPr="00121E76">
        <w:rPr>
          <w:rFonts w:ascii="Palatino Linotype" w:hAnsi="Palatino Linotype"/>
          <w:noProof/>
          <w:sz w:val="22"/>
        </w:rPr>
        <w:t>, 252. (doi:10.2307/2410335)</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67.</w:t>
      </w:r>
      <w:r w:rsidRPr="00121E76">
        <w:rPr>
          <w:rFonts w:ascii="Palatino Linotype" w:hAnsi="Palatino Linotype"/>
          <w:noProof/>
          <w:sz w:val="22"/>
        </w:rPr>
        <w:tab/>
        <w:t xml:space="preserve">Whitlock, M. C. 1997 Founder effects and peak shifts without genetic drift: adaptive peak shifts occur easily when environments fluctuate slightly. </w:t>
      </w:r>
      <w:r w:rsidRPr="00121E76">
        <w:rPr>
          <w:rFonts w:ascii="Palatino Linotype" w:hAnsi="Palatino Linotype"/>
          <w:i/>
          <w:iCs/>
          <w:noProof/>
          <w:sz w:val="22"/>
        </w:rPr>
        <w:t>Evolution</w:t>
      </w:r>
      <w:r w:rsidRPr="00121E76">
        <w:rPr>
          <w:rFonts w:ascii="Palatino Linotype" w:hAnsi="Palatino Linotype"/>
          <w:noProof/>
          <w:sz w:val="22"/>
        </w:rPr>
        <w:t xml:space="preserve"> </w:t>
      </w:r>
      <w:r w:rsidRPr="00121E76">
        <w:rPr>
          <w:rFonts w:ascii="Palatino Linotype" w:hAnsi="Palatino Linotype"/>
          <w:b/>
          <w:bCs/>
          <w:noProof/>
          <w:sz w:val="22"/>
        </w:rPr>
        <w:t>51</w:t>
      </w:r>
      <w:r w:rsidRPr="00121E76">
        <w:rPr>
          <w:rFonts w:ascii="Palatino Linotype" w:hAnsi="Palatino Linotype"/>
          <w:noProof/>
          <w:sz w:val="22"/>
        </w:rPr>
        <w:t>, 1044. (doi:10.2307/2411033)</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68.</w:t>
      </w:r>
      <w:r w:rsidRPr="00121E76">
        <w:rPr>
          <w:rFonts w:ascii="Palatino Linotype" w:hAnsi="Palatino Linotype"/>
          <w:noProof/>
          <w:sz w:val="22"/>
        </w:rPr>
        <w:tab/>
        <w:t xml:space="preserve">Hadany, L. 2003 Adaptive peak shifts in a heterogenous environment. </w:t>
      </w:r>
      <w:r w:rsidRPr="00121E76">
        <w:rPr>
          <w:rFonts w:ascii="Palatino Linotype" w:hAnsi="Palatino Linotype"/>
          <w:i/>
          <w:iCs/>
          <w:noProof/>
          <w:sz w:val="22"/>
        </w:rPr>
        <w:t>Theor. Popul. Biol.</w:t>
      </w:r>
      <w:r w:rsidRPr="00121E76">
        <w:rPr>
          <w:rFonts w:ascii="Palatino Linotype" w:hAnsi="Palatino Linotype"/>
          <w:noProof/>
          <w:sz w:val="22"/>
        </w:rPr>
        <w:t xml:space="preserve"> </w:t>
      </w:r>
      <w:r w:rsidRPr="00121E76">
        <w:rPr>
          <w:rFonts w:ascii="Palatino Linotype" w:hAnsi="Palatino Linotype"/>
          <w:b/>
          <w:bCs/>
          <w:noProof/>
          <w:sz w:val="22"/>
        </w:rPr>
        <w:t>63</w:t>
      </w:r>
      <w:r w:rsidRPr="00121E76">
        <w:rPr>
          <w:rFonts w:ascii="Palatino Linotype" w:hAnsi="Palatino Linotype"/>
          <w:noProof/>
          <w:sz w:val="22"/>
        </w:rPr>
        <w:t>, 41–51. (doi:10.1016/S0040-5809(02)00011-4)</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69.</w:t>
      </w:r>
      <w:r w:rsidRPr="00121E76">
        <w:rPr>
          <w:rFonts w:ascii="Palatino Linotype" w:hAnsi="Palatino Linotype"/>
          <w:noProof/>
          <w:sz w:val="22"/>
        </w:rPr>
        <w:tab/>
        <w:t xml:space="preserve">Hadany, L. &amp; Beker, T. 2003 Fitness-associated recombination on rugged adaptive landscapes. </w:t>
      </w:r>
      <w:r w:rsidRPr="00121E76">
        <w:rPr>
          <w:rFonts w:ascii="Palatino Linotype" w:hAnsi="Palatino Linotype"/>
          <w:i/>
          <w:iCs/>
          <w:noProof/>
          <w:sz w:val="22"/>
        </w:rPr>
        <w:t>J. Evol. Biol.</w:t>
      </w:r>
      <w:r w:rsidRPr="00121E76">
        <w:rPr>
          <w:rFonts w:ascii="Palatino Linotype" w:hAnsi="Palatino Linotype"/>
          <w:noProof/>
          <w:sz w:val="22"/>
        </w:rPr>
        <w:t xml:space="preserve"> </w:t>
      </w:r>
      <w:r w:rsidRPr="00121E76">
        <w:rPr>
          <w:rFonts w:ascii="Palatino Linotype" w:hAnsi="Palatino Linotype"/>
          <w:b/>
          <w:bCs/>
          <w:noProof/>
          <w:sz w:val="22"/>
        </w:rPr>
        <w:t>16</w:t>
      </w:r>
      <w:r w:rsidRPr="00121E76">
        <w:rPr>
          <w:rFonts w:ascii="Palatino Linotype" w:hAnsi="Palatino Linotype"/>
          <w:noProof/>
          <w:sz w:val="22"/>
        </w:rPr>
        <w:t>, 862–870. (doi:10.1046/j.1420-9101.2003.00586.x)</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70.</w:t>
      </w:r>
      <w:r w:rsidRPr="00121E76">
        <w:rPr>
          <w:rFonts w:ascii="Palatino Linotype" w:hAnsi="Palatino Linotype"/>
          <w:noProof/>
          <w:sz w:val="22"/>
        </w:rPr>
        <w:tab/>
        <w:t xml:space="preserve">Weissman, D. B., Desai, M. M., Fisher, D. S. &amp; Feldman, M. W. 2009 The rate at which asexual populations cross fitness valleys. </w:t>
      </w:r>
      <w:r w:rsidRPr="00121E76">
        <w:rPr>
          <w:rFonts w:ascii="Palatino Linotype" w:hAnsi="Palatino Linotype"/>
          <w:i/>
          <w:iCs/>
          <w:noProof/>
          <w:sz w:val="22"/>
        </w:rPr>
        <w:t>Theor. Popul. Biol.</w:t>
      </w:r>
      <w:r w:rsidRPr="00121E76">
        <w:rPr>
          <w:rFonts w:ascii="Palatino Linotype" w:hAnsi="Palatino Linotype"/>
          <w:noProof/>
          <w:sz w:val="22"/>
        </w:rPr>
        <w:t xml:space="preserve"> </w:t>
      </w:r>
      <w:r w:rsidRPr="00121E76">
        <w:rPr>
          <w:rFonts w:ascii="Palatino Linotype" w:hAnsi="Palatino Linotype"/>
          <w:b/>
          <w:bCs/>
          <w:noProof/>
          <w:sz w:val="22"/>
        </w:rPr>
        <w:t>75</w:t>
      </w:r>
      <w:r w:rsidRPr="00121E76">
        <w:rPr>
          <w:rFonts w:ascii="Palatino Linotype" w:hAnsi="Palatino Linotype"/>
          <w:noProof/>
          <w:sz w:val="22"/>
        </w:rPr>
        <w:t>, 286–300. (doi:10.1016/j.tpb.2009.02.006)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71.</w:t>
      </w:r>
      <w:r w:rsidRPr="00121E76">
        <w:rPr>
          <w:rFonts w:ascii="Palatino Linotype" w:hAnsi="Palatino Linotype"/>
          <w:noProof/>
          <w:sz w:val="22"/>
        </w:rPr>
        <w:tab/>
        <w:t xml:space="preserve">Weissman, D. B., Feldman, M. W. &amp; Fisher, D. S. 2010 The rate of fitness-valley crossing in sexual populations.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186</w:t>
      </w:r>
      <w:r w:rsidRPr="00121E76">
        <w:rPr>
          <w:rFonts w:ascii="Palatino Linotype" w:hAnsi="Palatino Linotype"/>
          <w:noProof/>
          <w:sz w:val="22"/>
        </w:rPr>
        <w:t>, 1389–410. (doi:10.1534/genetics.110.123240)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lastRenderedPageBreak/>
        <w:t>72.</w:t>
      </w:r>
      <w:r w:rsidRPr="00121E76">
        <w:rPr>
          <w:rFonts w:ascii="Palatino Linotype" w:hAnsi="Palatino Linotype"/>
          <w:noProof/>
          <w:sz w:val="22"/>
        </w:rPr>
        <w:tab/>
        <w:t xml:space="preserve">Schrag, S. J., Perrot, V. &amp; Levin, B. R. 1997 Adaptation to the fitness costs of antibiotic resistance in </w:t>
      </w:r>
      <w:r w:rsidRPr="00121E76">
        <w:rPr>
          <w:rFonts w:ascii="Palatino Linotype" w:hAnsi="Palatino Linotype"/>
          <w:i/>
          <w:iCs/>
          <w:noProof/>
          <w:sz w:val="22"/>
        </w:rPr>
        <w:t>Escherichia coli</w:t>
      </w:r>
      <w:r w:rsidRPr="00121E76">
        <w:rPr>
          <w:rFonts w:ascii="Palatino Linotype" w:hAnsi="Palatino Linotype"/>
          <w:noProof/>
          <w:sz w:val="22"/>
        </w:rPr>
        <w:t xml:space="preserve">. </w:t>
      </w:r>
      <w:r w:rsidRPr="00121E76">
        <w:rPr>
          <w:rFonts w:ascii="Palatino Linotype" w:hAnsi="Palatino Linotype"/>
          <w:i/>
          <w:iCs/>
          <w:noProof/>
          <w:sz w:val="22"/>
        </w:rPr>
        <w:t>Proc. R. Soc. B Biol. Sci.</w:t>
      </w:r>
      <w:r w:rsidRPr="00121E76">
        <w:rPr>
          <w:rFonts w:ascii="Palatino Linotype" w:hAnsi="Palatino Linotype"/>
          <w:noProof/>
          <w:sz w:val="22"/>
        </w:rPr>
        <w:t xml:space="preserve"> </w:t>
      </w:r>
      <w:r w:rsidRPr="00121E76">
        <w:rPr>
          <w:rFonts w:ascii="Palatino Linotype" w:hAnsi="Palatino Linotype"/>
          <w:b/>
          <w:bCs/>
          <w:noProof/>
          <w:sz w:val="22"/>
        </w:rPr>
        <w:t>264</w:t>
      </w:r>
      <w:r w:rsidRPr="00121E76">
        <w:rPr>
          <w:rFonts w:ascii="Palatino Linotype" w:hAnsi="Palatino Linotype"/>
          <w:noProof/>
          <w:sz w:val="22"/>
        </w:rPr>
        <w:t>, 1287–91. (doi:10.1098/rspb.1997.0178)</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73.</w:t>
      </w:r>
      <w:r w:rsidRPr="00121E76">
        <w:rPr>
          <w:rFonts w:ascii="Palatino Linotype" w:hAnsi="Palatino Linotype"/>
          <w:noProof/>
          <w:sz w:val="22"/>
        </w:rPr>
        <w:tab/>
        <w:t xml:space="preserve">Cairns, J., Overbaugh, J. &amp; Miller, S. 1988 The origin of mutants. </w:t>
      </w:r>
      <w:r w:rsidRPr="00121E76">
        <w:rPr>
          <w:rFonts w:ascii="Palatino Linotype" w:hAnsi="Palatino Linotype"/>
          <w:i/>
          <w:iCs/>
          <w:noProof/>
          <w:sz w:val="22"/>
        </w:rPr>
        <w:t>Nature</w:t>
      </w:r>
      <w:r w:rsidRPr="00121E76">
        <w:rPr>
          <w:rFonts w:ascii="Palatino Linotype" w:hAnsi="Palatino Linotype"/>
          <w:noProof/>
          <w:sz w:val="22"/>
        </w:rPr>
        <w:t xml:space="preserve"> </w:t>
      </w:r>
      <w:r w:rsidRPr="00121E76">
        <w:rPr>
          <w:rFonts w:ascii="Palatino Linotype" w:hAnsi="Palatino Linotype"/>
          <w:b/>
          <w:bCs/>
          <w:noProof/>
          <w:sz w:val="22"/>
        </w:rPr>
        <w:t>335</w:t>
      </w:r>
      <w:r w:rsidRPr="00121E76">
        <w:rPr>
          <w:rFonts w:ascii="Palatino Linotype" w:hAnsi="Palatino Linotype"/>
          <w:noProof/>
          <w:sz w:val="22"/>
        </w:rPr>
        <w:t>, 142–5. (doi:10.1038/335142a0)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74.</w:t>
      </w:r>
      <w:r w:rsidRPr="00121E76">
        <w:rPr>
          <w:rFonts w:ascii="Palatino Linotype" w:hAnsi="Palatino Linotype"/>
          <w:noProof/>
          <w:sz w:val="22"/>
        </w:rPr>
        <w:tab/>
        <w:t xml:space="preserve">Johnson, T. &amp; Barton, N. H. 2002 The effect of deleterious alleles on adaptation in asexual populations.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162</w:t>
      </w:r>
      <w:r w:rsidRPr="00121E76">
        <w:rPr>
          <w:rFonts w:ascii="Palatino Linotype" w:hAnsi="Palatino Linotype"/>
          <w:noProof/>
          <w:sz w:val="22"/>
        </w:rPr>
        <w:t xml:space="preserve">, 395–411.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75.</w:t>
      </w:r>
      <w:r w:rsidRPr="00121E76">
        <w:rPr>
          <w:rFonts w:ascii="Palatino Linotype" w:hAnsi="Palatino Linotype"/>
          <w:noProof/>
          <w:sz w:val="22"/>
        </w:rPr>
        <w:tab/>
        <w:t xml:space="preserve">Kimura, M. &amp; Maruyama, T. 1966 The mutational load with epistatic gene interactions in fitness.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54</w:t>
      </w:r>
      <w:r w:rsidRPr="00121E76">
        <w:rPr>
          <w:rFonts w:ascii="Palatino Linotype" w:hAnsi="Palatino Linotype"/>
          <w:noProof/>
          <w:sz w:val="22"/>
        </w:rPr>
        <w:t xml:space="preserve">, 1337–51.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76.</w:t>
      </w:r>
      <w:r w:rsidRPr="00121E76">
        <w:rPr>
          <w:rFonts w:ascii="Palatino Linotype" w:hAnsi="Palatino Linotype"/>
          <w:noProof/>
          <w:sz w:val="22"/>
        </w:rPr>
        <w:tab/>
        <w:t xml:space="preserve">Otto, S. P. &amp; Day, T. 2007 </w:t>
      </w:r>
      <w:r w:rsidRPr="00121E76">
        <w:rPr>
          <w:rFonts w:ascii="Palatino Linotype" w:hAnsi="Palatino Linotype"/>
          <w:i/>
          <w:iCs/>
          <w:noProof/>
          <w:sz w:val="22"/>
        </w:rPr>
        <w:t>A biologist’s guide to mathematical modeling in ecology and evolution</w:t>
      </w:r>
      <w:r w:rsidRPr="00121E76">
        <w:rPr>
          <w:rFonts w:ascii="Palatino Linotype" w:hAnsi="Palatino Linotype"/>
          <w:noProof/>
          <w:sz w:val="22"/>
        </w:rPr>
        <w:t>. Princeton University Press.</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77.</w:t>
      </w:r>
      <w:r w:rsidRPr="00121E76">
        <w:rPr>
          <w:rFonts w:ascii="Palatino Linotype" w:hAnsi="Palatino Linotype"/>
          <w:noProof/>
          <w:sz w:val="22"/>
        </w:rPr>
        <w:tab/>
        <w:t xml:space="preserve">Kibota, T. T. &amp; Lynch, M. 1996 Estimate of the genomic mutation rate deleterious to overall fitness in </w:t>
      </w:r>
      <w:r w:rsidRPr="00121E76">
        <w:rPr>
          <w:rFonts w:ascii="Palatino Linotype" w:hAnsi="Palatino Linotype"/>
          <w:i/>
          <w:iCs/>
          <w:noProof/>
          <w:sz w:val="22"/>
        </w:rPr>
        <w:t>E. coli</w:t>
      </w:r>
      <w:r w:rsidRPr="00121E76">
        <w:rPr>
          <w:rFonts w:ascii="Palatino Linotype" w:hAnsi="Palatino Linotype"/>
          <w:noProof/>
          <w:sz w:val="22"/>
        </w:rPr>
        <w:t xml:space="preserve">. </w:t>
      </w:r>
      <w:r w:rsidRPr="00121E76">
        <w:rPr>
          <w:rFonts w:ascii="Palatino Linotype" w:hAnsi="Palatino Linotype"/>
          <w:i/>
          <w:iCs/>
          <w:noProof/>
          <w:sz w:val="22"/>
        </w:rPr>
        <w:t>Nature</w:t>
      </w:r>
      <w:r w:rsidRPr="00121E76">
        <w:rPr>
          <w:rFonts w:ascii="Palatino Linotype" w:hAnsi="Palatino Linotype"/>
          <w:noProof/>
          <w:sz w:val="22"/>
        </w:rPr>
        <w:t xml:space="preserve"> </w:t>
      </w:r>
      <w:r w:rsidRPr="00121E76">
        <w:rPr>
          <w:rFonts w:ascii="Palatino Linotype" w:hAnsi="Palatino Linotype"/>
          <w:b/>
          <w:bCs/>
          <w:noProof/>
          <w:sz w:val="22"/>
        </w:rPr>
        <w:t>381</w:t>
      </w:r>
      <w:r w:rsidRPr="00121E76">
        <w:rPr>
          <w:rFonts w:ascii="Palatino Linotype" w:hAnsi="Palatino Linotype"/>
          <w:noProof/>
          <w:sz w:val="22"/>
        </w:rPr>
        <w:t>, 694–6. (doi:10.1038/381694a0)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78.</w:t>
      </w:r>
      <w:r w:rsidRPr="00121E76">
        <w:rPr>
          <w:rFonts w:ascii="Palatino Linotype" w:hAnsi="Palatino Linotype"/>
          <w:noProof/>
          <w:sz w:val="22"/>
        </w:rPr>
        <w:tab/>
        <w:t xml:space="preserve">Gordo, I., Perfeito, L. &amp; Sousa, A. 2011 Fitness effects of mutations in bacteria. </w:t>
      </w:r>
      <w:r w:rsidRPr="00121E76">
        <w:rPr>
          <w:rFonts w:ascii="Palatino Linotype" w:hAnsi="Palatino Linotype"/>
          <w:i/>
          <w:iCs/>
          <w:noProof/>
          <w:sz w:val="22"/>
        </w:rPr>
        <w:t>J. Mol. Microbiol. Biotechnol.</w:t>
      </w:r>
      <w:r w:rsidRPr="00121E76">
        <w:rPr>
          <w:rFonts w:ascii="Palatino Linotype" w:hAnsi="Palatino Linotype"/>
          <w:noProof/>
          <w:sz w:val="22"/>
        </w:rPr>
        <w:t xml:space="preserve"> </w:t>
      </w:r>
      <w:r w:rsidRPr="00121E76">
        <w:rPr>
          <w:rFonts w:ascii="Palatino Linotype" w:hAnsi="Palatino Linotype"/>
          <w:b/>
          <w:bCs/>
          <w:noProof/>
          <w:sz w:val="22"/>
        </w:rPr>
        <w:t>21</w:t>
      </w:r>
      <w:r w:rsidRPr="00121E76">
        <w:rPr>
          <w:rFonts w:ascii="Palatino Linotype" w:hAnsi="Palatino Linotype"/>
          <w:noProof/>
          <w:sz w:val="22"/>
        </w:rPr>
        <w:t>, 20–35. (doi:10.1159/000332747)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79.</w:t>
      </w:r>
      <w:r w:rsidRPr="00121E76">
        <w:rPr>
          <w:rFonts w:ascii="Palatino Linotype" w:hAnsi="Palatino Linotype"/>
          <w:noProof/>
          <w:sz w:val="22"/>
        </w:rPr>
        <w:tab/>
        <w:t xml:space="preserve">Drake, J. W., Charlesworth, B., Charlesworth, D. &amp; Crow, J. F. 1998 Rates of spontaneous mutation.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148</w:t>
      </w:r>
      <w:r w:rsidRPr="00121E76">
        <w:rPr>
          <w:rFonts w:ascii="Palatino Linotype" w:hAnsi="Palatino Linotype"/>
          <w:noProof/>
          <w:sz w:val="22"/>
        </w:rPr>
        <w:t xml:space="preserve">, 1667–86. </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80.</w:t>
      </w:r>
      <w:r w:rsidRPr="00121E76">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121E76">
        <w:rPr>
          <w:rFonts w:ascii="Palatino Linotype" w:hAnsi="Palatino Linotype"/>
          <w:i/>
          <w:iCs/>
          <w:noProof/>
          <w:sz w:val="22"/>
        </w:rPr>
        <w:t>Escherichia coli</w:t>
      </w:r>
      <w:r w:rsidRPr="00121E76">
        <w:rPr>
          <w:rFonts w:ascii="Palatino Linotype" w:hAnsi="Palatino Linotype"/>
          <w:noProof/>
          <w:sz w:val="22"/>
        </w:rPr>
        <w:t xml:space="preserve">. </w:t>
      </w:r>
      <w:r w:rsidRPr="00121E76">
        <w:rPr>
          <w:rFonts w:ascii="Palatino Linotype" w:hAnsi="Palatino Linotype"/>
          <w:i/>
          <w:iCs/>
          <w:noProof/>
          <w:sz w:val="22"/>
        </w:rPr>
        <w:t>G3</w:t>
      </w:r>
      <w:r w:rsidRPr="00121E76">
        <w:rPr>
          <w:rFonts w:ascii="Palatino Linotype" w:hAnsi="Palatino Linotype"/>
          <w:noProof/>
          <w:sz w:val="22"/>
        </w:rPr>
        <w:t xml:space="preserve"> </w:t>
      </w:r>
      <w:r w:rsidRPr="00121E76">
        <w:rPr>
          <w:rFonts w:ascii="Palatino Linotype" w:hAnsi="Palatino Linotype"/>
          <w:b/>
          <w:bCs/>
          <w:noProof/>
          <w:sz w:val="22"/>
        </w:rPr>
        <w:t>1</w:t>
      </w:r>
      <w:r w:rsidRPr="00121E76">
        <w:rPr>
          <w:rFonts w:ascii="Palatino Linotype" w:hAnsi="Palatino Linotype"/>
          <w:noProof/>
          <w:sz w:val="22"/>
        </w:rPr>
        <w:t>, 183–186. (doi:10.1534/g3.111.000406)</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81.</w:t>
      </w:r>
      <w:r w:rsidRPr="00121E76">
        <w:rPr>
          <w:rFonts w:ascii="Palatino Linotype" w:hAnsi="Palatino Linotype"/>
          <w:noProof/>
          <w:sz w:val="22"/>
        </w:rPr>
        <w:tab/>
        <w:t xml:space="preserve">Hall, L. M. C. &amp; Henderson-Begg, S. K. 2006 Hypermutable bacteria isolated from humans--a critical analysis. </w:t>
      </w:r>
      <w:r w:rsidRPr="00121E76">
        <w:rPr>
          <w:rFonts w:ascii="Palatino Linotype" w:hAnsi="Palatino Linotype"/>
          <w:i/>
          <w:iCs/>
          <w:noProof/>
          <w:sz w:val="22"/>
        </w:rPr>
        <w:t>Microbiology</w:t>
      </w:r>
      <w:r w:rsidRPr="00121E76">
        <w:rPr>
          <w:rFonts w:ascii="Palatino Linotype" w:hAnsi="Palatino Linotype"/>
          <w:noProof/>
          <w:sz w:val="22"/>
        </w:rPr>
        <w:t xml:space="preserve"> </w:t>
      </w:r>
      <w:r w:rsidRPr="00121E76">
        <w:rPr>
          <w:rFonts w:ascii="Palatino Linotype" w:hAnsi="Palatino Linotype"/>
          <w:b/>
          <w:bCs/>
          <w:noProof/>
          <w:sz w:val="22"/>
        </w:rPr>
        <w:t>152</w:t>
      </w:r>
      <w:r w:rsidRPr="00121E76">
        <w:rPr>
          <w:rFonts w:ascii="Palatino Linotype" w:hAnsi="Palatino Linotype"/>
          <w:noProof/>
          <w:sz w:val="22"/>
        </w:rPr>
        <w:t>, 2505–14. (doi:10.1099/mic.0.29079-0)</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82.</w:t>
      </w:r>
      <w:r w:rsidRPr="00121E76">
        <w:rPr>
          <w:rFonts w:ascii="Palatino Linotype" w:hAnsi="Palatino Linotype"/>
          <w:noProof/>
          <w:sz w:val="22"/>
        </w:rPr>
        <w:tab/>
        <w:t xml:space="preserve">Pupo, G. M. &amp; Richardson, B. J. 1995 Biochemical genetics of a natural population of </w:t>
      </w:r>
      <w:r w:rsidRPr="00121E76">
        <w:rPr>
          <w:rFonts w:ascii="Palatino Linotype" w:hAnsi="Palatino Linotype"/>
          <w:i/>
          <w:iCs/>
          <w:noProof/>
          <w:sz w:val="22"/>
        </w:rPr>
        <w:t>Escherichia coli</w:t>
      </w:r>
      <w:r w:rsidRPr="00121E76">
        <w:rPr>
          <w:rFonts w:ascii="Palatino Linotype" w:hAnsi="Palatino Linotype"/>
          <w:noProof/>
          <w:sz w:val="22"/>
        </w:rPr>
        <w:t xml:space="preserve">: seasonal changes in alleles and haplotypes. </w:t>
      </w:r>
      <w:r w:rsidRPr="00121E76">
        <w:rPr>
          <w:rFonts w:ascii="Palatino Linotype" w:hAnsi="Palatino Linotype"/>
          <w:i/>
          <w:iCs/>
          <w:noProof/>
          <w:sz w:val="22"/>
        </w:rPr>
        <w:t>Microbiology</w:t>
      </w:r>
      <w:r w:rsidRPr="00121E76">
        <w:rPr>
          <w:rFonts w:ascii="Palatino Linotype" w:hAnsi="Palatino Linotype"/>
          <w:noProof/>
          <w:sz w:val="22"/>
        </w:rPr>
        <w:t xml:space="preserve"> </w:t>
      </w:r>
      <w:r w:rsidRPr="00121E76">
        <w:rPr>
          <w:rFonts w:ascii="Palatino Linotype" w:hAnsi="Palatino Linotype"/>
          <w:b/>
          <w:bCs/>
          <w:noProof/>
          <w:sz w:val="22"/>
        </w:rPr>
        <w:t>141</w:t>
      </w:r>
      <w:r w:rsidRPr="00121E76">
        <w:rPr>
          <w:rFonts w:ascii="Palatino Linotype" w:hAnsi="Palatino Linotype"/>
          <w:noProof/>
          <w:sz w:val="22"/>
        </w:rPr>
        <w:t>, 1037–44. (doi:10.1099/13500872-141-4-1037)</w:t>
      </w:r>
    </w:p>
    <w:p w:rsidR="00121E76" w:rsidRPr="00121E76" w:rsidRDefault="00121E76" w:rsidP="00121E76">
      <w:pPr>
        <w:pStyle w:val="NormalWeb"/>
        <w:ind w:left="640" w:hanging="640"/>
        <w:rPr>
          <w:rFonts w:ascii="Palatino Linotype" w:hAnsi="Palatino Linotype"/>
          <w:noProof/>
          <w:sz w:val="22"/>
        </w:rPr>
      </w:pPr>
      <w:r w:rsidRPr="00121E76">
        <w:rPr>
          <w:rFonts w:ascii="Palatino Linotype" w:hAnsi="Palatino Linotype"/>
          <w:noProof/>
          <w:sz w:val="22"/>
        </w:rPr>
        <w:t>83.</w:t>
      </w:r>
      <w:r w:rsidRPr="00121E76">
        <w:rPr>
          <w:rFonts w:ascii="Palatino Linotype" w:hAnsi="Palatino Linotype"/>
          <w:noProof/>
          <w:sz w:val="22"/>
        </w:rPr>
        <w:tab/>
        <w:t xml:space="preserve">Berg, O. G. 1996 Selection intensity for codon bias and the effective population size of </w:t>
      </w:r>
      <w:r w:rsidRPr="00121E76">
        <w:rPr>
          <w:rFonts w:ascii="Palatino Linotype" w:hAnsi="Palatino Linotype"/>
          <w:i/>
          <w:iCs/>
          <w:noProof/>
          <w:sz w:val="22"/>
        </w:rPr>
        <w:t>Escherichia coli</w:t>
      </w:r>
      <w:r w:rsidRPr="00121E76">
        <w:rPr>
          <w:rFonts w:ascii="Palatino Linotype" w:hAnsi="Palatino Linotype"/>
          <w:noProof/>
          <w:sz w:val="22"/>
        </w:rPr>
        <w:t xml:space="preserve">. </w:t>
      </w:r>
      <w:r w:rsidRPr="00121E76">
        <w:rPr>
          <w:rFonts w:ascii="Palatino Linotype" w:hAnsi="Palatino Linotype"/>
          <w:i/>
          <w:iCs/>
          <w:noProof/>
          <w:sz w:val="22"/>
        </w:rPr>
        <w:t>Genetics</w:t>
      </w:r>
      <w:r w:rsidRPr="00121E76">
        <w:rPr>
          <w:rFonts w:ascii="Palatino Linotype" w:hAnsi="Palatino Linotype"/>
          <w:noProof/>
          <w:sz w:val="22"/>
        </w:rPr>
        <w:t xml:space="preserve"> </w:t>
      </w:r>
      <w:r w:rsidRPr="00121E76">
        <w:rPr>
          <w:rFonts w:ascii="Palatino Linotype" w:hAnsi="Palatino Linotype"/>
          <w:b/>
          <w:bCs/>
          <w:noProof/>
          <w:sz w:val="22"/>
        </w:rPr>
        <w:t>142</w:t>
      </w:r>
      <w:r w:rsidRPr="00121E76">
        <w:rPr>
          <w:rFonts w:ascii="Palatino Linotype" w:hAnsi="Palatino Linotype"/>
          <w:noProof/>
          <w:sz w:val="22"/>
        </w:rPr>
        <w:t xml:space="preserve">, 1379–82. </w:t>
      </w:r>
    </w:p>
    <w:p w:rsidR="00121E76" w:rsidRDefault="00121E76" w:rsidP="00121E76">
      <w:pPr>
        <w:spacing w:after="200" w:line="276" w:lineRule="auto"/>
        <w:rPr>
          <w:rFonts w:asciiTheme="majorHAnsi" w:eastAsiaTheme="majorEastAsia" w:hAnsiTheme="majorHAnsi" w:cstheme="majorBidi"/>
          <w:bCs/>
          <w:color w:val="000000" w:themeColor="text2"/>
          <w:sz w:val="32"/>
          <w:szCs w:val="28"/>
        </w:rPr>
      </w:pPr>
      <w:r>
        <w:fldChar w:fldCharType="end"/>
      </w:r>
      <w:r>
        <w:rPr>
          <w:lang w:bidi="hi-IN"/>
        </w:rPr>
        <w:t xml:space="preserve"> </w:t>
      </w:r>
      <w:r>
        <w:br w:type="page"/>
      </w:r>
    </w:p>
    <w:p w:rsidR="00961941" w:rsidRDefault="00961941" w:rsidP="00121E76">
      <w:pPr>
        <w:pStyle w:val="Heading1"/>
        <w:spacing w:line="480" w:lineRule="auto"/>
      </w:pPr>
      <w:r w:rsidRPr="00961941">
        <w:lastRenderedPageBreak/>
        <w:t>Appendixes</w:t>
      </w:r>
    </w:p>
    <w:p w:rsidR="00961941" w:rsidRDefault="00961941" w:rsidP="00121E76">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121E7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121E7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121E76">
      <w:pPr>
        <w:spacing w:line="480" w:lineRule="auto"/>
      </w:pPr>
      <w:r w:rsidRPr="006930EE">
        <w:t xml:space="preserve">Using the above assumptions, this </w:t>
      </w:r>
      <w:r>
        <w:t>resolves to</w:t>
      </w:r>
      <w:r w:rsidRPr="006930EE">
        <w:t xml:space="preserve">: </w:t>
      </w:r>
    </w:p>
    <w:p w:rsidR="00961941" w:rsidRPr="006930EE" w:rsidRDefault="00961941" w:rsidP="00121E7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121E76">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2329E" w:rsidP="00121E7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121E76">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121E76">
      <w:pPr>
        <w:spacing w:line="480" w:lineRule="auto"/>
      </w:pPr>
      <w:r>
        <w:t>For a population with SIM</w:t>
      </w:r>
    </w:p>
    <w:p w:rsidR="00961941" w:rsidRPr="005579CA" w:rsidRDefault="0092329E" w:rsidP="00121E7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121E76">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121E76">
            <w:pPr>
              <w:spacing w:line="480" w:lineRule="auto"/>
            </w:pPr>
          </w:p>
        </w:tc>
      </w:tr>
    </w:tbl>
    <w:p w:rsidR="00961941" w:rsidRPr="00466C39" w:rsidRDefault="00961941" w:rsidP="00121E76">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2329E" w:rsidP="00121E7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121E76">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121E76">
      <w:pPr>
        <w:pStyle w:val="Heading2"/>
        <w:numPr>
          <w:ilvl w:val="0"/>
          <w:numId w:val="0"/>
        </w:numPr>
        <w:spacing w:line="480" w:lineRule="auto"/>
        <w:ind w:left="357" w:hanging="357"/>
      </w:pPr>
      <w:bookmarkStart w:id="19" w:name="_Ref360530760"/>
      <w:bookmarkStart w:id="20" w:name="_Ref363980888"/>
      <w:r>
        <w:t>Appendix</w:t>
      </w:r>
      <w:bookmarkEnd w:id="19"/>
      <w:r>
        <w:t xml:space="preserve"> </w:t>
      </w:r>
      <w:bookmarkEnd w:id="20"/>
      <w:r w:rsidR="00C46C20">
        <w:t>B</w:t>
      </w:r>
      <w:r>
        <w:t>: Fixation of a double mutant</w:t>
      </w:r>
    </w:p>
    <w:p w:rsidR="00961941" w:rsidRDefault="00961941" w:rsidP="00121E76">
      <w:pPr>
        <w:spacing w:line="480" w:lineRule="auto"/>
        <w:rPr>
          <w:lang w:bidi="hi-IN"/>
        </w:rPr>
      </w:pPr>
      <w:r>
        <w:t xml:space="preserve">Following </w:t>
      </w:r>
      <w:proofErr w:type="spellStart"/>
      <w:r>
        <w:t>Eshel</w:t>
      </w:r>
      <w:proofErr w:type="spellEnd"/>
      <w:r>
        <w:t xml:space="preserve"> </w:t>
      </w:r>
      <w:r w:rsidR="00616194">
        <w:fldChar w:fldCharType="begin" w:fldLock="1"/>
      </w:r>
      <w:r w:rsidR="00121E7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121E7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121E7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121E7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121E76">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121E76">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"[74]" }, "properties" : { "noteIndex" : 0 }, "schema" : "https://github.com/citation-style-language/schema/raw/master/csl-citation.json" }</w:instrText>
      </w:r>
      <w:r w:rsidR="00616194" w:rsidRPr="000448EE">
        <w:fldChar w:fldCharType="separate"/>
      </w:r>
      <w:r w:rsidR="00A328A2" w:rsidRPr="00A328A2">
        <w:rPr>
          <w:noProof/>
        </w:rPr>
        <w:t>[74]</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121E76">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121E76">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121E76">
      <w:pPr>
        <w:spacing w:line="480" w:lineRule="auto"/>
        <w:jc w:val="center"/>
      </w:pPr>
      <m:oMath>
        <m:r>
          <w:rPr>
            <w:rFonts w:ascii="Cambria Math" w:hAnsi="Cambria Math"/>
          </w:rPr>
          <m:t>ρ≈2sH</m:t>
        </m:r>
      </m:oMath>
      <w:r>
        <w:t>.</w:t>
      </w:r>
    </w:p>
    <w:p w:rsidR="00961941" w:rsidRPr="00961941" w:rsidRDefault="00961941" w:rsidP="00121E76">
      <w:pPr>
        <w:pStyle w:val="Heading2"/>
        <w:numPr>
          <w:ilvl w:val="0"/>
          <w:numId w:val="0"/>
        </w:numPr>
        <w:spacing w:line="480" w:lineRule="auto"/>
        <w:ind w:left="357" w:hanging="357"/>
        <w:rPr>
          <w:vertAlign w:val="subscript"/>
        </w:rPr>
      </w:pPr>
      <w:bookmarkStart w:id="22" w:name="_Ref363980903"/>
      <w:r>
        <w:t xml:space="preserve">Appendix </w:t>
      </w:r>
      <w:bookmarkEnd w:id="21"/>
      <w:bookmarkEnd w:id="22"/>
      <w:r w:rsidR="00C46C20">
        <w:t>C</w:t>
      </w:r>
      <w:r>
        <w:t xml:space="preserve">: Fixation of a double mutant with </w:t>
      </w:r>
      <w:proofErr w:type="spellStart"/>
      <w:r>
        <w:t>SIM</w:t>
      </w:r>
      <w:r>
        <w:rPr>
          <w:vertAlign w:val="subscript"/>
        </w:rPr>
        <w:t>e</w:t>
      </w:r>
      <w:proofErr w:type="spellEnd"/>
    </w:p>
    <w:p w:rsidR="00961941" w:rsidRPr="00335E62" w:rsidRDefault="00961941" w:rsidP="00121E76">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121E7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121E76">
      <w:pPr>
        <w:spacing w:line="480" w:lineRule="auto"/>
        <w:rPr>
          <w:rFonts w:eastAsiaTheme="minorEastAsia"/>
          <w:lang w:bidi="hi-IN"/>
        </w:rPr>
      </w:pPr>
      <w:r>
        <w:rPr>
          <w:rFonts w:eastAsiaTheme="minorEastAsia"/>
          <w:lang w:bidi="hi-IN"/>
        </w:rPr>
        <w:t>Plugging that in the fixation probability,</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121E7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121E76">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lastRenderedPageBreak/>
        <w:t>Appendix</w:t>
      </w:r>
      <w:r w:rsidRPr="00457ACF">
        <w:rPr>
          <w:rFonts w:eastAsiaTheme="minorEastAsia"/>
        </w:rPr>
        <w:t xml:space="preserve"> D: Mean fitness at the mutation-selection balance</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Denote the frequency of individuals with </w:t>
      </w:r>
      <w:r w:rsidRPr="00457ACF">
        <w:rPr>
          <w:rFonts w:ascii="Palatino Linotype" w:hAnsi="Palatino Linotype"/>
          <w:i/>
          <w:iCs/>
          <w:lang w:bidi="hi-IN"/>
        </w:rPr>
        <w:t>x</w:t>
      </w:r>
      <w:r w:rsidRPr="00457ACF">
        <w:rPr>
          <w:rFonts w:ascii="Palatino Linotype" w:hAnsi="Palatino Linotype"/>
          <w:lang w:bidi="hi-IN"/>
        </w:rPr>
        <w:t xml:space="preserve"> deleterious alleles by </w:t>
      </w:r>
      <w:proofErr w:type="spellStart"/>
      <w:proofErr w:type="gram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proofErr w:type="gramEnd"/>
      <w:r w:rsidRPr="00457ACF">
        <w:rPr>
          <w:rFonts w:ascii="Palatino Linotype" w:hAnsi="Palatino Linotype"/>
          <w:lang w:bidi="hi-IN"/>
        </w:rPr>
        <w:t xml:space="preserve">. The frequency of such individuals in the next generation </w:t>
      </w:r>
      <w:proofErr w:type="spell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r w:rsidRPr="00457ACF">
        <w:rPr>
          <w:rFonts w:ascii="Palatino Linotype" w:hAnsi="Palatino Linotype"/>
          <w:lang w:bidi="hi-IN"/>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121E76" w:rsidRPr="00457ACF" w:rsidTr="0092329E">
        <w:tc>
          <w:tcPr>
            <w:tcW w:w="2842" w:type="dxa"/>
          </w:tcPr>
          <w:p w:rsidR="00121E76" w:rsidRPr="00457ACF" w:rsidRDefault="00121E76" w:rsidP="0092329E">
            <w:pPr>
              <w:spacing w:line="480" w:lineRule="auto"/>
              <w:rPr>
                <w:rFonts w:ascii="Palatino Linotype" w:eastAsiaTheme="minorEastAsia" w:hAnsi="Palatino Linotype"/>
                <w:sz w:val="22"/>
                <w:szCs w:val="22"/>
                <w:lang w:bidi="hi-IN"/>
              </w:rPr>
            </w:pPr>
          </w:p>
        </w:tc>
        <w:tc>
          <w:tcPr>
            <w:tcW w:w="2843" w:type="dxa"/>
          </w:tcPr>
          <w:p w:rsidR="00121E76" w:rsidRPr="00457ACF" w:rsidRDefault="00121E76" w:rsidP="0092329E">
            <w:pPr>
              <w:spacing w:line="480" w:lineRule="auto"/>
              <w:rPr>
                <w:rFonts w:ascii="Palatino Linotype" w:eastAsiaTheme="minorEastAsia" w:hAnsi="Palatino Linotype"/>
                <w:sz w:val="22"/>
                <w:szCs w:val="22"/>
                <w:lang w:bidi="hi-IN"/>
              </w:rPr>
            </w:pPr>
            <m:oMath>
              <m:acc>
                <m:accPr>
                  <m:chr m:val="̅"/>
                  <m:ctrlPr>
                    <w:rPr>
                      <w:rFonts w:ascii="Cambria Math" w:eastAsiaTheme="minorEastAsia" w:hAnsi="Cambria Math"/>
                      <w:i/>
                      <w:sz w:val="22"/>
                      <w:szCs w:val="22"/>
                      <w:lang w:bidi="hi-IN"/>
                    </w:rPr>
                  </m:ctrlPr>
                </m:accPr>
                <m:e>
                  <m:r>
                    <w:rPr>
                      <w:rFonts w:ascii="Cambria Math" w:hAnsi="Cambria Math"/>
                      <w:sz w:val="22"/>
                      <w:szCs w:val="22"/>
                      <w:lang w:bidi="hi-IN"/>
                    </w:rPr>
                    <m:t>ω</m:t>
                  </m:r>
                  <m:ctrlPr>
                    <w:rPr>
                      <w:rFonts w:ascii="Cambria Math" w:hAnsi="Cambria Math"/>
                      <w:i/>
                      <w:sz w:val="22"/>
                      <w:szCs w:val="22"/>
                      <w:lang w:bidi="hi-IN"/>
                    </w:rPr>
                  </m:ctrlPr>
                </m:e>
              </m:acc>
              <m:sSubSup>
                <m:sSubSupPr>
                  <m:ctrlPr>
                    <w:rPr>
                      <w:rFonts w:ascii="Cambria Math" w:hAnsi="Cambria Math"/>
                      <w:i/>
                      <w:sz w:val="22"/>
                      <w:szCs w:val="22"/>
                      <w:lang w:bidi="hi-IN"/>
                    </w:rPr>
                  </m:ctrlPr>
                </m:sSubSupPr>
                <m:e>
                  <m:r>
                    <w:rPr>
                      <w:rFonts w:ascii="Cambria Math" w:hAnsi="Cambria Math"/>
                      <w:sz w:val="22"/>
                      <w:szCs w:val="22"/>
                      <w:lang w:bidi="hi-IN"/>
                    </w:rPr>
                    <m:t>f</m:t>
                  </m:r>
                </m:e>
                <m:sub>
                  <m:r>
                    <w:rPr>
                      <w:rFonts w:ascii="Cambria Math" w:hAnsi="Cambria Math"/>
                      <w:sz w:val="22"/>
                      <w:szCs w:val="22"/>
                      <w:lang w:bidi="hi-IN"/>
                    </w:rPr>
                    <m:t>x</m:t>
                  </m:r>
                </m:sub>
                <m:sup>
                  <m:r>
                    <w:rPr>
                      <w:rFonts w:ascii="Cambria Math" w:hAnsi="Cambria Math"/>
                      <w:sz w:val="22"/>
                      <w:szCs w:val="22"/>
                      <w:lang w:bidi="hi-IN"/>
                    </w:rPr>
                    <m:t>'</m:t>
                  </m:r>
                </m:sup>
              </m:sSubSup>
              <m:r>
                <w:rPr>
                  <w:rFonts w:ascii="Cambria Math" w:hAnsi="Cambria Math"/>
                  <w:sz w:val="22"/>
                  <w:szCs w:val="22"/>
                  <w:lang w:bidi="hi-IN"/>
                </w:rPr>
                <m:t>=</m:t>
              </m:r>
              <m:nary>
                <m:naryPr>
                  <m:chr m:val="∑"/>
                  <m:supHide m:val="1"/>
                  <m:ctrlPr>
                    <w:rPr>
                      <w:rFonts w:ascii="Cambria Math" w:hAnsi="Cambria Math"/>
                      <w:i/>
                      <w:sz w:val="22"/>
                      <w:szCs w:val="22"/>
                      <w:lang w:bidi="hi-IN"/>
                    </w:rPr>
                  </m:ctrlPr>
                </m:naryPr>
                <m:sub>
                  <m:r>
                    <w:rPr>
                      <w:rFonts w:ascii="Cambria Math" w:hAnsi="Cambria Math"/>
                      <w:sz w:val="22"/>
                      <w:szCs w:val="22"/>
                      <w:lang w:bidi="hi-IN"/>
                    </w:rPr>
                    <m:t>y≥0</m:t>
                  </m:r>
                </m:sub>
                <m:sup/>
                <m:e>
                  <m:sSub>
                    <m:sSubPr>
                      <m:ctrlPr>
                        <w:rPr>
                          <w:rFonts w:ascii="Cambria Math" w:hAnsi="Cambria Math"/>
                          <w:i/>
                          <w:sz w:val="22"/>
                          <w:szCs w:val="22"/>
                          <w:lang w:bidi="hi-IN"/>
                        </w:rPr>
                      </m:ctrlPr>
                    </m:sSubPr>
                    <m:e>
                      <m:r>
                        <w:rPr>
                          <w:rFonts w:ascii="Cambria Math" w:hAnsi="Cambria Math"/>
                          <w:sz w:val="22"/>
                          <w:szCs w:val="22"/>
                          <w:lang w:bidi="hi-IN"/>
                        </w:rPr>
                        <m:t>f</m:t>
                      </m:r>
                    </m:e>
                    <m:sub>
                      <m:r>
                        <w:rPr>
                          <w:rFonts w:ascii="Cambria Math" w:hAnsi="Cambria Math"/>
                          <w:sz w:val="22"/>
                          <w:szCs w:val="22"/>
                          <w:lang w:bidi="hi-IN"/>
                        </w:rPr>
                        <m:t>y</m:t>
                      </m:r>
                    </m:sub>
                  </m:sSub>
                  <m:sSub>
                    <m:sSubPr>
                      <m:ctrlPr>
                        <w:rPr>
                          <w:rFonts w:ascii="Cambria Math" w:hAnsi="Cambria Math"/>
                          <w:i/>
                          <w:sz w:val="22"/>
                          <w:szCs w:val="22"/>
                          <w:lang w:bidi="hi-IN"/>
                        </w:rPr>
                      </m:ctrlPr>
                    </m:sSubPr>
                    <m:e>
                      <m:r>
                        <w:rPr>
                          <w:rFonts w:ascii="Cambria Math" w:hAnsi="Cambria Math"/>
                          <w:sz w:val="22"/>
                          <w:szCs w:val="22"/>
                          <w:lang w:bidi="hi-IN"/>
                        </w:rPr>
                        <m:t>m</m:t>
                      </m:r>
                    </m:e>
                    <m:sub>
                      <m:r>
                        <w:rPr>
                          <w:rFonts w:ascii="Cambria Math" w:hAnsi="Cambria Math"/>
                          <w:sz w:val="22"/>
                          <w:szCs w:val="22"/>
                          <w:lang w:bidi="hi-IN"/>
                        </w:rPr>
                        <m:t>x,y</m:t>
                      </m:r>
                    </m:sub>
                  </m:sSub>
                </m:e>
              </m:nary>
            </m:oMath>
            <w:r w:rsidRPr="00457ACF">
              <w:rPr>
                <w:rFonts w:ascii="Palatino Linotype" w:eastAsiaTheme="minorEastAsia" w:hAnsi="Palatino Linotype"/>
                <w:sz w:val="22"/>
                <w:szCs w:val="22"/>
                <w:lang w:bidi="hi-IN"/>
              </w:rPr>
              <w:t>,</w:t>
            </w:r>
          </w:p>
        </w:tc>
        <w:tc>
          <w:tcPr>
            <w:tcW w:w="2843" w:type="dxa"/>
          </w:tcPr>
          <w:p w:rsidR="00121E76" w:rsidRPr="00457ACF" w:rsidRDefault="00121E76" w:rsidP="0092329E">
            <w:pPr>
              <w:spacing w:line="480" w:lineRule="auto"/>
              <w:jc w:val="right"/>
              <w:rPr>
                <w:rFonts w:ascii="Palatino Linotype" w:eastAsiaTheme="minorEastAsia" w:hAnsi="Palatino Linotype"/>
                <w:sz w:val="22"/>
                <w:szCs w:val="22"/>
                <w:lang w:bidi="hi-IN"/>
              </w:rPr>
            </w:pPr>
          </w:p>
        </w:tc>
      </w:tr>
    </w:tbl>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x,y</w:t>
      </w:r>
      <w:proofErr w:type="spellEnd"/>
      <w:r w:rsidRPr="00457ACF">
        <w:rPr>
          <w:rFonts w:ascii="Palatino Linotype" w:hAnsi="Palatino Linotype"/>
          <w:i/>
          <w:iCs/>
          <w:lang w:bidi="hi-IN"/>
        </w:rPr>
        <w:t xml:space="preserve"> </w:t>
      </w:r>
      <w:r w:rsidRPr="00457ACF">
        <w:rPr>
          <w:rFonts w:ascii="Palatino Linotype" w:hAnsi="Palatino Linotype"/>
          <w:lang w:bidi="hi-IN"/>
        </w:rPr>
        <w:t xml:space="preserve">is the transition probability from </w:t>
      </w:r>
      <w:r w:rsidRPr="00457ACF">
        <w:rPr>
          <w:rFonts w:ascii="Palatino Linotype" w:hAnsi="Palatino Linotype"/>
          <w:i/>
          <w:iCs/>
          <w:lang w:bidi="hi-IN"/>
        </w:rPr>
        <w:t>y</w:t>
      </w:r>
      <w:r w:rsidRPr="00457ACF">
        <w:rPr>
          <w:rFonts w:ascii="Palatino Linotype" w:hAnsi="Palatino Linotype"/>
          <w:lang w:bidi="hi-IN"/>
        </w:rPr>
        <w:t xml:space="preserve"> deleterious alleles to </w:t>
      </w:r>
      <w:r w:rsidRPr="00457ACF">
        <w:rPr>
          <w:rFonts w:ascii="Palatino Linotype" w:hAnsi="Palatino Linotype"/>
          <w:i/>
          <w:iCs/>
          <w:lang w:bidi="hi-IN"/>
        </w:rPr>
        <w:t>x</w:t>
      </w:r>
      <w:r w:rsidRPr="00457ACF">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The term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w:t>
      </w:r>
      <w:proofErr w:type="gramStart"/>
      <w:r w:rsidRPr="00457ACF">
        <w:rPr>
          <w:rFonts w:ascii="Palatino Linotype" w:hAnsi="Palatino Linotype"/>
          <w:i/>
          <w:iCs/>
          <w:vertAlign w:val="subscript"/>
          <w:lang w:bidi="hi-IN"/>
        </w:rPr>
        <w:t>,y</w:t>
      </w:r>
      <w:proofErr w:type="spellEnd"/>
      <w:proofErr w:type="gramEnd"/>
      <w:r w:rsidRPr="00457ACF">
        <w:rPr>
          <w:rFonts w:ascii="Palatino Linotype" w:hAnsi="Palatino Linotype"/>
          <w:i/>
          <w:iCs/>
          <w:lang w:bidi="hi-IN"/>
        </w:rPr>
        <w:t xml:space="preserve"> </w:t>
      </w:r>
      <w:r w:rsidRPr="00457ACF">
        <w:rPr>
          <w:rFonts w:ascii="Palatino Linotype" w:hAnsi="Palatino Linotype"/>
          <w:lang w:bidi="hi-IN"/>
        </w:rPr>
        <w:t xml:space="preserve">consist of the fitness of individuals with </w:t>
      </w:r>
      <w:r w:rsidRPr="00457ACF">
        <w:rPr>
          <w:rFonts w:ascii="Palatino Linotype" w:hAnsi="Palatino Linotype"/>
          <w:i/>
          <w:iCs/>
          <w:lang w:bidi="hi-IN"/>
        </w:rPr>
        <w:t>y</w:t>
      </w:r>
      <w:r w:rsidRPr="00457ACF">
        <w:rPr>
          <w:rFonts w:ascii="Palatino Linotype" w:hAnsi="Palatino Linotype"/>
        </w:rPr>
        <w:t xml:space="preserve"> deleterious alleles, </w:t>
      </w:r>
      <w:proofErr w:type="spellStart"/>
      <w:r w:rsidRPr="00457ACF">
        <w:rPr>
          <w:rFonts w:ascii="Palatino Linotype" w:hAnsi="Palatino Linotype"/>
          <w:i/>
          <w:iCs/>
        </w:rPr>
        <w:t>ω</w:t>
      </w:r>
      <w:r w:rsidRPr="00457ACF">
        <w:rPr>
          <w:rFonts w:ascii="Palatino Linotype" w:hAnsi="Palatino Linotype"/>
          <w:i/>
          <w:iCs/>
          <w:vertAlign w:val="subscript"/>
        </w:rPr>
        <w:t>y</w:t>
      </w:r>
      <w:proofErr w:type="spellEnd"/>
      <w:r w:rsidRPr="00457ACF">
        <w:rPr>
          <w:rFonts w:ascii="Palatino Linotype" w:hAnsi="Palatino Linotype"/>
          <w:lang w:bidi="hi-IN"/>
        </w:rPr>
        <w:t xml:space="preserve">, </w:t>
      </w:r>
      <w:r w:rsidRPr="00457ACF">
        <w:rPr>
          <w:rFonts w:ascii="Palatino Linotype" w:hAnsi="Palatino Linotype"/>
        </w:rPr>
        <w:t>and the probability that the precise number of mutations occurred</w:t>
      </w:r>
      <w:r w:rsidRPr="00457ACF">
        <w:rPr>
          <w:rFonts w:ascii="Palatino Linotype" w:hAnsi="Palatino Linotype"/>
          <w:lang w:bidi="hi-IN"/>
        </w:rPr>
        <w:t xml:space="preserve">. Specifically,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y-x</w:t>
      </w:r>
      <w:r w:rsidRPr="00457ACF">
        <w:rPr>
          <w:rFonts w:ascii="Palatino Linotype" w:hAnsi="Palatino Linotype"/>
          <w:lang w:bidi="hi-IN"/>
        </w:rPr>
        <w:t xml:space="preserve"> beneficial mutation must occur;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x-y</w:t>
      </w:r>
      <w:r w:rsidRPr="00457ACF">
        <w:rPr>
          <w:rFonts w:ascii="Palatino Linotype" w:hAnsi="Palatino Linotype"/>
          <w:lang w:bidi="hi-IN"/>
        </w:rPr>
        <w:t xml:space="preserve"> deleterious mutations must occur:</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Using the probability mass function of a Poisson distribution, we can expand the above equation to</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rPr>
        <w:t>ω</w:t>
      </w:r>
      <w:r w:rsidRPr="00457ACF">
        <w:rPr>
          <w:rFonts w:ascii="Palatino Linotype" w:hAnsi="Palatino Linotype"/>
          <w:i/>
          <w:iCs/>
          <w:vertAlign w:val="subscript"/>
          <w:lang w:bidi="hi-IN"/>
        </w:rPr>
        <w:t>y</w:t>
      </w:r>
      <w:proofErr w:type="spellEnd"/>
      <w:r w:rsidRPr="00457ACF">
        <w:rPr>
          <w:rFonts w:ascii="Palatino Linotype" w:hAnsi="Palatino Linotype"/>
          <w:lang w:bidi="hi-IN"/>
        </w:rPr>
        <w:t xml:space="preserve"> is the fitness of individuals with </w:t>
      </w:r>
      <w:r w:rsidRPr="00457ACF">
        <w:rPr>
          <w:rFonts w:ascii="Palatino Linotype" w:hAnsi="Palatino Linotype"/>
          <w:i/>
          <w:iCs/>
          <w:lang w:bidi="hi-IN"/>
        </w:rPr>
        <w:t xml:space="preserve">y </w:t>
      </w:r>
      <w:r w:rsidRPr="00457ACF">
        <w:rPr>
          <w:rFonts w:ascii="Palatino Linotype" w:hAnsi="Palatino Linotype"/>
        </w:rPr>
        <w:t xml:space="preserve">deleterious alleles,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457ACF">
        <w:rPr>
          <w:rFonts w:ascii="Palatino Linotype" w:hAnsi="Palatino Linotype"/>
          <w:lang w:bidi="hi-IN"/>
        </w:rPr>
        <w:t>),</w:t>
      </w:r>
      <w:r w:rsidRPr="00457ACF">
        <w:rPr>
          <w:rFonts w:ascii="Palatino Linotype" w:hAnsi="Palatino Linotype"/>
        </w:rPr>
        <w:t xml:space="preserve"> </w:t>
      </w:r>
      <w:r w:rsidRPr="00457ACF">
        <w:rPr>
          <w:rFonts w:ascii="Palatino Linotype" w:hAnsi="Palatino Linotype"/>
          <w:i/>
          <w:iCs/>
        </w:rPr>
        <w:t>δ</w:t>
      </w:r>
      <w:r w:rsidRPr="00457ACF">
        <w:rPr>
          <w:rFonts w:ascii="Palatino Linotype" w:hAnsi="Palatino Linotype"/>
        </w:rPr>
        <w:t xml:space="preserve"> and </w:t>
      </w:r>
      <w:r w:rsidRPr="00457ACF">
        <w:rPr>
          <w:rFonts w:ascii="Palatino Linotype" w:hAnsi="Palatino Linotype"/>
          <w:i/>
          <w:iCs/>
        </w:rPr>
        <w:t>β</w:t>
      </w:r>
      <w:r w:rsidRPr="00457ACF">
        <w:rPr>
          <w:rFonts w:ascii="Palatino Linotype" w:hAnsi="Palatino Linotype"/>
        </w:rPr>
        <w:t xml:space="preserve"> are the fraction of mutations that are deleterious and beneficial, respectively (</w:t>
      </w:r>
      <w:r w:rsidRPr="00457ACF">
        <w:rPr>
          <w:rFonts w:ascii="Palatino Linotype" w:hAnsi="Palatino Linotype"/>
          <w:i/>
          <w:iCs/>
        </w:rPr>
        <w:t>δ+β</w:t>
      </w:r>
      <w:r w:rsidRPr="00457ACF">
        <w:rPr>
          <w:rFonts w:ascii="Palatino Linotype" w:hAnsi="Palatino Linotype"/>
        </w:rPr>
        <w:t>=1 and 0</w:t>
      </w:r>
      <w:r w:rsidRPr="00457ACF">
        <w:rPr>
          <w:rFonts w:ascii="Palatino Linotype" w:hAnsi="Palatino Linotype" w:cs="Arial"/>
        </w:rPr>
        <w:t>≤</w:t>
      </w:r>
      <w:r w:rsidRPr="00457ACF">
        <w:rPr>
          <w:rFonts w:ascii="Palatino Linotype" w:hAnsi="Palatino Linotype"/>
          <w:i/>
          <w:iCs/>
        </w:rPr>
        <w:t>β</w:t>
      </w:r>
      <w:r w:rsidRPr="00457ACF">
        <w:rPr>
          <w:rFonts w:ascii="Palatino Linotype" w:hAnsi="Palatino Linotype"/>
        </w:rPr>
        <w:t>&lt;</w:t>
      </w:r>
      <w:r w:rsidRPr="00457ACF">
        <w:rPr>
          <w:rFonts w:ascii="Palatino Linotype" w:hAnsi="Palatino Linotype"/>
          <w:i/>
          <w:iCs/>
        </w:rPr>
        <w:t>δ</w:t>
      </w:r>
      <w:r w:rsidRPr="00457ACF">
        <w:rPr>
          <w:rFonts w:ascii="Palatino Linotype" w:hAnsi="Palatino Linotype" w:cs="Arial"/>
        </w:rPr>
        <w:t>≤</w:t>
      </w:r>
      <w:r w:rsidRPr="00457ACF">
        <w:rPr>
          <w:rFonts w:ascii="Palatino Linotype" w:hAnsi="Palatino Linotype"/>
        </w:rPr>
        <w:t>1</w:t>
      </w:r>
      <w:r w:rsidRPr="00457ACF">
        <w:rPr>
          <w:rFonts w:ascii="Palatino Linotype" w:hAnsi="Palatino Linotype"/>
          <w:i/>
          <w:iCs/>
        </w:rPr>
        <w:t>)</w:t>
      </w:r>
      <w:r w:rsidRPr="00457ACF">
        <w:rPr>
          <w:rFonts w:ascii="Palatino Linotype" w:hAnsi="Palatino Linotype"/>
        </w:rPr>
        <w:t xml:space="preserve">, and </w:t>
      </w:r>
      <w:proofErr w:type="spellStart"/>
      <w:r w:rsidRPr="00457ACF">
        <w:rPr>
          <w:rFonts w:ascii="Palatino Linotype" w:hAnsi="Palatino Linotype"/>
          <w:i/>
          <w:iCs/>
        </w:rPr>
        <w:t>U</w:t>
      </w:r>
      <w:r w:rsidRPr="00457ACF">
        <w:rPr>
          <w:rFonts w:ascii="Palatino Linotype" w:hAnsi="Palatino Linotype"/>
          <w:i/>
          <w:iCs/>
          <w:vertAlign w:val="subscript"/>
        </w:rPr>
        <w:t>y</w:t>
      </w:r>
      <w:proofErr w:type="spellEnd"/>
      <w:r w:rsidRPr="00457ACF">
        <w:rPr>
          <w:rFonts w:ascii="Palatino Linotype" w:hAnsi="Palatino Linotype"/>
          <w:vertAlign w:val="superscript"/>
        </w:rPr>
        <w:t xml:space="preserve"> </w:t>
      </w:r>
      <w:r w:rsidRPr="00457ACF">
        <w:rPr>
          <w:rFonts w:ascii="Palatino Linotype" w:hAnsi="Palatino Linotype"/>
        </w:rPr>
        <w:t xml:space="preserve">is the average number of new mutations per generation in an individual with </w:t>
      </w:r>
      <w:r w:rsidRPr="00457ACF">
        <w:rPr>
          <w:rFonts w:ascii="Palatino Linotype" w:hAnsi="Palatino Linotype"/>
          <w:i/>
          <w:iCs/>
        </w:rPr>
        <w:t>y</w:t>
      </w:r>
      <w:r w:rsidRPr="00457ACF">
        <w:rPr>
          <w:rFonts w:ascii="Palatino Linotype" w:hAnsi="Palatino Linotype"/>
        </w:rPr>
        <w:t xml:space="preserve"> deleterious alleles.</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can be written as a matrix equation by multiplying the frequencies vector </w:t>
      </w:r>
      <w:r w:rsidRPr="00457ACF">
        <w:rPr>
          <w:rFonts w:ascii="Palatino Linotype" w:hAnsi="Palatino Linotype"/>
          <w:i/>
          <w:iCs/>
          <w:lang w:bidi="hi-IN"/>
        </w:rPr>
        <w:t>f</w:t>
      </w:r>
      <w:r w:rsidRPr="00457ACF">
        <w:rPr>
          <w:rFonts w:ascii="Palatino Linotype" w:hAnsi="Palatino Linotype"/>
          <w:lang w:bidi="hi-IN"/>
        </w:rPr>
        <w:t xml:space="preserve"> and the mutation-selection matrix </w:t>
      </w:r>
      <w:r w:rsidRPr="00457ACF">
        <w:rPr>
          <w:rFonts w:ascii="Palatino Linotype" w:hAnsi="Palatino Linotype"/>
          <w:i/>
          <w:iCs/>
          <w:lang w:bidi="hi-IN"/>
        </w:rPr>
        <w:t>M</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At the mutation-selection balance (MSB), </w:t>
      </w:r>
      <w:r w:rsidRPr="00457ACF">
        <w:rPr>
          <w:rFonts w:ascii="Palatino Linotype" w:hAnsi="Palatino Linotype"/>
          <w:i/>
          <w:iCs/>
          <w:lang w:bidi="hi-IN"/>
        </w:rPr>
        <w:t>f*</w:t>
      </w:r>
      <w:r w:rsidRPr="00457ACF">
        <w:rPr>
          <w:rFonts w:ascii="Palatino Linotype" w:hAnsi="Palatino Linotype"/>
          <w:lang w:bidi="hi-IN"/>
        </w:rPr>
        <w:t xml:space="preserve"> solves the equation (a star * denotes equilibrium quantities)</w:t>
      </w:r>
    </w:p>
    <w:p w:rsidR="00121E76" w:rsidRPr="00457ACF" w:rsidRDefault="00121E76" w:rsidP="00121E76">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Without beneficial mutations (</w:t>
      </w:r>
      <w:r w:rsidRPr="00457ACF">
        <w:rPr>
          <w:rFonts w:ascii="Palatino Linotype" w:hAnsi="Palatino Linotype"/>
          <w:i/>
          <w:iCs/>
          <w:lang w:bidi="hi-IN"/>
        </w:rPr>
        <w:t>δ</w:t>
      </w:r>
      <w:r w:rsidRPr="00457ACF">
        <w:rPr>
          <w:rFonts w:ascii="Palatino Linotype" w:hAnsi="Palatino Linotype"/>
          <w:lang w:bidi="hi-IN"/>
        </w:rPr>
        <w:t xml:space="preserve">=1 and </w:t>
      </w:r>
      <w:r w:rsidRPr="00457ACF">
        <w:rPr>
          <w:rFonts w:ascii="Palatino Linotype" w:hAnsi="Palatino Linotype"/>
        </w:rPr>
        <w:t>β=0)</w:t>
      </w:r>
      <w:r w:rsidRPr="00457ACF">
        <w:rPr>
          <w:rFonts w:ascii="Palatino Linotype" w:hAnsi="Palatino Linotype"/>
          <w:lang w:bidi="hi-IN"/>
        </w:rPr>
        <w:t>, the above equation simplifies to</w:t>
      </w:r>
    </w:p>
    <w:p w:rsidR="00121E76" w:rsidRPr="00457ACF" w:rsidRDefault="00121E76" w:rsidP="00121E76">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and</w:t>
      </w:r>
      <w:proofErr w:type="gramEnd"/>
      <w:r w:rsidRPr="00457ACF">
        <w:rPr>
          <w:rFonts w:ascii="Palatino Linotype" w:hAnsi="Palatino Linotype"/>
          <w:lang w:bidi="hi-IN"/>
        </w:rPr>
        <w:t xml:space="preserve"> </w:t>
      </w:r>
      <w:r w:rsidRPr="00457ACF">
        <w:rPr>
          <w:rFonts w:ascii="Palatino Linotype" w:hAnsi="Palatino Linotype"/>
          <w:i/>
          <w:iCs/>
          <w:lang w:bidi="hi-IN"/>
        </w:rPr>
        <w:t>M</w:t>
      </w:r>
      <w:r w:rsidRPr="00457ACF">
        <w:rPr>
          <w:rFonts w:ascii="Palatino Linotype" w:hAnsi="Palatino Linotype"/>
          <w:lang w:bidi="hi-IN"/>
        </w:rPr>
        <w:t xml:space="preserve"> is a triangular matrix. In this case the </w:t>
      </w:r>
      <w:proofErr w:type="gramStart"/>
      <w:r w:rsidRPr="00457ACF">
        <w:rPr>
          <w:rFonts w:ascii="Palatino Linotype" w:hAnsi="Palatino Linotype"/>
          <w:lang w:bidi="hi-IN"/>
        </w:rPr>
        <w:t>population mean</w:t>
      </w:r>
      <w:proofErr w:type="gramEnd"/>
      <w:r w:rsidRPr="00457ACF">
        <w:rPr>
          <w:rFonts w:ascii="Palatino Linotype" w:hAnsi="Palatino Linotype"/>
          <w:lang w:bidi="hi-IN"/>
        </w:rPr>
        <w:t xml:space="preserve"> fitness can be found by solving the equation for </w:t>
      </w:r>
      <w:r w:rsidRPr="00457ACF">
        <w:rPr>
          <w:rFonts w:ascii="Palatino Linotype" w:hAnsi="Palatino Linotype"/>
          <w:i/>
          <w:iCs/>
          <w:lang w:bidi="hi-IN"/>
        </w:rPr>
        <w:t>f</w:t>
      </w:r>
      <w:r w:rsidRPr="00457ACF">
        <w:rPr>
          <w:rFonts w:ascii="Palatino Linotype" w:hAnsi="Palatino Linotype"/>
          <w:i/>
          <w:iCs/>
          <w:vertAlign w:val="subscript"/>
          <w:lang w:bidi="hi-IN"/>
        </w:rPr>
        <w:t>0</w:t>
      </w:r>
      <w:r w:rsidRPr="00457ACF">
        <w:rPr>
          <w:rFonts w:ascii="Palatino Linotype" w:hAnsi="Palatino Linotype"/>
          <w:lang w:bidi="hi-IN"/>
        </w:rPr>
        <w:t xml:space="preserve">: </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which</w:t>
      </w:r>
      <w:proofErr w:type="gramEnd"/>
      <w:r w:rsidRPr="00457ACF">
        <w:rPr>
          <w:rFonts w:ascii="Palatino Linotype" w:hAnsi="Palatino Linotype"/>
          <w:lang w:bidi="hi-IN"/>
        </w:rPr>
        <w:t xml:space="preserve"> means that the population mean fitness is equal to the product of the fitness of mutation-free individuals and the probability that a mutation-free individual does not mutate.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457ACF">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457ACF">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sidRPr="00457ACF">
        <w:rPr>
          <w:rFonts w:ascii="Palatino Linotype" w:hAnsi="Palatino Linotype"/>
          <w:lang w:bidi="hi-IN"/>
        </w:rPr>
        <w:t xml:space="preserve">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"[75]"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[75]</w:t>
      </w:r>
      <w:r w:rsidRPr="00457ACF">
        <w:rPr>
          <w:rFonts w:ascii="Palatino Linotype" w:hAnsi="Palatino Linotype"/>
          <w:lang w:bidi="hi-IN"/>
        </w:rPr>
        <w:fldChar w:fldCharType="end"/>
      </w:r>
      <w:r w:rsidRPr="00457ACF">
        <w:rPr>
          <w:rFonts w:ascii="Palatino Linotype" w:hAnsi="Palatino Linotype"/>
          <w:lang w:bidi="hi-IN"/>
        </w:rPr>
        <w:t xml:space="preserve"> and by the forward substitution method the frequencies vector is </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that is, the number of deleterious mutations per individual is Poisson distributed with average </w:t>
      </w:r>
      <w:r w:rsidRPr="00457ACF">
        <w:rPr>
          <w:rFonts w:ascii="Palatino Linotype" w:hAnsi="Palatino Linotype"/>
          <w:i/>
          <w:iCs/>
          <w:lang w:bidi="hi-IN"/>
        </w:rPr>
        <w:t>U/s</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[40]</w:t>
      </w:r>
      <w:r w:rsidRPr="00457ACF">
        <w:rPr>
          <w:rFonts w:ascii="Palatino Linotype" w:hAnsi="Palatino Linotype"/>
          <w:lang w:bidi="hi-IN"/>
        </w:rPr>
        <w:fldChar w:fldCharType="end"/>
      </w:r>
      <w:r w:rsidRPr="00457ACF">
        <w:rPr>
          <w:rFonts w:ascii="Palatino Linotype" w:hAnsi="Palatino Linotype"/>
          <w:lang w:bidi="hi-IN"/>
        </w:rPr>
        <w:t xml:space="preserve">. </w:t>
      </w:r>
      <w:r w:rsidRPr="00457ACF">
        <w:rPr>
          <w:rFonts w:ascii="Palatino Linotype" w:hAnsi="Palatino Linotype"/>
        </w:rPr>
        <w:t xml:space="preserve">With constitutive mutagenesis (CM), the population mean fitness at the MSB </w:t>
      </w:r>
      <w:proofErr w:type="gramStart"/>
      <w:r w:rsidRPr="00457ACF">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sidRPr="00457ACF">
        <w:rPr>
          <w:rFonts w:ascii="Palatino Linotype" w:hAnsi="Palatino Linotype"/>
        </w:rPr>
        <w:t xml:space="preserve">: it decays exponentially as a function of </w:t>
      </w:r>
      <w:r w:rsidRPr="00457ACF">
        <w:rPr>
          <w:rFonts w:ascii="Palatino Linotype" w:hAnsi="Palatino Linotype"/>
          <w:i/>
          <w:iCs/>
        </w:rPr>
        <w:t>τ</w:t>
      </w:r>
      <w:r w:rsidRPr="00457ACF">
        <w:rPr>
          <w:rFonts w:ascii="Palatino Linotype" w:hAnsi="Palatino Linotype"/>
        </w:rPr>
        <w:t xml:space="preserve"> the mutation rate fold increase. In contrast, stress-induced mutagenesis (SIM), as shown by Agrawal </w:t>
      </w:r>
      <w:r w:rsidRPr="00457ACF">
        <w:rPr>
          <w:rFonts w:ascii="Palatino Linotype" w:hAnsi="Palatino Linotype"/>
        </w:rPr>
        <w:fldChar w:fldCharType="begin" w:fldLock="1"/>
      </w:r>
      <w:r>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[35]</w:t>
      </w:r>
      <w:r w:rsidRPr="00457ACF">
        <w:rPr>
          <w:rFonts w:ascii="Palatino Linotype" w:hAnsi="Palatino Linotype"/>
        </w:rPr>
        <w:fldChar w:fldCharType="end"/>
      </w:r>
      <w:r w:rsidRPr="00457ACF">
        <w:rPr>
          <w:rFonts w:ascii="Palatino Linotype" w:hAnsi="Palatino Linotype"/>
        </w:rPr>
        <w:t>, does not change the population mean fitness with respect to normal mutagenesis (NM). This is because the least loaded individuals (</w:t>
      </w:r>
      <w:r w:rsidRPr="00457ACF">
        <w:rPr>
          <w:rFonts w:ascii="Palatino Linotype" w:hAnsi="Palatino Linotype"/>
          <w:i/>
          <w:iCs/>
        </w:rPr>
        <w:t>x</w:t>
      </w:r>
      <w:r w:rsidRPr="00457ACF">
        <w:rPr>
          <w:rFonts w:ascii="Palatino Linotype" w:hAnsi="Palatino Linotype"/>
        </w:rPr>
        <w:t xml:space="preserve">=0), with fitness </w:t>
      </w:r>
      <w:r w:rsidRPr="00457ACF">
        <w:rPr>
          <w:rFonts w:ascii="Palatino Linotype" w:hAnsi="Palatino Linotype"/>
          <w:i/>
          <w:iCs/>
        </w:rPr>
        <w:lastRenderedPageBreak/>
        <w:t>ω</w:t>
      </w:r>
      <w:r w:rsidRPr="00457ACF">
        <w:rPr>
          <w:rFonts w:ascii="Palatino Linotype" w:hAnsi="Palatino Linotype"/>
          <w:vertAlign w:val="subscript"/>
        </w:rPr>
        <w:t>0</w:t>
      </w:r>
      <w:r w:rsidRPr="00457ACF">
        <w:rPr>
          <w:rFonts w:ascii="Palatino Linotype" w:hAnsi="Palatino Linotype"/>
        </w:rPr>
        <w:t xml:space="preserve">=1, also have the lowest mutation rate, </w:t>
      </w:r>
      <w:r w:rsidRPr="00457ACF">
        <w:rPr>
          <w:rFonts w:ascii="Palatino Linotype" w:hAnsi="Palatino Linotype"/>
          <w:i/>
          <w:iCs/>
        </w:rPr>
        <w:t>U</w:t>
      </w:r>
      <w:r w:rsidRPr="00457ACF">
        <w:rPr>
          <w:rFonts w:ascii="Palatino Linotype" w:hAnsi="Palatino Linotype"/>
        </w:rPr>
        <w:t xml:space="preserve">, and therefore the population mean fitness </w:t>
      </w:r>
      <w:proofErr w:type="gramStart"/>
      <w:r w:rsidRPr="00457ACF">
        <w:rPr>
          <w:rFonts w:ascii="Palatino Linotype" w:hAnsi="Palatino Linotype"/>
        </w:rP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 beneficial mutations (</w:t>
      </w:r>
      <w:r w:rsidRPr="00457ACF">
        <w:rPr>
          <w:rFonts w:ascii="Palatino Linotype" w:hAnsi="Palatino Linotype"/>
        </w:rPr>
        <w:t xml:space="preserve">β&gt;0), </w:t>
      </w:r>
      <w:r w:rsidRPr="00457ACF">
        <w:rPr>
          <w:rFonts w:ascii="Palatino Linotype" w:hAnsi="Palatino Linotype"/>
          <w:lang w:bidi="hi-IN"/>
        </w:rPr>
        <w:t xml:space="preserve">the matrix </w:t>
      </w:r>
      <w:r w:rsidRPr="00457ACF">
        <w:rPr>
          <w:rFonts w:ascii="Palatino Linotype" w:hAnsi="Palatino Linotype"/>
          <w:i/>
          <w:iCs/>
          <w:lang w:bidi="hi-IN"/>
        </w:rPr>
        <w:t>M</w:t>
      </w:r>
      <w:r w:rsidRPr="00457ACF">
        <w:rPr>
          <w:rFonts w:ascii="Palatino Linotype" w:hAnsi="Palatino Linotype"/>
          <w:lang w:bidi="hi-IN"/>
        </w:rPr>
        <w:t xml:space="preserve"> is a positive matrix, and by the </w:t>
      </w:r>
      <w:proofErr w:type="spellStart"/>
      <w:r w:rsidRPr="00457ACF">
        <w:rPr>
          <w:rFonts w:ascii="Palatino Linotype" w:hAnsi="Palatino Linotype"/>
          <w:i/>
          <w:iCs/>
          <w:lang w:bidi="hi-IN"/>
        </w:rPr>
        <w:t>Perron-Frobenius</w:t>
      </w:r>
      <w:proofErr w:type="spellEnd"/>
      <w:r w:rsidRPr="00457ACF">
        <w:rPr>
          <w:rFonts w:ascii="Palatino Linotype" w:hAnsi="Palatino Linotype"/>
          <w:i/>
          <w:iCs/>
          <w:lang w:bidi="hi-IN"/>
        </w:rPr>
        <w:t xml:space="preserve"> Theorem</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"[76 pg.]" }, "properties" : { "noteIndex" : 0 }, "schema" : "https://github.com/citation-style-language/schema/raw/master/csl-citation.json" }</w:instrText>
      </w:r>
      <w:r w:rsidRPr="00457ACF">
        <w:rPr>
          <w:rFonts w:ascii="Palatino Linotype" w:hAnsi="Palatino Linotype"/>
          <w:lang w:bidi="hi-IN"/>
        </w:rPr>
        <w:fldChar w:fldCharType="separate"/>
      </w:r>
      <w:r w:rsidRPr="00457ACF">
        <w:rPr>
          <w:rFonts w:ascii="Palatino Linotype" w:hAnsi="Palatino Linotype"/>
          <w:noProof/>
          <w:lang w:bidi="hi-IN"/>
        </w:rPr>
        <w:t>(Otto and Day 2007, p. 709)</w:t>
      </w:r>
      <w:r w:rsidRPr="00457ACF">
        <w:rPr>
          <w:rFonts w:ascii="Palatino Linotype" w:hAnsi="Palatino Linotype"/>
          <w:lang w:bidi="hi-IN"/>
        </w:rPr>
        <w:fldChar w:fldCharType="end"/>
      </w:r>
      <w:r w:rsidRPr="00457ACF">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457ACF">
        <w:rPr>
          <w:rFonts w:ascii="Palatino Linotype" w:hAnsi="Palatino Linotype"/>
          <w:lang w:bidi="hi-IN"/>
        </w:rPr>
        <w:t xml:space="preserve"> is the largest eigenvalue of </w:t>
      </w:r>
      <w:r w:rsidRPr="00457ACF">
        <w:rPr>
          <w:rFonts w:ascii="Palatino Linotype" w:hAnsi="Palatino Linotype"/>
          <w:i/>
          <w:iCs/>
          <w:lang w:bidi="hi-IN"/>
        </w:rPr>
        <w:t>M</w:t>
      </w:r>
      <w:r w:rsidRPr="00457ACF">
        <w:rPr>
          <w:rFonts w:ascii="Palatino Linotype" w:hAnsi="Palatino Linotype"/>
          <w:lang w:bidi="hi-IN"/>
        </w:rPr>
        <w:t xml:space="preserve"> and </w:t>
      </w:r>
      <w:r w:rsidRPr="00457ACF">
        <w:rPr>
          <w:rFonts w:ascii="Palatino Linotype" w:hAnsi="Palatino Linotype"/>
          <w:i/>
          <w:iCs/>
          <w:lang w:bidi="hi-IN"/>
        </w:rPr>
        <w:t>f*</w:t>
      </w:r>
      <w:r w:rsidRPr="00457ACF">
        <w:rPr>
          <w:rFonts w:ascii="Palatino Linotype" w:hAnsi="Palatino Linotype"/>
          <w:lang w:bidi="hi-IN"/>
        </w:rPr>
        <w:t xml:space="preserve"> is its unique positive eigenvector with </w:t>
      </w:r>
      <m:oMath>
        <m:r>
          <w:rPr>
            <w:rFonts w:ascii="Cambria Math" w:hAnsi="Cambria Math"/>
            <w:lang w:bidi="hi-IN"/>
          </w:rPr>
          <m:t>∑f=1</m:t>
        </m:r>
      </m:oMath>
      <w:r w:rsidRPr="00457ACF">
        <w:rPr>
          <w:rFonts w:ascii="Palatino Linotype" w:hAnsi="Palatino Linotype"/>
          <w:lang w:bidi="hi-IN"/>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eigenvalue problem is hard to solve analytically, however, by neglecting elements outside the main three diagonals of </w:t>
      </w:r>
      <w:r w:rsidRPr="00457ACF">
        <w:rPr>
          <w:rFonts w:ascii="Palatino Linotype" w:hAnsi="Palatino Linotype"/>
          <w:i/>
          <w:iCs/>
          <w:lang w:bidi="hi-IN"/>
        </w:rPr>
        <w:t>M</w:t>
      </w:r>
      <w:r w:rsidRPr="00457ACF">
        <w:rPr>
          <w:rFonts w:ascii="Palatino Linotype" w:hAnsi="Palatino Linotype"/>
          <w:lang w:bidi="hi-IN"/>
        </w:rPr>
        <w:t xml:space="preserve"> we have shown before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 xml:space="preserve"> that the population mean fitness increases with the mutation rate of individuals with a below–average fitness: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Nevertheless, this framework allows the numerical calculation of the population mean fitness for finite </w:t>
      </w:r>
      <w:r w:rsidRPr="00457ACF">
        <w:rPr>
          <w:rFonts w:ascii="Palatino Linotype" w:hAnsi="Palatino Linotype"/>
          <w:i/>
          <w:iCs/>
          <w:lang w:bidi="hi-IN"/>
        </w:rPr>
        <w:t>n</w:t>
      </w:r>
      <w:r w:rsidRPr="00457ACF">
        <w:rPr>
          <w:rFonts w:ascii="Palatino Linotype" w:hAnsi="Palatino Linotype"/>
          <w:lang w:bidi="hi-IN"/>
        </w:rPr>
        <w:t>-by-</w:t>
      </w:r>
      <w:r w:rsidRPr="00457ACF">
        <w:rPr>
          <w:rFonts w:ascii="Palatino Linotype" w:hAnsi="Palatino Linotype"/>
          <w:i/>
          <w:iCs/>
          <w:lang w:bidi="hi-IN"/>
        </w:rPr>
        <w:t xml:space="preserve">n </w:t>
      </w:r>
      <w:r w:rsidRPr="00457ACF">
        <w:rPr>
          <w:rFonts w:ascii="Palatino Linotype" w:hAnsi="Palatino Linotype"/>
          <w:lang w:bidi="hi-IN"/>
        </w:rPr>
        <w:t xml:space="preserve">mutation-selection matrices by defining </w:t>
      </w:r>
      <w:r w:rsidRPr="00457ACF">
        <w:rPr>
          <w:rFonts w:ascii="Palatino Linotype" w:hAnsi="Palatino Linotype"/>
          <w:i/>
          <w:iCs/>
          <w:lang w:bidi="hi-IN"/>
        </w:rPr>
        <w:t xml:space="preserve">n </w:t>
      </w:r>
      <w:r w:rsidRPr="00457ACF">
        <w:rPr>
          <w:rFonts w:ascii="Palatino Linotype" w:hAnsi="Palatino Linotype"/>
          <w:lang w:bidi="hi-IN"/>
        </w:rPr>
        <w:t xml:space="preserve">such </w:t>
      </w:r>
      <w:proofErr w:type="gramStart"/>
      <w:r w:rsidRPr="00457ACF">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sidRPr="00457ACF">
        <w:rPr>
          <w:rFonts w:ascii="Palatino Linotype" w:hAnsi="Palatino Linotype"/>
          <w:lang w:bidi="hi-IN"/>
        </w:rPr>
        <w:t xml:space="preserve">. The mean fitness of populations with different mutational strategies is then calculated by manipulating </w:t>
      </w:r>
      <w:r w:rsidRPr="00457ACF">
        <w:rPr>
          <w:rFonts w:ascii="Palatino Linotype" w:hAnsi="Palatino Linotype"/>
          <w:i/>
          <w:iCs/>
          <w:lang w:bidi="hi-IN"/>
        </w:rPr>
        <w:t>U</w:t>
      </w:r>
      <w:r w:rsidRPr="00457ACF">
        <w:rPr>
          <w:rFonts w:ascii="Palatino Linotype" w:hAnsi="Palatino Linotype"/>
          <w:i/>
          <w:iCs/>
          <w:vertAlign w:val="subscript"/>
          <w:lang w:bidi="hi-IN"/>
        </w:rPr>
        <w:t>x</w:t>
      </w:r>
      <w:r w:rsidRPr="00457ACF">
        <w:rPr>
          <w:rFonts w:ascii="Palatino Linotype" w:hAnsi="Palatino Linotype"/>
          <w:lang w:bidi="hi-IN"/>
        </w:rPr>
        <w:t>.</w:t>
      </w:r>
      <w:r w:rsidRPr="00457ACF">
        <w:rPr>
          <w:rFonts w:ascii="Palatino Linotype" w:hAnsi="Palatino Linotype"/>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w:t>
      </w:r>
      <w:r>
        <w:rPr>
          <w:rFonts w:ascii="Palatino Linotype" w:hAnsi="Palatino Linotype"/>
        </w:rPr>
        <w:t>D</w:t>
      </w:r>
      <w:r w:rsidRPr="00457ACF">
        <w:rPr>
          <w:rFonts w:ascii="Palatino Linotype" w:hAnsi="Palatino Linotype"/>
        </w:rPr>
        <w:t xml:space="preserve">1 shows 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 xml:space="preserve"> is a good approximation to the population mean fitness (because </w:t>
      </w:r>
      <m:oMath>
        <m:r>
          <w:rPr>
            <w:rFonts w:ascii="Cambria Math" w:hAnsi="Cambria Math"/>
          </w:rPr>
          <m:t>β≪δ&lt;1</m:t>
        </m:r>
      </m:oMath>
      <w:r w:rsidRPr="00457ACF">
        <w:rPr>
          <w:rFonts w:ascii="Palatino Linotype" w:hAnsi="Palatino Linotype"/>
        </w:rPr>
        <w:t xml:space="preserve">), and that SIM slightly increases the population mean fitness with respect to NM; a sufficient condition is that the mutation rate of individuals with below average fitness is increased </w:t>
      </w:r>
      <w:r w:rsidRPr="00457ACF">
        <w:rPr>
          <w:rFonts w:ascii="Palatino Linotype" w:hAnsi="Palatino Linotype"/>
        </w:rPr>
        <w:fldChar w:fldCharType="begin" w:fldLock="1"/>
      </w:r>
      <w:r>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[37]</w:t>
      </w:r>
      <w:r w:rsidRPr="00457ACF">
        <w:rPr>
          <w:rFonts w:ascii="Palatino Linotype" w:hAnsi="Palatino Linotype"/>
        </w:rPr>
        <w:fldChar w:fldCharType="end"/>
      </w:r>
      <w:r w:rsidRPr="00457ACF">
        <w:rPr>
          <w:rFonts w:ascii="Palatino Linotype" w:hAnsi="Palatino Linotype"/>
        </w:rPr>
        <w:t xml:space="preserve">. Since we assume </w:t>
      </w:r>
      <w:proofErr w:type="gramStart"/>
      <w:r w:rsidRPr="00457ACF">
        <w:rPr>
          <w:rFonts w:ascii="Palatino Linotype" w:hAnsi="Palatino Linotype"/>
        </w:rPr>
        <w:t xml:space="preserve">that </w:t>
      </w:r>
      <w:proofErr w:type="gramEnd"/>
      <m:oMath>
        <m:r>
          <w:rPr>
            <w:rFonts w:ascii="Cambria Math" w:hAnsi="Cambria Math"/>
          </w:rPr>
          <m:t>U&lt;s</m:t>
        </m:r>
      </m:oMath>
      <w:r w:rsidRPr="00457ACF">
        <w:rPr>
          <w:rFonts w:ascii="Palatino Linotype" w:hAnsi="Palatino Linotype"/>
        </w:rPr>
        <w:t>,</w:t>
      </w:r>
      <w:r w:rsidRPr="00457ACF">
        <w:rPr>
          <w:rFonts w:ascii="Palatino Linotype" w:hAnsi="Palatino Linotype"/>
          <w:i/>
          <w:iCs/>
        </w:rPr>
        <w:t xml:space="preserve"> </w:t>
      </w:r>
      <w:r w:rsidRPr="00457ACF">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457ACF">
        <w:rPr>
          <w:rFonts w:ascii="Palatino Linotype" w:hAnsi="Palatino Linotype"/>
        </w:rPr>
        <w:t>. Therefore, for SIM to increase the population mean fitness it must increase the mutation rate in individuals with at least one deleterious mutation</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spacing w:line="480" w:lineRule="auto"/>
        <w:jc w:val="center"/>
        <w:rPr>
          <w:rFonts w:ascii="Palatino Linotype" w:hAnsi="Palatino Linotype"/>
          <w:b/>
          <w:bCs/>
        </w:rPr>
      </w:pPr>
      <w:bookmarkStart w:id="23" w:name="_Ref363979903"/>
      <w:r w:rsidRPr="00457ACF">
        <w:rPr>
          <w:rFonts w:ascii="Palatino Linotype" w:hAnsi="Palatino Linotype"/>
          <w:b/>
          <w:bCs/>
          <w:noProof/>
        </w:rPr>
        <w:lastRenderedPageBreak/>
        <w:drawing>
          <wp:inline distT="0" distB="0" distL="0" distR="0" wp14:anchorId="37B1CA14" wp14:editId="3AA22A8C">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457ACF" w:rsidRDefault="00121E76" w:rsidP="00121E76">
      <w:pPr>
        <w:spacing w:line="480" w:lineRule="auto"/>
        <w:rPr>
          <w:rFonts w:ascii="Palatino Linotype" w:hAnsi="Palatino Linotype"/>
        </w:rPr>
      </w:pPr>
      <w:r w:rsidRPr="00457ACF">
        <w:rPr>
          <w:rFonts w:ascii="Palatino Linotype" w:hAnsi="Palatino Linotype"/>
          <w:b/>
          <w:bCs/>
        </w:rPr>
        <w:t>Figure</w:t>
      </w:r>
      <w:bookmarkEnd w:id="23"/>
      <w:r w:rsidRPr="00457ACF">
        <w:rPr>
          <w:rFonts w:ascii="Palatino Linotype" w:hAnsi="Palatino Linotype"/>
          <w:b/>
          <w:bCs/>
        </w:rPr>
        <w:t xml:space="preserve"> </w:t>
      </w:r>
      <w:r>
        <w:rPr>
          <w:rFonts w:ascii="Palatino Linotype" w:hAnsi="Palatino Linotype"/>
          <w:b/>
          <w:bCs/>
        </w:rPr>
        <w:t>D</w:t>
      </w:r>
      <w:r w:rsidRPr="00457ACF">
        <w:rPr>
          <w:rFonts w:ascii="Palatino Linotype" w:hAnsi="Palatino Linotype"/>
          <w:b/>
          <w:bCs/>
        </w:rPr>
        <w:t xml:space="preserve">1 – Mean fitness at the mutation-selection balance with stress-induced mutagenesis. </w:t>
      </w:r>
      <w:r w:rsidRPr="00457ACF">
        <w:rPr>
          <w:rFonts w:ascii="Palatino Linotype" w:hAnsi="Palatino Linotype"/>
        </w:rPr>
        <w:t xml:space="preserve">The brightness represents the fitness advantage of stress-induced mutagenesis over normal mutagenesis </w:t>
      </w:r>
      <m:oMath>
        <m:d>
          <m:dPr>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e>
        </m:d>
      </m:oMath>
      <w:r w:rsidRPr="00457ACF">
        <w:rPr>
          <w:rFonts w:ascii="Palatino Linotype" w:hAnsi="Palatino Linotype"/>
        </w:rPr>
        <w:t xml:space="preserve"> at the mutation-selection balance. The x-axis is the fraction of mutations that are beneficial </w:t>
      </w:r>
      <w:r w:rsidRPr="00457ACF">
        <w:rPr>
          <w:rFonts w:ascii="Palatino Linotype" w:hAnsi="Palatino Linotype"/>
          <w:i/>
          <w:iCs/>
        </w:rPr>
        <w:t>β</w:t>
      </w:r>
      <w:r w:rsidRPr="00457ACF">
        <w:rPr>
          <w:rFonts w:ascii="Palatino Linotype" w:hAnsi="Palatino Linotype"/>
        </w:rPr>
        <w:t>. The y-axis is the mutation rate fold increase under stress</w:t>
      </w:r>
      <w:r w:rsidRPr="00457ACF">
        <w:rPr>
          <w:rFonts w:ascii="Palatino Linotype" w:hAnsi="Palatino Linotype"/>
          <w:i/>
          <w:iCs/>
        </w:rPr>
        <w:t xml:space="preserve"> τ</w:t>
      </w:r>
      <w:r w:rsidRPr="00457ACF">
        <w:rPr>
          <w:rFonts w:ascii="Palatino Linotype" w:hAnsi="Palatino Linotype"/>
        </w:rPr>
        <w:t xml:space="preserve">. "X" marks the parameter set </w:t>
      </w:r>
      <w:r w:rsidRPr="00457ACF">
        <w:rPr>
          <w:rFonts w:ascii="Palatino Linotype" w:hAnsi="Palatino Linotype"/>
          <w:i/>
          <w:iCs/>
        </w:rPr>
        <w:t>β</w:t>
      </w:r>
      <w:r w:rsidRPr="00457ACF">
        <w:rPr>
          <w:rFonts w:ascii="Palatino Linotype" w:hAnsi="Palatino Linotype"/>
        </w:rPr>
        <w:t xml:space="preserve">=1/5000 and </w:t>
      </w:r>
      <w:r w:rsidRPr="00457ACF">
        <w:rPr>
          <w:rFonts w:ascii="Palatino Linotype" w:hAnsi="Palatino Linotype"/>
          <w:i/>
          <w:iCs/>
        </w:rPr>
        <w:t>τ</w:t>
      </w:r>
      <w:r w:rsidRPr="00457ACF">
        <w:rPr>
          <w:rFonts w:ascii="Palatino Linotype" w:hAnsi="Palatino Linotype"/>
        </w:rPr>
        <w:t>=10, in which the fitness advantage of SIM is ~5</w:t>
      </w:r>
      <w:r w:rsidRPr="00457ACF">
        <w:rPr>
          <w:rFonts w:ascii="Palatino Linotype" w:hAnsi="Palatino Linotype"/>
        </w:rPr>
        <w:sym w:font="Symbol" w:char="F0D7"/>
      </w:r>
      <w:r w:rsidRPr="00457ACF">
        <w:rPr>
          <w:rFonts w:ascii="Palatino Linotype" w:hAnsi="Palatino Linotype"/>
        </w:rPr>
        <w:t>10</w:t>
      </w:r>
      <w:r w:rsidRPr="00457ACF">
        <w:rPr>
          <w:rFonts w:ascii="Palatino Linotype" w:hAnsi="Palatino Linotype"/>
          <w:vertAlign w:val="superscript"/>
        </w:rPr>
        <w:t>-9</w:t>
      </w:r>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Heading2"/>
        <w:numPr>
          <w:ilvl w:val="0"/>
          <w:numId w:val="0"/>
        </w:numPr>
        <w:spacing w:line="480" w:lineRule="auto"/>
        <w:ind w:left="357" w:hanging="357"/>
        <w:rPr>
          <w:rFonts w:eastAsiaTheme="minorEastAsia"/>
        </w:rPr>
      </w:pPr>
      <w:bookmarkStart w:id="24" w:name="_Ref374377810"/>
      <w:r w:rsidRPr="00457ACF">
        <w:rPr>
          <w:rFonts w:eastAsiaTheme="minorEastAsia"/>
        </w:rPr>
        <w:lastRenderedPageBreak/>
        <w:t>Appendix E: Possible relationships between stress and mutation</w:t>
      </w:r>
      <w:bookmarkEnd w:id="24"/>
      <w:r w:rsidRPr="00457ACF">
        <w:rPr>
          <w:rFonts w:eastAsiaTheme="minorEastAsia"/>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In the main text we used a threshold relationship between stress and mutation: if fitness drops below a threshold (&lt;1 for SIM, ≤1 for </w:t>
      </w:r>
      <w:proofErr w:type="spellStart"/>
      <w:r w:rsidRPr="00457ACF">
        <w:rPr>
          <w:rFonts w:ascii="Palatino Linotype" w:hAnsi="Palatino Linotype"/>
          <w:lang w:bidi="hi-IN"/>
        </w:rPr>
        <w:t>SIM</w:t>
      </w:r>
      <w:r w:rsidRPr="00457ACF">
        <w:rPr>
          <w:rFonts w:ascii="Palatino Linotype" w:hAnsi="Palatino Linotype"/>
          <w:vertAlign w:val="subscript"/>
          <w:lang w:bidi="hi-IN"/>
        </w:rPr>
        <w:t>e</w:t>
      </w:r>
      <w:proofErr w:type="spellEnd"/>
      <w:r w:rsidRPr="00457ACF">
        <w:rPr>
          <w:rFonts w:ascii="Palatino Linotype" w:hAnsi="Palatino Linotype"/>
          <w:lang w:bidi="hi-IN"/>
        </w:rPr>
        <w:t xml:space="preserve">), the mutation rate increases </w:t>
      </w:r>
      <w:r w:rsidRPr="00457ACF">
        <w:rPr>
          <w:rFonts w:ascii="Palatino Linotype" w:hAnsi="Palatino Linotype"/>
          <w:i/>
          <w:iCs/>
          <w:lang w:bidi="hi-IN"/>
        </w:rPr>
        <w:t>τ</w:t>
      </w:r>
      <w:r w:rsidRPr="00457ACF">
        <w:rPr>
          <w:rFonts w:ascii="Palatino Linotype" w:hAnsi="Palatino Linotype"/>
          <w:lang w:bidi="hi-IN"/>
        </w:rPr>
        <w:t xml:space="preserve">-fold. But the relationship between stress and mutation can be more complex. For example, Agrawal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[35]</w:t>
      </w:r>
      <w:r w:rsidRPr="00457ACF">
        <w:rPr>
          <w:rFonts w:ascii="Palatino Linotype" w:hAnsi="Palatino Linotype"/>
          <w:lang w:bidi="hi-IN"/>
        </w:rPr>
        <w:fldChar w:fldCharType="end"/>
      </w:r>
      <w:r w:rsidRPr="00457ACF">
        <w:rPr>
          <w:rFonts w:ascii="Palatino Linotype" w:hAnsi="Palatino Linotype"/>
          <w:lang w:bidi="hi-IN"/>
        </w:rPr>
        <w:t xml:space="preserve"> has used a continuous relationship defined by a curvature parameter </w:t>
      </w:r>
      <w:r w:rsidRPr="00457ACF">
        <w:rPr>
          <w:rFonts w:ascii="Palatino Linotype" w:hAnsi="Palatino Linotype"/>
          <w:i/>
          <w:iCs/>
          <w:lang w:bidi="hi-IN"/>
        </w:rPr>
        <w:t>k</w:t>
      </w:r>
      <w:r w:rsidRPr="00457ACF">
        <w:rPr>
          <w:rFonts w:ascii="Palatino Linotype" w:hAnsi="Palatino Linotype"/>
          <w:lang w:bidi="hi-IN"/>
        </w:rPr>
        <w:t xml:space="preserve">. This relationship defines the mutation rate for an individual with fitness </w:t>
      </w:r>
      <w:r w:rsidRPr="00457ACF">
        <w:rPr>
          <w:rFonts w:ascii="Palatino Linotype" w:hAnsi="Palatino Linotype"/>
          <w:i/>
          <w:iCs/>
          <w:lang w:bidi="hi-IN"/>
        </w:rPr>
        <w:t>ω</w:t>
      </w:r>
      <w:r w:rsidRPr="00457ACF">
        <w:rPr>
          <w:rFonts w:ascii="Palatino Linotype" w:hAnsi="Palatino Linotype"/>
          <w:lang w:bidi="hi-IN"/>
        </w:rPr>
        <w:t xml:space="preserve">, baseline mutation rate </w:t>
      </w:r>
      <w:r w:rsidRPr="00457ACF">
        <w:rPr>
          <w:rFonts w:ascii="Palatino Linotype" w:hAnsi="Palatino Linotype"/>
          <w:i/>
          <w:iCs/>
          <w:lang w:bidi="hi-IN"/>
        </w:rPr>
        <w:t>U</w:t>
      </w:r>
      <w:r w:rsidRPr="00457ACF">
        <w:rPr>
          <w:rFonts w:ascii="Palatino Linotype" w:hAnsi="Palatino Linotype"/>
          <w:lang w:bidi="hi-IN"/>
        </w:rPr>
        <w:t xml:space="preserve">, and a maximal mutation rate fold increase </w:t>
      </w:r>
      <w:r w:rsidRPr="00457ACF">
        <w:rPr>
          <w:rFonts w:ascii="Palatino Linotype" w:hAnsi="Palatino Linotype"/>
          <w:i/>
          <w:iCs/>
          <w:lang w:bidi="hi-IN"/>
        </w:rPr>
        <w:t>τ</w:t>
      </w:r>
      <w:r w:rsidRPr="00457ACF">
        <w:rPr>
          <w:rFonts w:ascii="Palatino Linotype" w:hAnsi="Palatino Linotype"/>
          <w:lang w:bidi="hi-IN"/>
        </w:rPr>
        <w:t xml:space="preserve"> as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When </w:t>
      </w:r>
      <w:r w:rsidRPr="00457ACF">
        <w:rPr>
          <w:rFonts w:ascii="Palatino Linotype" w:hAnsi="Palatino Linotype"/>
          <w:i/>
          <w:iCs/>
          <w:lang w:bidi="hi-IN"/>
        </w:rPr>
        <w:t>k</w:t>
      </w:r>
      <w:r w:rsidRPr="00457ACF">
        <w:rPr>
          <w:rFonts w:ascii="Palatino Linotype" w:hAnsi="Palatino Linotype"/>
          <w:lang w:bidi="hi-IN"/>
        </w:rPr>
        <w:t xml:space="preserve"> approaches 0 this expression approaches </w:t>
      </w:r>
      <w:r w:rsidRPr="00457ACF">
        <w:rPr>
          <w:rFonts w:ascii="Palatino Linotype" w:hAnsi="Palatino Linotype"/>
          <w:i/>
          <w:iCs/>
          <w:lang w:bidi="hi-IN"/>
        </w:rPr>
        <w:t>U</w:t>
      </w:r>
      <w:r w:rsidRPr="00457ACF">
        <w:rPr>
          <w:rFonts w:ascii="Palatino Linotype" w:hAnsi="Palatino Linotype"/>
          <w:lang w:bidi="hi-IN"/>
        </w:rPr>
        <w:t xml:space="preserve">, corresponding to the NM strategy. When </w:t>
      </w:r>
      <w:r w:rsidRPr="00457ACF">
        <w:rPr>
          <w:rFonts w:ascii="Palatino Linotype" w:hAnsi="Palatino Linotype"/>
          <w:i/>
          <w:iCs/>
          <w:lang w:bidi="hi-IN"/>
        </w:rPr>
        <w:t xml:space="preserve">k </w:t>
      </w:r>
      <w:r w:rsidRPr="00457ACF">
        <w:rPr>
          <w:rFonts w:ascii="Palatino Linotype" w:hAnsi="Palatino Linotype"/>
        </w:rPr>
        <w:t>approaches infinity this expression approaches eq. 1</w:t>
      </w:r>
      <w:r w:rsidRPr="00457ACF">
        <w:rPr>
          <w:rFonts w:ascii="Palatino Linotype" w:hAnsi="Palatino Linotype"/>
        </w:rPr>
        <w:fldChar w:fldCharType="begin"/>
      </w:r>
      <w:r w:rsidRPr="00457ACF">
        <w:rPr>
          <w:rFonts w:ascii="Palatino Linotype" w:hAnsi="Palatino Linotype"/>
        </w:rPr>
        <w:instrText xml:space="preserve"> REF _Ref374460264 \h  \* MERGEFORMAT </w:instrText>
      </w:r>
      <w:r w:rsidRPr="00457ACF">
        <w:rPr>
          <w:rFonts w:ascii="Palatino Linotype" w:hAnsi="Palatino Linotype"/>
        </w:rPr>
      </w:r>
      <w:r w:rsidRPr="00457ACF">
        <w:rPr>
          <w:rFonts w:ascii="Palatino Linotype" w:hAnsi="Palatino Linotype"/>
        </w:rPr>
        <w:fldChar w:fldCharType="separate"/>
      </w:r>
      <w:r w:rsidRPr="00457ACF">
        <w:rPr>
          <w:rFonts w:ascii="Palatino Linotype" w:hAnsi="Palatino Linotype"/>
        </w:rPr>
        <w:t>(</w:t>
      </w:r>
      <w:r w:rsidRPr="00457ACF">
        <w:rPr>
          <w:rFonts w:ascii="Palatino Linotype" w:hAnsi="Palatino Linotype"/>
          <w:noProof/>
        </w:rPr>
        <w:t>1</w:t>
      </w:r>
      <w:r w:rsidRPr="00457ACF">
        <w:rPr>
          <w:rFonts w:ascii="Palatino Linotype" w:hAnsi="Palatino Linotype"/>
        </w:rPr>
        <w:t>)</w:t>
      </w:r>
      <w:r w:rsidRPr="00457ACF">
        <w:rPr>
          <w:rFonts w:ascii="Palatino Linotype" w:hAnsi="Palatino Linotype"/>
        </w:rPr>
        <w:fldChar w:fldCharType="end"/>
      </w:r>
      <w:r w:rsidRPr="00457ACF">
        <w:rPr>
          <w:rFonts w:ascii="Palatino Linotype" w:hAnsi="Palatino Linotype"/>
        </w:rPr>
        <w:t xml:space="preserve">, corresponding to the SIM threshold strategy. See Figure E1 for a plot of these continuous relationships for various values of </w:t>
      </w:r>
      <w:r w:rsidRPr="00457ACF">
        <w:rPr>
          <w:rFonts w:ascii="Palatino Linotype" w:hAnsi="Palatino Linotype"/>
          <w:i/>
          <w:iCs/>
        </w:rPr>
        <w:t>k</w:t>
      </w:r>
      <w:r w:rsidRPr="00457ACF">
        <w:rPr>
          <w:rFonts w:ascii="Palatino Linotype" w:hAnsi="Palatino Linotype"/>
        </w:rPr>
        <w:t>.</w:t>
      </w:r>
    </w:p>
    <w:p w:rsidR="00121E76" w:rsidRPr="00457ACF" w:rsidRDefault="00121E76" w:rsidP="00121E76">
      <w:pPr>
        <w:spacing w:line="480" w:lineRule="auto"/>
        <w:jc w:val="center"/>
        <w:rPr>
          <w:rFonts w:ascii="Palatino Linotype" w:hAnsi="Palatino Linotype"/>
        </w:rPr>
      </w:pPr>
      <w:r w:rsidRPr="00457ACF">
        <w:rPr>
          <w:rFonts w:ascii="Palatino Linotype" w:hAnsi="Palatino Linotype"/>
          <w:noProof/>
        </w:rPr>
        <w:lastRenderedPageBreak/>
        <w:drawing>
          <wp:inline distT="0" distB="0" distL="0" distR="0" wp14:anchorId="2F06557D" wp14:editId="210A580E">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121E76" w:rsidRPr="00457ACF" w:rsidRDefault="00121E76" w:rsidP="00121E76">
      <w:pPr>
        <w:spacing w:line="480" w:lineRule="auto"/>
        <w:rPr>
          <w:rFonts w:ascii="Palatino Linotype" w:hAnsi="Palatino Linotype"/>
        </w:rPr>
      </w:pPr>
      <w:r w:rsidRPr="00457ACF">
        <w:rPr>
          <w:rFonts w:ascii="Palatino Linotype" w:hAnsi="Palatino Linotype"/>
          <w:b/>
          <w:bCs/>
        </w:rPr>
        <w:t xml:space="preserve">Figure E1– Different relationships between stress and mutation. </w:t>
      </w:r>
      <w:r w:rsidRPr="00457ACF">
        <w:rPr>
          <w:rFonts w:ascii="Palatino Linotype" w:hAnsi="Palatino Linotype"/>
        </w:rPr>
        <w:t xml:space="preserve">The figure shows continuous relationships between fitness (x-axis) and mutation rate (y-axis) in solid lines and threshold relationships in dashed lines. The threshold relationship is defined in section 2 of the main text. The continuous relationships are defined in Supporting Text S4. Each panel shows a pair of relationships, with </w:t>
      </w:r>
      <w:r w:rsidRPr="00457ACF">
        <w:rPr>
          <w:rFonts w:ascii="Palatino Linotype" w:hAnsi="Palatino Linotype"/>
          <w:i/>
          <w:iCs/>
        </w:rPr>
        <w:t>k</w:t>
      </w:r>
      <w:r w:rsidRPr="00457ACF">
        <w:rPr>
          <w:rFonts w:ascii="Palatino Linotype" w:hAnsi="Palatino Linotype"/>
        </w:rPr>
        <w:t xml:space="preserve"> increasing from 1/10 (convex relationship), to 1 (linear relationship) to 10 and 100 (concave relationships). Each continuous relationship is compared with a threshold relationship that has the same mutation rate for </w:t>
      </w:r>
      <w:proofErr w:type="spellStart"/>
      <w:r w:rsidRPr="00457ACF">
        <w:rPr>
          <w:rFonts w:ascii="Palatino Linotype" w:hAnsi="Palatino Linotype"/>
        </w:rPr>
        <w:t>wildtypes</w:t>
      </w:r>
      <w:proofErr w:type="spellEnd"/>
      <w:r w:rsidRPr="00457ACF">
        <w:rPr>
          <w:rFonts w:ascii="Palatino Linotype" w:hAnsi="Palatino Linotype"/>
        </w:rPr>
        <w:t xml:space="preserve"> (</w:t>
      </w:r>
      <w:r w:rsidRPr="00457ACF">
        <w:rPr>
          <w:rFonts w:ascii="Palatino Linotype" w:hAnsi="Palatino Linotype"/>
          <w:i/>
          <w:iCs/>
        </w:rPr>
        <w:t>ab/0</w:t>
      </w:r>
      <w:r w:rsidRPr="00457ACF">
        <w:rPr>
          <w:rFonts w:ascii="Palatino Linotype" w:hAnsi="Palatino Linotype"/>
        </w:rPr>
        <w:t>) and single mutants (</w:t>
      </w:r>
      <w:r w:rsidRPr="00457ACF">
        <w:rPr>
          <w:rFonts w:ascii="Palatino Linotype" w:hAnsi="Palatino Linotype"/>
          <w:i/>
          <w:iCs/>
        </w:rPr>
        <w:t>Ab/0</w:t>
      </w:r>
      <w:r w:rsidRPr="00457ACF">
        <w:rPr>
          <w:rFonts w:ascii="Palatino Linotype" w:hAnsi="Palatino Linotype"/>
        </w:rPr>
        <w:t xml:space="preserve">, </w:t>
      </w:r>
      <w:proofErr w:type="spellStart"/>
      <w:r w:rsidRPr="00457ACF">
        <w:rPr>
          <w:rFonts w:ascii="Palatino Linotype" w:hAnsi="Palatino Linotype"/>
          <w:i/>
          <w:iCs/>
        </w:rPr>
        <w:t>aB</w:t>
      </w:r>
      <w:proofErr w:type="spellEnd"/>
      <w:r w:rsidRPr="00457ACF">
        <w:rPr>
          <w:rFonts w:ascii="Palatino Linotype" w:hAnsi="Palatino Linotype"/>
          <w:i/>
          <w:iCs/>
        </w:rPr>
        <w:t>/0</w:t>
      </w:r>
      <w:r w:rsidRPr="00457ACF">
        <w:rPr>
          <w:rFonts w:ascii="Palatino Linotype" w:hAnsi="Palatino Linotype"/>
        </w:rPr>
        <w:t xml:space="preserve">, </w:t>
      </w:r>
      <w:proofErr w:type="gramStart"/>
      <w:r w:rsidRPr="00457ACF">
        <w:rPr>
          <w:rFonts w:ascii="Palatino Linotype" w:hAnsi="Palatino Linotype"/>
          <w:i/>
          <w:iCs/>
        </w:rPr>
        <w:t>ab</w:t>
      </w:r>
      <w:proofErr w:type="gramEnd"/>
      <w:r w:rsidRPr="00457ACF">
        <w:rPr>
          <w:rFonts w:ascii="Palatino Linotype" w:hAnsi="Palatino Linotype"/>
          <w:i/>
          <w:iCs/>
        </w:rPr>
        <w:t>/1</w:t>
      </w:r>
      <w:r w:rsidRPr="00457ACF">
        <w:rPr>
          <w:rFonts w:ascii="Palatino Linotype" w:hAnsi="Palatino Linotype"/>
        </w:rPr>
        <w:t>). Figure S5 shows that the adaptation rate with such threshold relationship approximates the adaptation rate with a continuous relationship.</w:t>
      </w:r>
    </w:p>
    <w:p w:rsidR="00121E76" w:rsidRPr="00457ACF" w:rsidRDefault="00121E76" w:rsidP="00121E76">
      <w:pPr>
        <w:spacing w:line="480" w:lineRule="auto"/>
        <w:rPr>
          <w:rFonts w:ascii="Palatino Linotype" w:hAnsi="Palatino Linotype"/>
        </w:rPr>
      </w:pP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lastRenderedPageBreak/>
        <w:t>Figure E2</w:t>
      </w:r>
      <w:r w:rsidRPr="00457ACF">
        <w:rPr>
          <w:rFonts w:ascii="Palatino Linotype" w:hAnsi="Palatino Linotype"/>
          <w:lang w:bidi="hi-IN"/>
        </w:rPr>
        <w:t xml:space="preserve"> shows the adaptation time for three continuous strategies (</w:t>
      </w:r>
      <w:r w:rsidRPr="00457ACF">
        <w:rPr>
          <w:rFonts w:ascii="Palatino Linotype" w:hAnsi="Palatino Linotype"/>
          <w:i/>
          <w:iCs/>
          <w:lang w:bidi="hi-IN"/>
        </w:rPr>
        <w:t>k</w:t>
      </w:r>
      <w:r w:rsidRPr="00457ACF">
        <w:rPr>
          <w:rFonts w:ascii="Palatino Linotype" w:hAnsi="Palatino Linotype"/>
          <w:lang w:bidi="hi-IN"/>
        </w:rPr>
        <w:t>=1/10, 1, and 10).  Remarkably, the dynamics of a continuous strategy can be approximated by a threshold strategy by matching the mutation rates of single mutants: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m:t>
                </m:r>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 This is equivalent to using a </w:t>
      </w:r>
      <w:r w:rsidRPr="00457ACF">
        <w:rPr>
          <w:rFonts w:ascii="Palatino Linotype" w:hAnsi="Palatino Linotype"/>
        </w:rPr>
        <w:t xml:space="preserve">threshold strategy with mutation rate increase </w:t>
      </w:r>
      <w:r w:rsidRPr="00457ACF">
        <w:rPr>
          <w:rFonts w:ascii="Palatino Linotype" w:hAnsi="Palatino Linotype"/>
          <w:i/>
          <w:iCs/>
          <w:lang w:bidi="hi-IN"/>
        </w:rPr>
        <w:t>τ</w:t>
      </w:r>
      <w:r w:rsidRPr="00457ACF">
        <w:rPr>
          <w:rFonts w:ascii="Palatino Linotype" w:hAnsi="Palatino Linotype"/>
          <w:lang w:bidi="hi-IN"/>
        </w:rPr>
        <w:t>-(</w:t>
      </w:r>
      <w:r w:rsidRPr="00457ACF">
        <w:rPr>
          <w:rFonts w:ascii="Palatino Linotype" w:hAnsi="Palatino Linotype"/>
          <w:i/>
          <w:iCs/>
          <w:lang w:bidi="hi-IN"/>
        </w:rPr>
        <w:t>τ</w:t>
      </w:r>
      <w:r w:rsidRPr="00457ACF">
        <w:rPr>
          <w:rFonts w:ascii="Palatino Linotype" w:hAnsi="Palatino Linotype"/>
          <w:lang w:bidi="hi-IN"/>
        </w:rPr>
        <w:t>-1</w:t>
      </w:r>
      <w:proofErr w:type="gramStart"/>
      <w:r w:rsidRPr="00457ACF">
        <w:rPr>
          <w:rFonts w:ascii="Palatino Linotype" w:hAnsi="Palatino Linotype"/>
          <w:lang w:bidi="hi-IN"/>
        </w:rPr>
        <w:t>)(</w:t>
      </w:r>
      <w:proofErr w:type="gramEnd"/>
      <w:r w:rsidRPr="00457ACF">
        <w:rPr>
          <w:rFonts w:ascii="Palatino Linotype" w:hAnsi="Palatino Linotype"/>
          <w:lang w:bidi="hi-IN"/>
        </w:rPr>
        <w:t>1-</w:t>
      </w:r>
      <w:r w:rsidRPr="00457ACF">
        <w:rPr>
          <w:rFonts w:ascii="Palatino Linotype" w:hAnsi="Palatino Linotype"/>
          <w:i/>
          <w:iCs/>
          <w:lang w:bidi="hi-IN"/>
        </w:rPr>
        <w:t>s</w:t>
      </w:r>
      <w:r w:rsidRPr="00457ACF">
        <w:rPr>
          <w:rFonts w:ascii="Palatino Linotype" w:hAnsi="Palatino Linotype"/>
          <w:lang w:bidi="hi-IN"/>
        </w:rPr>
        <w:t>)</w:t>
      </w:r>
      <w:r w:rsidRPr="00457ACF">
        <w:rPr>
          <w:rFonts w:ascii="Palatino Linotype" w:hAnsi="Palatino Linotype"/>
          <w:i/>
          <w:iCs/>
          <w:vertAlign w:val="superscript"/>
          <w:lang w:bidi="hi-IN"/>
        </w:rPr>
        <w:t>k</w:t>
      </w:r>
      <w:r w:rsidRPr="00457ACF">
        <w:rPr>
          <w:rFonts w:ascii="Palatino Linotype" w:hAnsi="Palatino Linotype"/>
          <w:lang w:bidi="hi-IN"/>
        </w:rPr>
        <w:t xml:space="preserve">. The dashed lines in </w:t>
      </w:r>
      <w:r w:rsidRPr="00457ACF">
        <w:rPr>
          <w:rFonts w:ascii="Palatino Linotype" w:hAnsi="Palatino Linotype"/>
        </w:rPr>
        <w:t xml:space="preserve">Figure E2 </w:t>
      </w:r>
      <w:r w:rsidRPr="00457ACF">
        <w:rPr>
          <w:rFonts w:ascii="Palatino Linotype" w:hAnsi="Palatino Linotype"/>
          <w:lang w:bidi="hi-IN"/>
        </w:rPr>
        <w:t>demonstrate this approximation. The continuous strategies can be approximated by threshold strategies because the main factor determining the adaptation rate is the mutation rate increase of the wildtype and the single mutants (</w:t>
      </w:r>
      <w:r w:rsidRPr="00457ACF">
        <w:rPr>
          <w:rFonts w:ascii="Palatino Linotype" w:hAnsi="Palatino Linotype"/>
          <w:i/>
          <w:iCs/>
          <w:lang w:bidi="hi-IN"/>
        </w:rPr>
        <w:t>ab</w:t>
      </w:r>
      <w:r w:rsidRPr="00457ACF">
        <w:rPr>
          <w:rFonts w:ascii="Palatino Linotype" w:hAnsi="Palatino Linotype"/>
          <w:lang w:bidi="hi-IN"/>
        </w:rPr>
        <w:t xml:space="preserve">, </w:t>
      </w:r>
      <w:proofErr w:type="spellStart"/>
      <w:r w:rsidRPr="00457ACF">
        <w:rPr>
          <w:rFonts w:ascii="Palatino Linotype" w:hAnsi="Palatino Linotype"/>
          <w:i/>
          <w:iCs/>
          <w:lang w:bidi="hi-IN"/>
        </w:rPr>
        <w:t>aB</w:t>
      </w:r>
      <w:proofErr w:type="spellEnd"/>
      <w:r w:rsidRPr="00457ACF">
        <w:rPr>
          <w:rFonts w:ascii="Palatino Linotype" w:hAnsi="Palatino Linotype"/>
          <w:lang w:bidi="hi-IN"/>
        </w:rPr>
        <w:t xml:space="preserve">, and </w:t>
      </w:r>
      <w:r w:rsidRPr="00457ACF">
        <w:rPr>
          <w:rFonts w:ascii="Palatino Linotype" w:hAnsi="Palatino Linotype"/>
          <w:i/>
          <w:iCs/>
          <w:lang w:bidi="hi-IN"/>
        </w:rPr>
        <w:t>Ab</w:t>
      </w:r>
      <w:r w:rsidRPr="00457ACF">
        <w:rPr>
          <w:rFonts w:ascii="Palatino Linotype" w:hAnsi="Palatino Linotype"/>
          <w:lang w:bidi="hi-IN"/>
        </w:rPr>
        <w:t>). This is because individuals with more than a single mutation do not have a significant contribution to adaptation.</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FigureLegend"/>
        <w:spacing w:line="480" w:lineRule="auto"/>
        <w:jc w:val="left"/>
        <w:rPr>
          <w:rFonts w:ascii="Palatino Linotype" w:hAnsi="Palatino Linotype"/>
          <w:b/>
          <w:bCs/>
          <w:sz w:val="22"/>
          <w:szCs w:val="22"/>
        </w:rPr>
      </w:pPr>
      <w:r w:rsidRPr="00457ACF">
        <w:rPr>
          <w:rFonts w:ascii="Palatino Linotype" w:hAnsi="Palatino Linotype"/>
          <w:b/>
          <w:bCs/>
          <w:noProof/>
          <w:sz w:val="22"/>
          <w:szCs w:val="22"/>
        </w:rPr>
        <w:lastRenderedPageBreak/>
        <w:drawing>
          <wp:inline distT="0" distB="0" distL="0" distR="0" wp14:anchorId="24E0DB0B" wp14:editId="613FF32F">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121E76" w:rsidRPr="00457ACF" w:rsidRDefault="00121E76" w:rsidP="00121E76">
      <w:pPr>
        <w:pStyle w:val="FigureLegend"/>
        <w:spacing w:line="480" w:lineRule="auto"/>
        <w:jc w:val="left"/>
        <w:rPr>
          <w:rFonts w:ascii="Palatino Linotype" w:hAnsi="Palatino Linotype"/>
          <w:sz w:val="22"/>
          <w:szCs w:val="22"/>
          <w:lang w:bidi="hi-IN"/>
        </w:rPr>
      </w:pPr>
      <w:r w:rsidRPr="00457ACF">
        <w:rPr>
          <w:rFonts w:ascii="Palatino Linotype" w:hAnsi="Palatino Linotype"/>
          <w:b/>
          <w:bCs/>
          <w:sz w:val="22"/>
          <w:szCs w:val="22"/>
        </w:rPr>
        <w:t>Figure E2 – Complex adaptation with continuous relationship stress-induced mutagenesis.</w:t>
      </w:r>
      <w:r w:rsidRPr="00457ACF">
        <w:rPr>
          <w:rFonts w:ascii="Palatino Linotype" w:hAnsi="Palatino Linotype"/>
          <w:sz w:val="22"/>
          <w:szCs w:val="22"/>
        </w:rPr>
        <w:t xml:space="preserve"> The figure shows the adaptation rate </w:t>
      </w:r>
      <w:r w:rsidRPr="00457ACF">
        <w:rPr>
          <w:rFonts w:ascii="Palatino Linotype" w:hAnsi="Palatino Linotype"/>
          <w:i/>
          <w:iCs/>
          <w:sz w:val="22"/>
          <w:szCs w:val="22"/>
        </w:rPr>
        <w:t>ν</w:t>
      </w:r>
      <w:r w:rsidRPr="00457ACF">
        <w:rPr>
          <w:rFonts w:ascii="Palatino Linotype" w:hAnsi="Palatino Linotype"/>
          <w:sz w:val="22"/>
          <w:szCs w:val="22"/>
        </w:rPr>
        <w:t xml:space="preserve"> as a function of the mutation rate increase </w:t>
      </w:r>
      <w:r w:rsidRPr="00457ACF">
        <w:rPr>
          <w:rFonts w:ascii="Palatino Linotype" w:hAnsi="Palatino Linotype"/>
          <w:i/>
          <w:iCs/>
          <w:sz w:val="22"/>
          <w:szCs w:val="22"/>
        </w:rPr>
        <w:t>τ</w:t>
      </w:r>
      <w:r w:rsidRPr="00457ACF">
        <w:rPr>
          <w:rFonts w:ascii="Palatino Linotype" w:hAnsi="Palatino Linotype"/>
          <w:sz w:val="22"/>
          <w:szCs w:val="22"/>
        </w:rPr>
        <w:t xml:space="preserve"> (both in log scale). The solid line is an analytical approximation of SIM (same as in Figure 2). Markers are the results of simulations of adaptation with SIM with different continuous relationships between fitness and mutation rate. These continuous relationships are defined by a mutation rate fold increase </w:t>
      </w:r>
      <w:r w:rsidRPr="00457ACF">
        <w:rPr>
          <w:rFonts w:ascii="Palatino Linotype" w:hAnsi="Palatino Linotype"/>
          <w:i/>
          <w:iCs/>
          <w:sz w:val="22"/>
          <w:szCs w:val="22"/>
        </w:rPr>
        <w:t>τ</w:t>
      </w:r>
      <w:r w:rsidRPr="00457ACF">
        <w:rPr>
          <w:rFonts w:ascii="Palatino Linotype" w:hAnsi="Palatino Linotype"/>
          <w:sz w:val="22"/>
          <w:szCs w:val="22"/>
        </w:rPr>
        <w:t xml:space="preserve">=10 and a curvature parameter </w:t>
      </w:r>
      <w:r w:rsidRPr="00457ACF">
        <w:rPr>
          <w:rFonts w:ascii="Palatino Linotype" w:hAnsi="Palatino Linotype"/>
          <w:i/>
          <w:iCs/>
          <w:sz w:val="22"/>
          <w:szCs w:val="22"/>
        </w:rPr>
        <w:t>k</w:t>
      </w:r>
      <w:r w:rsidRPr="00457ACF">
        <w:rPr>
          <w:rFonts w:ascii="Palatino Linotype" w:hAnsi="Palatino Linotype"/>
          <w:sz w:val="22"/>
          <w:szCs w:val="22"/>
        </w:rPr>
        <w:t>=10, 1, and 1/10, top to bottom (see Supporting Text S4 and Figure S3 for more details on continuous SIM)</w:t>
      </w:r>
      <w:r w:rsidRPr="00457ACF">
        <w:rPr>
          <w:rFonts w:ascii="Palatino Linotype" w:hAnsi="Palatino Linotype"/>
          <w:b/>
          <w:bCs/>
          <w:sz w:val="22"/>
          <w:szCs w:val="22"/>
        </w:rPr>
        <w:t xml:space="preserve">. </w:t>
      </w:r>
      <w:r w:rsidRPr="00457ACF">
        <w:rPr>
          <w:rFonts w:ascii="Palatino Linotype" w:hAnsi="Palatino Linotype"/>
          <w:sz w:val="22"/>
          <w:szCs w:val="22"/>
        </w:rPr>
        <w:t>Each dashed line is an approximation of a continuous SIM using a SIM threshold strategy (eq. 13</w:t>
      </w:r>
      <w:r w:rsidRPr="00457ACF">
        <w:rPr>
          <w:rFonts w:ascii="Palatino Linotype" w:hAnsi="Palatino Linotype"/>
          <w:sz w:val="22"/>
          <w:szCs w:val="22"/>
        </w:rPr>
        <w:fldChar w:fldCharType="begin"/>
      </w:r>
      <w:r w:rsidRPr="00457ACF">
        <w:rPr>
          <w:rFonts w:ascii="Palatino Linotype" w:hAnsi="Palatino Linotype"/>
          <w:sz w:val="22"/>
          <w:szCs w:val="22"/>
        </w:rPr>
        <w:instrText xml:space="preserve"> REF _Ref375754011 \h  \* MERGEFORMAT </w:instrText>
      </w:r>
      <w:r w:rsidRPr="00457ACF">
        <w:rPr>
          <w:rFonts w:ascii="Palatino Linotype" w:hAnsi="Palatino Linotype"/>
          <w:sz w:val="22"/>
          <w:szCs w:val="22"/>
        </w:rPr>
      </w:r>
      <w:r w:rsidRPr="00457ACF">
        <w:rPr>
          <w:rFonts w:ascii="Palatino Linotype" w:hAnsi="Palatino Linotype"/>
          <w:sz w:val="22"/>
          <w:szCs w:val="22"/>
        </w:rPr>
        <w:fldChar w:fldCharType="separate"/>
      </w:r>
      <w:r w:rsidRPr="00457ACF">
        <w:rPr>
          <w:rFonts w:ascii="Palatino Linotype" w:hAnsi="Palatino Linotype"/>
          <w:sz w:val="22"/>
          <w:szCs w:val="22"/>
        </w:rPr>
        <w:t>Error! Reference source not found.</w:t>
      </w:r>
      <w:r w:rsidRPr="00457ACF">
        <w:rPr>
          <w:rFonts w:ascii="Palatino Linotype" w:hAnsi="Palatino Linotype"/>
          <w:sz w:val="22"/>
          <w:szCs w:val="22"/>
        </w:rPr>
        <w:fldChar w:fldCharType="end"/>
      </w:r>
      <w:r w:rsidRPr="00457ACF">
        <w:rPr>
          <w:rFonts w:ascii="Palatino Linotype" w:hAnsi="Palatino Linotype"/>
          <w:sz w:val="22"/>
          <w:szCs w:val="22"/>
        </w:rPr>
        <w:t xml:space="preserve">) </w:t>
      </w:r>
      <w:proofErr w:type="gramStart"/>
      <w:r w:rsidRPr="00457ACF">
        <w:rPr>
          <w:rFonts w:ascii="Palatino Linotype" w:hAnsi="Palatino Linotype"/>
          <w:sz w:val="22"/>
          <w:szCs w:val="22"/>
        </w:rPr>
        <w:t>with</w:t>
      </w:r>
      <w:proofErr w:type="gramEnd"/>
      <w:r w:rsidRPr="00457ACF">
        <w:rPr>
          <w:rFonts w:ascii="Palatino Linotype" w:hAnsi="Palatino Linotype"/>
          <w:sz w:val="22"/>
          <w:szCs w:val="22"/>
        </w:rPr>
        <w:t xml:space="preserve"> </w:t>
      </w:r>
      <w:r w:rsidRPr="00457ACF">
        <w:rPr>
          <w:rFonts w:ascii="Palatino Linotype" w:hAnsi="Palatino Linotype"/>
          <w:i/>
          <w:iCs/>
          <w:sz w:val="22"/>
          <w:szCs w:val="22"/>
        </w:rPr>
        <w:t>τ</w:t>
      </w:r>
      <w:r w:rsidRPr="00457ACF">
        <w:rPr>
          <w:rFonts w:ascii="Palatino Linotype" w:hAnsi="Palatino Linotype"/>
          <w:sz w:val="22"/>
          <w:szCs w:val="22"/>
        </w:rPr>
        <w:t>=</w:t>
      </w:r>
      <w:r w:rsidRPr="00457ACF">
        <w:rPr>
          <w:rFonts w:ascii="Palatino Linotype" w:hAnsi="Palatino Linotype"/>
          <w:sz w:val="22"/>
          <w:szCs w:val="22"/>
          <w:lang w:bidi="hi-IN"/>
        </w:rPr>
        <w:t xml:space="preserve">4.61, 1.45, and 1.05, top to bottom. The fit between the dashed lines and the corresponding markers suggests that a threshold strategy captures the adaptive dynamics. </w:t>
      </w:r>
      <w:r w:rsidRPr="00457ACF">
        <w:rPr>
          <w:rFonts w:ascii="Palatino Linotype" w:hAnsi="Palatino Linotype"/>
          <w:sz w:val="22"/>
          <w:szCs w:val="22"/>
        </w:rPr>
        <w:t xml:space="preserve">Error bars represent 95% confidence interval of the mean (at least </w:t>
      </w:r>
      <w:r w:rsidRPr="00457ACF">
        <w:rPr>
          <w:rFonts w:ascii="Palatino Linotype" w:hAnsi="Palatino Linotype"/>
          <w:sz w:val="22"/>
          <w:szCs w:val="22"/>
        </w:rPr>
        <w:lastRenderedPageBreak/>
        <w:t xml:space="preserve">1,000 simulations per point; computed with bootstrap with 1,000 samples per point). Parameters (see </w:t>
      </w:r>
      <w:r w:rsidRPr="00457ACF">
        <w:rPr>
          <w:rFonts w:ascii="Palatino Linotype" w:hAnsi="Palatino Linotype"/>
          <w:sz w:val="22"/>
          <w:szCs w:val="22"/>
        </w:rPr>
        <w:fldChar w:fldCharType="begin"/>
      </w:r>
      <w:r w:rsidRPr="00457ACF">
        <w:rPr>
          <w:rFonts w:ascii="Palatino Linotype" w:hAnsi="Palatino Linotype"/>
          <w:sz w:val="22"/>
          <w:szCs w:val="22"/>
        </w:rPr>
        <w:instrText xml:space="preserve"> REF _Ref358791100 \h  \* MERGEFORMAT </w:instrText>
      </w:r>
      <w:r w:rsidRPr="00457ACF">
        <w:rPr>
          <w:rFonts w:ascii="Palatino Linotype" w:hAnsi="Palatino Linotype"/>
          <w:sz w:val="22"/>
          <w:szCs w:val="22"/>
        </w:rPr>
      </w:r>
      <w:r w:rsidRPr="00457ACF">
        <w:rPr>
          <w:rFonts w:ascii="Palatino Linotype" w:hAnsi="Palatino Linotype"/>
          <w:sz w:val="22"/>
          <w:szCs w:val="22"/>
        </w:rPr>
        <w:fldChar w:fldCharType="separate"/>
      </w:r>
      <w:r w:rsidRPr="00457ACF">
        <w:rPr>
          <w:rFonts w:ascii="Palatino Linotype" w:hAnsi="Palatino Linotype"/>
          <w:sz w:val="22"/>
          <w:szCs w:val="22"/>
        </w:rPr>
        <w:t>Table 1</w:t>
      </w:r>
      <w:r w:rsidRPr="00457ACF">
        <w:rPr>
          <w:rFonts w:ascii="Palatino Linotype" w:hAnsi="Palatino Linotype"/>
          <w:sz w:val="22"/>
          <w:szCs w:val="22"/>
        </w:rPr>
        <w:fldChar w:fldCharType="end"/>
      </w:r>
      <w:r w:rsidRPr="00457ACF">
        <w:rPr>
          <w:rFonts w:ascii="Palatino Linotype" w:hAnsi="Palatino Linotype"/>
          <w:sz w:val="22"/>
          <w:szCs w:val="22"/>
        </w:rPr>
        <w:t xml:space="preserve">): </w:t>
      </w:r>
      <w:r w:rsidRPr="00457ACF">
        <w:rPr>
          <w:rFonts w:ascii="Palatino Linotype" w:hAnsi="Palatino Linotype"/>
          <w:i/>
          <w:iCs/>
          <w:sz w:val="22"/>
          <w:szCs w:val="22"/>
        </w:rPr>
        <w:t>U</w:t>
      </w:r>
      <w:r w:rsidRPr="00457ACF">
        <w:rPr>
          <w:rFonts w:ascii="Palatino Linotype" w:hAnsi="Palatino Linotype"/>
          <w:sz w:val="22"/>
          <w:szCs w:val="22"/>
        </w:rPr>
        <w:t xml:space="preserve">=0.0004, </w:t>
      </w:r>
      <w:r w:rsidRPr="00457ACF">
        <w:rPr>
          <w:rFonts w:ascii="Palatino Linotype" w:hAnsi="Palatino Linotype"/>
          <w:i/>
          <w:iCs/>
          <w:sz w:val="22"/>
          <w:szCs w:val="22"/>
        </w:rPr>
        <w:t>s</w:t>
      </w:r>
      <w:r w:rsidRPr="00457ACF">
        <w:rPr>
          <w:rFonts w:ascii="Palatino Linotype" w:hAnsi="Palatino Linotype"/>
          <w:sz w:val="22"/>
          <w:szCs w:val="22"/>
        </w:rPr>
        <w:t xml:space="preserve">=0.05, </w:t>
      </w:r>
      <w:r w:rsidRPr="00457ACF">
        <w:rPr>
          <w:rFonts w:ascii="Palatino Linotype" w:hAnsi="Palatino Linotype"/>
          <w:i/>
          <w:iCs/>
          <w:sz w:val="22"/>
          <w:szCs w:val="22"/>
        </w:rPr>
        <w:t>β</w:t>
      </w:r>
      <w:r w:rsidRPr="00457ACF">
        <w:rPr>
          <w:rFonts w:ascii="Palatino Linotype" w:hAnsi="Palatino Linotype"/>
          <w:sz w:val="22"/>
          <w:szCs w:val="22"/>
        </w:rPr>
        <w:t xml:space="preserve">=0.0002, </w:t>
      </w:r>
      <w:r w:rsidRPr="00457ACF">
        <w:rPr>
          <w:rFonts w:ascii="Palatino Linotype" w:hAnsi="Palatino Linotype"/>
          <w:i/>
          <w:iCs/>
          <w:sz w:val="22"/>
          <w:szCs w:val="22"/>
        </w:rPr>
        <w:t>H</w:t>
      </w:r>
      <w:r w:rsidRPr="00457ACF">
        <w:rPr>
          <w:rFonts w:ascii="Palatino Linotype" w:hAnsi="Palatino Linotype"/>
          <w:sz w:val="22"/>
          <w:szCs w:val="22"/>
        </w:rPr>
        <w:t xml:space="preserve">=2, </w:t>
      </w:r>
      <w:r w:rsidRPr="00457ACF">
        <w:rPr>
          <w:rFonts w:ascii="Palatino Linotype" w:hAnsi="Palatino Linotype"/>
          <w:i/>
          <w:iCs/>
          <w:sz w:val="22"/>
          <w:szCs w:val="22"/>
        </w:rPr>
        <w:t>N</w:t>
      </w:r>
      <w:r w:rsidRPr="00457ACF">
        <w:rPr>
          <w:rFonts w:ascii="Palatino Linotype" w:hAnsi="Palatino Linotype"/>
          <w:sz w:val="22"/>
          <w:szCs w:val="22"/>
        </w:rPr>
        <w:t>=10</w:t>
      </w:r>
      <w:r w:rsidRPr="00457ACF">
        <w:rPr>
          <w:rFonts w:ascii="Palatino Linotype" w:hAnsi="Palatino Linotype"/>
          <w:sz w:val="22"/>
          <w:szCs w:val="22"/>
          <w:vertAlign w:val="superscript"/>
        </w:rPr>
        <w:t>6</w:t>
      </w:r>
      <w:r w:rsidRPr="00457ACF">
        <w:rPr>
          <w:rFonts w:ascii="Palatino Linotype" w:hAnsi="Palatino Linotype"/>
          <w:sz w:val="22"/>
          <w:szCs w:val="22"/>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t>Appendix F: Competitions between mutational strategies</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We also simulated direct competitions between the different mutational strategies (NM, CM, and SIM). In these competitions, half of the population alters its mutational strategy to an invading strategy at the time of the environmental change. Each simulation provides a sample of the frequency of the invading strategy after the appearance and subsequent fixation or extinction of the double mutant </w:t>
      </w:r>
      <w:r w:rsidRPr="00457ACF">
        <w:rPr>
          <w:rFonts w:ascii="Palatino Linotype" w:hAnsi="Palatino Linotype"/>
          <w:i/>
          <w:iCs/>
          <w:lang w:bidi="hi-IN"/>
        </w:rPr>
        <w:t>AB</w:t>
      </w:r>
      <w:r w:rsidRPr="00457ACF">
        <w:rPr>
          <w:rFonts w:ascii="Palatino Linotype" w:hAnsi="Palatino Linotype"/>
          <w:lang w:bidi="hi-IN"/>
        </w:rPr>
        <w:t>. If the average final frequency is significantly lower or higher than 50% we consider the invading strategy disfavored or favored by natural selection over the initial strategy. Statistical significance was calculated using a 1-sample 2-tailed t-test.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F1 </w:t>
      </w:r>
      <w:r w:rsidRPr="00457ACF">
        <w:rPr>
          <w:rFonts w:ascii="Palatino Linotype" w:hAnsi="Palatino Linotype"/>
          <w:lang w:bidi="hi-IN"/>
        </w:rPr>
        <w:t>summarizes the competitions. CM clearly loses to both SIM and NM (first and second panels from the right). SIM is significantly advantageous over NM when the mutation rate increase is large enough (</w:t>
      </w:r>
      <w:r w:rsidRPr="00457ACF">
        <w:rPr>
          <w:rFonts w:ascii="Palatino Linotype" w:hAnsi="Palatino Linotype"/>
          <w:i/>
          <w:iCs/>
          <w:lang w:bidi="hi-IN"/>
        </w:rPr>
        <w:t>τ</w:t>
      </w:r>
      <w:r w:rsidRPr="00457ACF">
        <w:rPr>
          <w:rFonts w:ascii="Palatino Linotype" w:hAnsi="Palatino Linotype"/>
          <w:lang w:bidi="hi-IN"/>
        </w:rPr>
        <w:t xml:space="preserve">&gt;2; 2-tail t-test, P&lt;0.0015).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Pr="00457ACF">
        <w:rPr>
          <w:rFonts w:ascii="Palatino Linotype" w:hAnsi="Palatino Linotype"/>
          <w:lang w:bidi="hi-IN"/>
        </w:rPr>
        <w:fldChar w:fldCharType="begin" w:fldLock="1"/>
      </w:r>
      <w:r>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bookmarkStart w:id="25" w:name="_Ref374366687"/>
    </w:p>
    <w:p w:rsidR="00121E76" w:rsidRPr="00457ACF" w:rsidRDefault="00121E76" w:rsidP="00121E76">
      <w:pPr>
        <w:pStyle w:val="Caption"/>
        <w:spacing w:line="480" w:lineRule="auto"/>
        <w:rPr>
          <w:rFonts w:ascii="Palatino Linotype" w:eastAsiaTheme="minorHAnsi" w:hAnsi="Palatino Linotype"/>
          <w:smallCaps w:val="0"/>
          <w:color w:val="auto"/>
          <w:spacing w:val="0"/>
          <w:szCs w:val="22"/>
          <w:lang w:bidi="he-IL"/>
        </w:rPr>
      </w:pPr>
      <w:r w:rsidRPr="00457ACF">
        <w:rPr>
          <w:rFonts w:ascii="Palatino Linotype" w:eastAsiaTheme="minorHAnsi" w:hAnsi="Palatino Linotype"/>
          <w:smallCaps w:val="0"/>
          <w:noProof/>
          <w:color w:val="auto"/>
          <w:spacing w:val="0"/>
          <w:szCs w:val="22"/>
          <w:lang w:bidi="he-IL"/>
        </w:rPr>
        <w:lastRenderedPageBreak/>
        <w:drawing>
          <wp:inline distT="0" distB="0" distL="0" distR="0" wp14:anchorId="41991B5F" wp14:editId="29BBDF0F">
            <wp:extent cx="5270500" cy="2199640"/>
            <wp:effectExtent l="0" t="0" r="6350" b="0"/>
            <wp:docPr id="5" name="Picture 5"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b/>
          <w:bCs/>
          <w:lang w:bidi="hi-IN"/>
        </w:rPr>
        <w:t xml:space="preserve">Figure </w:t>
      </w:r>
      <w:bookmarkEnd w:id="25"/>
      <w:r w:rsidRPr="00457ACF">
        <w:rPr>
          <w:rFonts w:ascii="Palatino Linotype" w:hAnsi="Palatino Linotype"/>
          <w:b/>
          <w:bCs/>
          <w:lang w:bidi="hi-IN"/>
        </w:rPr>
        <w:t>F1 – Direct competitions between three mutational strategies.</w:t>
      </w:r>
      <w:r w:rsidRPr="00457ACF">
        <w:rPr>
          <w:rFonts w:ascii="Palatino Linotype" w:hAnsi="Palatino Linotype"/>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457ACF">
        <w:rPr>
          <w:rFonts w:ascii="Palatino Linotype" w:hAnsi="Palatino Linotype"/>
          <w:lang w:bidi="hi-IN"/>
        </w:rPr>
        <w:t>CM losses to NM and SIM (P≈0).</w:t>
      </w:r>
      <w:proofErr w:type="gramEnd"/>
      <w:r w:rsidRPr="00457ACF">
        <w:rPr>
          <w:rFonts w:ascii="Palatino Linotype" w:hAnsi="Palatino Linotype"/>
          <w:lang w:bidi="hi-IN"/>
        </w:rPr>
        <w:t xml:space="preserve"> Therefore, SIM is favored by selection over both NM and CM. Changing roles between resident and invader didn't affect the results (not shown). Error bars represent the standard error of the mean (500 simulations per point). Parameters (see Table 1): U=0.0004, s=0.05, β=0.0002, H=2, N=106.</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lastRenderedPageBreak/>
        <w:t>Supporting Figures</w:t>
      </w:r>
    </w:p>
    <w:p w:rsidR="00121E76" w:rsidRPr="00457ACF" w:rsidRDefault="00121E76" w:rsidP="00121E76">
      <w:pPr>
        <w:keepNext/>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27690A3B" wp14:editId="03BA53BA">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457ACF" w:rsidRDefault="00121E76" w:rsidP="00121E76">
      <w:pPr>
        <w:keepNext/>
        <w:spacing w:line="480" w:lineRule="auto"/>
        <w:rPr>
          <w:rFonts w:ascii="Palatino Linotype" w:hAnsi="Palatino Linotype"/>
          <w:b/>
          <w:bCs/>
        </w:rPr>
      </w:pPr>
      <w:bookmarkStart w:id="26" w:name="_Ref360183807"/>
      <w:r w:rsidRPr="00457ACF">
        <w:rPr>
          <w:rFonts w:ascii="Palatino Linotype" w:hAnsi="Palatino Linotype"/>
          <w:b/>
          <w:bCs/>
        </w:rPr>
        <w:t>Figure S</w:t>
      </w:r>
      <w:bookmarkEnd w:id="26"/>
      <w:r w:rsidRPr="00457ACF">
        <w:rPr>
          <w:rFonts w:ascii="Palatino Linotype" w:hAnsi="Palatino Linotype"/>
          <w:b/>
          <w:bCs/>
        </w:rPr>
        <w:t>1</w:t>
      </w:r>
      <w:r w:rsidRPr="00457ACF">
        <w:rPr>
          <w:rFonts w:ascii="Palatino Linotype" w:hAnsi="Palatino Linotype"/>
          <w:b/>
          <w:bCs/>
          <w:noProof/>
        </w:rPr>
        <w:t xml:space="preserve"> – Waiting time for the appearance of a double mutant </w:t>
      </w:r>
      <w:r w:rsidRPr="00457ACF">
        <w:rPr>
          <w:rFonts w:ascii="Palatino Linotype" w:hAnsi="Palatino Linotype"/>
        </w:rPr>
        <w:t xml:space="preserve">as a function of the mutation rate fold increase </w:t>
      </w:r>
      <w:r w:rsidRPr="00457ACF">
        <w:rPr>
          <w:rFonts w:ascii="Palatino Linotype" w:hAnsi="Palatino Linotype"/>
          <w:i/>
          <w:iCs/>
        </w:rPr>
        <w:t>τ</w:t>
      </w:r>
      <w:r w:rsidRPr="00457ACF">
        <w:rPr>
          <w:rFonts w:ascii="Palatino Linotype" w:hAnsi="Palatino Linotype"/>
        </w:rPr>
        <w:t xml:space="preserve">. Normal mutagenesis (NM) is </w:t>
      </w:r>
      <w:r w:rsidRPr="00457ACF">
        <w:rPr>
          <w:rFonts w:ascii="Palatino Linotype" w:hAnsi="Palatino Linotype"/>
          <w:i/>
          <w:iCs/>
        </w:rPr>
        <w:t>τ</w:t>
      </w:r>
      <w:r w:rsidRPr="00457ACF">
        <w:rPr>
          <w:rFonts w:ascii="Palatino Linotype" w:hAnsi="Palatino Linotype"/>
        </w:rPr>
        <w:t>=1; constitutive mutagenesis (CM) in red; stress-induced mutagenesis (SIM) in blue. Lines are analytic approximations (</w:t>
      </w:r>
      <w:proofErr w:type="spellStart"/>
      <w:r w:rsidRPr="00457ACF">
        <w:rPr>
          <w:rFonts w:ascii="Palatino Linotype" w:hAnsi="Palatino Linotype"/>
        </w:rPr>
        <w:t>eqs</w:t>
      </w:r>
      <w:proofErr w:type="spellEnd"/>
      <w:r w:rsidRPr="00457ACF">
        <w:rPr>
          <w:rFonts w:ascii="Palatino Linotype" w:hAnsi="Palatino Linotype"/>
        </w:rPr>
        <w:t xml:space="preserve">. 2, 3 in main text). Markers are means of simulation results - black circles for the standard simulations, white triangles for alternative simulations in which </w:t>
      </w:r>
      <w:r w:rsidRPr="00457ACF">
        <w:rPr>
          <w:rFonts w:ascii="Palatino Linotype" w:hAnsi="Palatino Linotype"/>
          <w:i/>
          <w:iCs/>
        </w:rPr>
        <w:t>AB</w:t>
      </w:r>
      <w:r w:rsidRPr="00457ACF">
        <w:rPr>
          <w:rFonts w:ascii="Palatino Linotype" w:hAnsi="Palatino Linotype"/>
        </w:rPr>
        <w:t xml:space="preserve"> cannot appear on deleterious backgrounds. The standard error of the mean was too small to show. </w:t>
      </w:r>
      <w:proofErr w:type="gramStart"/>
      <w:r w:rsidRPr="00457ACF">
        <w:rPr>
          <w:rFonts w:ascii="Palatino Linotype" w:hAnsi="Palatino Linotype"/>
        </w:rPr>
        <w:t>At least 1,000 simulations per point.</w:t>
      </w:r>
      <w:proofErr w:type="gramEnd"/>
      <w:r w:rsidRPr="00457ACF">
        <w:rPr>
          <w:rFonts w:ascii="Palatino Linotype" w:hAnsi="Palatino Linotype"/>
        </w:rPr>
        <w:t xml:space="preserve"> Both axes are in log scale. The appearance time decreases as a function of </w:t>
      </w:r>
      <w:r w:rsidRPr="00457ACF">
        <w:rPr>
          <w:rFonts w:ascii="Palatino Linotype" w:hAnsi="Palatino Linotype"/>
          <w:i/>
          <w:iCs/>
        </w:rPr>
        <w:t>τ</w:t>
      </w:r>
      <w:r w:rsidRPr="00457ACF">
        <w:rPr>
          <w:rFonts w:ascii="Palatino Linotype" w:hAnsi="Palatino Linotype"/>
          <w:vertAlign w:val="superscript"/>
        </w:rPr>
        <w:t>2</w:t>
      </w:r>
      <w:r w:rsidRPr="00457ACF">
        <w:rPr>
          <w:rFonts w:ascii="Palatino Linotype" w:hAnsi="Palatino Linotype"/>
        </w:rPr>
        <w:t xml:space="preserve"> and </w:t>
      </w:r>
      <w:r w:rsidRPr="00457ACF">
        <w:rPr>
          <w:rFonts w:ascii="Palatino Linotype" w:hAnsi="Palatino Linotype"/>
          <w:i/>
          <w:iCs/>
        </w:rPr>
        <w:t>τ</w:t>
      </w:r>
      <w:r w:rsidRPr="00457ACF">
        <w:rPr>
          <w:rFonts w:ascii="Palatino Linotype" w:hAnsi="Palatino Linotype"/>
        </w:rPr>
        <w:t xml:space="preserve"> with CM and SIM, respectively. Appearance time is slightly longer if </w:t>
      </w:r>
      <w:r w:rsidRPr="00457ACF">
        <w:rPr>
          <w:rFonts w:ascii="Palatino Linotype" w:hAnsi="Palatino Linotype"/>
          <w:i/>
          <w:iCs/>
        </w:rPr>
        <w:t>AB</w:t>
      </w:r>
      <w:r w:rsidRPr="00457ACF">
        <w:rPr>
          <w:rFonts w:ascii="Palatino Linotype" w:hAnsi="Palatino Linotype"/>
        </w:rPr>
        <w:t xml:space="preserve"> only appears on unloaded background (white triangles) which explains the difference between the </w:t>
      </w:r>
      <w:r w:rsidRPr="00457ACF">
        <w:rPr>
          <w:rFonts w:ascii="Palatino Linotype" w:hAnsi="Palatino Linotype"/>
        </w:rPr>
        <w:lastRenderedPageBreak/>
        <w:t>analytic approximations and the simulation results for SIM in Figure 2. Parameters are the same as in Figure 2.</w:t>
      </w:r>
    </w:p>
    <w:p w:rsidR="00121E76" w:rsidRPr="00457ACF" w:rsidRDefault="00121E76" w:rsidP="00121E76">
      <w:pPr>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1E2AB554" wp14:editId="677B182D">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noProof/>
        </w:rPr>
        <w:t xml:space="preserve"> </w:t>
      </w:r>
      <w:bookmarkStart w:id="27" w:name="_Ref360562760"/>
      <w:r w:rsidRPr="00457ACF">
        <w:rPr>
          <w:rFonts w:ascii="Palatino Linotype" w:hAnsi="Palatino Linotype"/>
          <w:b/>
          <w:bCs/>
        </w:rPr>
        <w:t>Figure S</w:t>
      </w:r>
      <w:bookmarkEnd w:id="27"/>
      <w:r w:rsidRPr="00457ACF">
        <w:rPr>
          <w:rFonts w:ascii="Palatino Linotype" w:hAnsi="Palatino Linotype"/>
          <w:b/>
          <w:bCs/>
        </w:rPr>
        <w:t>2 – Fixation probability</w:t>
      </w:r>
      <w:r w:rsidRPr="00457ACF">
        <w:rPr>
          <w:rFonts w:ascii="Palatino Linotype" w:hAnsi="Palatino Linotype"/>
        </w:rPr>
        <w:t xml:space="preserve"> </w:t>
      </w:r>
      <w:r w:rsidRPr="00457ACF">
        <w:rPr>
          <w:rFonts w:ascii="Palatino Linotype" w:hAnsi="Palatino Linotype"/>
          <w:b/>
          <w:bCs/>
        </w:rPr>
        <w:t xml:space="preserve">of the double mutant </w:t>
      </w:r>
      <w:r w:rsidRPr="00457ACF">
        <w:rPr>
          <w:rFonts w:ascii="Palatino Linotype" w:hAnsi="Palatino Linotype"/>
          <w:b/>
          <w:bCs/>
          <w:i/>
          <w:iCs/>
        </w:rPr>
        <w:t>AB</w:t>
      </w:r>
      <w:r w:rsidRPr="00457ACF">
        <w:rPr>
          <w:rFonts w:ascii="Palatino Linotype" w:hAnsi="Palatino Linotype"/>
        </w:rPr>
        <w:t xml:space="preserve"> as a function of the mutation rate fold increase </w:t>
      </w:r>
      <w:r w:rsidRPr="00457ACF">
        <w:rPr>
          <w:rFonts w:ascii="Palatino Linotype" w:hAnsi="Palatino Linotype"/>
          <w:i/>
          <w:iCs/>
        </w:rPr>
        <w:t>τ</w:t>
      </w:r>
      <w:r w:rsidRPr="00457ACF">
        <w:rPr>
          <w:rFonts w:ascii="Palatino Linotype" w:hAnsi="Palatino Linotype"/>
        </w:rPr>
        <w:t xml:space="preserve"> with three mutational strategies: constitutive mutagenesis (CM; top panels in red), stress-induced mutagenesis (SIM; middle panels in blue) and stress-induced mutagenesis with environmental stress (</w:t>
      </w:r>
      <w:proofErr w:type="spellStart"/>
      <w:r w:rsidRPr="00457ACF">
        <w:rPr>
          <w:rFonts w:ascii="Palatino Linotype" w:hAnsi="Palatino Linotype"/>
        </w:rPr>
        <w:t>SIM</w:t>
      </w:r>
      <w:r w:rsidRPr="00457ACF">
        <w:rPr>
          <w:rFonts w:ascii="Palatino Linotype" w:hAnsi="Palatino Linotype"/>
          <w:vertAlign w:val="subscript"/>
        </w:rPr>
        <w:t>e</w:t>
      </w:r>
      <w:proofErr w:type="spellEnd"/>
      <w:r w:rsidRPr="00457ACF">
        <w:rPr>
          <w:rFonts w:ascii="Palatino Linotype" w:hAnsi="Palatino Linotype"/>
        </w:rPr>
        <w:t xml:space="preserve">; bottom panels in green; see section 3.5 in main text). Dashed lines are analytic approximations; black error bars represent simulation results with 95% confidence interval of the mean (at least 1,000 simulations per point; computed with bootstrap with 10,000 samples per point); solid lines are the logistic regression lines computed </w:t>
      </w:r>
      <w:r w:rsidRPr="00457ACF">
        <w:rPr>
          <w:rFonts w:ascii="Palatino Linotype" w:hAnsi="Palatino Linotype"/>
        </w:rPr>
        <w:lastRenderedPageBreak/>
        <w:t xml:space="preserve">from the simulation results. The three left panels are results of the standard simulations. The three right panels are results of simulations in which </w:t>
      </w:r>
      <w:r w:rsidRPr="00457ACF">
        <w:rPr>
          <w:rFonts w:ascii="Palatino Linotype" w:hAnsi="Palatino Linotype"/>
          <w:i/>
          <w:iCs/>
        </w:rPr>
        <w:t>AB</w:t>
      </w:r>
      <w:r w:rsidRPr="00457ACF">
        <w:rPr>
          <w:rFonts w:ascii="Palatino Linotype" w:hAnsi="Palatino Linotype"/>
        </w:rPr>
        <w:t xml:space="preserve"> cannot appear on deleterious backgrounds - in these cases there is no significant difference between the simulation results and our analytic approximations (compare solid and dashed lines; regression slope tests with α=0.05). However, if </w:t>
      </w:r>
      <w:r w:rsidRPr="00457ACF">
        <w:rPr>
          <w:rFonts w:ascii="Palatino Linotype" w:hAnsi="Palatino Linotype"/>
          <w:i/>
          <w:iCs/>
        </w:rPr>
        <w:t xml:space="preserve">AB </w:t>
      </w:r>
      <w:r w:rsidRPr="00457ACF">
        <w:rPr>
          <w:rFonts w:ascii="Palatino Linotype" w:hAnsi="Palatino Linotype"/>
        </w:rPr>
        <w:t xml:space="preserve">can appear on a deleterious background (left panels) then its fixation probability is lower </w:t>
      </w:r>
      <w:r w:rsidRPr="00457ACF">
        <w:rPr>
          <w:rFonts w:ascii="Palatino Linotype" w:hAnsi="Palatino Linotype"/>
        </w:rPr>
        <w:fldChar w:fldCharType="begin" w:fldLock="1"/>
      </w:r>
      <w:r>
        <w:rPr>
          <w:rFonts w:ascii="Palatino Linotype" w:hAnsi="Palatino Linotype"/>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"[74]"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[74]</w:t>
      </w:r>
      <w:r w:rsidRPr="00457ACF">
        <w:rPr>
          <w:rFonts w:ascii="Palatino Linotype" w:hAnsi="Palatino Linotype"/>
        </w:rPr>
        <w:fldChar w:fldCharType="end"/>
      </w:r>
      <w:r w:rsidRPr="00457ACF">
        <w:rPr>
          <w:rFonts w:ascii="Palatino Linotype" w:hAnsi="Palatino Linotype"/>
        </w:rPr>
        <w:t xml:space="preserve">. For example, the fixation probability of </w:t>
      </w:r>
      <w:r w:rsidRPr="00457ACF">
        <w:rPr>
          <w:rFonts w:ascii="Palatino Linotype" w:hAnsi="Palatino Linotype"/>
          <w:i/>
          <w:iCs/>
        </w:rPr>
        <w:t xml:space="preserve">AB </w:t>
      </w:r>
      <w:r w:rsidRPr="00457ACF">
        <w:rPr>
          <w:rFonts w:ascii="Palatino Linotype" w:hAnsi="Palatino Linotype"/>
        </w:rPr>
        <w:t xml:space="preserve">with a single deleterious mutation </w:t>
      </w:r>
      <w:proofErr w:type="gramStart"/>
      <w:r w:rsidRPr="00457ACF">
        <w:rPr>
          <w:rFonts w:ascii="Palatino Linotype" w:hAnsi="Palatino Linotype"/>
        </w:rPr>
        <w:t xml:space="preserve">is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hAnsi="Cambria Math"/>
          </w:rPr>
          <m:t>=ρ</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1-s</m:t>
                    </m:r>
                  </m:e>
                </m:d>
              </m:den>
            </m:f>
          </m:e>
        </m:d>
        <m:r>
          <w:rPr>
            <w:rFonts w:ascii="Cambria Math" w:hAnsi="Cambria Math"/>
          </w:rPr>
          <m:t>&lt;ρ</m:t>
        </m:r>
      </m:oMath>
      <w:r w:rsidRPr="00457ACF">
        <w:rPr>
          <w:rFonts w:ascii="Palatino Linotype" w:hAnsi="Palatino Linotype"/>
        </w:rPr>
        <w:t>. In addition, the figure shows that SIM</w:t>
      </w:r>
      <w:r w:rsidRPr="00457ACF">
        <w:rPr>
          <w:rFonts w:ascii="Palatino Linotype" w:hAnsi="Palatino Linotype"/>
          <w:vertAlign w:val="subscript"/>
        </w:rPr>
        <w:t>e</w:t>
      </w:r>
      <w:r w:rsidRPr="00457ACF">
        <w:rPr>
          <w:rFonts w:ascii="Palatino Linotype" w:hAnsi="Palatino Linotype"/>
          <w:vertAlign w:val="subscript"/>
        </w:rPr>
        <w:softHyphen/>
        <w:t xml:space="preserve"> </w:t>
      </w:r>
      <w:r w:rsidRPr="00457ACF">
        <w:rPr>
          <w:rFonts w:ascii="Palatino Linotype" w:hAnsi="Palatino Linotype"/>
        </w:rPr>
        <w:t xml:space="preserve">has a higher fixation probability than CM and SIM: the green lines, representing </w:t>
      </w:r>
      <w:proofErr w:type="spellStart"/>
      <w:r w:rsidRPr="00457ACF">
        <w:rPr>
          <w:rFonts w:ascii="Palatino Linotype" w:hAnsi="Palatino Linotype"/>
        </w:rPr>
        <w:t>SIM</w:t>
      </w:r>
      <w:r w:rsidRPr="00457ACF">
        <w:rPr>
          <w:rFonts w:ascii="Palatino Linotype" w:hAnsi="Palatino Linotype"/>
          <w:vertAlign w:val="subscript"/>
        </w:rPr>
        <w:t>e</w:t>
      </w:r>
      <w:proofErr w:type="spellEnd"/>
      <w:r w:rsidRPr="00457ACF">
        <w:rPr>
          <w:rFonts w:ascii="Palatino Linotype" w:hAnsi="Palatino Linotype"/>
        </w:rPr>
        <w:t xml:space="preserve">, are always higher than the red and blue lines representing CM and SIM. Parameters are the same as in Figure 2.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961941" w:rsidRDefault="00961941" w:rsidP="00121E76">
      <w:pPr>
        <w:pStyle w:val="Heading1"/>
        <w:spacing w:line="480" w:lineRule="auto"/>
      </w:pPr>
      <w:r>
        <w:lastRenderedPageBreak/>
        <w:t>Tables</w:t>
      </w:r>
    </w:p>
    <w:p w:rsidR="00961941" w:rsidRDefault="00961941" w:rsidP="00121E76">
      <w:pPr>
        <w:pStyle w:val="FigureLegend"/>
        <w:spacing w:line="480" w:lineRule="auto"/>
      </w:pPr>
      <w:bookmarkStart w:id="28"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28"/>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121E76">
            <w:pPr>
              <w:pStyle w:val="FigureLegend"/>
              <w:spacing w:line="480" w:lineRule="auto"/>
            </w:pPr>
            <w:r>
              <w:t>Symbol</w:t>
            </w:r>
          </w:p>
        </w:tc>
        <w:tc>
          <w:tcPr>
            <w:tcW w:w="2858" w:type="dxa"/>
          </w:tcPr>
          <w:p w:rsidR="00961941" w:rsidRDefault="00961941" w:rsidP="00121E76">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121E76">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121E76">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s</w:t>
            </w:r>
          </w:p>
        </w:tc>
        <w:tc>
          <w:tcPr>
            <w:tcW w:w="2858"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21E7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"[77,78]" }, "properties" : { "noteIndex" : 0 }, "schema" : "https://github.com/citation-style-language/schema/raw/master/csl-citation.json" }</w:instrText>
            </w:r>
            <w:r>
              <w:fldChar w:fldCharType="separate"/>
            </w:r>
            <w:r w:rsidR="00121E76" w:rsidRPr="00121E76">
              <w:rPr>
                <w:noProof/>
              </w:rPr>
              <w:t>[77,78]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H</w:t>
            </w:r>
          </w:p>
        </w:tc>
        <w:tc>
          <w:tcPr>
            <w:tcW w:w="2858" w:type="dxa"/>
          </w:tcPr>
          <w:p w:rsidR="00961941"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21E7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"[78]" }, "properties" : { "noteIndex" : 0 }, "schema" : "https://github.com/citation-style-language/schema/raw/master/csl-citation.json" }</w:instrText>
            </w:r>
            <w:r>
              <w:fldChar w:fldCharType="separate"/>
            </w:r>
            <w:r w:rsidR="00121E76" w:rsidRPr="00121E76">
              <w:rPr>
                <w:noProof/>
              </w:rPr>
              <w:t>[78]</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U</w:t>
            </w:r>
          </w:p>
        </w:tc>
        <w:tc>
          <w:tcPr>
            <w:tcW w:w="2858"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21E7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"[79,80]" }, "properties" : { "noteIndex" : 0 }, "schema" : "https://github.com/citation-style-language/schema/raw/master/csl-citation.json" }</w:instrText>
            </w:r>
            <w:r>
              <w:fldChar w:fldCharType="separate"/>
            </w:r>
            <w:r w:rsidR="00121E76" w:rsidRPr="00121E76">
              <w:rPr>
                <w:noProof/>
              </w:rPr>
              <w:t>[79,80]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µ</w:t>
            </w:r>
          </w:p>
        </w:tc>
        <w:tc>
          <w:tcPr>
            <w:tcW w:w="2858" w:type="dxa"/>
          </w:tcPr>
          <w:p w:rsidR="00961941"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21E7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"[78]" }, "properties" : { "noteIndex" : 0 }, "schema" : "https://github.com/citation-style-language/schema/raw/master/csl-citation.json" }</w:instrText>
            </w:r>
            <w:r>
              <w:fldChar w:fldCharType="separate"/>
            </w:r>
            <w:r w:rsidR="00121E76" w:rsidRPr="00121E76">
              <w:rPr>
                <w:noProof/>
              </w:rPr>
              <w:t>[78]</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τ</w:t>
            </w:r>
          </w:p>
        </w:tc>
        <w:tc>
          <w:tcPr>
            <w:tcW w:w="2858"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121E7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21E7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"[18,81]" }, "properties" : { "noteIndex" : 0 }, "schema" : "https://github.com/citation-style-language/schema/raw/master/csl-citation.json" }</w:instrText>
            </w:r>
            <w:r>
              <w:fldChar w:fldCharType="separate"/>
            </w:r>
            <w:r w:rsidR="00121E76" w:rsidRPr="00121E76">
              <w:rPr>
                <w:noProof/>
              </w:rPr>
              <w:t>[18,81]</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121E76">
            <w:pPr>
              <w:pStyle w:val="FigureLegend"/>
              <w:spacing w:line="480" w:lineRule="auto"/>
              <w:rPr>
                <w:i/>
                <w:iCs/>
              </w:rPr>
            </w:pPr>
            <w:r w:rsidRPr="00524B4A">
              <w:rPr>
                <w:i/>
                <w:iCs/>
              </w:rPr>
              <w:t>N</w:t>
            </w:r>
          </w:p>
        </w:tc>
        <w:tc>
          <w:tcPr>
            <w:tcW w:w="2858" w:type="dxa"/>
          </w:tcPr>
          <w:p w:rsidR="00961941"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121E7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21E7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"[82,83]" }, "properties" : { "noteIndex" : 0 }, "schema" : "https://github.com/citation-style-language/schema/raw/master/csl-citation.json" }</w:instrText>
            </w:r>
            <w:r w:rsidRPr="00EA316D">
              <w:fldChar w:fldCharType="separate"/>
            </w:r>
            <w:r w:rsidR="00121E76" w:rsidRPr="00121E76">
              <w:rPr>
                <w:noProof/>
              </w:rPr>
              <w:t>[82,83]</w:t>
            </w:r>
            <w:r w:rsidRPr="00EA316D">
              <w:fldChar w:fldCharType="end"/>
            </w:r>
          </w:p>
        </w:tc>
      </w:tr>
    </w:tbl>
    <w:p w:rsidR="00961941" w:rsidRDefault="00961941" w:rsidP="00121E76">
      <w:pPr>
        <w:spacing w:line="480" w:lineRule="auto"/>
      </w:pPr>
      <w:r>
        <w:softHyphen/>
      </w:r>
      <w:r>
        <w:softHyphen/>
      </w:r>
      <w:r>
        <w:softHyphen/>
      </w:r>
    </w:p>
    <w:p w:rsidR="00121E76" w:rsidRDefault="00121E76" w:rsidP="00121E76">
      <w:pPr>
        <w:spacing w:after="200" w:line="480" w:lineRule="auto"/>
      </w:pPr>
      <w:r>
        <w:br w:type="page"/>
      </w:r>
    </w:p>
    <w:p w:rsidR="00961941" w:rsidRDefault="00961941" w:rsidP="00121E76">
      <w:pPr>
        <w:spacing w:line="480" w:lineRule="auto"/>
      </w:pPr>
    </w:p>
    <w:sectPr w:rsidR="00961941" w:rsidSect="00463A59">
      <w:headerReference w:type="default" r:id="rId21"/>
      <w:footerReference w:type="default" r:id="rId22"/>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420" w:rsidRDefault="00462420" w:rsidP="009A122D">
      <w:pPr>
        <w:spacing w:after="0" w:line="240" w:lineRule="auto"/>
      </w:pPr>
      <w:r>
        <w:separator/>
      </w:r>
    </w:p>
  </w:endnote>
  <w:endnote w:type="continuationSeparator" w:id="0">
    <w:p w:rsidR="00462420" w:rsidRDefault="0046242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E28E96C0-BB3B-4455-98F7-67306BF11807}"/>
    <w:embedBold r:id="rId2" w:fontKey="{1371907F-CCEF-404E-8D18-047A44BEE4FB}"/>
    <w:embedItalic r:id="rId3" w:fontKey="{AD60BFB0-AC16-46D2-9A7A-C072F6F87C82}"/>
    <w:embedBoldItalic r:id="rId4" w:fontKey="{16BAB391-FBAE-40E1-8BB1-5594F7D1A8BC}"/>
  </w:font>
  <w:font w:name="Tahoma">
    <w:panose1 w:val="020B0604030504040204"/>
    <w:charset w:val="00"/>
    <w:family w:val="swiss"/>
    <w:pitch w:val="variable"/>
    <w:sig w:usb0="E1002EFF" w:usb1="C000605B" w:usb2="00000029" w:usb3="00000000" w:csb0="000101FF" w:csb1="00000000"/>
    <w:embedRegular r:id="rId5" w:fontKey="{F3696A45-EEFF-4BAD-97B0-F796816D84C7}"/>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EE0C5AED-369A-48BF-903E-E41BDB4632A4}"/>
    <w:embedItalic r:id="rId7" w:fontKey="{1DA4D62E-066E-49AD-89B7-50864C54FBE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2329E" w:rsidRDefault="0092329E">
        <w:pPr>
          <w:pStyle w:val="Footer"/>
          <w:jc w:val="center"/>
        </w:pPr>
        <w:r>
          <w:fldChar w:fldCharType="begin"/>
        </w:r>
        <w:r>
          <w:instrText xml:space="preserve"> PAGE   \* MERGEFORMAT </w:instrText>
        </w:r>
        <w:r>
          <w:fldChar w:fldCharType="separate"/>
        </w:r>
        <w:r w:rsidR="00430A5A">
          <w:rPr>
            <w:noProof/>
          </w:rPr>
          <w:t>26</w:t>
        </w:r>
        <w:r>
          <w:rPr>
            <w:noProof/>
          </w:rPr>
          <w:fldChar w:fldCharType="end"/>
        </w:r>
      </w:p>
    </w:sdtContent>
  </w:sdt>
  <w:p w:rsidR="0092329E" w:rsidRDefault="00923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420" w:rsidRDefault="00462420" w:rsidP="009A122D">
      <w:pPr>
        <w:spacing w:after="0" w:line="240" w:lineRule="auto"/>
      </w:pPr>
      <w:r>
        <w:separator/>
      </w:r>
    </w:p>
  </w:footnote>
  <w:footnote w:type="continuationSeparator" w:id="0">
    <w:p w:rsidR="00462420" w:rsidRDefault="0046242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29E" w:rsidRPr="00463A59" w:rsidRDefault="0092329E" w:rsidP="00430A5A">
    <w:pPr>
      <w:pStyle w:val="Header"/>
    </w:pPr>
    <w:r>
      <w:t xml:space="preserve">Ram &amp; </w:t>
    </w:r>
    <w:proofErr w:type="spellStart"/>
    <w:r>
      <w:t>Hadany</w:t>
    </w:r>
    <w:proofErr w:type="spellEnd"/>
    <w:r>
      <w:ptab w:relativeTo="margin" w:alignment="center" w:leader="none"/>
    </w:r>
    <w:r>
      <w:ptab w:relativeTo="margin" w:alignment="right" w:leader="none"/>
    </w:r>
    <w:r w:rsidRPr="004E278A">
      <w:rPr>
        <w:lang w:bidi="hi-IN"/>
      </w:rPr>
      <w:t>SIM</w:t>
    </w:r>
    <w:r>
      <w:rPr>
        <w:lang w:bidi="hi-IN"/>
      </w:rPr>
      <w:t xml:space="preserve"> and Complex Adaptation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8624778"/>
    <w:multiLevelType w:val="hybridMultilevel"/>
    <w:tmpl w:val="A1F26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5">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
    <w:nsid w:val="6C7A48C7"/>
    <w:multiLevelType w:val="multilevel"/>
    <w:tmpl w:val="D68EC694"/>
    <w:numStyleLink w:val="Headings"/>
  </w:abstractNum>
  <w:num w:numId="1">
    <w:abstractNumId w:val="5"/>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1E76"/>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0A5A"/>
    <w:rsid w:val="00434AEF"/>
    <w:rsid w:val="00435563"/>
    <w:rsid w:val="0043685D"/>
    <w:rsid w:val="00440833"/>
    <w:rsid w:val="0044354D"/>
    <w:rsid w:val="00446800"/>
    <w:rsid w:val="00446BDA"/>
    <w:rsid w:val="00447F77"/>
    <w:rsid w:val="00450026"/>
    <w:rsid w:val="00453133"/>
    <w:rsid w:val="0045618B"/>
    <w:rsid w:val="00461972"/>
    <w:rsid w:val="00462420"/>
    <w:rsid w:val="00463A01"/>
    <w:rsid w:val="00463A59"/>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C19"/>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329E"/>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144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220"/>
    <w:rsid w:val="001E12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C3926-E68A-44DD-9BE9-6639CB32B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50</Pages>
  <Words>53795</Words>
  <Characters>268979</Characters>
  <Application>Microsoft Office Word</Application>
  <DocSecurity>0</DocSecurity>
  <Lines>2241</Lines>
  <Paragraphs>644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19</cp:revision>
  <cp:lastPrinted>2014-04-06T12:49:00Z</cp:lastPrinted>
  <dcterms:created xsi:type="dcterms:W3CDTF">2014-04-28T13:42:00Z</dcterms:created>
  <dcterms:modified xsi:type="dcterms:W3CDTF">2014-07-14T05:39:00Z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