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7"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 xml:space="preserve">Dept. of Molecular Biology and Ecology </w:t>
      </w:r>
      <w:r>
        <w:rPr>
          <w:lang w:bidi="hi-IN"/>
        </w:rPr>
        <w:t>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2B1207">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w:t>
      </w:r>
      <w:r w:rsidR="00101FCD">
        <w:rPr>
          <w:i/>
          <w:iCs/>
        </w:rPr>
        <w: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&gt;</w:t>
      </w:r>
      <w:r w:rsidR="00101FCD">
        <w:rPr>
          <w:i/>
          <w:iCs/>
        </w:rPr>
        <w:t xml:space="preserve">0 </w:t>
      </w:r>
      <w:r w:rsidR="00101FCD" w:rsidRPr="00101FCD">
        <w:t xml:space="preserve">and </w:t>
      </w:r>
      <w:r w:rsidR="00101FCD" w:rsidRPr="00101FCD">
        <w:rPr>
          <w:i/>
          <w:iCs/>
        </w:rPr>
        <w:t>τ</w:t>
      </w:r>
      <w:r w:rsidR="00101FCD">
        <w:rPr>
          <w:i/>
          <w:iCs/>
        </w:rPr>
        <w:t>&gt;</w:t>
      </w:r>
      <w:r w:rsidR="00101FCD">
        <w:rPr>
          <w:i/>
          <w:iCs/>
        </w:rPr>
        <w: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We develop four distinct models: (</w:t>
      </w:r>
      <w:proofErr w:type="spellStart"/>
      <w:r>
        <w:rPr>
          <w:lang w:bidi="hi-IN"/>
        </w:rPr>
        <w:t>i</w:t>
      </w:r>
      <w:proofErr w:type="spellEnd"/>
      <w:r>
        <w:rPr>
          <w:lang w:bidi="hi-IN"/>
        </w:rPr>
        <w:t xml:space="preserve">)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4A2989">
      <w:pPr>
        <w:rPr>
          <w:rFonts w:eastAsiaTheme="minorEastAsia"/>
          <w:lang w:bidi="hi-IN"/>
        </w:rPr>
      </w:pPr>
      <w:r>
        <w:rPr>
          <w:rFonts w:eastAsiaTheme="minorEastAsia"/>
          <w:lang w:bidi="hi-IN"/>
        </w:rPr>
        <w:t>This can also be written as a matrix equation by:</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03104">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lastRenderedPageBreak/>
        <w:t xml:space="preserve">Without beneficial mutations, </w:t>
      </w:r>
      <w:r w:rsidR="004A2989" w:rsidRPr="004A2989">
        <w:rPr>
          <w:rFonts w:cs="Times New Roman"/>
          <w:lang w:bidi="hi-IN"/>
        </w:rPr>
        <w:t>δ</w:t>
      </w:r>
      <w:r w:rsidR="004A2989" w:rsidRPr="004A2989">
        <w:rPr>
          <w:rFonts w:cs="Times New Roman"/>
          <w:lang w:bidi="hi-IN"/>
        </w:rPr>
        <w:t>=1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Default="00A03104" w:rsidP="00A03104">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w:t>
      </w:r>
      <w:r>
        <w:rPr>
          <w:rFonts w:eastAsiaTheme="minorEastAsia"/>
          <w:lang w:bidi="hi-IN"/>
        </w:rPr>
        <w:t xml:space="preserv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w:t>
      </w:r>
      <w:r>
        <w:rPr>
          <w:rFonts w:eastAsiaTheme="minorEastAsia"/>
          <w:lang w:bidi="hi-IN"/>
        </w:rPr>
        <w:t xml:space="preserve">eglecting elements outside the main three diagonals we have shown before </w:t>
      </w:r>
      <w:r>
        <w:rPr>
          <w:rFonts w:eastAsiaTheme="minorEastAsia"/>
          <w:lang w:bidi="hi-IN"/>
        </w:rPr>
        <w:fldChar w:fldCharType="begin" w:fldLock="1"/>
      </w:r>
      <w:r>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A03104" w:rsidRDefault="00A03104" w:rsidP="00A03104">
      <w:pPr>
        <w:rPr>
          <w:rFonts w:eastAsiaTheme="minorEastAsia"/>
          <w:lang w:bidi="hi-IN"/>
        </w:rPr>
      </w:pPr>
      <w:bookmarkStart w:id="0" w:name="_GoBack"/>
      <w:bookmarkEnd w:id="0"/>
    </w:p>
    <w:p w:rsidR="00A03104" w:rsidRDefault="00A03104" w:rsidP="00A03104">
      <w:pPr>
        <w:jc w:val="center"/>
        <w:rPr>
          <w:rFonts w:eastAsiaTheme="minorEastAsia"/>
          <w:lang w:bidi="hi-IN"/>
        </w:rPr>
      </w:pPr>
    </w:p>
    <w:p w:rsidR="00A03104" w:rsidRDefault="00A03104" w:rsidP="00A03104">
      <w:pPr>
        <w:rPr>
          <w:rFonts w:eastAsiaTheme="minorEastAsia"/>
          <w:lang w:bidi="hi-IN"/>
        </w:rPr>
      </w:pP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033CA" w:rsidRPr="006C02DB" w:rsidRDefault="001033CA" w:rsidP="001033CA">
      <w:pPr>
        <w:rPr>
          <w:vertAlign w:val="subscript"/>
        </w:rPr>
      </w:pPr>
      <w:r>
        <w:t>With only deleterious mutations, with a mutation rate constant in time and uniform across the population and with selection stronger than mutation (</w:t>
      </w:r>
      <w:r>
        <w:rPr>
          <w:i/>
          <w:iCs/>
        </w:rPr>
        <w:t>U&gt;</w:t>
      </w:r>
      <w:r w:rsidRPr="001033CA">
        <w:t>s</w:t>
      </w:r>
      <w:r>
        <w:t xml:space="preserve">), </w:t>
      </w:r>
      <w:r w:rsidRPr="001033CA">
        <w:t>the</w:t>
      </w:r>
      <w:r>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Pr>
          <w:vertAlign w:val="subscript"/>
        </w:rPr>
        <w:t xml:space="preserve"> </w:t>
      </w:r>
      <w:r>
        <w:fldChar w:fldCharType="begin" w:fldLock="1"/>
      </w:r>
      <w:r w:rsidR="00A03104">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fldChar w:fldCharType="separate"/>
      </w:r>
      <w:r w:rsidRPr="006C02DB">
        <w:rPr>
          <w:noProof/>
        </w:rPr>
        <w:t>(Kimura and Maruyama 1966)</w:t>
      </w:r>
      <w:r>
        <w:fldChar w:fldCharType="end"/>
      </w:r>
      <w:r>
        <w:t>. With beneficial mutations, this is still a good approximation, but the actual value of the population mean fitness is slightly higher. With SIM, it is even higher.</w:t>
      </w:r>
    </w:p>
    <w:p w:rsidR="001033CA" w:rsidRPr="001033CA" w:rsidRDefault="001033CA" w:rsidP="001033CA">
      <w:pPr>
        <w:rPr>
          <w:lang w:bidi="hi-IN"/>
        </w:rPr>
      </w:pPr>
    </w:p>
    <w:sectPr w:rsidR="001033CA" w:rsidRPr="001033CA" w:rsidSect="00275A3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A8DA587-120A-4BD9-B9AC-B9CF88C6B470}"/>
    <w:embedBold r:id="rId2" w:fontKey="{73E571EA-BC33-48B1-9233-39554561BC14}"/>
    <w:embedItalic r:id="rId3" w:fontKey="{957E72D9-2422-4AFE-B103-F6A306C9670A}"/>
    <w:embedBoldItalic r:id="rId4" w:fontKey="{79685890-4974-4C17-86ED-76BEFD5D9F58}"/>
  </w:font>
  <w:font w:name="Tahoma">
    <w:panose1 w:val="020B0604030504040204"/>
    <w:charset w:val="00"/>
    <w:family w:val="swiss"/>
    <w:pitch w:val="variable"/>
    <w:sig w:usb0="E1002EFF" w:usb1="C000605B" w:usb2="00000029" w:usb3="00000000" w:csb0="000101FF" w:csb1="00000000"/>
    <w:embedRegular r:id="rId5" w:fontKey="{BF77BE49-AEF0-492B-B9B9-34CCAAC5479B}"/>
  </w:font>
  <w:font w:name="Cambria Math">
    <w:panose1 w:val="02040503050406030204"/>
    <w:charset w:val="00"/>
    <w:family w:val="roman"/>
    <w:pitch w:val="variable"/>
    <w:sig w:usb0="E00002FF" w:usb1="420024FF" w:usb2="00000000" w:usb3="00000000" w:csb0="0000019F" w:csb1="00000000"/>
    <w:embedRegular r:id="rId6" w:fontKey="{EDC8B401-029B-48CA-BB10-660F2A30D9DE}"/>
    <w:embedItalic r:id="rId7" w:fontKey="{22DCAADC-4249-48F8-B62C-15BB72249652}"/>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1">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2">
    <w:nsid w:val="6C7A48C7"/>
    <w:multiLevelType w:val="multilevel"/>
    <w:tmpl w:val="D68EC694"/>
    <w:numStyleLink w:val="Headings"/>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545AB"/>
    <w:rsid w:val="00101FCD"/>
    <w:rsid w:val="001033CA"/>
    <w:rsid w:val="001910E3"/>
    <w:rsid w:val="002630C5"/>
    <w:rsid w:val="00275A3C"/>
    <w:rsid w:val="002B1207"/>
    <w:rsid w:val="004A2989"/>
    <w:rsid w:val="006C02DB"/>
    <w:rsid w:val="00A03104"/>
    <w:rsid w:val="00B86C28"/>
    <w:rsid w:val="00B96911"/>
    <w:rsid w:val="00BA6231"/>
    <w:rsid w:val="00EB5020"/>
    <w:rsid w:val="00F83F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Normal"/>
    <w:next w:val="Normal"/>
    <w:link w:val="Heading3Char"/>
    <w:uiPriority w:val="9"/>
    <w:semiHidden/>
    <w:unhideWhenUsed/>
    <w:qFormat/>
    <w:rsid w:val="006C02DB"/>
    <w:pPr>
      <w:keepNext/>
      <w:keepLines/>
      <w:numPr>
        <w:ilvl w:val="2"/>
        <w:numId w:val="4"/>
      </w:numPr>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semiHidden/>
    <w:rsid w:val="006C02DB"/>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Normal"/>
    <w:next w:val="Normal"/>
    <w:link w:val="Heading3Char"/>
    <w:uiPriority w:val="9"/>
    <w:semiHidden/>
    <w:unhideWhenUsed/>
    <w:qFormat/>
    <w:rsid w:val="006C02DB"/>
    <w:pPr>
      <w:keepNext/>
      <w:keepLines/>
      <w:numPr>
        <w:ilvl w:val="2"/>
        <w:numId w:val="4"/>
      </w:numPr>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semiHidden/>
    <w:rsid w:val="006C02DB"/>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ilach.hadan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7FF66-0B79-4FE9-A81F-9A563380D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Pages>
  <Words>1629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5</cp:revision>
  <dcterms:created xsi:type="dcterms:W3CDTF">2013-06-18T10:07:00Z</dcterms:created>
  <dcterms:modified xsi:type="dcterms:W3CDTF">2013-06-18T12:51:00Z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