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A916BD">
      <w:pPr>
        <w:pStyle w:val="Title"/>
        <w:spacing w:line="360" w:lineRule="auto"/>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760A38" w:rsidRDefault="00760A38" w:rsidP="00A916BD">
      <w:pPr>
        <w:pStyle w:val="Subtitle"/>
        <w:spacing w:line="360" w:lineRule="auto"/>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A916BD" w:rsidRPr="00EE1F7D" w:rsidRDefault="00A916BD" w:rsidP="00A916BD">
      <w:pPr>
        <w:pStyle w:val="Heading1"/>
        <w:spacing w:line="36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A916BD">
      <w:pPr>
        <w:spacing w:line="36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proofErr w:type="spellStart"/>
        <w:r w:rsidRPr="000E71D5">
          <w:rPr>
            <w:rStyle w:val="Hyperlink"/>
            <w:rFonts w:ascii="Palatino Linotype" w:hAnsi="Palatino Linotype"/>
            <w:lang w:bidi="hi-IN"/>
          </w:rPr>
          <w:t>IPython</w:t>
        </w:r>
        <w:proofErr w:type="spellEnd"/>
      </w:hyperlink>
      <w:r>
        <w:rPr>
          <w:rFonts w:ascii="Palatino Linotype" w:hAnsi="Palatino Linotype"/>
          <w:lang w:bidi="hi-IN"/>
        </w:rPr>
        <w:t xml:space="preserve"> Notebook </w:t>
      </w:r>
      <w:r>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Pr>
          <w:rFonts w:ascii="Palatino Linotype" w:hAnsi="Palatino Linotype"/>
          <w:lang w:bidi="hi-IN"/>
        </w:rPr>
        <w:fldChar w:fldCharType="separate"/>
      </w:r>
      <w:r w:rsidRPr="000E71D5">
        <w:rPr>
          <w:rFonts w:ascii="Palatino Linotype" w:hAnsi="Palatino Linotype"/>
          <w:noProof/>
          <w:lang w:bidi="hi-IN"/>
        </w:rPr>
        <w:t>(Perez and Granger 2007)</w:t>
      </w:r>
      <w:r>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w:t>
      </w:r>
      <w:r w:rsidR="0035041D">
        <w:rPr>
          <w:rFonts w:ascii="Palatino Linotype" w:hAnsi="Palatino Linotype"/>
          <w:lang w:bidi="hi-IN"/>
        </w:rPr>
        <w:t xml:space="preserve"> 3,</w:t>
      </w:r>
      <w:r w:rsidRPr="00EE1F7D">
        <w:rPr>
          <w:rFonts w:ascii="Palatino Linotype" w:hAnsi="Palatino Linotype"/>
          <w:lang w:bidi="hi-IN"/>
        </w:rPr>
        <w:t xml:space="preserve"> </w:t>
      </w:r>
      <w:r>
        <w:rPr>
          <w:rFonts w:ascii="Palatino Linotype" w:hAnsi="Palatino Linotype"/>
          <w:lang w:bidi="hi-IN"/>
        </w:rPr>
        <w:t xml:space="preserve">5, S1, and S2. The notebook and the raw data will be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pPr>
        <w:rPr>
          <w:rFonts w:ascii="Palatino Linotype" w:eastAsiaTheme="majorEastAsia" w:hAnsi="Palatino Linotype" w:cstheme="majorBidi"/>
          <w:b/>
          <w:bCs/>
          <w:kern w:val="32"/>
          <w:sz w:val="32"/>
          <w:szCs w:val="32"/>
        </w:rPr>
      </w:pPr>
      <w:r>
        <w:rPr>
          <w:rFonts w:ascii="Palatino Linotype" w:hAnsi="Palatino Linotype"/>
        </w:rP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Supporting figures</w:t>
      </w:r>
    </w:p>
    <w:p w:rsidR="009F7186" w:rsidRPr="00EE1F7D" w:rsidRDefault="002B7010" w:rsidP="00A916BD">
      <w:pPr>
        <w:keepNext/>
        <w:spacing w:line="360" w:lineRule="auto"/>
        <w:jc w:val="center"/>
        <w:rPr>
          <w:rFonts w:ascii="Palatino Linotype" w:hAnsi="Palatino Linotype"/>
          <w:noProof/>
        </w:rPr>
      </w:pPr>
      <w:r>
        <w:rPr>
          <w:rFonts w:ascii="Palatino Linotype" w:hAnsi="Palatino Linotype"/>
          <w:noProof/>
        </w:rPr>
        <w:drawing>
          <wp:inline distT="0" distB="0" distL="0" distR="0" wp14:anchorId="4AC7C7B8" wp14:editId="6D45ACBE">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A916BD" w:rsidRDefault="00787111" w:rsidP="00A916BD">
      <w:pPr>
        <w:keepNext/>
        <w:spacing w:line="360" w:lineRule="auto"/>
        <w:rPr>
          <w:rFonts w:ascii="Palatino Linotype" w:hAnsi="Palatino Linotype"/>
          <w:b/>
          <w:bCs/>
          <w:sz w:val="20"/>
          <w:szCs w:val="20"/>
        </w:rPr>
      </w:pPr>
      <w:r w:rsidRPr="00A916BD">
        <w:rPr>
          <w:rFonts w:ascii="Palatino Linotype" w:hAnsi="Palatino Linotype"/>
          <w:noProof/>
          <w:sz w:val="20"/>
          <w:szCs w:val="20"/>
        </w:rPr>
        <w:softHyphen/>
      </w:r>
      <w:bookmarkStart w:id="0" w:name="_Ref360183807"/>
    </w:p>
    <w:p w:rsidR="00787111" w:rsidRPr="00A916BD" w:rsidRDefault="00787111" w:rsidP="0035041D">
      <w:pPr>
        <w:keepNext/>
        <w:spacing w:line="360" w:lineRule="auto"/>
        <w:rPr>
          <w:rFonts w:ascii="Palatino Linotype" w:hAnsi="Palatino Linotype"/>
          <w:b/>
          <w:bCs/>
          <w:sz w:val="20"/>
          <w:szCs w:val="20"/>
        </w:rPr>
      </w:pPr>
      <w:r w:rsidRPr="00A916BD">
        <w:rPr>
          <w:rFonts w:ascii="Palatino Linotype" w:hAnsi="Palatino Linotype"/>
          <w:b/>
          <w:bCs/>
          <w:sz w:val="20"/>
          <w:szCs w:val="20"/>
        </w:rPr>
        <w:t>Figure S</w:t>
      </w:r>
      <w:bookmarkEnd w:id="0"/>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t>
      </w:r>
      <w:r w:rsidR="0035041D" w:rsidRPr="00A916BD">
        <w:rPr>
          <w:rFonts w:ascii="Palatino Linotype" w:hAnsi="Palatino Linotype"/>
          <w:sz w:val="20"/>
          <w:szCs w:val="20"/>
        </w:rPr>
        <w:t>N</w:t>
      </w:r>
      <w:r w:rsidR="0035041D" w:rsidRPr="00A916BD">
        <w:rPr>
          <w:rFonts w:ascii="Palatino Linotype" w:hAnsi="Palatino Linotype"/>
          <w:sz w:val="20"/>
          <w:szCs w:val="20"/>
        </w:rPr>
        <w:t>ormal</w:t>
      </w:r>
      <w:r w:rsidR="0035041D">
        <w:rPr>
          <w:rFonts w:ascii="Palatino Linotype" w:hAnsi="Palatino Linotype"/>
          <w:sz w:val="20"/>
          <w:szCs w:val="20"/>
        </w:rPr>
        <w:t xml:space="preserve"> </w:t>
      </w:r>
      <w:r w:rsidR="0035041D" w:rsidRPr="00A916BD">
        <w:rPr>
          <w:rFonts w:ascii="Palatino Linotype" w:hAnsi="Palatino Linotype"/>
          <w:sz w:val="20"/>
          <w:szCs w:val="20"/>
        </w:rPr>
        <w:t>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NM) is </w:t>
      </w:r>
      <w:r w:rsidRPr="00A916BD">
        <w:rPr>
          <w:rFonts w:ascii="Palatino Linotype" w:hAnsi="Palatino Linotype"/>
          <w:i/>
          <w:iCs/>
          <w:sz w:val="20"/>
          <w:szCs w:val="20"/>
        </w:rPr>
        <w:t>τ</w:t>
      </w:r>
      <w:r w:rsidR="0035041D">
        <w:rPr>
          <w:rFonts w:ascii="Palatino Linotype" w:hAnsi="Palatino Linotype"/>
          <w:sz w:val="20"/>
          <w:szCs w:val="20"/>
        </w:rPr>
        <w:t>=1</w:t>
      </w:r>
      <w:r w:rsidRPr="00A916BD">
        <w:rPr>
          <w:rFonts w:ascii="Palatino Linotype" w:hAnsi="Palatino Linotype"/>
          <w:sz w:val="20"/>
          <w:szCs w:val="20"/>
        </w:rPr>
        <w:t>;</w:t>
      </w:r>
      <w:r w:rsidR="0035041D">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(CM) in </w:t>
      </w:r>
      <w:r w:rsidRPr="00A916BD">
        <w:rPr>
          <w:rFonts w:ascii="Palatino Linotype" w:hAnsi="Palatino Linotype"/>
          <w:sz w:val="20"/>
          <w:szCs w:val="20"/>
        </w:rPr>
        <w:t xml:space="preserve">red; </w:t>
      </w:r>
      <w:r w:rsidR="0035041D">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w:t>
      </w:r>
      <w:r w:rsidR="009E7E6D" w:rsidRPr="00A916BD">
        <w:rPr>
          <w:rFonts w:ascii="Palatino Linotype" w:hAnsi="Palatino Linotype"/>
          <w:sz w:val="20"/>
          <w:szCs w:val="20"/>
        </w:rPr>
        <w:t xml:space="preserve"> (</w:t>
      </w:r>
      <w:proofErr w:type="spellStart"/>
      <w:r w:rsidR="009E7E6D" w:rsidRPr="00A916BD">
        <w:rPr>
          <w:rFonts w:ascii="Palatino Linotype" w:hAnsi="Palatino Linotype"/>
          <w:sz w:val="20"/>
          <w:szCs w:val="20"/>
        </w:rPr>
        <w:t>eqs</w:t>
      </w:r>
      <w:proofErr w:type="spellEnd"/>
      <w:r w:rsidR="009E7E6D" w:rsidRPr="00A916BD">
        <w:rPr>
          <w:rFonts w:ascii="Palatino Linotype" w:hAnsi="Palatino Linotype"/>
          <w:sz w:val="20"/>
          <w:szCs w:val="20"/>
        </w:rPr>
        <w:t>. 2, 3 in main text)</w:t>
      </w:r>
      <w:r w:rsidR="0035041D">
        <w:rPr>
          <w:rFonts w:ascii="Palatino Linotype" w:hAnsi="Palatino Linotype"/>
          <w:sz w:val="20"/>
          <w:szCs w:val="20"/>
        </w:rPr>
        <w:t>. M</w:t>
      </w:r>
      <w:r w:rsidRPr="00A916BD">
        <w:rPr>
          <w:rFonts w:ascii="Palatino Linotype" w:hAnsi="Palatino Linotype"/>
          <w:sz w:val="20"/>
          <w:szCs w:val="20"/>
        </w:rPr>
        <w:t xml:space="preserve">arkers are means of </w:t>
      </w:r>
      <w:r w:rsidR="009E7E6D" w:rsidRPr="00A916BD">
        <w:rPr>
          <w:rFonts w:ascii="Palatino Linotype" w:hAnsi="Palatino Linotype"/>
          <w:sz w:val="20"/>
          <w:szCs w:val="20"/>
        </w:rPr>
        <w:t xml:space="preserve">simulation </w:t>
      </w:r>
      <w:r w:rsidRPr="00A916BD">
        <w:rPr>
          <w:rFonts w:ascii="Palatino Linotype" w:hAnsi="Palatino Linotype"/>
          <w:sz w:val="20"/>
          <w:szCs w:val="20"/>
        </w:rPr>
        <w:t xml:space="preserve">results - black circles for the </w:t>
      </w:r>
      <w:r w:rsidR="0035041D" w:rsidRPr="00A916BD">
        <w:rPr>
          <w:rFonts w:ascii="Palatino Linotype" w:hAnsi="Palatino Linotype"/>
          <w:sz w:val="20"/>
          <w:szCs w:val="20"/>
        </w:rPr>
        <w:t xml:space="preserve">standard </w:t>
      </w:r>
      <w:r w:rsidRPr="00A916BD">
        <w:rPr>
          <w:rFonts w:ascii="Palatino Linotype" w:hAnsi="Palatino Linotype"/>
          <w:sz w:val="20"/>
          <w:szCs w:val="20"/>
        </w:rPr>
        <w:t>simulation</w:t>
      </w:r>
      <w:r w:rsidR="009E7E6D" w:rsidRPr="00A916BD">
        <w:rPr>
          <w:rFonts w:ascii="Palatino Linotype" w:hAnsi="Palatino Linotype"/>
          <w:sz w:val="20"/>
          <w:szCs w:val="20"/>
        </w:rPr>
        <w:t>s</w:t>
      </w:r>
      <w:r w:rsidRPr="00A916BD">
        <w:rPr>
          <w:rFonts w:ascii="Palatino Linotype" w:hAnsi="Palatino Linotype"/>
          <w:sz w:val="20"/>
          <w:szCs w:val="20"/>
        </w:rPr>
        <w:t>, white triangles for</w:t>
      </w:r>
      <w:r w:rsidR="009E7E6D" w:rsidRPr="00A916BD">
        <w:rPr>
          <w:rFonts w:ascii="Palatino Linotype" w:hAnsi="Palatino Linotype"/>
          <w:sz w:val="20"/>
          <w:szCs w:val="20"/>
        </w:rPr>
        <w:t xml:space="preserve"> alternative</w:t>
      </w:r>
      <w:r w:rsidRPr="00A916BD">
        <w:rPr>
          <w:rFonts w:ascii="Palatino Linotype" w:hAnsi="Palatino Linotype"/>
          <w:sz w:val="20"/>
          <w:szCs w:val="20"/>
        </w:rPr>
        <w:t xml:space="preser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w:t>
      </w:r>
      <w:r w:rsidR="009E7E6D" w:rsidRPr="00A916BD">
        <w:rPr>
          <w:rFonts w:ascii="Palatino Linotype" w:hAnsi="Palatino Linotype"/>
          <w:sz w:val="20"/>
          <w:szCs w:val="20"/>
        </w:rPr>
        <w:t>s</w:t>
      </w:r>
      <w:r w:rsidRPr="00A916BD">
        <w:rPr>
          <w:rFonts w:ascii="Palatino Linotype" w:hAnsi="Palatino Linotype"/>
          <w:sz w:val="20"/>
          <w:szCs w:val="20"/>
        </w:rPr>
        <w:t xml:space="preserve">. </w:t>
      </w:r>
      <w:r w:rsidR="00501F2E" w:rsidRPr="00A916BD">
        <w:rPr>
          <w:rFonts w:ascii="Palatino Linotype" w:hAnsi="Palatino Linotype"/>
          <w:sz w:val="20"/>
          <w:szCs w:val="20"/>
        </w:rPr>
        <w:t>The</w:t>
      </w:r>
      <w:r w:rsidR="00A32824" w:rsidRPr="00A916BD">
        <w:rPr>
          <w:rFonts w:ascii="Palatino Linotype" w:hAnsi="Palatino Linotype"/>
          <w:sz w:val="20"/>
          <w:szCs w:val="20"/>
        </w:rPr>
        <w:t xml:space="preserve"> standard error of the mean</w:t>
      </w:r>
      <w:r w:rsidR="00501F2E" w:rsidRPr="00A916BD">
        <w:rPr>
          <w:rFonts w:ascii="Palatino Linotype" w:hAnsi="Palatino Linotype"/>
          <w:sz w:val="20"/>
          <w:szCs w:val="20"/>
        </w:rPr>
        <w:t xml:space="preserve"> was </w:t>
      </w:r>
      <w:r w:rsidR="00A32824" w:rsidRPr="00A916BD">
        <w:rPr>
          <w:rFonts w:ascii="Palatino Linotype" w:hAnsi="Palatino Linotype"/>
          <w:sz w:val="20"/>
          <w:szCs w:val="20"/>
        </w:rPr>
        <w:t xml:space="preserve">too small to show. </w:t>
      </w:r>
      <w:proofErr w:type="gramStart"/>
      <w:r w:rsidR="00A32824" w:rsidRPr="00A916BD">
        <w:rPr>
          <w:rFonts w:ascii="Palatino Linotype" w:hAnsi="Palatino Linotype"/>
          <w:sz w:val="20"/>
          <w:szCs w:val="20"/>
        </w:rPr>
        <w:t>A</w:t>
      </w:r>
      <w:r w:rsidRPr="00A916BD">
        <w:rPr>
          <w:rFonts w:ascii="Palatino Linotype" w:hAnsi="Palatino Linotype"/>
          <w:sz w:val="20"/>
          <w:szCs w:val="20"/>
        </w:rPr>
        <w:t>t least 1,000 simulation</w:t>
      </w:r>
      <w:r w:rsidR="0035041D">
        <w:rPr>
          <w:rFonts w:ascii="Palatino Linotype" w:hAnsi="Palatino Linotype"/>
          <w:sz w:val="20"/>
          <w:szCs w:val="20"/>
        </w:rPr>
        <w:t>s</w:t>
      </w:r>
      <w:r w:rsidRPr="00A916BD">
        <w:rPr>
          <w:rFonts w:ascii="Palatino Linotype" w:hAnsi="Palatino Linotype"/>
          <w:sz w:val="20"/>
          <w:szCs w:val="20"/>
        </w:rPr>
        <w:t xml:space="preserve"> per point.</w:t>
      </w:r>
      <w:proofErr w:type="gramEnd"/>
      <w:r w:rsidRPr="00A916BD">
        <w:rPr>
          <w:rFonts w:ascii="Palatino Linotype" w:hAnsi="Palatino Linotype"/>
          <w:sz w:val="20"/>
          <w:szCs w:val="20"/>
        </w:rPr>
        <w:t xml:space="preserve">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w:t>
      </w:r>
      <w:r w:rsidR="009E7E6D" w:rsidRPr="00A916BD">
        <w:rPr>
          <w:rFonts w:ascii="Palatino Linotype" w:hAnsi="Palatino Linotype"/>
          <w:sz w:val="20"/>
          <w:szCs w:val="20"/>
        </w:rPr>
        <w:t xml:space="preserve"> </w:t>
      </w:r>
      <w:r w:rsidR="000E71D5" w:rsidRPr="00A916BD">
        <w:rPr>
          <w:rFonts w:ascii="Palatino Linotype" w:hAnsi="Palatino Linotype"/>
          <w:sz w:val="20"/>
          <w:szCs w:val="20"/>
        </w:rPr>
        <w:t>slightly</w:t>
      </w:r>
      <w:r w:rsidRPr="00A916BD">
        <w:rPr>
          <w:rFonts w:ascii="Palatino Linotype" w:hAnsi="Palatino Linotype"/>
          <w:sz w:val="20"/>
          <w:szCs w:val="20"/>
        </w:rPr>
        <w:t xml:space="preserve">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35041D">
        <w:rPr>
          <w:rFonts w:ascii="Palatino Linotype" w:hAnsi="Palatino Linotype"/>
          <w:sz w:val="20"/>
          <w:szCs w:val="20"/>
        </w:rPr>
        <w:t xml:space="preserve">only appears on </w:t>
      </w:r>
      <w:r w:rsidRPr="00A916BD">
        <w:rPr>
          <w:rFonts w:ascii="Palatino Linotype" w:hAnsi="Palatino Linotype"/>
          <w:sz w:val="20"/>
          <w:szCs w:val="20"/>
        </w:rPr>
        <w:t xml:space="preserve">unloaded background (white triangles) which explains the difference between the </w:t>
      </w:r>
      <w:r w:rsidR="009E7E6D" w:rsidRPr="00A916BD">
        <w:rPr>
          <w:rFonts w:ascii="Palatino Linotype" w:hAnsi="Palatino Linotype"/>
          <w:sz w:val="20"/>
          <w:szCs w:val="20"/>
        </w:rPr>
        <w:t>analytic</w:t>
      </w:r>
      <w:r w:rsidRPr="00A916BD">
        <w:rPr>
          <w:rFonts w:ascii="Palatino Linotype" w:hAnsi="Palatino Linotype"/>
          <w:sz w:val="20"/>
          <w:szCs w:val="20"/>
        </w:rPr>
        <w:t xml:space="preserve"> approximations and the simulation results </w:t>
      </w:r>
      <w:r w:rsidR="009E7E6D" w:rsidRPr="00A916BD">
        <w:rPr>
          <w:rFonts w:ascii="Palatino Linotype" w:hAnsi="Palatino Linotype"/>
          <w:sz w:val="20"/>
          <w:szCs w:val="20"/>
        </w:rPr>
        <w:t xml:space="preserve">for SIM </w:t>
      </w:r>
      <w:r w:rsidRPr="00A916BD">
        <w:rPr>
          <w:rFonts w:ascii="Palatino Linotype" w:hAnsi="Palatino Linotype"/>
          <w:sz w:val="20"/>
          <w:szCs w:val="20"/>
        </w:rPr>
        <w:t xml:space="preserve">in </w:t>
      </w:r>
      <w:r w:rsidR="00636BF6" w:rsidRPr="00A916BD">
        <w:rPr>
          <w:rFonts w:ascii="Palatino Linotype" w:hAnsi="Palatino Linotype"/>
          <w:sz w:val="20"/>
          <w:szCs w:val="20"/>
        </w:rPr>
        <w:t>Figure 2</w:t>
      </w:r>
      <w:r w:rsidRPr="00A916BD">
        <w:rPr>
          <w:rFonts w:ascii="Palatino Linotype" w:hAnsi="Palatino Linotype"/>
          <w:sz w:val="20"/>
          <w:szCs w:val="20"/>
        </w:rPr>
        <w:t xml:space="preserve">. </w:t>
      </w:r>
      <w:r w:rsidR="009E7E6D" w:rsidRPr="00A916BD">
        <w:rPr>
          <w:rFonts w:ascii="Palatino Linotype" w:hAnsi="Palatino Linotype"/>
          <w:sz w:val="20"/>
          <w:szCs w:val="20"/>
        </w:rPr>
        <w:t>P</w:t>
      </w:r>
      <w:r w:rsidRPr="00A916BD">
        <w:rPr>
          <w:rFonts w:ascii="Palatino Linotype" w:hAnsi="Palatino Linotype"/>
          <w:sz w:val="20"/>
          <w:szCs w:val="20"/>
        </w:rPr>
        <w:t xml:space="preserve">arameters are the same as in </w:t>
      </w:r>
      <w:r w:rsidR="00636BF6" w:rsidRPr="00A916BD">
        <w:rPr>
          <w:rFonts w:ascii="Palatino Linotype" w:hAnsi="Palatino Linotype"/>
          <w:sz w:val="20"/>
          <w:szCs w:val="20"/>
        </w:rPr>
        <w:t>Figure 2.</w:t>
      </w:r>
    </w:p>
    <w:p w:rsidR="009F7186" w:rsidRPr="00EE1F7D" w:rsidRDefault="002A3FCB" w:rsidP="00A916BD">
      <w:pPr>
        <w:spacing w:line="360" w:lineRule="auto"/>
        <w:jc w:val="center"/>
        <w:rPr>
          <w:rFonts w:ascii="Palatino Linotype" w:hAnsi="Palatino Linotype"/>
          <w:noProof/>
        </w:rPr>
      </w:pPr>
      <w:r>
        <w:rPr>
          <w:rFonts w:ascii="Palatino Linotype" w:hAnsi="Palatino Linotype"/>
          <w:noProof/>
        </w:rPr>
        <w:lastRenderedPageBreak/>
        <w:drawing>
          <wp:inline distT="0" distB="0" distL="0" distR="0" wp14:anchorId="2500D921" wp14:editId="2C96943E">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Pr="00A916BD" w:rsidRDefault="00787111" w:rsidP="0035041D">
      <w:pPr>
        <w:spacing w:line="360" w:lineRule="auto"/>
        <w:rPr>
          <w:rFonts w:ascii="Palatino Linotype" w:hAnsi="Palatino Linotype"/>
          <w:sz w:val="20"/>
          <w:szCs w:val="20"/>
        </w:rPr>
      </w:pPr>
      <w:r w:rsidRPr="00A916BD">
        <w:rPr>
          <w:rFonts w:ascii="Palatino Linotype" w:hAnsi="Palatino Linotype"/>
          <w:noProof/>
          <w:sz w:val="20"/>
          <w:szCs w:val="20"/>
        </w:rPr>
        <w:t xml:space="preserve"> </w:t>
      </w:r>
      <w:bookmarkStart w:id="1" w:name="_Ref360562760"/>
      <w:r w:rsidRPr="00A916BD">
        <w:rPr>
          <w:rFonts w:ascii="Palatino Linotype" w:hAnsi="Palatino Linotype"/>
          <w:b/>
          <w:bCs/>
          <w:sz w:val="20"/>
          <w:szCs w:val="20"/>
        </w:rPr>
        <w:t>Figure S</w:t>
      </w:r>
      <w:bookmarkEnd w:id="1"/>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sidR="0035041D">
        <w:rPr>
          <w:rFonts w:ascii="Palatino Linotype" w:hAnsi="Palatino Linotype"/>
          <w:sz w:val="20"/>
          <w:szCs w:val="20"/>
        </w:rPr>
        <w:t>; see section 3.5</w:t>
      </w:r>
      <w:r w:rsidR="009E7E6D" w:rsidRPr="00A916BD">
        <w:rPr>
          <w:rFonts w:ascii="Palatino Linotype" w:hAnsi="Palatino Linotype"/>
          <w:sz w:val="20"/>
          <w:szCs w:val="20"/>
        </w:rPr>
        <w:t xml:space="preserve"> in main text</w:t>
      </w:r>
      <w:r w:rsidRPr="00A916BD">
        <w:rPr>
          <w:rFonts w:ascii="Palatino Linotype" w:hAnsi="Palatino Linotype"/>
          <w:sz w:val="20"/>
          <w:szCs w:val="20"/>
        </w:rPr>
        <w:t>). Dashed lines are analytic approximations; black error bars represe</w:t>
      </w:r>
      <w:r w:rsidR="009A5F9E" w:rsidRPr="00A916BD">
        <w:rPr>
          <w:rFonts w:ascii="Palatino Linotype" w:hAnsi="Palatino Linotype"/>
          <w:sz w:val="20"/>
          <w:szCs w:val="20"/>
        </w:rPr>
        <w:t>nt simulation results with 95% confidence interval of the mean</w:t>
      </w:r>
      <w:r w:rsidRPr="00A916BD">
        <w:rPr>
          <w:rFonts w:ascii="Palatino Linotype" w:hAnsi="Palatino Linotype"/>
          <w:sz w:val="20"/>
          <w:szCs w:val="20"/>
        </w:rPr>
        <w:t xml:space="preserve"> (</w:t>
      </w:r>
      <w:r w:rsidR="009A5F9E" w:rsidRPr="00A916BD">
        <w:rPr>
          <w:rFonts w:ascii="Palatino Linotype" w:hAnsi="Palatino Linotype"/>
          <w:sz w:val="20"/>
          <w:szCs w:val="20"/>
        </w:rPr>
        <w:t xml:space="preserve">at least 1,000 </w:t>
      </w:r>
      <w:r w:rsidR="0035041D">
        <w:rPr>
          <w:rFonts w:ascii="Palatino Linotype" w:hAnsi="Palatino Linotype"/>
          <w:sz w:val="20"/>
          <w:szCs w:val="20"/>
        </w:rPr>
        <w:t>simulations</w:t>
      </w:r>
      <w:r w:rsidR="009A5F9E" w:rsidRPr="00A916BD">
        <w:rPr>
          <w:rFonts w:ascii="Palatino Linotype" w:hAnsi="Palatino Linotype"/>
          <w:sz w:val="20"/>
          <w:szCs w:val="20"/>
        </w:rPr>
        <w:t xml:space="preserve"> per point; computed with bootstrap with 1</w:t>
      </w:r>
      <w:r w:rsidR="002A3FCB" w:rsidRPr="00A916BD">
        <w:rPr>
          <w:rFonts w:ascii="Palatino Linotype" w:hAnsi="Palatino Linotype"/>
          <w:sz w:val="20"/>
          <w:szCs w:val="20"/>
        </w:rPr>
        <w:t>0</w:t>
      </w:r>
      <w:r w:rsidR="009A5F9E" w:rsidRPr="00A916BD">
        <w:rPr>
          <w:rFonts w:ascii="Palatino Linotype" w:hAnsi="Palatino Linotype"/>
          <w:sz w:val="20"/>
          <w:szCs w:val="20"/>
        </w:rPr>
        <w:t>,000 samples per point</w:t>
      </w:r>
      <w:r w:rsidRPr="00A916BD">
        <w:rPr>
          <w:rFonts w:ascii="Palatino Linotype" w:hAnsi="Palatino Linotype"/>
          <w:sz w:val="20"/>
          <w:szCs w:val="20"/>
        </w:rPr>
        <w:t xml:space="preserve">);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9E7E6D" w:rsidRPr="00A916BD">
        <w:rPr>
          <w:rFonts w:ascii="Palatino Linotype" w:hAnsi="Palatino Linotype"/>
          <w:sz w:val="20"/>
          <w:szCs w:val="20"/>
        </w:rPr>
        <w:t xml:space="preserve">cannot appear on </w:t>
      </w:r>
      <w:r w:rsidRPr="00A916BD">
        <w:rPr>
          <w:rFonts w:ascii="Palatino Linotype" w:hAnsi="Palatino Linotype"/>
          <w:sz w:val="20"/>
          <w:szCs w:val="20"/>
        </w:rPr>
        <w:t>deleterious background</w:t>
      </w:r>
      <w:r w:rsidR="009E7E6D" w:rsidRPr="00A916BD">
        <w:rPr>
          <w:rFonts w:ascii="Palatino Linotype" w:hAnsi="Palatino Linotype"/>
          <w:sz w:val="20"/>
          <w:szCs w:val="20"/>
        </w:rPr>
        <w:t>s -</w:t>
      </w:r>
      <w:r w:rsidRPr="00A916BD">
        <w:rPr>
          <w:rFonts w:ascii="Palatino Linotype" w:hAnsi="Palatino Linotype"/>
          <w:sz w:val="20"/>
          <w:szCs w:val="20"/>
        </w:rPr>
        <w:t xml:space="preserve"> </w:t>
      </w:r>
      <w:r w:rsidR="009E7E6D" w:rsidRPr="00A916BD">
        <w:rPr>
          <w:rFonts w:ascii="Palatino Linotype" w:hAnsi="Palatino Linotype"/>
          <w:sz w:val="20"/>
          <w:szCs w:val="20"/>
        </w:rPr>
        <w:t>in these cases</w:t>
      </w:r>
      <w:r w:rsidRPr="00A916BD">
        <w:rPr>
          <w:rFonts w:ascii="Palatino Linotype" w:hAnsi="Palatino Linotype"/>
          <w:sz w:val="20"/>
          <w:szCs w:val="20"/>
        </w:rPr>
        <w:t xml:space="preserve"> </w:t>
      </w:r>
      <w:r w:rsidR="009D658E" w:rsidRPr="00A916BD">
        <w:rPr>
          <w:rFonts w:ascii="Palatino Linotype" w:hAnsi="Palatino Linotype"/>
          <w:sz w:val="20"/>
          <w:szCs w:val="20"/>
        </w:rPr>
        <w:t>there is no</w:t>
      </w:r>
      <w:r w:rsidRPr="00A916BD">
        <w:rPr>
          <w:rFonts w:ascii="Palatino Linotype" w:hAnsi="Palatino Linotype"/>
          <w:sz w:val="20"/>
          <w:szCs w:val="20"/>
        </w:rPr>
        <w:t xml:space="preserve"> </w:t>
      </w:r>
      <w:r w:rsidR="009D658E" w:rsidRPr="00A916BD">
        <w:rPr>
          <w:rFonts w:ascii="Palatino Linotype" w:hAnsi="Palatino Linotype"/>
          <w:sz w:val="20"/>
          <w:szCs w:val="20"/>
        </w:rPr>
        <w:t xml:space="preserve">significant </w:t>
      </w:r>
      <w:r w:rsidRPr="00A916BD">
        <w:rPr>
          <w:rFonts w:ascii="Palatino Linotype" w:hAnsi="Palatino Linotype"/>
          <w:sz w:val="20"/>
          <w:szCs w:val="20"/>
        </w:rPr>
        <w:t>d</w:t>
      </w:r>
      <w:r w:rsidR="009D658E" w:rsidRPr="00A916BD">
        <w:rPr>
          <w:rFonts w:ascii="Palatino Linotype" w:hAnsi="Palatino Linotype"/>
          <w:sz w:val="20"/>
          <w:szCs w:val="20"/>
        </w:rPr>
        <w:t xml:space="preserve">ifference </w:t>
      </w:r>
      <w:r w:rsidRPr="00A916BD">
        <w:rPr>
          <w:rFonts w:ascii="Palatino Linotype" w:hAnsi="Palatino Linotype"/>
          <w:sz w:val="20"/>
          <w:szCs w:val="20"/>
        </w:rPr>
        <w:t xml:space="preserve">between the simulation results and our analytic approximations (compare solid and dashed lines; </w:t>
      </w:r>
      <w:r w:rsidR="009D658E" w:rsidRPr="00A916BD">
        <w:rPr>
          <w:rFonts w:ascii="Palatino Linotype" w:hAnsi="Palatino Linotype"/>
          <w:sz w:val="20"/>
          <w:szCs w:val="20"/>
        </w:rPr>
        <w:t>regression slope tests with α=0.05</w:t>
      </w:r>
      <w:r w:rsidRPr="00A916BD">
        <w:rPr>
          <w:rFonts w:ascii="Palatino Linotype" w:hAnsi="Palatino Linotype"/>
          <w:sz w:val="20"/>
          <w:szCs w:val="20"/>
        </w:rPr>
        <w:t xml:space="preserve">). However, if </w:t>
      </w:r>
      <w:r w:rsidRPr="00A916BD">
        <w:rPr>
          <w:rFonts w:ascii="Palatino Linotype" w:hAnsi="Palatino Linotype"/>
          <w:i/>
          <w:iCs/>
          <w:sz w:val="20"/>
          <w:szCs w:val="20"/>
        </w:rPr>
        <w:t xml:space="preserve">AB </w:t>
      </w:r>
      <w:r w:rsidRPr="00A916BD">
        <w:rPr>
          <w:rFonts w:ascii="Palatino Linotype" w:hAnsi="Palatino Linotype"/>
          <w:sz w:val="20"/>
          <w:szCs w:val="20"/>
        </w:rPr>
        <w:t>can appear on a deleterious background (left panels) then its fixation probability is lower</w:t>
      </w:r>
      <w:r w:rsidR="0035041D">
        <w:rPr>
          <w:rFonts w:ascii="Palatino Linotype" w:hAnsi="Palatino Linotype"/>
          <w:sz w:val="20"/>
          <w:szCs w:val="20"/>
        </w:rPr>
        <w:t xml:space="preserve"> </w:t>
      </w:r>
      <w:r w:rsidR="0035041D">
        <w:rPr>
          <w:rFonts w:ascii="Palatino Linotype" w:hAnsi="Palatino Linotype"/>
          <w:sz w:val="20"/>
          <w:szCs w:val="20"/>
        </w:rPr>
        <w:fldChar w:fldCharType="begin" w:fldLock="1"/>
      </w:r>
      <w:r w:rsidR="001547D6">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sidR="0035041D">
        <w:rPr>
          <w:rFonts w:ascii="Palatino Linotype" w:hAnsi="Palatino Linotype"/>
          <w:sz w:val="20"/>
          <w:szCs w:val="20"/>
        </w:rPr>
        <w:fldChar w:fldCharType="separate"/>
      </w:r>
      <w:r w:rsidR="0035041D" w:rsidRPr="0035041D">
        <w:rPr>
          <w:rFonts w:ascii="Palatino Linotype" w:hAnsi="Palatino Linotype"/>
          <w:noProof/>
          <w:sz w:val="20"/>
          <w:szCs w:val="20"/>
        </w:rPr>
        <w:t>(Johnson and Barton 2002)</w:t>
      </w:r>
      <w:r w:rsidR="0035041D">
        <w:rPr>
          <w:rFonts w:ascii="Palatino Linotype" w:hAnsi="Palatino Linotype"/>
          <w:sz w:val="20"/>
          <w:szCs w:val="20"/>
        </w:rPr>
        <w:fldChar w:fldCharType="end"/>
      </w:r>
      <w:r w:rsidR="0035041D">
        <w:rPr>
          <w:rFonts w:ascii="Palatino Linotype" w:hAnsi="Palatino Linotype"/>
          <w:sz w:val="20"/>
          <w:szCs w:val="20"/>
        </w:rPr>
        <w:t xml:space="preserve">. </w:t>
      </w:r>
      <w:r w:rsidR="0035041D" w:rsidRPr="00A916BD">
        <w:rPr>
          <w:rFonts w:ascii="Palatino Linotype" w:hAnsi="Palatino Linotype"/>
          <w:sz w:val="20"/>
          <w:szCs w:val="20"/>
        </w:rPr>
        <w:t>F</w:t>
      </w:r>
      <w:r w:rsidR="009D658E" w:rsidRPr="00A916BD">
        <w:rPr>
          <w:rFonts w:ascii="Palatino Linotype" w:hAnsi="Palatino Linotype"/>
          <w:sz w:val="20"/>
          <w:szCs w:val="20"/>
        </w:rPr>
        <w:t>or</w:t>
      </w:r>
      <w:r w:rsidR="0035041D">
        <w:rPr>
          <w:rFonts w:ascii="Palatino Linotype" w:hAnsi="Palatino Linotype"/>
          <w:sz w:val="20"/>
          <w:szCs w:val="20"/>
        </w:rPr>
        <w:t xml:space="preserve"> </w:t>
      </w:r>
      <w:r w:rsidR="009D658E" w:rsidRPr="00A916BD">
        <w:rPr>
          <w:rFonts w:ascii="Palatino Linotype" w:hAnsi="Palatino Linotype"/>
          <w:sz w:val="20"/>
          <w:szCs w:val="20"/>
        </w:rPr>
        <w:t xml:space="preserve">example, the fixation probability of </w:t>
      </w:r>
      <w:r w:rsidR="009D658E" w:rsidRPr="00A916BD">
        <w:rPr>
          <w:rFonts w:ascii="Palatino Linotype" w:hAnsi="Palatino Linotype"/>
          <w:i/>
          <w:iCs/>
          <w:sz w:val="20"/>
          <w:szCs w:val="20"/>
        </w:rPr>
        <w:t xml:space="preserve">AB </w:t>
      </w:r>
      <w:r w:rsidR="009D658E" w:rsidRPr="00A916BD">
        <w:rPr>
          <w:sz w:val="20"/>
          <w:szCs w:val="20"/>
        </w:rPr>
        <w:t xml:space="preserve">with </w:t>
      </w:r>
      <w:r w:rsidR="009D658E" w:rsidRPr="00A916BD">
        <w:rPr>
          <w:rFonts w:ascii="Palatino Linotype" w:hAnsi="Palatino Linotype"/>
          <w:sz w:val="20"/>
          <w:szCs w:val="20"/>
        </w:rPr>
        <w:t xml:space="preserve">a single deleterious mutation </w:t>
      </w:r>
      <w:proofErr w:type="gramStart"/>
      <w:r w:rsidR="009D658E" w:rsidRPr="00A916BD">
        <w:rPr>
          <w:rFonts w:ascii="Palatino Linotype" w:hAnsi="Palatino Linotype"/>
          <w:sz w:val="20"/>
          <w:szCs w:val="20"/>
        </w:rPr>
        <w:t>is</w:t>
      </w:r>
      <w:r w:rsidR="00940E9C" w:rsidRPr="00A916BD">
        <w:rPr>
          <w:rFonts w:ascii="Palatino Linotype" w:hAnsi="Palatino Linotype"/>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r>
      <w:r w:rsidR="00940E9C" w:rsidRPr="00A916BD">
        <w:rPr>
          <w:rFonts w:ascii="Palatino Linotype" w:hAnsi="Palatino Linotype"/>
          <w:sz w:val="20"/>
          <w:szCs w:val="20"/>
          <w:vertAlign w:val="subscript"/>
        </w:rPr>
        <w:t xml:space="preserve"> </w:t>
      </w:r>
      <w:r w:rsidRPr="00A916BD">
        <w:rPr>
          <w:rFonts w:ascii="Palatino Linotype" w:hAnsi="Palatino Linotype"/>
          <w:sz w:val="20"/>
          <w:szCs w:val="20"/>
        </w:rPr>
        <w:t xml:space="preserve">has a higher fixation probability than CM and SIM. </w:t>
      </w:r>
      <w:r w:rsidR="00D07E45" w:rsidRPr="00A916BD">
        <w:rPr>
          <w:rFonts w:ascii="Palatino Linotype" w:hAnsi="Palatino Linotype"/>
          <w:sz w:val="20"/>
          <w:szCs w:val="20"/>
        </w:rPr>
        <w:t>P</w:t>
      </w:r>
      <w:r w:rsidRPr="00A916BD">
        <w:rPr>
          <w:rFonts w:ascii="Palatino Linotype" w:hAnsi="Palatino Linotype"/>
          <w:sz w:val="20"/>
          <w:szCs w:val="20"/>
        </w:rPr>
        <w:t>arameters are the same as in</w:t>
      </w:r>
      <w:r w:rsidR="00940E9C" w:rsidRPr="00A916BD">
        <w:rPr>
          <w:rFonts w:ascii="Palatino Linotype" w:hAnsi="Palatino Linotype"/>
          <w:sz w:val="20"/>
          <w:szCs w:val="20"/>
        </w:rPr>
        <w:t xml:space="preserve"> Figure 2</w:t>
      </w:r>
      <w:r w:rsidRPr="00A916BD">
        <w:rPr>
          <w:rFonts w:ascii="Palatino Linotype" w:hAnsi="Palatino Linotype"/>
          <w:sz w:val="20"/>
          <w:szCs w:val="20"/>
        </w:rPr>
        <w:t>.</w:t>
      </w:r>
      <w:r w:rsidR="00FD74CB" w:rsidRPr="00A916BD">
        <w:rPr>
          <w:rFonts w:ascii="Palatino Linotype" w:hAnsi="Palatino Linotype"/>
          <w:sz w:val="20"/>
          <w:szCs w:val="20"/>
        </w:rPr>
        <w:t xml:space="preserve"> </w:t>
      </w:r>
    </w:p>
    <w:p w:rsidR="002B7010" w:rsidRDefault="00F60564" w:rsidP="00A916BD">
      <w:pPr>
        <w:spacing w:line="360" w:lineRule="auto"/>
        <w:jc w:val="center"/>
        <w:rPr>
          <w:rFonts w:ascii="Palatino Linotype" w:hAnsi="Palatino Linotype"/>
        </w:rPr>
      </w:pPr>
      <w:r>
        <w:rPr>
          <w:rFonts w:ascii="Palatino Linotype" w:hAnsi="Palatino Linotype"/>
          <w:noProof/>
        </w:rPr>
        <w:lastRenderedPageBreak/>
        <w:drawing>
          <wp:inline distT="0" distB="0" distL="0" distR="0" wp14:anchorId="5C664B0C" wp14:editId="5B59FDA0">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A916BD" w:rsidRDefault="002B7010" w:rsidP="0035041D">
      <w:pPr>
        <w:spacing w:line="360" w:lineRule="auto"/>
        <w:rPr>
          <w:rFonts w:ascii="Palatino Linotype" w:hAnsi="Palatino Linotype"/>
          <w:sz w:val="20"/>
          <w:szCs w:val="20"/>
        </w:rPr>
      </w:pPr>
      <w:r w:rsidRPr="00A916BD">
        <w:rPr>
          <w:rFonts w:ascii="Palatino Linotype" w:hAnsi="Palatino Linotype"/>
          <w:b/>
          <w:bCs/>
          <w:sz w:val="20"/>
          <w:szCs w:val="20"/>
        </w:rPr>
        <w:t xml:space="preserve">Figure S3 – Different </w:t>
      </w:r>
      <w:r w:rsidR="00F60564" w:rsidRPr="00A916BD">
        <w:rPr>
          <w:rFonts w:ascii="Palatino Linotype" w:hAnsi="Palatino Linotype"/>
          <w:b/>
          <w:bCs/>
          <w:sz w:val="20"/>
          <w:szCs w:val="20"/>
        </w:rPr>
        <w:t>relationships</w:t>
      </w:r>
      <w:r w:rsidR="0035041D">
        <w:rPr>
          <w:rFonts w:ascii="Palatino Linotype" w:hAnsi="Palatino Linotype"/>
          <w:b/>
          <w:bCs/>
          <w:sz w:val="20"/>
          <w:szCs w:val="20"/>
        </w:rPr>
        <w:t xml:space="preserve"> between stress and mutation</w:t>
      </w:r>
      <w:r w:rsidRPr="00A916BD">
        <w:rPr>
          <w:rFonts w:ascii="Palatino Linotype" w:hAnsi="Palatino Linotype"/>
          <w:b/>
          <w:bCs/>
          <w:sz w:val="20"/>
          <w:szCs w:val="20"/>
        </w:rPr>
        <w:t>.</w:t>
      </w:r>
      <w:r w:rsidR="00F60564" w:rsidRPr="00A916BD">
        <w:rPr>
          <w:rFonts w:ascii="Palatino Linotype" w:hAnsi="Palatino Linotype"/>
          <w:b/>
          <w:bCs/>
          <w:sz w:val="20"/>
          <w:szCs w:val="20"/>
        </w:rPr>
        <w:t xml:space="preserve"> </w:t>
      </w:r>
      <w:r w:rsidR="00F60564" w:rsidRPr="00A916BD">
        <w:rPr>
          <w:rFonts w:ascii="Palatino Linotype" w:hAnsi="Palatino Linotype"/>
          <w:sz w:val="20"/>
          <w:szCs w:val="20"/>
        </w:rPr>
        <w:t xml:space="preserve">The </w:t>
      </w:r>
      <w:r w:rsidR="007769E2" w:rsidRPr="00A916BD">
        <w:rPr>
          <w:rFonts w:ascii="Palatino Linotype" w:hAnsi="Palatino Linotype"/>
          <w:sz w:val="20"/>
          <w:szCs w:val="20"/>
        </w:rPr>
        <w:t>figure</w:t>
      </w:r>
      <w:r w:rsidR="00F60564" w:rsidRPr="00A916BD">
        <w:rPr>
          <w:rFonts w:ascii="Palatino Linotype" w:hAnsi="Palatino Linotype"/>
          <w:sz w:val="20"/>
          <w:szCs w:val="20"/>
        </w:rPr>
        <w:t xml:space="preserve"> show</w:t>
      </w:r>
      <w:r w:rsidR="007769E2" w:rsidRPr="00A916BD">
        <w:rPr>
          <w:rFonts w:ascii="Palatino Linotype" w:hAnsi="Palatino Linotype"/>
          <w:sz w:val="20"/>
          <w:szCs w:val="20"/>
        </w:rPr>
        <w:t>s</w:t>
      </w:r>
      <w:r w:rsidR="00F60564" w:rsidRPr="00A916BD">
        <w:rPr>
          <w:rFonts w:ascii="Palatino Linotype" w:hAnsi="Palatino Linotype"/>
          <w:sz w:val="20"/>
          <w:szCs w:val="20"/>
        </w:rPr>
        <w:t xml:space="preserve"> </w:t>
      </w:r>
      <w:r w:rsidR="0035041D" w:rsidRPr="00A916BD">
        <w:rPr>
          <w:rFonts w:ascii="Palatino Linotype" w:hAnsi="Palatino Linotype"/>
          <w:sz w:val="20"/>
          <w:szCs w:val="20"/>
        </w:rPr>
        <w:t>continuous relationships</w:t>
      </w:r>
      <w:r w:rsidR="00F60564" w:rsidRPr="00A916BD">
        <w:rPr>
          <w:rFonts w:ascii="Palatino Linotype" w:hAnsi="Palatino Linotype"/>
          <w:sz w:val="20"/>
          <w:szCs w:val="20"/>
        </w:rPr>
        <w:t xml:space="preserve"> between fitness (x-axis) and mutation rate (y-axis) in solid lines and </w:t>
      </w:r>
      <w:r w:rsidR="0035041D" w:rsidRPr="00A916BD">
        <w:rPr>
          <w:rFonts w:ascii="Palatino Linotype" w:hAnsi="Palatino Linotype"/>
          <w:sz w:val="20"/>
          <w:szCs w:val="20"/>
        </w:rPr>
        <w:t>threshold relationships</w:t>
      </w:r>
      <w:r w:rsidR="00F60564" w:rsidRPr="00A916BD">
        <w:rPr>
          <w:rFonts w:ascii="Palatino Linotype" w:hAnsi="Palatino Linotype"/>
          <w:sz w:val="20"/>
          <w:szCs w:val="20"/>
        </w:rPr>
        <w:t xml:space="preserve"> in dashed lines. </w:t>
      </w:r>
      <w:r w:rsidR="000E71D5" w:rsidRPr="00A916BD">
        <w:rPr>
          <w:rFonts w:ascii="Palatino Linotype" w:hAnsi="Palatino Linotype"/>
          <w:sz w:val="20"/>
          <w:szCs w:val="20"/>
        </w:rPr>
        <w:t>The threshold relat</w:t>
      </w:r>
      <w:r w:rsidR="0035041D">
        <w:rPr>
          <w:rFonts w:ascii="Palatino Linotype" w:hAnsi="Palatino Linotype"/>
          <w:sz w:val="20"/>
          <w:szCs w:val="20"/>
        </w:rPr>
        <w:t>ionship is defined in section 2</w:t>
      </w:r>
      <w:r w:rsidR="000E71D5" w:rsidRPr="00A916BD">
        <w:rPr>
          <w:rFonts w:ascii="Palatino Linotype" w:hAnsi="Palatino Linotype"/>
          <w:sz w:val="20"/>
          <w:szCs w:val="20"/>
        </w:rPr>
        <w:t xml:space="preserve"> of the main text. </w:t>
      </w:r>
      <w:r w:rsidR="00F60564" w:rsidRPr="00A916BD">
        <w:rPr>
          <w:rFonts w:ascii="Palatino Linotype" w:hAnsi="Palatino Linotype"/>
          <w:sz w:val="20"/>
          <w:szCs w:val="20"/>
        </w:rPr>
        <w:t>The continuous relationships are defined</w:t>
      </w:r>
      <w:r w:rsidR="007769E2" w:rsidRPr="00A916BD">
        <w:rPr>
          <w:rFonts w:ascii="Palatino Linotype" w:hAnsi="Palatino Linotype"/>
          <w:sz w:val="20"/>
          <w:szCs w:val="20"/>
        </w:rPr>
        <w:t xml:space="preserve"> in section 3.</w:t>
      </w:r>
      <w:r w:rsidR="0035041D">
        <w:rPr>
          <w:rFonts w:ascii="Palatino Linotype" w:hAnsi="Palatino Linotype"/>
          <w:sz w:val="20"/>
          <w:szCs w:val="20"/>
        </w:rPr>
        <w:t>6</w:t>
      </w:r>
      <w:r w:rsidR="007769E2" w:rsidRPr="00A916BD">
        <w:rPr>
          <w:rFonts w:ascii="Palatino Linotype" w:hAnsi="Palatino Linotype"/>
          <w:sz w:val="20"/>
          <w:szCs w:val="20"/>
        </w:rPr>
        <w:t xml:space="preserve"> of the main text. Each panel shows a pair of relationships, with </w:t>
      </w:r>
      <w:r w:rsidR="007769E2" w:rsidRPr="00A916BD">
        <w:rPr>
          <w:rFonts w:ascii="Palatino Linotype" w:hAnsi="Palatino Linotype"/>
          <w:i/>
          <w:iCs/>
          <w:sz w:val="20"/>
          <w:szCs w:val="20"/>
        </w:rPr>
        <w:t>k</w:t>
      </w:r>
      <w:r w:rsidR="007769E2"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007769E2" w:rsidRPr="00A916BD">
        <w:rPr>
          <w:rFonts w:ascii="Palatino Linotype" w:hAnsi="Palatino Linotype"/>
          <w:sz w:val="20"/>
          <w:szCs w:val="20"/>
        </w:rPr>
        <w:t>wildtypes</w:t>
      </w:r>
      <w:proofErr w:type="spellEnd"/>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w:t>
      </w:r>
      <w:r w:rsidR="007769E2" w:rsidRPr="00A916BD">
        <w:rPr>
          <w:rFonts w:ascii="Palatino Linotype" w:hAnsi="Palatino Linotype"/>
          <w:sz w:val="20"/>
          <w:szCs w:val="20"/>
        </w:rPr>
        <w:t xml:space="preserve"> and single mutants</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 xml:space="preserve">, </w:t>
      </w:r>
      <w:proofErr w:type="spellStart"/>
      <w:r w:rsidR="0035041D">
        <w:rPr>
          <w:rFonts w:ascii="Palatino Linotype" w:hAnsi="Palatino Linotype"/>
          <w:i/>
          <w:iCs/>
          <w:sz w:val="20"/>
          <w:szCs w:val="20"/>
        </w:rPr>
        <w:t>aB</w:t>
      </w:r>
      <w:proofErr w:type="spellEnd"/>
      <w:r w:rsidR="0035041D">
        <w:rPr>
          <w:rFonts w:ascii="Palatino Linotype" w:hAnsi="Palatino Linotype"/>
          <w:i/>
          <w:iCs/>
          <w:sz w:val="20"/>
          <w:szCs w:val="20"/>
        </w:rPr>
        <w:t>/0</w:t>
      </w:r>
      <w:r w:rsidR="0035041D">
        <w:rPr>
          <w:rFonts w:ascii="Palatino Linotype" w:hAnsi="Palatino Linotype"/>
          <w:sz w:val="20"/>
          <w:szCs w:val="20"/>
        </w:rPr>
        <w:t xml:space="preserve">, </w:t>
      </w:r>
      <w:proofErr w:type="gramStart"/>
      <w:r w:rsidR="0035041D">
        <w:rPr>
          <w:rFonts w:ascii="Palatino Linotype" w:hAnsi="Palatino Linotype"/>
          <w:i/>
          <w:iCs/>
          <w:sz w:val="20"/>
          <w:szCs w:val="20"/>
        </w:rPr>
        <w:t>ab</w:t>
      </w:r>
      <w:proofErr w:type="gramEnd"/>
      <w:r w:rsidR="0035041D">
        <w:rPr>
          <w:rFonts w:ascii="Palatino Linotype" w:hAnsi="Palatino Linotype"/>
          <w:i/>
          <w:iCs/>
          <w:sz w:val="20"/>
          <w:szCs w:val="20"/>
        </w:rPr>
        <w:t>/1</w:t>
      </w:r>
      <w:r w:rsidR="0035041D">
        <w:rPr>
          <w:rFonts w:ascii="Palatino Linotype" w:hAnsi="Palatino Linotype"/>
          <w:sz w:val="20"/>
          <w:szCs w:val="20"/>
        </w:rPr>
        <w:t>)</w:t>
      </w:r>
      <w:r w:rsidR="007769E2" w:rsidRPr="00A916BD">
        <w:rPr>
          <w:rFonts w:ascii="Palatino Linotype" w:hAnsi="Palatino Linotype"/>
          <w:sz w:val="20"/>
          <w:szCs w:val="20"/>
        </w:rPr>
        <w:t>. Figure 2B in the main text shows that the adaptation rate with such threshold relationship approximates the adaptation rate with a continuous relationship.</w:t>
      </w:r>
    </w:p>
    <w:p w:rsidR="00302982" w:rsidRDefault="00302982">
      <w:r>
        <w:br w:type="page"/>
      </w:r>
    </w:p>
    <w:p w:rsidR="00302982" w:rsidRDefault="00302982" w:rsidP="00302982">
      <w:pPr>
        <w:spacing w:line="480" w:lineRule="auto"/>
        <w:jc w:val="center"/>
        <w:rPr>
          <w:b/>
          <w:bCs/>
          <w:sz w:val="20"/>
          <w:szCs w:val="20"/>
        </w:rPr>
      </w:pPr>
      <w:bookmarkStart w:id="2" w:name="_Ref363979903"/>
      <w:r>
        <w:rPr>
          <w:b/>
          <w:bCs/>
          <w:noProof/>
          <w:sz w:val="20"/>
          <w:szCs w:val="20"/>
        </w:rPr>
        <w:lastRenderedPageBreak/>
        <w:drawing>
          <wp:inline distT="0" distB="0" distL="0" distR="0" wp14:anchorId="2663BD0A" wp14:editId="5B580146">
            <wp:extent cx="2698781" cy="2160000"/>
            <wp:effectExtent l="0" t="0" r="6350" b="0"/>
            <wp:docPr id="1" name="Picture 1" descr="D:\workspace\ruggedsim\manuscript\ram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781" cy="2160000"/>
                    </a:xfrm>
                    <a:prstGeom prst="rect">
                      <a:avLst/>
                    </a:prstGeom>
                    <a:noFill/>
                    <a:ln>
                      <a:noFill/>
                    </a:ln>
                  </pic:spPr>
                </pic:pic>
              </a:graphicData>
            </a:graphic>
          </wp:inline>
        </w:drawing>
      </w:r>
    </w:p>
    <w:p w:rsidR="00302982" w:rsidRDefault="00302982" w:rsidP="0035041D">
      <w:pPr>
        <w:spacing w:line="480" w:lineRule="auto"/>
        <w:rPr>
          <w:sz w:val="20"/>
          <w:szCs w:val="20"/>
        </w:rPr>
      </w:pPr>
      <w:r w:rsidRPr="00733307">
        <w:rPr>
          <w:b/>
          <w:bCs/>
          <w:sz w:val="20"/>
          <w:szCs w:val="20"/>
        </w:rPr>
        <w:t>Figure</w:t>
      </w:r>
      <w:bookmarkEnd w:id="2"/>
      <w:r>
        <w:rPr>
          <w:b/>
          <w:bCs/>
          <w:sz w:val="20"/>
          <w:szCs w:val="20"/>
        </w:rPr>
        <w:t xml:space="preserve"> S4</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sidR="0035041D">
        <w:rPr>
          <w:sz w:val="20"/>
          <w:szCs w:val="20"/>
        </w:rPr>
        <w:t xml:space="preserve">. </w:t>
      </w:r>
      <w:r w:rsidR="0035041D" w:rsidRPr="00733307">
        <w:rPr>
          <w:sz w:val="20"/>
          <w:szCs w:val="20"/>
        </w:rPr>
        <w:t>T</w:t>
      </w:r>
      <w:r w:rsidRPr="00733307">
        <w:rPr>
          <w:sz w:val="20"/>
          <w:szCs w:val="20"/>
        </w:rPr>
        <w:t>he</w:t>
      </w:r>
      <w:r w:rsidR="0035041D">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A916BD" w:rsidRDefault="00A916BD" w:rsidP="00A916BD">
      <w:pPr>
        <w:spacing w:line="360" w:lineRule="auto"/>
      </w:pPr>
      <w: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Mean fitness at the mutation-selection balance</w:t>
      </w:r>
    </w:p>
    <w:p w:rsidR="00787111" w:rsidRPr="00EE1F7D" w:rsidRDefault="00787111" w:rsidP="00311C92">
      <w:pPr>
        <w:spacing w:line="36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sidR="00311C92">
        <w:rPr>
          <w:rFonts w:ascii="Palatino Linotype" w:hAnsi="Palatino Linotype"/>
          <w:lang w:bidi="hi-IN"/>
        </w:rPr>
        <w:t>alleles</w:t>
      </w:r>
      <w:r w:rsidRPr="00EE1F7D">
        <w:rPr>
          <w:rFonts w:ascii="Palatino Linotype" w:hAnsi="Palatino Linotype"/>
          <w:lang w:bidi="hi-IN"/>
        </w:rPr>
        <w:t xml:space="preserve">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w:t>
      </w:r>
      <w:r w:rsidR="0035041D">
        <w:rPr>
          <w:rFonts w:ascii="Palatino Linotype" w:hAnsi="Palatino Linotype"/>
          <w:lang w:bidi="hi-IN"/>
        </w:rPr>
        <w:t xml:space="preserve">such </w:t>
      </w:r>
      <w:r w:rsidRPr="00EE1F7D">
        <w:rPr>
          <w:rFonts w:ascii="Palatino Linotype" w:hAnsi="Palatino Linotype"/>
          <w:lang w:bidi="hi-IN"/>
        </w:rPr>
        <w:t xml:space="preserve">individuals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w:t>
      </w:r>
      <w:r w:rsidR="0035041D">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A916BD">
            <w:pPr>
              <w:spacing w:line="360" w:lineRule="auto"/>
              <w:rPr>
                <w:rFonts w:ascii="Palatino Linotype" w:eastAsiaTheme="minorEastAsia" w:hAnsi="Palatino Linotype"/>
                <w:lang w:bidi="hi-IN"/>
              </w:rPr>
            </w:pPr>
          </w:p>
        </w:tc>
        <w:tc>
          <w:tcPr>
            <w:tcW w:w="2843" w:type="dxa"/>
          </w:tcPr>
          <w:p w:rsidR="00787111" w:rsidRPr="00EE1F7D" w:rsidRDefault="007A45FD" w:rsidP="00A916BD">
            <w:pPr>
              <w:spacing w:line="36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A916BD">
            <w:pPr>
              <w:spacing w:line="360" w:lineRule="auto"/>
              <w:jc w:val="right"/>
              <w:rPr>
                <w:rFonts w:ascii="Palatino Linotype" w:eastAsiaTheme="minorEastAsia" w:hAnsi="Palatino Linotype"/>
                <w:lang w:bidi="hi-IN"/>
              </w:rPr>
            </w:pPr>
          </w:p>
        </w:tc>
      </w:tr>
    </w:tbl>
    <w:p w:rsidR="00787111" w:rsidRPr="00EE1F7D" w:rsidRDefault="00787111" w:rsidP="00311C92">
      <w:pPr>
        <w:spacing w:line="36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bookmarkStart w:id="3" w:name="_GoBack"/>
      <w:bookmarkEnd w:id="3"/>
      <w:proofErr w:type="spellStart"/>
      <w:r w:rsidRPr="001547D6">
        <w:rPr>
          <w:rFonts w:ascii="Palatino Linotype" w:hAnsi="Palatino Linotype"/>
          <w:i/>
          <w:iCs/>
          <w:highlight w:val="yellow"/>
          <w:lang w:bidi="hi-IN"/>
        </w:rPr>
        <w:t>m</w:t>
      </w:r>
      <w:r w:rsidRPr="001547D6">
        <w:rPr>
          <w:rFonts w:ascii="Palatino Linotype" w:hAnsi="Palatino Linotype"/>
          <w:i/>
          <w:iCs/>
          <w:highlight w:val="yellow"/>
          <w:vertAlign w:val="subscript"/>
          <w:lang w:bidi="hi-IN"/>
        </w:rPr>
        <w:t>x,y</w:t>
      </w:r>
      <w:proofErr w:type="spellEnd"/>
      <w:r w:rsidRPr="001547D6">
        <w:rPr>
          <w:rFonts w:ascii="Palatino Linotype" w:hAnsi="Palatino Linotype"/>
          <w:i/>
          <w:iCs/>
          <w:highlight w:val="yellow"/>
          <w:lang w:bidi="hi-IN"/>
        </w:rPr>
        <w:t xml:space="preserve"> </w:t>
      </w:r>
      <w:r w:rsidRPr="001547D6">
        <w:rPr>
          <w:rFonts w:ascii="Palatino Linotype" w:hAnsi="Palatino Linotype"/>
          <w:highlight w:val="yellow"/>
          <w:lang w:bidi="hi-IN"/>
        </w:rPr>
        <w:t xml:space="preserve">is the transition probability from </w:t>
      </w:r>
      <w:r w:rsidRPr="001547D6">
        <w:rPr>
          <w:rFonts w:ascii="Palatino Linotype" w:hAnsi="Palatino Linotype"/>
          <w:i/>
          <w:iCs/>
          <w:highlight w:val="yellow"/>
          <w:lang w:bidi="hi-IN"/>
        </w:rPr>
        <w:t>y</w:t>
      </w:r>
      <w:r w:rsidRPr="001547D6">
        <w:rPr>
          <w:rFonts w:ascii="Palatino Linotype" w:hAnsi="Palatino Linotype"/>
          <w:highlight w:val="yellow"/>
          <w:lang w:bidi="hi-IN"/>
        </w:rPr>
        <w:t xml:space="preserve"> deleterious </w:t>
      </w:r>
      <w:r w:rsidR="00311C92" w:rsidRPr="001547D6">
        <w:rPr>
          <w:rFonts w:ascii="Palatino Linotype" w:hAnsi="Palatino Linotype"/>
          <w:highlight w:val="yellow"/>
          <w:lang w:bidi="hi-IN"/>
        </w:rPr>
        <w:t>alleles</w:t>
      </w:r>
      <w:r w:rsidRPr="001547D6">
        <w:rPr>
          <w:rFonts w:ascii="Palatino Linotype" w:hAnsi="Palatino Linotype"/>
          <w:highlight w:val="yellow"/>
          <w:lang w:bidi="hi-IN"/>
        </w:rPr>
        <w:t xml:space="preserve"> to </w:t>
      </w:r>
      <w:r w:rsidRPr="001547D6">
        <w:rPr>
          <w:rFonts w:ascii="Palatino Linotype" w:hAnsi="Palatino Linotype"/>
          <w:i/>
          <w:iCs/>
          <w:highlight w:val="yellow"/>
          <w:lang w:bidi="hi-IN"/>
        </w:rPr>
        <w:t>x</w:t>
      </w:r>
      <w:r w:rsidRPr="001547D6">
        <w:rPr>
          <w:rFonts w:ascii="Palatino Linotype" w:hAnsi="Palatino Linotype"/>
          <w:highlight w:val="yellow"/>
          <w:lang w:bidi="hi-IN"/>
        </w:rPr>
        <w:t xml:space="preserve"> deleterious </w:t>
      </w:r>
      <w:r w:rsidR="00311C92" w:rsidRPr="001547D6">
        <w:rPr>
          <w:rFonts w:ascii="Palatino Linotype" w:hAnsi="Palatino Linotype"/>
          <w:highlight w:val="yellow"/>
          <w:lang w:bidi="hi-IN"/>
        </w:rPr>
        <w:t>alleles</w:t>
      </w:r>
      <w:r w:rsidRPr="001547D6">
        <w:rPr>
          <w:rFonts w:ascii="Palatino Linotype" w:hAnsi="Palatino Linotype"/>
          <w:highlight w:val="yellow"/>
          <w:lang w:bidi="hi-IN"/>
        </w:rPr>
        <w:t xml:space="preserve"> and </w:t>
      </w:r>
      <m:oMath>
        <m:acc>
          <m:accPr>
            <m:chr m:val="̅"/>
            <m:ctrlPr>
              <w:rPr>
                <w:rFonts w:ascii="Cambria Math" w:hAnsi="Cambria Math"/>
                <w:i/>
                <w:highlight w:val="yellow"/>
                <w:lang w:bidi="hi-IN"/>
              </w:rPr>
            </m:ctrlPr>
          </m:accPr>
          <m:e>
            <m:r>
              <w:rPr>
                <w:rFonts w:ascii="Cambria Math" w:hAnsi="Cambria Math"/>
                <w:highlight w:val="yellow"/>
                <w:lang w:bidi="hi-IN"/>
              </w:rPr>
              <m:t>ω</m:t>
            </m:r>
          </m:e>
        </m:acc>
      </m:oMath>
      <w:r w:rsidRPr="001547D6">
        <w:rPr>
          <w:rFonts w:ascii="Palatino Linotype" w:hAnsi="Palatino Linotype"/>
          <w:highlight w:val="yellow"/>
          <w:lang w:bidi="hi-IN"/>
        </w:rPr>
        <w:t xml:space="preserve"> is the population mean fitness. The term </w:t>
      </w:r>
      <w:proofErr w:type="spellStart"/>
      <w:r w:rsidRPr="001547D6">
        <w:rPr>
          <w:rFonts w:ascii="Palatino Linotype" w:hAnsi="Palatino Linotype"/>
          <w:i/>
          <w:iCs/>
          <w:highlight w:val="yellow"/>
          <w:lang w:bidi="hi-IN"/>
        </w:rPr>
        <w:t>m</w:t>
      </w:r>
      <w:r w:rsidRPr="001547D6">
        <w:rPr>
          <w:rFonts w:ascii="Palatino Linotype" w:hAnsi="Palatino Linotype"/>
          <w:i/>
          <w:iCs/>
          <w:highlight w:val="yellow"/>
          <w:vertAlign w:val="subscript"/>
          <w:lang w:bidi="hi-IN"/>
        </w:rPr>
        <w:t>x</w:t>
      </w:r>
      <w:proofErr w:type="gramStart"/>
      <w:r w:rsidRPr="001547D6">
        <w:rPr>
          <w:rFonts w:ascii="Palatino Linotype" w:hAnsi="Palatino Linotype"/>
          <w:i/>
          <w:iCs/>
          <w:highlight w:val="yellow"/>
          <w:vertAlign w:val="subscript"/>
          <w:lang w:bidi="hi-IN"/>
        </w:rPr>
        <w:t>,y</w:t>
      </w:r>
      <w:proofErr w:type="spellEnd"/>
      <w:proofErr w:type="gramEnd"/>
      <w:r w:rsidRPr="001547D6">
        <w:rPr>
          <w:rFonts w:ascii="Palatino Linotype" w:hAnsi="Palatino Linotype"/>
          <w:i/>
          <w:iCs/>
          <w:highlight w:val="yellow"/>
          <w:lang w:bidi="hi-IN"/>
        </w:rPr>
        <w:t xml:space="preserve"> </w:t>
      </w:r>
      <w:r w:rsidRPr="001547D6">
        <w:rPr>
          <w:rFonts w:ascii="Palatino Linotype" w:hAnsi="Palatino Linotype"/>
          <w:highlight w:val="yellow"/>
          <w:lang w:bidi="hi-IN"/>
        </w:rPr>
        <w:t xml:space="preserve">includes the fitness of individuals with </w:t>
      </w:r>
      <w:r w:rsidRPr="001547D6">
        <w:rPr>
          <w:rFonts w:ascii="Palatino Linotype" w:hAnsi="Palatino Linotype"/>
          <w:i/>
          <w:iCs/>
          <w:highlight w:val="yellow"/>
          <w:lang w:bidi="hi-IN"/>
        </w:rPr>
        <w:t>y</w:t>
      </w:r>
      <w:r w:rsidRPr="001547D6">
        <w:rPr>
          <w:rFonts w:ascii="Palatino Linotype" w:hAnsi="Palatino Linotype"/>
          <w:highlight w:val="yellow"/>
        </w:rPr>
        <w:t xml:space="preserve"> deleterious </w:t>
      </w:r>
      <w:r w:rsidR="00311C92" w:rsidRPr="001547D6">
        <w:rPr>
          <w:rFonts w:ascii="Palatino Linotype" w:hAnsi="Palatino Linotype"/>
          <w:highlight w:val="yellow"/>
        </w:rPr>
        <w:t>alleles,</w:t>
      </w:r>
      <w:r w:rsidRPr="001547D6">
        <w:rPr>
          <w:rFonts w:ascii="Palatino Linotype" w:hAnsi="Palatino Linotype"/>
          <w:highlight w:val="yellow"/>
        </w:rPr>
        <w:t xml:space="preserve"> </w:t>
      </w:r>
      <w:proofErr w:type="spellStart"/>
      <w:r w:rsidR="00311C92" w:rsidRPr="001547D6">
        <w:rPr>
          <w:rFonts w:ascii="Palatino Linotype" w:hAnsi="Palatino Linotype"/>
          <w:i/>
          <w:iCs/>
          <w:highlight w:val="yellow"/>
        </w:rPr>
        <w:t>ω</w:t>
      </w:r>
      <w:r w:rsidR="00311C92" w:rsidRPr="001547D6">
        <w:rPr>
          <w:rFonts w:ascii="Palatino Linotype" w:hAnsi="Palatino Linotype"/>
          <w:i/>
          <w:iCs/>
          <w:highlight w:val="yellow"/>
          <w:vertAlign w:val="subscript"/>
        </w:rPr>
        <w:t>y</w:t>
      </w:r>
      <w:proofErr w:type="spellEnd"/>
      <w:r w:rsidR="00311C92" w:rsidRPr="001547D6">
        <w:rPr>
          <w:rFonts w:ascii="Palatino Linotype" w:hAnsi="Palatino Linotype"/>
          <w:highlight w:val="yellow"/>
          <w:lang w:bidi="hi-IN"/>
        </w:rPr>
        <w:t>,</w:t>
      </w:r>
      <w:r w:rsidR="00311C92" w:rsidRPr="001547D6">
        <w:rPr>
          <w:rFonts w:ascii="Palatino Linotype" w:hAnsi="Palatino Linotype"/>
          <w:highlight w:val="yellow"/>
          <w:lang w:bidi="hi-IN"/>
        </w:rPr>
        <w:t xml:space="preserve"> </w:t>
      </w:r>
      <w:r w:rsidRPr="001547D6">
        <w:rPr>
          <w:rFonts w:ascii="Palatino Linotype" w:hAnsi="Palatino Linotype"/>
          <w:highlight w:val="yellow"/>
        </w:rPr>
        <w:t xml:space="preserve">and the probability </w:t>
      </w:r>
      <w:r w:rsidR="00311C92" w:rsidRPr="001547D6">
        <w:rPr>
          <w:rFonts w:ascii="Palatino Linotype" w:hAnsi="Palatino Linotype"/>
          <w:highlight w:val="yellow"/>
        </w:rPr>
        <w:t xml:space="preserve">that the precise number of </w:t>
      </w:r>
      <w:r w:rsidRPr="001547D6">
        <w:rPr>
          <w:rFonts w:ascii="Palatino Linotype" w:hAnsi="Palatino Linotype"/>
          <w:highlight w:val="yellow"/>
        </w:rPr>
        <w:t>mutations occurr</w:t>
      </w:r>
      <w:r w:rsidR="00311C92" w:rsidRPr="001547D6">
        <w:rPr>
          <w:rFonts w:ascii="Palatino Linotype" w:hAnsi="Palatino Linotype"/>
          <w:highlight w:val="yellow"/>
        </w:rPr>
        <w:t>ed</w:t>
      </w:r>
      <w:r w:rsidR="00311C92" w:rsidRPr="001547D6">
        <w:rPr>
          <w:rFonts w:ascii="Palatino Linotype" w:hAnsi="Palatino Linotype"/>
          <w:highlight w:val="yellow"/>
          <w:lang w:bidi="hi-IN"/>
        </w:rPr>
        <w:t xml:space="preserve">. Specifically, if </w:t>
      </w:r>
      <w:proofErr w:type="spellStart"/>
      <w:r w:rsidR="00311C92" w:rsidRPr="001547D6">
        <w:rPr>
          <w:rFonts w:ascii="Palatino Linotype" w:hAnsi="Palatino Linotype"/>
          <w:i/>
          <w:iCs/>
          <w:highlight w:val="yellow"/>
          <w:lang w:bidi="hi-IN"/>
        </w:rPr>
        <w:t>y</w:t>
      </w:r>
      <w:r w:rsidR="00311C92" w:rsidRPr="001547D6">
        <w:rPr>
          <w:rFonts w:ascii="Times New Roman" w:hAnsi="Times New Roman"/>
          <w:i/>
          <w:iCs/>
          <w:highlight w:val="yellow"/>
          <w:lang w:bidi="hi-IN"/>
        </w:rPr>
        <w:t>≥</w:t>
      </w:r>
      <w:r w:rsidR="00311C92" w:rsidRPr="001547D6">
        <w:rPr>
          <w:rFonts w:ascii="Palatino Linotype" w:hAnsi="Palatino Linotype"/>
          <w:i/>
          <w:iCs/>
          <w:highlight w:val="yellow"/>
          <w:lang w:bidi="hi-IN"/>
        </w:rPr>
        <w:t>x</w:t>
      </w:r>
      <w:proofErr w:type="spellEnd"/>
      <w:r w:rsidR="00311C92" w:rsidRPr="001547D6">
        <w:rPr>
          <w:rFonts w:ascii="Palatino Linotype" w:hAnsi="Palatino Linotype"/>
          <w:highlight w:val="yellow"/>
          <w:lang w:bidi="hi-IN"/>
        </w:rPr>
        <w:t xml:space="preserve"> then exactly </w:t>
      </w:r>
      <w:r w:rsidR="00311C92" w:rsidRPr="001547D6">
        <w:rPr>
          <w:rFonts w:ascii="Palatino Linotype" w:hAnsi="Palatino Linotype"/>
          <w:i/>
          <w:iCs/>
          <w:highlight w:val="yellow"/>
          <w:lang w:bidi="hi-IN"/>
        </w:rPr>
        <w:t>y-x</w:t>
      </w:r>
      <w:r w:rsidR="00311C92" w:rsidRPr="001547D6">
        <w:rPr>
          <w:rFonts w:ascii="Palatino Linotype" w:hAnsi="Palatino Linotype"/>
          <w:highlight w:val="yellow"/>
          <w:lang w:bidi="hi-IN"/>
        </w:rPr>
        <w:t xml:space="preserve"> beneficial mutation must occur; if </w:t>
      </w:r>
      <w:proofErr w:type="spellStart"/>
      <w:r w:rsidR="00311C92" w:rsidRPr="001547D6">
        <w:rPr>
          <w:rFonts w:ascii="Palatino Linotype" w:hAnsi="Palatino Linotype"/>
          <w:i/>
          <w:iCs/>
          <w:highlight w:val="yellow"/>
          <w:lang w:bidi="hi-IN"/>
        </w:rPr>
        <w:t>y</w:t>
      </w:r>
      <w:r w:rsidR="00311C92" w:rsidRPr="001547D6">
        <w:rPr>
          <w:rFonts w:ascii="Times New Roman" w:hAnsi="Times New Roman"/>
          <w:i/>
          <w:iCs/>
          <w:highlight w:val="yellow"/>
          <w:lang w:bidi="hi-IN"/>
        </w:rPr>
        <w:t>≤</w:t>
      </w:r>
      <w:r w:rsidR="00311C92" w:rsidRPr="001547D6">
        <w:rPr>
          <w:rFonts w:ascii="Palatino Linotype" w:hAnsi="Palatino Linotype"/>
          <w:i/>
          <w:iCs/>
          <w:highlight w:val="yellow"/>
          <w:lang w:bidi="hi-IN"/>
        </w:rPr>
        <w:t>x</w:t>
      </w:r>
      <w:proofErr w:type="spellEnd"/>
      <w:r w:rsidR="00311C92" w:rsidRPr="001547D6">
        <w:rPr>
          <w:rFonts w:ascii="Palatino Linotype" w:hAnsi="Palatino Linotype"/>
          <w:highlight w:val="yellow"/>
          <w:lang w:bidi="hi-IN"/>
        </w:rPr>
        <w:t xml:space="preserve"> then exactly </w:t>
      </w:r>
      <w:r w:rsidR="00311C92" w:rsidRPr="001547D6">
        <w:rPr>
          <w:rFonts w:ascii="Palatino Linotype" w:hAnsi="Palatino Linotype"/>
          <w:i/>
          <w:iCs/>
          <w:highlight w:val="yellow"/>
          <w:lang w:bidi="hi-IN"/>
        </w:rPr>
        <w:t>x-y</w:t>
      </w:r>
      <w:r w:rsidR="00311C92" w:rsidRPr="001547D6">
        <w:rPr>
          <w:rFonts w:ascii="Palatino Linotype" w:hAnsi="Palatino Linotype"/>
          <w:highlight w:val="yellow"/>
          <w:lang w:bidi="hi-IN"/>
        </w:rPr>
        <w:t xml:space="preserve"> deleterious mutations must occur:</w:t>
      </w:r>
    </w:p>
    <w:p w:rsidR="00787111" w:rsidRPr="00EE1F7D" w:rsidRDefault="007A45FD" w:rsidP="00A916BD">
      <w:pPr>
        <w:spacing w:line="36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311C92" w:rsidP="00311C92">
      <w:pPr>
        <w:spacing w:line="360" w:lineRule="auto"/>
        <w:rPr>
          <w:rFonts w:ascii="Palatino Linotype" w:hAnsi="Palatino Linotype"/>
          <w:lang w:bidi="hi-IN"/>
        </w:rPr>
      </w:pPr>
      <w:r>
        <w:rPr>
          <w:rFonts w:ascii="Palatino Linotype" w:hAnsi="Palatino Linotype"/>
          <w:lang w:bidi="hi-IN"/>
        </w:rPr>
        <w:t xml:space="preserve">Using </w:t>
      </w:r>
      <w:r w:rsidR="00787111" w:rsidRPr="00EE1F7D">
        <w:rPr>
          <w:rFonts w:ascii="Palatino Linotype" w:hAnsi="Palatino Linotype"/>
          <w:lang w:bidi="hi-IN"/>
        </w:rPr>
        <w:t xml:space="preserve">the probability mass function of a Poisson distribution, we can expand the </w:t>
      </w:r>
      <w:r>
        <w:rPr>
          <w:rFonts w:ascii="Palatino Linotype" w:hAnsi="Palatino Linotype"/>
          <w:lang w:bidi="hi-IN"/>
        </w:rPr>
        <w:t>above equation to</w:t>
      </w:r>
    </w:p>
    <w:p w:rsidR="00787111" w:rsidRPr="00EE1F7D" w:rsidRDefault="007A45FD" w:rsidP="00311C92">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m:t>
            </m:r>
            <m:r>
              <w:rPr>
                <w:rFonts w:ascii="Cambria Math" w:hAnsi="Cambria Math"/>
                <w:lang w:bidi="hi-IN"/>
              </w:rPr>
              <m:t>≤x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m:t>
                    </m:r>
                    <m:r>
                      <w:rPr>
                        <w:rFonts w:ascii="Cambria Math" w:hAnsi="Cambria Math"/>
                        <w:lang w:bidi="hi-IN"/>
                      </w:rPr>
                      <m:t>y</m:t>
                    </m:r>
                  </m:sup>
                </m:sSup>
              </m:num>
              <m:den>
                <m:d>
                  <m:dPr>
                    <m:ctrlPr>
                      <w:rPr>
                        <w:rFonts w:ascii="Cambria Math" w:hAnsi="Cambria Math"/>
                        <w:i/>
                        <w:lang w:bidi="hi-IN"/>
                      </w:rPr>
                    </m:ctrlPr>
                  </m:dPr>
                  <m:e>
                    <m:r>
                      <w:rPr>
                        <w:rFonts w:ascii="Cambria Math" w:hAnsi="Cambria Math"/>
                        <w:lang w:bidi="hi-IN"/>
                      </w:rPr>
                      <m:t>x-</m:t>
                    </m:r>
                    <m:r>
                      <w:rPr>
                        <w:rFonts w:ascii="Cambria Math" w:hAnsi="Cambria Math"/>
                        <w:lang w:bidi="hi-IN"/>
                      </w:rPr>
                      <m:t>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m:t>
            </m:r>
            <m:r>
              <w:rPr>
                <w:rFonts w:ascii="Cambria Math" w:hAnsi="Cambria Math"/>
                <w:lang w:bidi="hi-IN"/>
              </w:rPr>
              <m:t>≥x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m:t>
                    </m:r>
                    <m:r>
                      <w:rPr>
                        <w:rFonts w:ascii="Cambria Math" w:hAnsi="Cambria Math"/>
                        <w:lang w:bidi="hi-IN"/>
                      </w:rPr>
                      <m:t>-x</m:t>
                    </m:r>
                  </m:sup>
                </m:sSup>
              </m:num>
              <m:den>
                <m:d>
                  <m:dPr>
                    <m:ctrlPr>
                      <w:rPr>
                        <w:rFonts w:ascii="Cambria Math" w:hAnsi="Cambria Math"/>
                        <w:i/>
                        <w:lang w:bidi="hi-IN"/>
                      </w:rPr>
                    </m:ctrlPr>
                  </m:dPr>
                  <m:e>
                    <m:r>
                      <w:rPr>
                        <w:rFonts w:ascii="Cambria Math" w:hAnsi="Cambria Math"/>
                        <w:lang w:bidi="hi-IN"/>
                      </w:rPr>
                      <m:t>y</m:t>
                    </m:r>
                    <m:r>
                      <w:rPr>
                        <w:rFonts w:ascii="Cambria Math" w:hAnsi="Cambria Math"/>
                        <w:lang w:bidi="hi-IN"/>
                      </w:rPr>
                      <m:t>-x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311C92">
      <w:pPr>
        <w:spacing w:line="36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00311C92" w:rsidRPr="00311C92">
        <w:rPr>
          <w:rFonts w:ascii="Palatino Linotype" w:hAnsi="Palatino Linotype"/>
          <w:i/>
          <w:iCs/>
          <w:vertAlign w:val="subscript"/>
          <w:lang w:bidi="hi-IN"/>
        </w:rPr>
        <w:t>y</w:t>
      </w:r>
      <w:proofErr w:type="spellEnd"/>
      <w:r w:rsidRPr="00EE1F7D">
        <w:rPr>
          <w:rFonts w:ascii="Palatino Linotype" w:hAnsi="Palatino Linotype"/>
          <w:lang w:bidi="hi-IN"/>
        </w:rPr>
        <w:t xml:space="preserve"> is the fitness with </w:t>
      </w:r>
      <w:r w:rsidR="00311C92">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sidR="00311C92">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00311C92">
        <w:rPr>
          <w:rFonts w:ascii="Palatino Linotype" w:hAnsi="Palatino Linotype"/>
        </w:rPr>
        <w:t>,</w:t>
      </w:r>
      <w:r w:rsidRPr="00EE1F7D">
        <w:rPr>
          <w:rFonts w:ascii="Palatino Linotype" w:hAnsi="Palatino Linotype"/>
        </w:rPr>
        <w:t xml:space="preserve"> and </w:t>
      </w:r>
      <w:proofErr w:type="spellStart"/>
      <w:r w:rsidRPr="00EE1F7D">
        <w:rPr>
          <w:rFonts w:ascii="Palatino Linotype" w:hAnsi="Palatino Linotype"/>
          <w:i/>
          <w:iCs/>
        </w:rPr>
        <w:t>U</w:t>
      </w:r>
      <w:r w:rsidR="00311C92">
        <w:rPr>
          <w:rFonts w:ascii="Palatino Linotype" w:hAnsi="Palatino Linotype"/>
          <w:i/>
          <w:iCs/>
          <w:vertAlign w:val="subscript"/>
        </w:rPr>
        <w:t>y</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sidR="00311C92">
        <w:rPr>
          <w:rFonts w:ascii="Palatino Linotype" w:hAnsi="Palatino Linotype"/>
        </w:rPr>
        <w:t xml:space="preserve">per generation </w:t>
      </w:r>
      <w:r w:rsidRPr="00EE1F7D">
        <w:rPr>
          <w:rFonts w:ascii="Palatino Linotype" w:hAnsi="Palatino Linotype"/>
        </w:rPr>
        <w:t xml:space="preserve">in an individual with </w:t>
      </w:r>
      <w:r w:rsidR="00311C92">
        <w:rPr>
          <w:rFonts w:ascii="Palatino Linotype" w:hAnsi="Palatino Linotype"/>
          <w:i/>
          <w:iCs/>
        </w:rPr>
        <w:t>y</w:t>
      </w:r>
      <w:r w:rsidRPr="00EE1F7D">
        <w:rPr>
          <w:rFonts w:ascii="Palatino Linotype" w:hAnsi="Palatino Linotype"/>
        </w:rPr>
        <w:t xml:space="preserve"> deleterious mutations.</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7A45FD" w:rsidP="00A916BD">
      <w:pPr>
        <w:spacing w:line="36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787111" w:rsidRPr="00EE1F7D" w:rsidRDefault="007A45FD" w:rsidP="00A916BD">
      <w:pPr>
        <w:spacing w:line="36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lastRenderedPageBreak/>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7A45FD" w:rsidP="00C31483">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m:t>
            </m:r>
            <m:r>
              <w:rPr>
                <w:rFonts w:ascii="Cambria Math" w:hAnsi="Cambria Math"/>
                <w:lang w:bidi="hi-IN"/>
              </w:rPr>
              <m:t>≤x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m:t>
                    </m:r>
                    <m:r>
                      <w:rPr>
                        <w:rFonts w:ascii="Cambria Math" w:hAnsi="Cambria Math"/>
                        <w:lang w:bidi="hi-IN"/>
                      </w:rPr>
                      <m:t>y</m:t>
                    </m:r>
                  </m:sup>
                </m:sSup>
              </m:num>
              <m:den>
                <m:d>
                  <m:dPr>
                    <m:ctrlPr>
                      <w:rPr>
                        <w:rFonts w:ascii="Cambria Math" w:hAnsi="Cambria Math"/>
                        <w:i/>
                        <w:lang w:bidi="hi-IN"/>
                      </w:rPr>
                    </m:ctrlPr>
                  </m:dPr>
                  <m:e>
                    <m:r>
                      <w:rPr>
                        <w:rFonts w:ascii="Cambria Math" w:hAnsi="Cambria Math"/>
                        <w:lang w:bidi="hi-IN"/>
                      </w:rPr>
                      <m:t>x-</m:t>
                    </m:r>
                    <m:r>
                      <w:rPr>
                        <w:rFonts w:ascii="Cambria Math" w:hAnsi="Cambria Math"/>
                        <w:lang w:bidi="hi-IN"/>
                      </w:rPr>
                      <m:t>y</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C31483">
      <w:pPr>
        <w:spacing w:line="36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w:t>
      </w:r>
      <w:proofErr w:type="gramStart"/>
      <w:r w:rsidRPr="00EE1F7D">
        <w:rPr>
          <w:rFonts w:ascii="Palatino Linotype" w:hAnsi="Palatino Linotype"/>
          <w:lang w:bidi="hi-IN"/>
        </w:rPr>
        <w:t xml:space="preserve">: </w:t>
      </w:r>
      <w:proofErr w:type="gramEnd"/>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proofErr w:type="gramStart"/>
      <w:r w:rsidR="00C31483">
        <w:rPr>
          <w:rFonts w:ascii="Palatino Linotype" w:hAnsi="Palatino Linotype"/>
        </w:rPr>
        <w:t xml:space="preserve">population </w:t>
      </w:r>
      <w:r w:rsidRPr="00EE1F7D">
        <w:rPr>
          <w:rFonts w:ascii="Palatino Linotype" w:hAnsi="Palatino Linotype"/>
        </w:rPr>
        <w:t>mean</w:t>
      </w:r>
      <w:proofErr w:type="gramEnd"/>
      <w:r w:rsidRPr="00EE1F7D">
        <w:rPr>
          <w:rFonts w:ascii="Palatino Linotype" w:hAnsi="Palatino Linotype"/>
        </w:rPr>
        <w:t xml:space="preserve"> fitness</w:t>
      </w:r>
      <w:r w:rsidR="00C31483">
        <w:rPr>
          <w:rFonts w:ascii="Palatino Linotype" w:hAnsi="Palatino Linotype"/>
        </w:rPr>
        <w:t xml:space="preserve"> at the MSB</w:t>
      </w:r>
      <w:r w:rsidRPr="00EE1F7D">
        <w:rPr>
          <w:rFonts w:ascii="Palatino Linotype" w:hAnsi="Palatino Linotype"/>
        </w:rPr>
        <w:t xml:space="preserve"> </w:t>
      </w:r>
      <w:r w:rsidR="00C31483">
        <w:rPr>
          <w:rFonts w:ascii="Palatino Linotype" w:hAnsi="Palatino Linotype"/>
        </w:rPr>
        <w:t xml:space="preserve">is </w:t>
      </w:r>
      <w:r w:rsidRPr="00EE1F7D">
        <w:rPr>
          <w:rFonts w:ascii="Palatino Linotype" w:hAnsi="Palatino Linotype"/>
          <w:i/>
          <w:iCs/>
        </w:rPr>
        <w:t>e</w:t>
      </w:r>
      <w:r w:rsidRPr="00EE1F7D">
        <w:rPr>
          <w:rFonts w:ascii="Palatino Linotype" w:hAnsi="Palatino Linotype"/>
          <w:i/>
          <w:iCs/>
          <w:vertAlign w:val="superscript"/>
        </w:rPr>
        <w:t>-</w:t>
      </w:r>
      <w:proofErr w:type="spellStart"/>
      <w:r w:rsidRPr="00EE1F7D">
        <w:rPr>
          <w:rFonts w:ascii="Palatino Linotype" w:hAnsi="Palatino Linotype"/>
          <w:i/>
          <w:iCs/>
          <w:vertAlign w:val="superscript"/>
        </w:rPr>
        <w:t>τU</w:t>
      </w:r>
      <w:proofErr w:type="spellEnd"/>
      <w:r w:rsidR="00C31483">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t>
      </w:r>
      <w:r w:rsidR="00C31483">
        <w:rPr>
          <w:rFonts w:ascii="Palatino Linotype" w:hAnsi="Palatino Linotype"/>
        </w:rPr>
        <w:t xml:space="preserve">shown by </w:t>
      </w:r>
      <w:r w:rsidRPr="00EE1F7D">
        <w:rPr>
          <w:rFonts w:ascii="Palatino Linotype" w:hAnsi="Palatino Linotype"/>
        </w:rPr>
        <w:t xml:space="preserve">Agrawal </w:t>
      </w:r>
      <w:r w:rsidRPr="00EE1F7D">
        <w:rPr>
          <w:rFonts w:ascii="Palatino Linotype" w:hAnsi="Palatino Linotype"/>
        </w:rPr>
        <w:fldChar w:fldCharType="begin" w:fldLock="1"/>
      </w:r>
      <w:r w:rsidR="001547D6">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00AA429E" w:rsidRPr="00AA429E">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w:t>
      </w:r>
      <w:r w:rsidR="00C31483">
        <w:rPr>
          <w:rFonts w:ascii="Palatino Linotype" w:hAnsi="Palatino Linotype"/>
        </w:rPr>
        <w:t>pect to normal mutagenesis (NM). This is</w:t>
      </w:r>
      <w:r w:rsidRPr="00EE1F7D">
        <w:rPr>
          <w:rFonts w:ascii="Palatino Linotype" w:hAnsi="Palatino Linotype"/>
        </w:rPr>
        <w:t xml:space="preserve">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Pr="00EE1F7D">
        <w:rPr>
          <w:rFonts w:ascii="Palatino Linotype" w:hAnsi="Palatino Linotype"/>
          <w:lang w:bidi="hi-IN"/>
        </w:rPr>
        <w:fldChar w:fldCharType="end"/>
      </w:r>
      <w:r w:rsidR="00C31483">
        <w:rPr>
          <w:rFonts w:ascii="Palatino Linotype" w:hAnsi="Palatino Linotype"/>
          <w:lang w:bidi="hi-IN"/>
        </w:rPr>
        <w:t xml:space="preserve"> that the population mean fitness increases with the mutation rate of individuals with a below–average fitness:</w:t>
      </w:r>
    </w:p>
    <w:p w:rsidR="00787111" w:rsidRPr="00EE1F7D" w:rsidRDefault="00787111" w:rsidP="00A916BD">
      <w:pPr>
        <w:spacing w:line="36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C31483" w:rsidRDefault="00787111" w:rsidP="00C31483">
      <w:pPr>
        <w:spacing w:line="360" w:lineRule="auto"/>
        <w:rPr>
          <w:rFonts w:ascii="Palatino Linotype" w:hAnsi="Palatino Linotype"/>
        </w:rPr>
      </w:pPr>
      <w:r w:rsidRPr="00EE1F7D">
        <w:rPr>
          <w:rFonts w:ascii="Palatino Linotype" w:hAnsi="Palatino Linotype"/>
          <w:lang w:bidi="hi-IN"/>
        </w:rPr>
        <w:t xml:space="preserve">Nevertheless, this framework allows the </w:t>
      </w:r>
      <w:r w:rsidR="00C31483">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00C31483">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w:t>
      </w:r>
      <w:proofErr w:type="gramStart"/>
      <w:r w:rsidRPr="00EE1F7D">
        <w:rPr>
          <w:rFonts w:ascii="Palatino Linotype" w:hAnsi="Palatino Linotype"/>
          <w:lang w:bidi="hi-IN"/>
        </w:rPr>
        <w:t xml:space="preserve">that </w:t>
      </w:r>
      <w:proofErr w:type="gramEnd"/>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00C31483">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sidR="00C31483">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940E9C" w:rsidP="00C31483">
      <w:pPr>
        <w:spacing w:line="360" w:lineRule="auto"/>
        <w:rPr>
          <w:rFonts w:ascii="Palatino Linotype" w:hAnsi="Palatino Linotype"/>
          <w:lang w:bidi="hi-IN"/>
        </w:rPr>
      </w:pPr>
      <w:r>
        <w:rPr>
          <w:rFonts w:ascii="Palatino Linotype" w:hAnsi="Palatino Linotype"/>
        </w:rPr>
        <w:t xml:space="preserve">Figure </w:t>
      </w:r>
      <w:r w:rsidR="00C31483">
        <w:rPr>
          <w:rFonts w:ascii="Palatino Linotype" w:hAnsi="Palatino Linotype"/>
        </w:rPr>
        <w:t xml:space="preserve">S4 shows </w:t>
      </w:r>
      <w:r w:rsidR="00787111" w:rsidRPr="00EE1F7D">
        <w:rPr>
          <w:rFonts w:ascii="Palatino Linotype" w:hAnsi="Palatino Linotype"/>
        </w:rPr>
        <w:t xml:space="preserve">that </w:t>
      </w:r>
      <w:r w:rsidR="00787111" w:rsidRPr="00EE1F7D">
        <w:rPr>
          <w:rFonts w:ascii="Palatino Linotype" w:hAnsi="Palatino Linotype"/>
          <w:i/>
          <w:iCs/>
        </w:rPr>
        <w:t>e</w:t>
      </w:r>
      <w:r w:rsidR="00787111" w:rsidRPr="00EE1F7D">
        <w:rPr>
          <w:rFonts w:ascii="Palatino Linotype" w:hAnsi="Palatino Linotype"/>
          <w:i/>
          <w:iCs/>
          <w:vertAlign w:val="superscript"/>
        </w:rPr>
        <w:t>-U</w:t>
      </w:r>
      <w:r w:rsidR="00787111" w:rsidRPr="00EE1F7D">
        <w:rPr>
          <w:rFonts w:ascii="Palatino Linotype" w:hAnsi="Palatino Linotype"/>
        </w:rPr>
        <w:t xml:space="preserve"> is still a good approximation to the population mean fitness (because </w:t>
      </w:r>
      <w:r w:rsidR="00787111" w:rsidRPr="00EE1F7D">
        <w:rPr>
          <w:rFonts w:ascii="Palatino Linotype" w:hAnsi="Palatino Linotype"/>
          <w:i/>
          <w:iCs/>
        </w:rPr>
        <w:t>β</w:t>
      </w:r>
      <w:r w:rsidR="00787111" w:rsidRPr="00EE1F7D">
        <w:rPr>
          <w:rFonts w:ascii="Palatino Linotype" w:hAnsi="Palatino Linotype"/>
        </w:rPr>
        <w:t xml:space="preserve">&lt;&lt;1), but SIM </w:t>
      </w:r>
      <w:r w:rsidR="00C31483">
        <w:rPr>
          <w:rFonts w:ascii="Palatino Linotype" w:hAnsi="Palatino Linotype"/>
        </w:rPr>
        <w:t xml:space="preserve">slightly </w:t>
      </w:r>
      <w:r w:rsidR="00787111" w:rsidRPr="00EE1F7D">
        <w:rPr>
          <w:rFonts w:ascii="Palatino Linotype" w:hAnsi="Palatino Linotype"/>
        </w:rPr>
        <w:t>increase the population mean fitness with respect to NM</w:t>
      </w:r>
      <w:r w:rsidR="00C31483">
        <w:rPr>
          <w:rFonts w:ascii="Palatino Linotype" w:hAnsi="Palatino Linotype"/>
        </w:rPr>
        <w:t>;</w:t>
      </w:r>
      <w:r w:rsidR="00787111" w:rsidRPr="00EE1F7D">
        <w:rPr>
          <w:rFonts w:ascii="Palatino Linotype" w:hAnsi="Palatino Linotype"/>
        </w:rPr>
        <w:t xml:space="preserve"> a sufficient condition is that the mutation rate of </w:t>
      </w:r>
      <w:r w:rsidR="00787111" w:rsidRPr="00EE1F7D">
        <w:rPr>
          <w:rFonts w:ascii="Palatino Linotype" w:hAnsi="Palatino Linotype"/>
        </w:rPr>
        <w:lastRenderedPageBreak/>
        <w:t>individuals with below average fitness is increased</w:t>
      </w:r>
      <w:r>
        <w:rPr>
          <w:rFonts w:ascii="Palatino Linotype" w:hAnsi="Palatino Linotype"/>
        </w:rPr>
        <w:t xml:space="preserve"> </w:t>
      </w:r>
      <w:r>
        <w:rPr>
          <w:rFonts w:ascii="Palatino Linotype" w:hAnsi="Palatino Linotype"/>
        </w:rPr>
        <w:fldChar w:fldCharType="begin" w:fldLock="1"/>
      </w:r>
      <w:r w:rsidR="001547D6">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rFonts w:ascii="Palatino Linotype" w:hAnsi="Palatino Linotype"/>
        </w:rPr>
        <w:fldChar w:fldCharType="separate"/>
      </w:r>
      <w:r w:rsidR="00D84EDB" w:rsidRPr="00D84EDB">
        <w:rPr>
          <w:rFonts w:ascii="Palatino Linotype" w:hAnsi="Palatino Linotype"/>
          <w:noProof/>
        </w:rPr>
        <w:t>(Ram and Hadany 2012)</w:t>
      </w:r>
      <w:r>
        <w:rPr>
          <w:rFonts w:ascii="Palatino Linotype" w:hAnsi="Palatino Linotype"/>
        </w:rPr>
        <w:fldChar w:fldCharType="end"/>
      </w:r>
      <w:r w:rsidR="00787111" w:rsidRPr="00EE1F7D">
        <w:rPr>
          <w:rFonts w:ascii="Palatino Linotype" w:hAnsi="Palatino Linotype"/>
        </w:rPr>
        <w:t xml:space="preserve">. Since we assume that </w:t>
      </w:r>
      <w:r w:rsidR="00787111" w:rsidRPr="00EE1F7D">
        <w:rPr>
          <w:rFonts w:ascii="Palatino Linotype" w:hAnsi="Palatino Linotype"/>
          <w:i/>
          <w:iCs/>
        </w:rPr>
        <w:t>U</w:t>
      </w:r>
      <w:r w:rsidR="00787111" w:rsidRPr="00EE1F7D">
        <w:rPr>
          <w:rFonts w:ascii="Palatino Linotype" w:hAnsi="Palatino Linotype"/>
        </w:rPr>
        <w:t>&lt;</w:t>
      </w:r>
      <w:r w:rsidR="00787111" w:rsidRPr="00EE1F7D">
        <w:rPr>
          <w:rFonts w:ascii="Palatino Linotype" w:hAnsi="Palatino Linotype"/>
          <w:i/>
          <w:iCs/>
        </w:rPr>
        <w:t>s</w:t>
      </w:r>
      <w:r w:rsidR="00787111" w:rsidRPr="00EE1F7D">
        <w:rPr>
          <w:rFonts w:ascii="Palatino Linotype" w:hAnsi="Palatino Linotype"/>
        </w:rPr>
        <w:t>,</w:t>
      </w:r>
      <w:r w:rsidR="00787111" w:rsidRPr="00EE1F7D">
        <w:rPr>
          <w:rFonts w:ascii="Palatino Linotype" w:hAnsi="Palatino Linotype"/>
          <w:i/>
          <w:iCs/>
        </w:rPr>
        <w:t xml:space="preserve"> </w:t>
      </w:r>
      <w:r w:rsidR="00787111" w:rsidRPr="00EE1F7D">
        <w:rPr>
          <w:rFonts w:ascii="Palatino Linotype" w:hAnsi="Palatino Linotype"/>
        </w:rPr>
        <w:t xml:space="preserve">then </w:t>
      </w:r>
      <w:r w:rsidR="00787111" w:rsidRPr="00EE1F7D">
        <w:rPr>
          <w:rFonts w:ascii="Palatino Linotype" w:hAnsi="Palatino Linotype"/>
          <w:i/>
          <w:iCs/>
        </w:rPr>
        <w:t>e</w:t>
      </w:r>
      <w:r w:rsidR="00787111" w:rsidRPr="00EE1F7D">
        <w:rPr>
          <w:rFonts w:ascii="Palatino Linotype" w:hAnsi="Palatino Linotype"/>
          <w:i/>
          <w:iCs/>
          <w:vertAlign w:val="superscript"/>
        </w:rPr>
        <w:t>-U</w:t>
      </w:r>
      <w:r w:rsidR="00787111" w:rsidRPr="00EE1F7D">
        <w:rPr>
          <w:rFonts w:ascii="Palatino Linotype" w:hAnsi="Palatino Linotype"/>
        </w:rPr>
        <w:t xml:space="preserve"> ≈ 1-</w:t>
      </w:r>
      <w:r w:rsidR="00787111" w:rsidRPr="00EE1F7D">
        <w:rPr>
          <w:rFonts w:ascii="Palatino Linotype" w:hAnsi="Palatino Linotype"/>
          <w:i/>
          <w:iCs/>
        </w:rPr>
        <w:t>U</w:t>
      </w:r>
      <w:r w:rsidR="00787111" w:rsidRPr="00EE1F7D">
        <w:rPr>
          <w:rFonts w:ascii="Palatino Linotype" w:hAnsi="Palatino Linotype"/>
        </w:rPr>
        <w:t xml:space="preserve"> &gt; 1-s. Therefore, </w:t>
      </w:r>
      <w:r w:rsidR="00C31483">
        <w:rPr>
          <w:rFonts w:ascii="Palatino Linotype" w:hAnsi="Palatino Linotype"/>
        </w:rPr>
        <w:t>for</w:t>
      </w:r>
      <w:r w:rsidR="00787111" w:rsidRPr="00EE1F7D">
        <w:rPr>
          <w:rFonts w:ascii="Palatino Linotype" w:hAnsi="Palatino Linotype"/>
        </w:rPr>
        <w:t xml:space="preserve"> SIM </w:t>
      </w:r>
      <w:r w:rsidR="00C31483">
        <w:rPr>
          <w:rFonts w:ascii="Palatino Linotype" w:hAnsi="Palatino Linotype"/>
        </w:rPr>
        <w:t xml:space="preserve">to </w:t>
      </w:r>
      <w:r w:rsidR="00C31483" w:rsidRPr="00EE1F7D">
        <w:rPr>
          <w:rFonts w:ascii="Palatino Linotype" w:hAnsi="Palatino Linotype"/>
        </w:rPr>
        <w:t>increase the population mean fitness</w:t>
      </w:r>
      <w:r w:rsidR="00C31483" w:rsidRPr="00EE1F7D">
        <w:rPr>
          <w:rFonts w:ascii="Palatino Linotype" w:hAnsi="Palatino Linotype"/>
        </w:rPr>
        <w:t xml:space="preserve"> </w:t>
      </w:r>
      <w:r w:rsidR="00C31483">
        <w:rPr>
          <w:rFonts w:ascii="Palatino Linotype" w:hAnsi="Palatino Linotype"/>
        </w:rPr>
        <w:t>it must increase</w:t>
      </w:r>
      <w:r w:rsidR="00787111" w:rsidRPr="00EE1F7D">
        <w:rPr>
          <w:rFonts w:ascii="Palatino Linotype" w:hAnsi="Palatino Linotype"/>
        </w:rPr>
        <w:t xml:space="preserve"> the mutation rate in individuals with at least one deleterious mutation</w:t>
      </w:r>
      <w:r w:rsidR="00787111" w:rsidRPr="00EE1F7D">
        <w:rPr>
          <w:rFonts w:ascii="Palatino Linotype" w:hAnsi="Palatino Linotype"/>
          <w:lang w:bidi="hi-IN"/>
        </w:rPr>
        <w:t>.</w:t>
      </w:r>
    </w:p>
    <w:p w:rsidR="00A916BD" w:rsidRDefault="00A916BD" w:rsidP="00A916BD">
      <w:pPr>
        <w:spacing w:line="360" w:lineRule="auto"/>
        <w:rPr>
          <w:rFonts w:ascii="Palatino Linotype" w:eastAsiaTheme="majorEastAsia" w:hAnsi="Palatino Linotype" w:cstheme="majorBidi"/>
          <w:b/>
          <w:bCs/>
          <w:kern w:val="32"/>
          <w:sz w:val="32"/>
          <w:szCs w:val="32"/>
          <w:lang w:bidi="hi-IN"/>
        </w:rPr>
      </w:pPr>
      <w:r>
        <w:rPr>
          <w:rFonts w:ascii="Palatino Linotype" w:hAnsi="Palatino Linotype"/>
          <w:lang w:bidi="hi-IN"/>
        </w:rPr>
        <w:br w:type="page"/>
      </w:r>
    </w:p>
    <w:p w:rsidR="009F7186" w:rsidRPr="00EE1F7D" w:rsidRDefault="009F7186" w:rsidP="00A916BD">
      <w:pPr>
        <w:pStyle w:val="Heading1"/>
        <w:spacing w:line="360" w:lineRule="auto"/>
        <w:rPr>
          <w:rFonts w:ascii="Palatino Linotype" w:hAnsi="Palatino Linotype"/>
          <w:lang w:bidi="hi-IN"/>
        </w:rPr>
      </w:pPr>
      <w:r w:rsidRPr="00EE1F7D">
        <w:rPr>
          <w:rFonts w:ascii="Palatino Linotype" w:hAnsi="Palatino Linotype"/>
          <w:lang w:bidi="hi-IN"/>
        </w:rPr>
        <w:lastRenderedPageBreak/>
        <w:t>References</w:t>
      </w:r>
    </w:p>
    <w:p w:rsidR="001547D6" w:rsidRPr="001547D6" w:rsidRDefault="009F7186">
      <w:pPr>
        <w:pStyle w:val="NormalWeb"/>
        <w:divId w:val="1828932578"/>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1547D6" w:rsidRPr="001547D6">
        <w:rPr>
          <w:rFonts w:ascii="Palatino Linotype" w:hAnsi="Palatino Linotype"/>
          <w:noProof/>
          <w:sz w:val="22"/>
        </w:rPr>
        <w:t>Agrawal, A. F. 2002. Genetic loads under fitness-dependent mutation rates. J. Evol. Biol. 15:1004–1010.</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Haigh, J. 1978. The accumulation of deleterious genes in a population - Muller’s Ratchet. Theor. Popul. Biol. 14:251–267.</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Johnson, T., and N. H. N. H. Barton. 2002. The effect of deleterious alleles on adaptation in asexual populations. Genetics 162:395–411.</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Otto, S. P., and T. Day. 2007. A biologist’s guide to mathematical modeling in ecology and evolution. Princeton University Press.</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Perez, F., and B. E. Granger. 2007. IPython: A System for Interactive Scientific Computing. Comput. Sci. Eng. 9:21–29.</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 xml:space="preserve">Ram, Y., and L. Hadany. 2012. The evolution of stress-induced hypermutation in asexual populations. Evolution 66:2315–28. </w:t>
      </w:r>
    </w:p>
    <w:p w:rsidR="009F7186" w:rsidRPr="00EE1F7D" w:rsidRDefault="009F7186" w:rsidP="001547D6">
      <w:pPr>
        <w:pStyle w:val="NormalWeb"/>
        <w:divId w:val="2090803377"/>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4"/>
      <w:footerReference w:type="default" r:id="rId15"/>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5FD" w:rsidRDefault="007A45FD">
      <w:r>
        <w:separator/>
      </w:r>
    </w:p>
  </w:endnote>
  <w:endnote w:type="continuationSeparator" w:id="0">
    <w:p w:rsidR="007A45FD" w:rsidRDefault="007A4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1547D6">
          <w:rPr>
            <w:noProof/>
          </w:rPr>
          <w:t>9</w:t>
        </w:r>
        <w:r>
          <w:rPr>
            <w:noProof/>
          </w:rPr>
          <w:fldChar w:fldCharType="end"/>
        </w:r>
      </w:p>
    </w:sdtContent>
  </w:sdt>
  <w:p w:rsidR="00531CC2" w:rsidRDefault="007A4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5FD" w:rsidRDefault="007A45FD">
      <w:r>
        <w:separator/>
      </w:r>
    </w:p>
  </w:footnote>
  <w:footnote w:type="continuationSeparator" w:id="0">
    <w:p w:rsidR="007A45FD" w:rsidRDefault="007A4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91183"/>
    <w:rsid w:val="000E71D5"/>
    <w:rsid w:val="000F6994"/>
    <w:rsid w:val="001364E7"/>
    <w:rsid w:val="001547D6"/>
    <w:rsid w:val="00217945"/>
    <w:rsid w:val="002A3FCB"/>
    <w:rsid w:val="002B7010"/>
    <w:rsid w:val="002C0703"/>
    <w:rsid w:val="002F0F33"/>
    <w:rsid w:val="00302982"/>
    <w:rsid w:val="00311C92"/>
    <w:rsid w:val="00313FB3"/>
    <w:rsid w:val="00322C2A"/>
    <w:rsid w:val="003453E8"/>
    <w:rsid w:val="0034554A"/>
    <w:rsid w:val="0035041D"/>
    <w:rsid w:val="00427456"/>
    <w:rsid w:val="00501F2E"/>
    <w:rsid w:val="005601F8"/>
    <w:rsid w:val="00584A44"/>
    <w:rsid w:val="00636BF6"/>
    <w:rsid w:val="006465C5"/>
    <w:rsid w:val="006F4488"/>
    <w:rsid w:val="00717CFF"/>
    <w:rsid w:val="00760A38"/>
    <w:rsid w:val="007769E2"/>
    <w:rsid w:val="00787111"/>
    <w:rsid w:val="007A45FD"/>
    <w:rsid w:val="007F319B"/>
    <w:rsid w:val="008B12A4"/>
    <w:rsid w:val="009130D2"/>
    <w:rsid w:val="00940E9C"/>
    <w:rsid w:val="009A5F9E"/>
    <w:rsid w:val="009D658E"/>
    <w:rsid w:val="009E7E6D"/>
    <w:rsid w:val="009F7186"/>
    <w:rsid w:val="00A169F4"/>
    <w:rsid w:val="00A32824"/>
    <w:rsid w:val="00A54A48"/>
    <w:rsid w:val="00A6780B"/>
    <w:rsid w:val="00A916BD"/>
    <w:rsid w:val="00AA429E"/>
    <w:rsid w:val="00AF0096"/>
    <w:rsid w:val="00C31483"/>
    <w:rsid w:val="00D07E45"/>
    <w:rsid w:val="00D84B1B"/>
    <w:rsid w:val="00D84EDB"/>
    <w:rsid w:val="00E74C93"/>
    <w:rsid w:val="00EE1F7D"/>
    <w:rsid w:val="00EF001D"/>
    <w:rsid w:val="00F45058"/>
    <w:rsid w:val="00F60564"/>
    <w:rsid w:val="00F92BD3"/>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90644-CA75-438D-836D-663E549EB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9</Pages>
  <Words>4230</Words>
  <Characters>21154</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42</cp:revision>
  <cp:lastPrinted>2013-12-25T14:56:00Z</cp:lastPrinted>
  <dcterms:created xsi:type="dcterms:W3CDTF">2013-10-02T13:28:00Z</dcterms:created>
  <dcterms:modified xsi:type="dcterms:W3CDTF">2014-03-27T14:08:00Z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