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EE1F7D">
      <w:pPr>
        <w:pStyle w:val="Title"/>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Pr="00EE1F7D" w:rsidRDefault="00760A38" w:rsidP="00760A38">
      <w:pPr>
        <w:pStyle w:val="Subtitle"/>
        <w:rPr>
          <w:rFonts w:ascii="Palatino Linotype" w:hAnsi="Palatino Linotype"/>
          <w:i/>
          <w:iCs/>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Supporting figures</w:t>
      </w:r>
    </w:p>
    <w:p w:rsidR="009F7186" w:rsidRPr="00EE1F7D" w:rsidRDefault="002B7010" w:rsidP="009F7186">
      <w:pPr>
        <w:keepNext/>
        <w:spacing w:line="480" w:lineRule="auto"/>
        <w:jc w:val="center"/>
        <w:rPr>
          <w:rFonts w:ascii="Palatino Linotype" w:hAnsi="Palatino Linotype"/>
          <w:noProof/>
        </w:rPr>
      </w:pPr>
      <w:r>
        <w:rPr>
          <w:rFonts w:ascii="Palatino Linotype" w:hAnsi="Palatino Linotype"/>
          <w:noProof/>
        </w:rPr>
        <w:drawing>
          <wp:inline distT="0" distB="0" distL="0" distR="0">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787111" w:rsidRPr="00EE1F7D" w:rsidRDefault="00787111" w:rsidP="00636BF6">
      <w:pPr>
        <w:keepNext/>
        <w:spacing w:line="480" w:lineRule="auto"/>
        <w:rPr>
          <w:rFonts w:ascii="Palatino Linotype" w:hAnsi="Palatino Linotype"/>
          <w:b/>
          <w:bCs/>
        </w:rPr>
      </w:pPr>
      <w:r w:rsidRPr="00EE1F7D">
        <w:rPr>
          <w:rFonts w:ascii="Palatino Linotype" w:hAnsi="Palatino Linotype"/>
          <w:noProof/>
        </w:rPr>
        <w:softHyphen/>
      </w:r>
      <w:bookmarkStart w:id="0" w:name="_Ref360183807"/>
      <w:r w:rsidRPr="00EE1F7D">
        <w:rPr>
          <w:rFonts w:ascii="Palatino Linotype" w:hAnsi="Palatino Linotype"/>
          <w:b/>
          <w:bCs/>
        </w:rPr>
        <w:t>Figure S</w:t>
      </w:r>
      <w:bookmarkEnd w:id="0"/>
      <w:r w:rsidRPr="00EE1F7D">
        <w:rPr>
          <w:rFonts w:ascii="Palatino Linotype" w:hAnsi="Palatino Linotype"/>
          <w:b/>
          <w:bCs/>
        </w:rPr>
        <w:t>1</w:t>
      </w:r>
      <w:r w:rsidRPr="00EE1F7D">
        <w:rPr>
          <w:rFonts w:ascii="Palatino Linotype" w:hAnsi="Palatino Linotype"/>
          <w:b/>
          <w:bCs/>
          <w:noProof/>
        </w:rPr>
        <w:t xml:space="preserve"> – Waiting time for the appearance of a double mutant </w:t>
      </w:r>
      <w:r w:rsidRPr="00EE1F7D">
        <w:rPr>
          <w:rFonts w:ascii="Palatino Linotype" w:hAnsi="Palatino Linotype"/>
        </w:rPr>
        <w:t xml:space="preserve">as a function of the mutation rate fold increase </w:t>
      </w:r>
      <w:r w:rsidRPr="00EE1F7D">
        <w:rPr>
          <w:rFonts w:ascii="Palatino Linotype" w:hAnsi="Palatino Linotype"/>
          <w:i/>
          <w:iCs/>
        </w:rPr>
        <w:t>τ</w:t>
      </w:r>
      <w:r w:rsidRPr="00EE1F7D">
        <w:rPr>
          <w:rFonts w:ascii="Palatino Linotype" w:hAnsi="Palatino Linotype"/>
        </w:rPr>
        <w:t xml:space="preserve">. NM (represented by </w:t>
      </w:r>
      <w:r w:rsidRPr="00EE1F7D">
        <w:rPr>
          <w:rFonts w:ascii="Palatino Linotype" w:hAnsi="Palatino Linotype"/>
          <w:i/>
          <w:iCs/>
        </w:rPr>
        <w:t>τ</w:t>
      </w:r>
      <w:r w:rsidRPr="00EE1F7D">
        <w:rPr>
          <w:rFonts w:ascii="Palatino Linotype" w:hAnsi="Palatino Linotype"/>
        </w:rPr>
        <w:t xml:space="preserve">=1) is normal mutagenesis; CM (dashed red) is constitutive mutagenesis; SIM (solid blue) is stress-induced mutagenesis. Lines are analytic approximations; markers are means of stochastic simulations results - black circles for the regular simulation, white triangles for simulations in which </w:t>
      </w:r>
      <w:r w:rsidRPr="00EE1F7D">
        <w:rPr>
          <w:rFonts w:ascii="Palatino Linotype" w:hAnsi="Palatino Linotype"/>
          <w:i/>
          <w:iCs/>
        </w:rPr>
        <w:t>AB</w:t>
      </w:r>
      <w:r w:rsidRPr="00EE1F7D">
        <w:rPr>
          <w:rFonts w:ascii="Palatino Linotype" w:hAnsi="Palatino Linotype"/>
        </w:rPr>
        <w:t xml:space="preserve"> cannot appear on deleterious background. </w:t>
      </w:r>
      <w:r w:rsidR="00501F2E">
        <w:rPr>
          <w:rFonts w:ascii="Palatino Linotype" w:hAnsi="Palatino Linotype"/>
        </w:rPr>
        <w:t>The</w:t>
      </w:r>
      <w:r w:rsidR="00A32824">
        <w:rPr>
          <w:rFonts w:ascii="Palatino Linotype" w:hAnsi="Palatino Linotype"/>
        </w:rPr>
        <w:t xml:space="preserve"> standard error of the mean</w:t>
      </w:r>
      <w:r w:rsidR="00501F2E">
        <w:rPr>
          <w:rFonts w:ascii="Palatino Linotype" w:hAnsi="Palatino Linotype"/>
        </w:rPr>
        <w:t xml:space="preserve"> was </w:t>
      </w:r>
      <w:r w:rsidR="00A32824">
        <w:rPr>
          <w:rFonts w:ascii="Palatino Linotype" w:hAnsi="Palatino Linotype"/>
        </w:rPr>
        <w:t>too small to show. A</w:t>
      </w:r>
      <w:r w:rsidRPr="00EE1F7D">
        <w:rPr>
          <w:rFonts w:ascii="Palatino Linotype" w:hAnsi="Palatino Linotype"/>
        </w:rPr>
        <w:t>t least 1,000 simulation</w:t>
      </w:r>
      <w:r w:rsidR="00A32824">
        <w:rPr>
          <w:rFonts w:ascii="Palatino Linotype" w:hAnsi="Palatino Linotype"/>
        </w:rPr>
        <w:t xml:space="preserve"> replicate</w:t>
      </w:r>
      <w:r w:rsidRPr="00EE1F7D">
        <w:rPr>
          <w:rFonts w:ascii="Palatino Linotype" w:hAnsi="Palatino Linotype"/>
        </w:rPr>
        <w:t xml:space="preserve">s per point. Both axes are in log scale. The appearance time decreases as a function of </w:t>
      </w:r>
      <w:r w:rsidRPr="00EE1F7D">
        <w:rPr>
          <w:rFonts w:ascii="Palatino Linotype" w:hAnsi="Palatino Linotype"/>
          <w:i/>
          <w:iCs/>
        </w:rPr>
        <w:t>τ</w:t>
      </w:r>
      <w:r w:rsidRPr="00EE1F7D">
        <w:rPr>
          <w:rFonts w:ascii="Palatino Linotype" w:hAnsi="Palatino Linotype"/>
          <w:vertAlign w:val="superscript"/>
        </w:rPr>
        <w:t>2</w:t>
      </w:r>
      <w:r w:rsidRPr="00EE1F7D">
        <w:rPr>
          <w:rFonts w:ascii="Palatino Linotype" w:hAnsi="Palatino Linotype"/>
        </w:rPr>
        <w:t xml:space="preserve"> and </w:t>
      </w:r>
      <w:r w:rsidRPr="00EE1F7D">
        <w:rPr>
          <w:rFonts w:ascii="Palatino Linotype" w:hAnsi="Palatino Linotype"/>
          <w:i/>
          <w:iCs/>
        </w:rPr>
        <w:t>τ</w:t>
      </w:r>
      <w:r w:rsidRPr="00EE1F7D">
        <w:rPr>
          <w:rFonts w:ascii="Palatino Linotype" w:hAnsi="Palatino Linotype"/>
        </w:rPr>
        <w:t xml:space="preserve"> with CM and SIM, respectively. Appearance time is longer if </w:t>
      </w:r>
      <w:r w:rsidRPr="00EE1F7D">
        <w:rPr>
          <w:rFonts w:ascii="Palatino Linotype" w:hAnsi="Palatino Linotype"/>
          <w:i/>
          <w:iCs/>
        </w:rPr>
        <w:t>AB</w:t>
      </w:r>
      <w:r w:rsidRPr="00EE1F7D">
        <w:rPr>
          <w:rFonts w:ascii="Palatino Linotype" w:hAnsi="Palatino Linotype"/>
        </w:rPr>
        <w:t xml:space="preserve"> is limited to unloaded background (white triangles) which explains the difference between the </w:t>
      </w:r>
      <w:r w:rsidRPr="00EE1F7D">
        <w:rPr>
          <w:rFonts w:ascii="Palatino Linotype" w:hAnsi="Palatino Linotype"/>
        </w:rPr>
        <w:lastRenderedPageBreak/>
        <w:t xml:space="preserve">analytical approximations and the simulation results in </w:t>
      </w:r>
      <w:r w:rsidR="00636BF6">
        <w:rPr>
          <w:rFonts w:ascii="Palatino Linotype" w:hAnsi="Palatino Linotype"/>
        </w:rPr>
        <w:t>Figure 2</w:t>
      </w:r>
      <w:r w:rsidRPr="00EE1F7D">
        <w:rPr>
          <w:rFonts w:ascii="Palatino Linotype" w:hAnsi="Palatino Linotype"/>
        </w:rPr>
        <w:t xml:space="preserve">. The parameters are the same as in </w:t>
      </w:r>
      <w:r w:rsidR="00636BF6">
        <w:rPr>
          <w:rFonts w:ascii="Palatino Linotype" w:hAnsi="Palatino Linotype"/>
        </w:rPr>
        <w:t>Figure 2.</w:t>
      </w:r>
    </w:p>
    <w:p w:rsidR="009F7186" w:rsidRPr="00EE1F7D" w:rsidRDefault="009F7186" w:rsidP="009F7186">
      <w:pPr>
        <w:spacing w:line="480" w:lineRule="auto"/>
        <w:jc w:val="center"/>
        <w:rPr>
          <w:rFonts w:ascii="Palatino Linotype" w:hAnsi="Palatino Linotype"/>
          <w:noProof/>
        </w:rPr>
      </w:pPr>
      <w:r w:rsidRPr="00EE1F7D">
        <w:rPr>
          <w:rFonts w:ascii="Palatino Linotype" w:hAnsi="Palatino Linotype"/>
          <w:noProof/>
        </w:rPr>
        <w:drawing>
          <wp:inline distT="0" distB="0" distL="0" distR="0" wp14:anchorId="5145AEAC" wp14:editId="794AE335">
            <wp:extent cx="2880000" cy="2468423"/>
            <wp:effectExtent l="0" t="0" r="0" b="8255"/>
            <wp:docPr id="2" name="Picture 2" descr="D:\workspace\ruggedsim\manuscript\fixation_regression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fixation_regression_s_0.05_logN_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468423"/>
                    </a:xfrm>
                    <a:prstGeom prst="rect">
                      <a:avLst/>
                    </a:prstGeom>
                    <a:noFill/>
                    <a:ln>
                      <a:noFill/>
                    </a:ln>
                  </pic:spPr>
                </pic:pic>
              </a:graphicData>
            </a:graphic>
          </wp:inline>
        </w:drawing>
      </w:r>
    </w:p>
    <w:p w:rsidR="00787111" w:rsidRDefault="00787111" w:rsidP="00940E9C">
      <w:pPr>
        <w:spacing w:line="480" w:lineRule="auto"/>
        <w:rPr>
          <w:rFonts w:ascii="Palatino Linotype" w:hAnsi="Palatino Linotype"/>
        </w:rPr>
      </w:pPr>
      <w:r w:rsidRPr="00EE1F7D">
        <w:rPr>
          <w:rFonts w:ascii="Palatino Linotype" w:hAnsi="Palatino Linotype"/>
          <w:noProof/>
        </w:rPr>
        <w:t xml:space="preserve"> </w:t>
      </w:r>
      <w:bookmarkStart w:id="1" w:name="_Ref360562760"/>
      <w:r w:rsidRPr="00EE1F7D">
        <w:rPr>
          <w:rFonts w:ascii="Palatino Linotype" w:hAnsi="Palatino Linotype"/>
          <w:b/>
          <w:bCs/>
        </w:rPr>
        <w:t>Figure S</w:t>
      </w:r>
      <w:bookmarkEnd w:id="1"/>
      <w:r w:rsidRPr="00EE1F7D">
        <w:rPr>
          <w:rFonts w:ascii="Palatino Linotype" w:hAnsi="Palatino Linotype"/>
          <w:b/>
          <w:bCs/>
        </w:rPr>
        <w:t>2 – Fixation probability</w:t>
      </w:r>
      <w:r w:rsidRPr="00EE1F7D">
        <w:rPr>
          <w:rFonts w:ascii="Palatino Linotype" w:hAnsi="Palatino Linotype"/>
        </w:rPr>
        <w:t xml:space="preserve"> </w:t>
      </w:r>
      <w:r w:rsidRPr="00EE1F7D">
        <w:rPr>
          <w:rFonts w:ascii="Palatino Linotype" w:hAnsi="Palatino Linotype"/>
          <w:b/>
          <w:bCs/>
        </w:rPr>
        <w:t xml:space="preserve">of the double mutant </w:t>
      </w:r>
      <w:r w:rsidRPr="00EE1F7D">
        <w:rPr>
          <w:rFonts w:ascii="Palatino Linotype" w:hAnsi="Palatino Linotype"/>
          <w:b/>
          <w:bCs/>
          <w:i/>
          <w:iCs/>
        </w:rPr>
        <w:t>AB</w:t>
      </w:r>
      <w:r w:rsidRPr="00EE1F7D">
        <w:rPr>
          <w:rFonts w:ascii="Palatino Linotype" w:hAnsi="Palatino Linotype"/>
        </w:rPr>
        <w:t xml:space="preserve"> as a function of the mutation rate fold increase </w:t>
      </w:r>
      <w:r w:rsidRPr="00EE1F7D">
        <w:rPr>
          <w:rFonts w:ascii="Palatino Linotype" w:hAnsi="Palatino Linotype"/>
          <w:i/>
          <w:iCs/>
        </w:rPr>
        <w:t>τ</w:t>
      </w:r>
      <w:r w:rsidRPr="00EE1F7D">
        <w:rPr>
          <w:rFonts w:ascii="Palatino Linotype" w:hAnsi="Palatino Linotype"/>
        </w:rPr>
        <w:t xml:space="preserve"> with three mutational strategies: constitutive mutagenesis (CM; top panels in red), stress-induced mutagenesis (SIM; middle panels in blue) and stress-induced mutagenesis with environmental stress (</w:t>
      </w:r>
      <w:proofErr w:type="spellStart"/>
      <w:r w:rsidRPr="00EE1F7D">
        <w:rPr>
          <w:rFonts w:ascii="Palatino Linotype" w:hAnsi="Palatino Linotype"/>
        </w:rPr>
        <w:t>SIM</w:t>
      </w:r>
      <w:r w:rsidRPr="00EE1F7D">
        <w:rPr>
          <w:rFonts w:ascii="Palatino Linotype" w:hAnsi="Palatino Linotype"/>
          <w:vertAlign w:val="subscript"/>
        </w:rPr>
        <w:t>e</w:t>
      </w:r>
      <w:proofErr w:type="spellEnd"/>
      <w:r w:rsidRPr="00EE1F7D">
        <w:rPr>
          <w:rFonts w:ascii="Palatino Linotype" w:hAnsi="Palatino Linotype"/>
        </w:rPr>
        <w:t>; bottom panels in green). Dashed lines are the analytic approximations; black error bars represe</w:t>
      </w:r>
      <w:r w:rsidR="009A5F9E">
        <w:rPr>
          <w:rFonts w:ascii="Palatino Linotype" w:hAnsi="Palatino Linotype"/>
        </w:rPr>
        <w:t>nt simulation results with 95% confidence interval of the mean</w:t>
      </w:r>
      <w:r w:rsidRPr="00EE1F7D">
        <w:rPr>
          <w:rFonts w:ascii="Palatino Linotype" w:hAnsi="Palatino Linotype"/>
        </w:rPr>
        <w:t xml:space="preserve"> (</w:t>
      </w:r>
      <w:r w:rsidR="009A5F9E" w:rsidRPr="009A5F9E">
        <w:rPr>
          <w:rFonts w:ascii="Palatino Linotype" w:hAnsi="Palatino Linotype"/>
        </w:rPr>
        <w:t>at least 1,000 replicates per point; computed with bootstrap with 1,000 samples per point</w:t>
      </w:r>
      <w:r w:rsidRPr="00EE1F7D">
        <w:rPr>
          <w:rFonts w:ascii="Palatino Linotype" w:hAnsi="Palatino Linotype"/>
        </w:rPr>
        <w:t xml:space="preserve">); solid lines are the logistic regression lines computed from the simulation results. The three left panels are results of the standard simulations (described in the </w:t>
      </w:r>
      <w:r w:rsidRPr="00EE1F7D">
        <w:rPr>
          <w:rFonts w:ascii="Palatino Linotype" w:hAnsi="Palatino Linotype"/>
        </w:rPr>
        <w:fldChar w:fldCharType="begin"/>
      </w:r>
      <w:r w:rsidRPr="00EE1F7D">
        <w:rPr>
          <w:rFonts w:ascii="Palatino Linotype" w:hAnsi="Palatino Linotype"/>
        </w:rPr>
        <w:instrText xml:space="preserve"> REF _Ref361735010 \r \h  \* MERGEFORMAT </w:instrText>
      </w:r>
      <w:r w:rsidRPr="00EE1F7D">
        <w:rPr>
          <w:rFonts w:ascii="Palatino Linotype" w:hAnsi="Palatino Linotype"/>
        </w:rPr>
      </w:r>
      <w:r w:rsidRPr="00EE1F7D">
        <w:rPr>
          <w:rFonts w:ascii="Palatino Linotype" w:hAnsi="Palatino Linotype"/>
        </w:rPr>
        <w:fldChar w:fldCharType="end"/>
      </w:r>
      <w:r w:rsidRPr="00EE1F7D">
        <w:rPr>
          <w:rFonts w:ascii="Palatino Linotype" w:hAnsi="Palatino Linotype"/>
        </w:rPr>
        <w:fldChar w:fldCharType="begin"/>
      </w:r>
      <w:r w:rsidRPr="00EE1F7D">
        <w:rPr>
          <w:rFonts w:ascii="Palatino Linotype" w:hAnsi="Palatino Linotype"/>
        </w:rPr>
        <w:instrText xml:space="preserve"> REF _Ref361735010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lang w:bidi="hi-IN"/>
        </w:rPr>
        <w:t>Model</w:t>
      </w:r>
      <w:r w:rsidRPr="00EE1F7D">
        <w:rPr>
          <w:rFonts w:ascii="Palatino Linotype" w:hAnsi="Palatino Linotype"/>
        </w:rPr>
        <w:fldChar w:fldCharType="end"/>
      </w:r>
      <w:r w:rsidRPr="00EE1F7D">
        <w:rPr>
          <w:rFonts w:ascii="Palatino Linotype" w:hAnsi="Palatino Linotype"/>
        </w:rPr>
        <w:t xml:space="preserve"> section). The three right panels are results of simulations in which </w:t>
      </w:r>
      <w:r w:rsidRPr="00EE1F7D">
        <w:rPr>
          <w:rFonts w:ascii="Palatino Linotype" w:hAnsi="Palatino Linotype"/>
          <w:i/>
          <w:iCs/>
        </w:rPr>
        <w:t>AB</w:t>
      </w:r>
      <w:r w:rsidRPr="00EE1F7D">
        <w:rPr>
          <w:rFonts w:ascii="Palatino Linotype" w:hAnsi="Palatino Linotype"/>
        </w:rPr>
        <w:t xml:space="preserve"> could not appear on a deleterious background. If </w:t>
      </w:r>
      <w:r w:rsidRPr="00EE1F7D">
        <w:rPr>
          <w:rFonts w:ascii="Palatino Linotype" w:hAnsi="Palatino Linotype"/>
          <w:i/>
          <w:iCs/>
        </w:rPr>
        <w:t>AB</w:t>
      </w:r>
      <w:r w:rsidRPr="00EE1F7D">
        <w:rPr>
          <w:rFonts w:ascii="Palatino Linotype" w:hAnsi="Palatino Linotype"/>
        </w:rPr>
        <w:t xml:space="preserve"> cannot appear on a deleterious background (right panels) than the differences between the simulation results and our </w:t>
      </w:r>
      <w:r w:rsidRPr="00EE1F7D">
        <w:rPr>
          <w:rFonts w:ascii="Palatino Linotype" w:hAnsi="Palatino Linotype"/>
        </w:rPr>
        <w:lastRenderedPageBreak/>
        <w:t xml:space="preserve">analytic approximations are not statistically significant (compare solid and dashed lines; P&lt;0.001). However, if </w:t>
      </w:r>
      <w:r w:rsidRPr="00EE1F7D">
        <w:rPr>
          <w:rFonts w:ascii="Palatino Linotype" w:hAnsi="Palatino Linotype"/>
          <w:i/>
          <w:iCs/>
        </w:rPr>
        <w:t xml:space="preserve">AB </w:t>
      </w:r>
      <w:r w:rsidRPr="00EE1F7D">
        <w:rPr>
          <w:rFonts w:ascii="Palatino Linotype" w:hAnsi="Palatino Linotype"/>
        </w:rPr>
        <w:t>can appear on a deleterious background (left panels) then its fixation probability is lower</w:t>
      </w:r>
      <w:proofErr w:type="gramStart"/>
      <w:r w:rsidR="00940E9C">
        <w:rPr>
          <w:rFonts w:ascii="Palatino Linotype" w:hAnsi="Palatino Linotype"/>
        </w:rPr>
        <w:t xml:space="preserve">: </w:t>
      </w:r>
      <w:proofErr w:type="gramEnd"/>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hAnsi="Cambria Math"/>
          </w:rPr>
          <m:t>=ρ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1-s</m:t>
                    </m:r>
                  </m:e>
                </m:d>
              </m:den>
            </m:f>
          </m:e>
        </m:d>
        <m:r>
          <w:rPr>
            <w:rFonts w:ascii="Cambria Math" w:hAnsi="Cambria Math"/>
          </w:rPr>
          <m:t>&lt;ρ</m:t>
        </m:r>
      </m:oMath>
      <w:r w:rsidRPr="00EE1F7D">
        <w:rPr>
          <w:rFonts w:ascii="Palatino Linotype" w:hAnsi="Palatino Linotype"/>
        </w:rPr>
        <w:t xml:space="preserve">. In addition, the figure shows that </w:t>
      </w:r>
      <w:proofErr w:type="spellStart"/>
      <w:r w:rsidRPr="00EE1F7D">
        <w:rPr>
          <w:rFonts w:ascii="Palatino Linotype" w:hAnsi="Palatino Linotype"/>
        </w:rPr>
        <w:t>SIM</w:t>
      </w:r>
      <w:r w:rsidRPr="00940E9C">
        <w:rPr>
          <w:rFonts w:ascii="Palatino Linotype" w:hAnsi="Palatino Linotype"/>
          <w:vertAlign w:val="subscript"/>
        </w:rPr>
        <w:t>e</w:t>
      </w:r>
      <w:proofErr w:type="spellEnd"/>
      <w:r w:rsidRPr="00940E9C">
        <w:rPr>
          <w:rFonts w:ascii="Palatino Linotype" w:hAnsi="Palatino Linotype"/>
          <w:vertAlign w:val="subscript"/>
        </w:rPr>
        <w:softHyphen/>
      </w:r>
      <w:r w:rsidR="00940E9C">
        <w:rPr>
          <w:rFonts w:ascii="Palatino Linotype" w:hAnsi="Palatino Linotype"/>
          <w:vertAlign w:val="subscript"/>
        </w:rPr>
        <w:t xml:space="preserve"> </w:t>
      </w:r>
      <w:r w:rsidRPr="00EE1F7D">
        <w:rPr>
          <w:rFonts w:ascii="Palatino Linotype" w:hAnsi="Palatino Linotype"/>
        </w:rPr>
        <w:t>has a higher fixation probability than CM and SIM. The parameters are the same as in</w:t>
      </w:r>
      <w:r w:rsidR="00940E9C">
        <w:rPr>
          <w:rFonts w:ascii="Palatino Linotype" w:hAnsi="Palatino Linotype"/>
        </w:rPr>
        <w:t xml:space="preserve"> Figure 2</w:t>
      </w:r>
      <w:r w:rsidRPr="00EE1F7D">
        <w:rPr>
          <w:rFonts w:ascii="Palatino Linotype" w:hAnsi="Palatino Linotype"/>
        </w:rPr>
        <w:t>.</w:t>
      </w:r>
      <w:r w:rsidR="00FD74CB">
        <w:rPr>
          <w:rFonts w:ascii="Palatino Linotype" w:hAnsi="Palatino Linotype"/>
        </w:rPr>
        <w:t xml:space="preserve"> </w:t>
      </w:r>
    </w:p>
    <w:p w:rsidR="002B7010" w:rsidRDefault="00FF3F6A" w:rsidP="002B7010">
      <w:pPr>
        <w:spacing w:line="480" w:lineRule="auto"/>
        <w:jc w:val="center"/>
        <w:rPr>
          <w:rFonts w:ascii="Palatino Linotype" w:hAnsi="Palatino Linotype"/>
        </w:rPr>
      </w:pPr>
      <w:r>
        <w:rPr>
          <w:rFonts w:ascii="Palatino Linotype" w:hAnsi="Palatino Linotype"/>
          <w:noProof/>
        </w:rPr>
        <w:drawing>
          <wp:inline distT="0" distB="0" distL="0" distR="0">
            <wp:extent cx="2880000" cy="2336400"/>
            <wp:effectExtent l="0" t="0" r="0" b="6985"/>
            <wp:docPr id="5" name="Picture 5"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336400"/>
                    </a:xfrm>
                    <a:prstGeom prst="rect">
                      <a:avLst/>
                    </a:prstGeom>
                    <a:noFill/>
                    <a:ln>
                      <a:noFill/>
                    </a:ln>
                  </pic:spPr>
                </pic:pic>
              </a:graphicData>
            </a:graphic>
          </wp:inline>
        </w:drawing>
      </w:r>
    </w:p>
    <w:p w:rsidR="002B7010" w:rsidRPr="00EE1F7D" w:rsidRDefault="002B7010" w:rsidP="002B7010">
      <w:pPr>
        <w:spacing w:line="480" w:lineRule="auto"/>
        <w:rPr>
          <w:rFonts w:ascii="Palatino Linotype" w:hAnsi="Palatino Linotype"/>
        </w:rPr>
      </w:pPr>
      <w:r>
        <w:rPr>
          <w:rFonts w:ascii="Palatino Linotype" w:hAnsi="Palatino Linotype"/>
          <w:b/>
          <w:bCs/>
        </w:rPr>
        <w:t>Figure S3 – Different SIM functions.</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Mean fitness at the mutation-selection balance</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2C17B4">
            <w:pPr>
              <w:spacing w:line="480" w:lineRule="auto"/>
              <w:rPr>
                <w:rFonts w:ascii="Palatino Linotype" w:eastAsiaTheme="minorEastAsia" w:hAnsi="Palatino Linotype"/>
                <w:lang w:bidi="hi-IN"/>
              </w:rPr>
            </w:pPr>
          </w:p>
        </w:tc>
        <w:tc>
          <w:tcPr>
            <w:tcW w:w="2843" w:type="dxa"/>
          </w:tcPr>
          <w:p w:rsidR="00787111" w:rsidRPr="00EE1F7D" w:rsidRDefault="00FB304A" w:rsidP="002C17B4">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2C17B4">
            <w:pPr>
              <w:spacing w:line="480" w:lineRule="auto"/>
              <w:jc w:val="right"/>
              <w:rPr>
                <w:rFonts w:ascii="Palatino Linotype" w:eastAsiaTheme="minorEastAsia" w:hAnsi="Palatino Linotype"/>
                <w:lang w:bidi="hi-IN"/>
              </w:rPr>
            </w:pPr>
          </w:p>
        </w:tc>
      </w:tr>
    </w:tbl>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proofErr w:type="spellStart"/>
      <w:r w:rsidRPr="00EE1F7D">
        <w:rPr>
          <w:rFonts w:ascii="Palatino Linotype" w:hAnsi="Palatino Linotype"/>
          <w:i/>
          <w:iCs/>
        </w:rPr>
        <w:t>ω</w:t>
      </w:r>
      <w:r w:rsidRPr="00EE1F7D">
        <w:rPr>
          <w:rFonts w:ascii="Palatino Linotype" w:hAnsi="Palatino Linotype"/>
          <w:i/>
          <w:iCs/>
          <w:vertAlign w:val="subscript"/>
        </w:rPr>
        <w:t>y</w:t>
      </w:r>
      <w:proofErr w:type="spellEnd"/>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w:t>
      </w:r>
      <w:r w:rsidRPr="00EE1F7D">
        <w:rPr>
          <w:rFonts w:ascii="Palatino Linotype" w:hAnsi="Palatino Linotype"/>
          <w:lang w:bidi="hi-IN"/>
        </w:rPr>
        <w:lastRenderedPageBreak/>
        <w:t xml:space="preserve">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FB304A" w:rsidP="00787111">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FB304A"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EE1F7D">
        <w:rPr>
          <w:rFonts w:ascii="Palatino Linotype" w:hAnsi="Palatino Linotype"/>
          <w:i/>
          <w:iCs/>
          <w:vertAlign w:val="subscript"/>
        </w:rPr>
        <w:t>x</w:t>
      </w:r>
      <w:proofErr w:type="spellEnd"/>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proofErr w:type="spellStart"/>
      <w:r w:rsidRPr="00EE1F7D">
        <w:rPr>
          <w:rFonts w:ascii="Palatino Linotype" w:hAnsi="Palatino Linotype"/>
          <w:i/>
          <w:iCs/>
        </w:rPr>
        <w:t>U</w:t>
      </w:r>
      <w:r w:rsidRPr="00EE1F7D">
        <w:rPr>
          <w:rFonts w:ascii="Palatino Linotype" w:hAnsi="Palatino Linotype"/>
          <w:i/>
          <w:iCs/>
          <w:vertAlign w:val="subscript"/>
        </w:rPr>
        <w:t>x</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FB304A" w:rsidP="00787111">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FB304A" w:rsidP="00787111">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D84EDB">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FB304A"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D84EDB">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was demonstrated by Agrawal </w:t>
      </w:r>
      <w:r w:rsidRPr="00EE1F7D">
        <w:rPr>
          <w:rFonts w:ascii="Palatino Linotype" w:hAnsi="Palatino Linotype"/>
        </w:rPr>
        <w:fldChar w:fldCharType="begin" w:fldLock="1"/>
      </w:r>
      <w:r w:rsidR="00D84EDB">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D84EDB">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787111">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940E9C">
      <w:pPr>
        <w:spacing w:line="48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00940E9C">
        <w:rPr>
          <w:rFonts w:ascii="Palatino Linotype" w:hAnsi="Palatino Linotype"/>
        </w:rPr>
        <w:t>Figure 3</w:t>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w:t>
      </w:r>
      <w:r w:rsidRPr="00EE1F7D">
        <w:rPr>
          <w:rFonts w:ascii="Palatino Linotype" w:hAnsi="Palatino Linotype"/>
        </w:rPr>
        <w:lastRenderedPageBreak/>
        <w:t xml:space="preserve">mean fitness (because </w:t>
      </w:r>
      <w:r w:rsidRPr="00EE1F7D">
        <w:rPr>
          <w:rFonts w:ascii="Palatino Linotype" w:hAnsi="Palatino Linotype"/>
          <w:i/>
          <w:iCs/>
        </w:rPr>
        <w:t>β</w:t>
      </w:r>
      <w:r w:rsidRPr="00EE1F7D">
        <w:rPr>
          <w:rFonts w:ascii="Palatino Linotype" w:hAnsi="Palatino Linotype"/>
        </w:rPr>
        <w:t>&lt;&lt;1), but SIM can increase the population mean fitness with respect to NM - a sufficient condition is that the mutation rate of individuals with below average fitness is increased</w:t>
      </w:r>
      <w:r w:rsidR="00940E9C">
        <w:rPr>
          <w:rFonts w:ascii="Palatino Linotype" w:hAnsi="Palatino Linotype"/>
        </w:rPr>
        <w:t xml:space="preserve"> </w:t>
      </w:r>
      <w:r w:rsidR="00940E9C">
        <w:rPr>
          <w:rFonts w:ascii="Palatino Linotype" w:hAnsi="Palatino Linotype"/>
        </w:rPr>
        <w:fldChar w:fldCharType="begin" w:fldLock="1"/>
      </w:r>
      <w:r w:rsidR="00D84EDB">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40E9C">
        <w:rPr>
          <w:rFonts w:ascii="Palatino Linotype" w:hAnsi="Palatino Linotype"/>
        </w:rPr>
        <w:fldChar w:fldCharType="separate"/>
      </w:r>
      <w:r w:rsidR="00D84EDB" w:rsidRPr="00D84EDB">
        <w:rPr>
          <w:rFonts w:ascii="Palatino Linotype" w:hAnsi="Palatino Linotype"/>
          <w:noProof/>
        </w:rPr>
        <w:t>(Ram and Hadany 2012)</w:t>
      </w:r>
      <w:r w:rsidR="00940E9C">
        <w:rPr>
          <w:rFonts w:ascii="Palatino Linotype" w:hAnsi="Palatino Linotype"/>
        </w:rPr>
        <w:fldChar w:fldCharType="end"/>
      </w:r>
      <w:r w:rsidRPr="00EE1F7D">
        <w:rPr>
          <w:rFonts w:ascii="Palatino Linotype" w:hAnsi="Palatino Linotype"/>
        </w:rPr>
        <w:t xml:space="preserve">. 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 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787111" w:rsidRPr="00EE1F7D" w:rsidRDefault="00787111" w:rsidP="00EE1F7D">
      <w:pPr>
        <w:pStyle w:val="Heading1"/>
        <w:numPr>
          <w:ilvl w:val="0"/>
          <w:numId w:val="4"/>
        </w:numPr>
        <w:rPr>
          <w:rFonts w:ascii="Palatino Linotype" w:eastAsiaTheme="minorEastAsia" w:hAnsi="Palatino Linotype"/>
        </w:rPr>
      </w:pPr>
      <w:r w:rsidRPr="00EE1F7D">
        <w:rPr>
          <w:rFonts w:ascii="Palatino Linotype" w:eastAsiaTheme="minorEastAsia" w:hAnsi="Palatino Linotype"/>
        </w:rPr>
        <w:t xml:space="preserve">Figure reproduction </w:t>
      </w:r>
    </w:p>
    <w:p w:rsidR="00787111" w:rsidRPr="00EE1F7D" w:rsidRDefault="005601F8" w:rsidP="003453E8">
      <w:pPr>
        <w:spacing w:line="480" w:lineRule="auto"/>
        <w:rPr>
          <w:rFonts w:ascii="Palatino Linotype" w:hAnsi="Palatino Linotype"/>
          <w:lang w:bidi="hi-IN"/>
        </w:rPr>
      </w:pPr>
      <w:r>
        <w:rPr>
          <w:rFonts w:ascii="Palatino Linotype" w:hAnsi="Palatino Linotype"/>
          <w:lang w:bidi="hi-IN"/>
        </w:rPr>
        <w:t xml:space="preserve">All </w:t>
      </w:r>
      <w:r w:rsidR="00787111" w:rsidRPr="00EE1F7D">
        <w:rPr>
          <w:rFonts w:ascii="Palatino Linotype" w:hAnsi="Palatino Linotype"/>
          <w:lang w:bidi="hi-IN"/>
        </w:rPr>
        <w:t xml:space="preserve">figures were produced using an </w:t>
      </w:r>
      <w:proofErr w:type="spellStart"/>
      <w:r w:rsidR="00787111" w:rsidRPr="00EE1F7D">
        <w:rPr>
          <w:rFonts w:ascii="Palatino Linotype" w:hAnsi="Palatino Linotype"/>
          <w:lang w:bidi="hi-IN"/>
        </w:rPr>
        <w:t>IPython</w:t>
      </w:r>
      <w:proofErr w:type="spellEnd"/>
      <w:r w:rsidR="00787111" w:rsidRPr="00EE1F7D">
        <w:rPr>
          <w:rFonts w:ascii="Palatino Linotype" w:hAnsi="Palatino Linotype"/>
          <w:lang w:bidi="hi-IN"/>
        </w:rPr>
        <w:t xml:space="preserve"> Notebook (</w:t>
      </w:r>
      <w:hyperlink r:id="rId12" w:history="1">
        <w:r w:rsidR="00787111" w:rsidRPr="00EE1F7D">
          <w:rPr>
            <w:rStyle w:val="Hyperlink"/>
            <w:rFonts w:ascii="Palatino Linotype" w:hAnsi="Palatino Linotype"/>
            <w:lang w:bidi="hi-IN"/>
          </w:rPr>
          <w:t>http://ipython.org/</w:t>
        </w:r>
      </w:hyperlink>
      <w:r w:rsidR="00FC74AC">
        <w:rPr>
          <w:rFonts w:ascii="Palatino Linotype" w:hAnsi="Palatino Linotype"/>
          <w:lang w:bidi="hi-IN"/>
        </w:rPr>
        <w:t>)</w:t>
      </w:r>
      <w:r w:rsidR="00787111" w:rsidRPr="00EE1F7D">
        <w:rPr>
          <w:rFonts w:ascii="Palatino Linotype" w:hAnsi="Palatino Linotype"/>
          <w:lang w:bidi="hi-IN"/>
        </w:rPr>
        <w:t xml:space="preserve">. The notebook </w:t>
      </w:r>
      <w:r>
        <w:rPr>
          <w:rFonts w:ascii="Palatino Linotype" w:hAnsi="Palatino Linotype"/>
          <w:lang w:bidi="hi-IN"/>
        </w:rPr>
        <w:t>includes</w:t>
      </w:r>
      <w:r w:rsidR="00787111" w:rsidRPr="00EE1F7D">
        <w:rPr>
          <w:rFonts w:ascii="Palatino Linotype" w:hAnsi="Palatino Linotype"/>
          <w:lang w:bidi="hi-IN"/>
        </w:rPr>
        <w:t xml:space="preserve"> the analytical approximations as Python functions and </w:t>
      </w:r>
      <w:r>
        <w:rPr>
          <w:rFonts w:ascii="Palatino Linotype" w:hAnsi="Palatino Linotype"/>
          <w:lang w:bidi="hi-IN"/>
        </w:rPr>
        <w:t xml:space="preserve">uses </w:t>
      </w:r>
      <w:r w:rsidR="00787111" w:rsidRPr="00EE1F7D">
        <w:rPr>
          <w:rFonts w:ascii="Palatino Linotype" w:hAnsi="Palatino Linotype"/>
          <w:lang w:bidi="hi-IN"/>
        </w:rPr>
        <w:t>the simulation raw data</w:t>
      </w:r>
      <w:r w:rsidR="00FC74AC">
        <w:rPr>
          <w:rFonts w:ascii="Palatino Linotype" w:hAnsi="Palatino Linotype"/>
          <w:lang w:bidi="hi-IN"/>
        </w:rPr>
        <w:t xml:space="preserve"> which</w:t>
      </w:r>
      <w:r w:rsidR="00FC74AC" w:rsidRPr="00EE1F7D">
        <w:rPr>
          <w:rFonts w:ascii="Palatino Linotype" w:hAnsi="Palatino Linotype"/>
          <w:lang w:bidi="hi-IN"/>
        </w:rPr>
        <w:t xml:space="preserve"> is necessary for </w:t>
      </w:r>
      <w:r w:rsidR="00940E9C">
        <w:rPr>
          <w:rFonts w:ascii="Palatino Linotype" w:hAnsi="Palatino Linotype"/>
          <w:lang w:bidi="hi-IN"/>
        </w:rPr>
        <w:t>Figure</w:t>
      </w:r>
      <w:r w:rsidR="003453E8">
        <w:rPr>
          <w:rFonts w:ascii="Palatino Linotype" w:hAnsi="Palatino Linotype"/>
          <w:lang w:bidi="hi-IN"/>
        </w:rPr>
        <w:t>s</w:t>
      </w:r>
      <w:r w:rsidR="00940E9C">
        <w:rPr>
          <w:rFonts w:ascii="Palatino Linotype" w:hAnsi="Palatino Linotype"/>
          <w:lang w:bidi="hi-IN"/>
        </w:rPr>
        <w:t xml:space="preserve"> 2</w:t>
      </w:r>
      <w:r w:rsidR="00FC74AC" w:rsidRPr="00EE1F7D">
        <w:rPr>
          <w:rFonts w:ascii="Palatino Linotype" w:hAnsi="Palatino Linotype"/>
          <w:lang w:bidi="hi-IN"/>
        </w:rPr>
        <w:t xml:space="preserve">, </w:t>
      </w:r>
      <w:r w:rsidR="003453E8">
        <w:rPr>
          <w:rFonts w:ascii="Palatino Linotype" w:hAnsi="Palatino Linotype"/>
          <w:lang w:bidi="hi-IN"/>
        </w:rPr>
        <w:t>5</w:t>
      </w:r>
      <w:r w:rsidR="00940E9C">
        <w:rPr>
          <w:rFonts w:ascii="Palatino Linotype" w:hAnsi="Palatino Linotype"/>
          <w:lang w:bidi="hi-IN"/>
        </w:rPr>
        <w:t>, S1, and S2</w:t>
      </w:r>
      <w:r w:rsidR="00FC74AC">
        <w:rPr>
          <w:rFonts w:ascii="Palatino Linotype" w:hAnsi="Palatino Linotype"/>
          <w:lang w:bidi="hi-IN"/>
        </w:rPr>
        <w:t xml:space="preserve">. The notebook and the data </w:t>
      </w:r>
      <w:r w:rsidR="00427456">
        <w:rPr>
          <w:rFonts w:ascii="Palatino Linotype" w:hAnsi="Palatino Linotype"/>
          <w:lang w:bidi="hi-IN"/>
        </w:rPr>
        <w:t>will be</w:t>
      </w:r>
      <w:r w:rsidR="00FC74AC">
        <w:rPr>
          <w:rFonts w:ascii="Palatino Linotype" w:hAnsi="Palatino Linotype"/>
          <w:lang w:bidi="hi-IN"/>
        </w:rPr>
        <w:t xml:space="preserve"> </w:t>
      </w:r>
      <w:r w:rsidR="00787111" w:rsidRPr="00EE1F7D">
        <w:rPr>
          <w:rFonts w:ascii="Palatino Linotype" w:hAnsi="Palatino Linotype"/>
          <w:lang w:bidi="hi-IN"/>
        </w:rPr>
        <w:t xml:space="preserve">deposited </w:t>
      </w:r>
      <w:r w:rsidR="00FC74AC">
        <w:rPr>
          <w:rFonts w:ascii="Palatino Linotype" w:hAnsi="Palatino Linotype"/>
          <w:lang w:bidi="hi-IN"/>
        </w:rPr>
        <w:t>on Dryad</w:t>
      </w:r>
      <w:r w:rsidR="00787111" w:rsidRPr="00EE1F7D">
        <w:rPr>
          <w:rFonts w:ascii="Palatino Linotype" w:hAnsi="Palatino Linotype"/>
          <w:lang w:bidi="hi-IN"/>
        </w:rPr>
        <w:t>.</w:t>
      </w:r>
    </w:p>
    <w:p w:rsidR="009F7186" w:rsidRPr="00EE1F7D" w:rsidRDefault="009F7186" w:rsidP="00EE1F7D">
      <w:pPr>
        <w:pStyle w:val="Heading1"/>
        <w:numPr>
          <w:ilvl w:val="0"/>
          <w:numId w:val="4"/>
        </w:numPr>
        <w:rPr>
          <w:rFonts w:ascii="Palatino Linotype" w:hAnsi="Palatino Linotype"/>
          <w:lang w:bidi="hi-IN"/>
        </w:rPr>
      </w:pPr>
      <w:r w:rsidRPr="00EE1F7D">
        <w:rPr>
          <w:rFonts w:ascii="Palatino Linotype" w:hAnsi="Palatino Linotype"/>
          <w:lang w:bidi="hi-IN"/>
        </w:rPr>
        <w:t>References</w:t>
      </w:r>
    </w:p>
    <w:p w:rsidR="00D84EDB" w:rsidRPr="00D84EDB" w:rsidRDefault="009F7186">
      <w:pPr>
        <w:pStyle w:val="NormalWeb"/>
        <w:divId w:val="340670201"/>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bookmarkStart w:id="2" w:name="_GoBack"/>
      <w:bookmarkEnd w:id="2"/>
      <w:r w:rsidR="00D84EDB" w:rsidRPr="00D84EDB">
        <w:rPr>
          <w:rFonts w:ascii="Palatino Linotype" w:hAnsi="Palatino Linotype"/>
          <w:noProof/>
          <w:sz w:val="22"/>
        </w:rPr>
        <w:t>Agrawal, A. F. 2002. Genetic loads under fitness-dependent mutation rates. J. Evol. Biol. 15:1004–1010.</w:t>
      </w:r>
    </w:p>
    <w:p w:rsidR="00D84EDB" w:rsidRPr="00D84EDB" w:rsidRDefault="00D84EDB">
      <w:pPr>
        <w:pStyle w:val="NormalWeb"/>
        <w:divId w:val="340670201"/>
        <w:rPr>
          <w:rFonts w:ascii="Palatino Linotype" w:hAnsi="Palatino Linotype"/>
          <w:noProof/>
          <w:sz w:val="22"/>
        </w:rPr>
      </w:pPr>
      <w:r w:rsidRPr="00D84EDB">
        <w:rPr>
          <w:rFonts w:ascii="Palatino Linotype" w:hAnsi="Palatino Linotype"/>
          <w:noProof/>
          <w:sz w:val="22"/>
        </w:rPr>
        <w:t>Haigh, J. 1978. The accumulation of deleterious genes in a population - Muller’s Ratchet. Theor. Popul. Biol. 14:251–267.</w:t>
      </w:r>
    </w:p>
    <w:p w:rsidR="00D84EDB" w:rsidRPr="00D84EDB" w:rsidRDefault="00D84EDB">
      <w:pPr>
        <w:pStyle w:val="NormalWeb"/>
        <w:divId w:val="340670201"/>
        <w:rPr>
          <w:rFonts w:ascii="Palatino Linotype" w:hAnsi="Palatino Linotype"/>
          <w:noProof/>
          <w:sz w:val="22"/>
        </w:rPr>
      </w:pPr>
      <w:r w:rsidRPr="00D84EDB">
        <w:rPr>
          <w:rFonts w:ascii="Palatino Linotype" w:hAnsi="Palatino Linotype"/>
          <w:noProof/>
          <w:sz w:val="22"/>
        </w:rPr>
        <w:t>Otto, S. P., and T. Day. 2007. A biologist’s guide to mathematical modeling in ecology and evolution. Princeton University Press.</w:t>
      </w:r>
    </w:p>
    <w:p w:rsidR="00D84EDB" w:rsidRPr="00D84EDB" w:rsidRDefault="00D84EDB">
      <w:pPr>
        <w:pStyle w:val="NormalWeb"/>
        <w:divId w:val="340670201"/>
        <w:rPr>
          <w:rFonts w:ascii="Palatino Linotype" w:hAnsi="Palatino Linotype"/>
          <w:noProof/>
          <w:sz w:val="22"/>
        </w:rPr>
      </w:pPr>
      <w:r w:rsidRPr="00D84EDB">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D84EDB">
      <w:pPr>
        <w:pStyle w:val="NormalWeb"/>
        <w:divId w:val="1067337635"/>
        <w:rPr>
          <w:rFonts w:ascii="Palatino Linotype" w:hAnsi="Palatino Linotype"/>
          <w:lang w:bidi="hi-IN"/>
        </w:rPr>
      </w:pPr>
      <w:r w:rsidRPr="00EE1F7D">
        <w:rPr>
          <w:rFonts w:ascii="Palatino Linotype" w:hAnsi="Palatino Linotype"/>
          <w:lang w:bidi="hi-IN"/>
        </w:rPr>
        <w:fldChar w:fldCharType="end"/>
      </w:r>
    </w:p>
    <w:sectPr w:rsidR="009F7186" w:rsidRPr="00EE1F7D" w:rsidSect="00753267">
      <w:footerReference w:type="default" r:id="rId13"/>
      <w:pgSz w:w="11906" w:h="16838"/>
      <w:pgMar w:top="1440" w:right="1797" w:bottom="1440" w:left="1797"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04A" w:rsidRDefault="00FB304A">
      <w:r>
        <w:separator/>
      </w:r>
    </w:p>
  </w:endnote>
  <w:endnote w:type="continuationSeparator" w:id="0">
    <w:p w:rsidR="00FB304A" w:rsidRDefault="00FB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D84EDB">
          <w:rPr>
            <w:noProof/>
          </w:rPr>
          <w:t>6</w:t>
        </w:r>
        <w:r>
          <w:rPr>
            <w:noProof/>
          </w:rPr>
          <w:fldChar w:fldCharType="end"/>
        </w:r>
      </w:p>
    </w:sdtContent>
  </w:sdt>
  <w:p w:rsidR="00531CC2" w:rsidRDefault="00FB3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04A" w:rsidRDefault="00FB304A">
      <w:r>
        <w:separator/>
      </w:r>
    </w:p>
  </w:footnote>
  <w:footnote w:type="continuationSeparator" w:id="0">
    <w:p w:rsidR="00FB304A" w:rsidRDefault="00FB30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F6994"/>
    <w:rsid w:val="001364E7"/>
    <w:rsid w:val="002B7010"/>
    <w:rsid w:val="002C0703"/>
    <w:rsid w:val="00313FB3"/>
    <w:rsid w:val="00322C2A"/>
    <w:rsid w:val="003453E8"/>
    <w:rsid w:val="0034554A"/>
    <w:rsid w:val="00427456"/>
    <w:rsid w:val="00501F2E"/>
    <w:rsid w:val="005601F8"/>
    <w:rsid w:val="00584A44"/>
    <w:rsid w:val="00636BF6"/>
    <w:rsid w:val="00760A38"/>
    <w:rsid w:val="00787111"/>
    <w:rsid w:val="00940E9C"/>
    <w:rsid w:val="009A5F9E"/>
    <w:rsid w:val="009F7186"/>
    <w:rsid w:val="00A169F4"/>
    <w:rsid w:val="00A32824"/>
    <w:rsid w:val="00AA429E"/>
    <w:rsid w:val="00AF0096"/>
    <w:rsid w:val="00D84B1B"/>
    <w:rsid w:val="00D84EDB"/>
    <w:rsid w:val="00E74C93"/>
    <w:rsid w:val="00EE1F7D"/>
    <w:rsid w:val="00EF001D"/>
    <w:rsid w:val="00F45058"/>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CDA7-756E-4E55-AAA8-4FD681B3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6</Pages>
  <Words>3243</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26</cp:revision>
  <dcterms:created xsi:type="dcterms:W3CDTF">2013-10-02T13:28:00Z</dcterms:created>
  <dcterms:modified xsi:type="dcterms:W3CDTF">2013-12-10T11:02:00Z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