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AF" w:rsidRDefault="00457ACF" w:rsidP="00002C4C">
      <w:pPr>
        <w:pStyle w:val="Title"/>
      </w:pPr>
      <w:r>
        <w:t>E</w:t>
      </w:r>
      <w:r w:rsidRPr="00457ACF">
        <w:t xml:space="preserve">lectronic </w:t>
      </w:r>
      <w:r>
        <w:t>S</w:t>
      </w:r>
      <w:r w:rsidRPr="00457ACF">
        <w:t xml:space="preserve">upplementary </w:t>
      </w:r>
      <w:r>
        <w:t>M</w:t>
      </w:r>
      <w:r w:rsidRPr="00457ACF">
        <w:t>aterial</w:t>
      </w:r>
      <w:r w:rsidR="00760A38" w:rsidRPr="00457ACF">
        <w:t xml:space="preserve"> for </w:t>
      </w:r>
    </w:p>
    <w:p w:rsidR="00760A38" w:rsidRPr="00457ACF" w:rsidRDefault="00760A38" w:rsidP="00002C4C">
      <w:pPr>
        <w:pStyle w:val="Title"/>
      </w:pPr>
      <w:r w:rsidRPr="00457ACF">
        <w:t>"</w:t>
      </w:r>
      <w:r w:rsidR="00002C4C" w:rsidRPr="00457ACF">
        <w:t xml:space="preserve">Stress-Induced Mutagenesis </w:t>
      </w:r>
      <w:r w:rsidR="00002C4C">
        <w:t xml:space="preserve">and </w:t>
      </w:r>
      <w:r w:rsidR="00D46380" w:rsidRPr="00457ACF">
        <w:t>Complex Adaptation</w:t>
      </w:r>
      <w:r w:rsidRPr="00457ACF">
        <w:t>"</w:t>
      </w:r>
    </w:p>
    <w:p w:rsidR="00760A38" w:rsidRDefault="00760A38" w:rsidP="00457ACF">
      <w:pPr>
        <w:pStyle w:val="Subtitle"/>
      </w:pPr>
      <w:proofErr w:type="spellStart"/>
      <w:r w:rsidRPr="00457ACF">
        <w:t>Yoav</w:t>
      </w:r>
      <w:proofErr w:type="spellEnd"/>
      <w:r w:rsidRPr="00457ACF">
        <w:t xml:space="preserve"> Ram and </w:t>
      </w:r>
      <w:proofErr w:type="spellStart"/>
      <w:r w:rsidRPr="00457ACF">
        <w:t>Lilach</w:t>
      </w:r>
      <w:proofErr w:type="spellEnd"/>
      <w:r w:rsidRPr="00457ACF">
        <w:t xml:space="preserve"> </w:t>
      </w:r>
      <w:proofErr w:type="spellStart"/>
      <w:r w:rsidRPr="00457ACF">
        <w:t>Hadany</w:t>
      </w:r>
      <w:proofErr w:type="spellEnd"/>
    </w:p>
    <w:p w:rsidR="00CF6D3C" w:rsidRPr="00CF6D3C" w:rsidRDefault="00CF6D3C" w:rsidP="00CF6D3C"/>
    <w:p w:rsidR="00A916BD" w:rsidRPr="00457ACF" w:rsidRDefault="00A916BD" w:rsidP="00457ACF">
      <w:pPr>
        <w:pStyle w:val="Heading1"/>
      </w:pPr>
      <w:r w:rsidRPr="00457ACF">
        <w:rPr>
          <w:rFonts w:eastAsiaTheme="minorEastAsia"/>
        </w:rPr>
        <w:t xml:space="preserve">Figure reproduction </w:t>
      </w:r>
    </w:p>
    <w:p w:rsidR="00B67008" w:rsidRDefault="00A916BD" w:rsidP="003531A6">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All </w:t>
      </w:r>
      <w:r w:rsidR="00B67008">
        <w:rPr>
          <w:rFonts w:ascii="Palatino Linotype" w:hAnsi="Palatino Linotype"/>
          <w:sz w:val="22"/>
          <w:szCs w:val="22"/>
          <w:lang w:bidi="hi-IN"/>
        </w:rPr>
        <w:t xml:space="preserve">the </w:t>
      </w:r>
      <w:r w:rsidRPr="00457ACF">
        <w:rPr>
          <w:rFonts w:ascii="Palatino Linotype" w:hAnsi="Palatino Linotype"/>
          <w:sz w:val="22"/>
          <w:szCs w:val="22"/>
          <w:lang w:bidi="hi-IN"/>
        </w:rPr>
        <w:t xml:space="preserve">figures were produced </w:t>
      </w:r>
      <w:r w:rsidR="00B67008">
        <w:rPr>
          <w:rFonts w:ascii="Palatino Linotype" w:hAnsi="Palatino Linotype"/>
          <w:sz w:val="22"/>
          <w:szCs w:val="22"/>
          <w:lang w:bidi="hi-IN"/>
        </w:rPr>
        <w:t xml:space="preserve">using </w:t>
      </w:r>
      <w:hyperlink r:id="rId9" w:history="1">
        <w:r w:rsidRPr="00245A98">
          <w:rPr>
            <w:rStyle w:val="Hyperlink"/>
            <w:rFonts w:ascii="Palatino Linotype" w:hAnsi="Palatino Linotype"/>
            <w:sz w:val="22"/>
            <w:szCs w:val="22"/>
            <w:lang w:bidi="hi-IN"/>
          </w:rPr>
          <w:t>Python</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"previouslyFormattedCitation" : "[1]"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[1]</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with the </w:t>
      </w:r>
      <w:hyperlink r:id="rId10" w:history="1">
        <w:proofErr w:type="spellStart"/>
        <w:r w:rsidR="00B67008" w:rsidRPr="00245A98">
          <w:rPr>
            <w:rStyle w:val="Hyperlink"/>
            <w:rFonts w:ascii="Palatino Linotype" w:hAnsi="Palatino Linotype"/>
            <w:sz w:val="22"/>
            <w:szCs w:val="22"/>
            <w:lang w:bidi="hi-IN"/>
          </w:rPr>
          <w:t>NumPy</w:t>
        </w:r>
        <w:proofErr w:type="spellEnd"/>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"previouslyFormattedCitation" : "[2]"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[2]</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1" w:history="1">
        <w:proofErr w:type="spellStart"/>
        <w:r w:rsidR="00B67008" w:rsidRPr="00245A98">
          <w:rPr>
            <w:rStyle w:val="Hyperlink"/>
            <w:rFonts w:ascii="Palatino Linotype" w:hAnsi="Palatino Linotype"/>
            <w:sz w:val="22"/>
            <w:szCs w:val="22"/>
            <w:lang w:bidi="hi-IN"/>
          </w:rPr>
          <w:t>SciPy</w:t>
        </w:r>
        <w:proofErr w:type="spellEnd"/>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"previouslyFormattedCitation" : "[3]"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[3]</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2" w:history="1">
        <w:proofErr w:type="spellStart"/>
        <w:r w:rsidR="00B67008" w:rsidRPr="00245A98">
          <w:rPr>
            <w:rStyle w:val="Hyperlink"/>
            <w:rFonts w:ascii="Palatino Linotype" w:hAnsi="Palatino Linotype"/>
            <w:sz w:val="22"/>
            <w:szCs w:val="22"/>
            <w:lang w:bidi="hi-IN"/>
          </w:rPr>
          <w:t>Matplotlib</w:t>
        </w:r>
        <w:proofErr w:type="spellEnd"/>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"previouslyFormattedCitation" : "[4]"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[4]</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3" w:history="1">
        <w:r w:rsidR="00B67008" w:rsidRPr="00245A98">
          <w:rPr>
            <w:rStyle w:val="Hyperlink"/>
            <w:rFonts w:ascii="Palatino Linotype" w:hAnsi="Palatino Linotype"/>
            <w:sz w:val="22"/>
            <w:szCs w:val="22"/>
            <w:lang w:bidi="hi-IN"/>
          </w:rPr>
          <w:t>Pandas</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"previouslyFormattedCitation" : "[5]"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[5]</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4" w:history="1">
        <w:proofErr w:type="spellStart"/>
        <w:r w:rsidR="00B67008" w:rsidRPr="00245A98">
          <w:rPr>
            <w:rStyle w:val="Hyperlink"/>
            <w:rFonts w:ascii="Palatino Linotype" w:hAnsi="Palatino Linotype"/>
            <w:sz w:val="22"/>
            <w:szCs w:val="22"/>
            <w:lang w:bidi="hi-IN"/>
          </w:rPr>
          <w:t>scikits</w:t>
        </w:r>
        <w:proofErr w:type="spellEnd"/>
        <w:r w:rsidR="00245A98" w:rsidRPr="00245A98">
          <w:rPr>
            <w:rStyle w:val="Hyperlink"/>
            <w:rFonts w:ascii="Palatino Linotype" w:hAnsi="Palatino Linotype"/>
            <w:sz w:val="22"/>
            <w:szCs w:val="22"/>
            <w:lang w:bidi="hi-IN"/>
          </w:rPr>
          <w:t>-bootstrap</w:t>
        </w:r>
      </w:hyperlink>
      <w:r w:rsidR="00B67008">
        <w:rPr>
          <w:rFonts w:ascii="Palatino Linotype" w:hAnsi="Palatino Linotype"/>
          <w:sz w:val="22"/>
          <w:szCs w:val="22"/>
          <w:lang w:bidi="hi-IN"/>
        </w:rPr>
        <w:t xml:space="preserve">, </w:t>
      </w:r>
      <w:hyperlink r:id="rId15" w:history="1">
        <w:proofErr w:type="spellStart"/>
        <w:r w:rsidR="00B67008" w:rsidRPr="00245A98">
          <w:rPr>
            <w:rStyle w:val="Hyperlink"/>
            <w:rFonts w:ascii="Palatino Linotype" w:hAnsi="Palatino Linotype"/>
            <w:sz w:val="22"/>
            <w:szCs w:val="22"/>
            <w:lang w:bidi="hi-IN"/>
          </w:rPr>
          <w:t>statsmodels</w:t>
        </w:r>
        <w:proofErr w:type="spellEnd"/>
      </w:hyperlink>
      <w:r w:rsidR="00B67008">
        <w:rPr>
          <w:rFonts w:ascii="Palatino Linotype" w:hAnsi="Palatino Linotype"/>
          <w:sz w:val="22"/>
          <w:szCs w:val="22"/>
          <w:lang w:bidi="hi-IN"/>
        </w:rPr>
        <w:t xml:space="preserve">, and </w:t>
      </w:r>
      <w:hyperlink r:id="rId16" w:history="1">
        <w:proofErr w:type="spellStart"/>
        <w:r w:rsidR="00B67008" w:rsidRPr="00245A98">
          <w:rPr>
            <w:rStyle w:val="Hyperlink"/>
            <w:rFonts w:ascii="Palatino Linotype" w:hAnsi="Palatino Linotype"/>
            <w:sz w:val="22"/>
            <w:szCs w:val="22"/>
            <w:lang w:bidi="hi-IN"/>
          </w:rPr>
          <w:t>mpltools</w:t>
        </w:r>
        <w:proofErr w:type="spellEnd"/>
      </w:hyperlink>
      <w:r w:rsidR="00B67008">
        <w:rPr>
          <w:rFonts w:ascii="Palatino Linotype" w:hAnsi="Palatino Linotype"/>
          <w:sz w:val="22"/>
          <w:szCs w:val="22"/>
          <w:lang w:bidi="hi-IN"/>
        </w:rPr>
        <w:t xml:space="preserve"> packages</w:t>
      </w:r>
      <w:r w:rsidR="003531A6">
        <w:rPr>
          <w:rFonts w:ascii="Palatino Linotype" w:hAnsi="Palatino Linotype"/>
          <w:sz w:val="22"/>
          <w:szCs w:val="22"/>
          <w:lang w:bidi="hi-IN"/>
        </w:rPr>
        <w:t>.</w:t>
      </w:r>
      <w:r w:rsidR="00B67008">
        <w:rPr>
          <w:rFonts w:ascii="Palatino Linotype" w:hAnsi="Palatino Linotype"/>
          <w:sz w:val="22"/>
          <w:szCs w:val="22"/>
          <w:lang w:bidi="hi-IN"/>
        </w:rPr>
        <w:t xml:space="preserve"> The code is available as </w:t>
      </w:r>
      <w:r w:rsidRPr="00457ACF">
        <w:rPr>
          <w:rFonts w:ascii="Palatino Linotype" w:hAnsi="Palatino Linotype"/>
          <w:sz w:val="22"/>
          <w:szCs w:val="22"/>
          <w:lang w:bidi="hi-IN"/>
        </w:rPr>
        <w:t xml:space="preserve">an </w:t>
      </w:r>
      <w:hyperlink r:id="rId17" w:history="1">
        <w:proofErr w:type="spellStart"/>
        <w:r w:rsidRPr="00457ACF">
          <w:rPr>
            <w:rStyle w:val="Hyperlink"/>
            <w:rFonts w:ascii="Palatino Linotype" w:hAnsi="Palatino Linotype"/>
            <w:sz w:val="22"/>
            <w:szCs w:val="22"/>
            <w:lang w:bidi="hi-IN"/>
          </w:rPr>
          <w:t>IPython</w:t>
        </w:r>
        <w:proofErr w:type="spellEnd"/>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"[6]"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[6]</w:t>
      </w:r>
      <w:r w:rsidR="005E1D12" w:rsidRPr="00457ACF">
        <w:rPr>
          <w:rFonts w:ascii="Palatino Linotype" w:hAnsi="Palatino Linotype"/>
          <w:sz w:val="22"/>
          <w:szCs w:val="22"/>
          <w:lang w:bidi="hi-IN"/>
        </w:rPr>
        <w:fldChar w:fldCharType="end"/>
      </w:r>
      <w:r w:rsidR="006018D8">
        <w:rPr>
          <w:rFonts w:ascii="Palatino Linotype" w:hAnsi="Palatino Linotype"/>
          <w:sz w:val="22"/>
          <w:szCs w:val="22"/>
          <w:lang w:bidi="hi-IN"/>
        </w:rPr>
        <w:t xml:space="preserve"> on the </w:t>
      </w:r>
      <w:hyperlink r:id="rId18" w:history="1">
        <w:r w:rsidR="006018D8" w:rsidRPr="006018D8">
          <w:rPr>
            <w:rStyle w:val="Hyperlink"/>
            <w:rFonts w:ascii="Palatino Linotype" w:hAnsi="Palatino Linotype"/>
            <w:sz w:val="22"/>
            <w:szCs w:val="22"/>
            <w:lang w:bidi="hi-IN"/>
          </w:rPr>
          <w:t>Proceedings of the Royal Society B</w:t>
        </w:r>
      </w:hyperlink>
      <w:r w:rsidR="00245A98">
        <w:rPr>
          <w:rFonts w:ascii="Palatino Linotype" w:hAnsi="Palatino Linotype"/>
          <w:sz w:val="22"/>
          <w:szCs w:val="22"/>
          <w:lang w:bidi="hi-IN"/>
        </w:rPr>
        <w:t xml:space="preserve"> website as </w:t>
      </w:r>
      <w:r w:rsidR="00B67008">
        <w:rPr>
          <w:rFonts w:ascii="Palatino Linotype" w:hAnsi="Palatino Linotype"/>
          <w:sz w:val="22"/>
          <w:szCs w:val="22"/>
          <w:lang w:bidi="hi-IN"/>
        </w:rPr>
        <w:t>an Electronic Supplementary Material</w:t>
      </w:r>
      <w:r w:rsidR="006018D8">
        <w:rPr>
          <w:rFonts w:ascii="Palatino Linotype" w:hAnsi="Palatino Linotype"/>
          <w:sz w:val="22"/>
          <w:szCs w:val="22"/>
          <w:lang w:bidi="hi-IN"/>
        </w:rPr>
        <w:t>.</w:t>
      </w:r>
      <w:r w:rsidR="00B67008">
        <w:rPr>
          <w:rFonts w:ascii="Palatino Linotype" w:hAnsi="Palatino Linotype"/>
          <w:sz w:val="22"/>
          <w:szCs w:val="22"/>
          <w:lang w:bidi="hi-IN"/>
        </w:rPr>
        <w:t xml:space="preserve"> </w:t>
      </w:r>
      <w:r w:rsidR="00B67008" w:rsidRPr="00457ACF">
        <w:rPr>
          <w:rFonts w:ascii="Palatino Linotype" w:hAnsi="Palatino Linotype"/>
          <w:sz w:val="22"/>
          <w:szCs w:val="22"/>
          <w:lang w:bidi="hi-IN"/>
        </w:rPr>
        <w:t>The notebook includes the analytic approximations as Python functions and uses the simulation raw data which is necessary for Figures 2, 3, S1, S2, and F1</w:t>
      </w:r>
      <w:r w:rsidR="00B67008">
        <w:rPr>
          <w:rFonts w:ascii="Palatino Linotype" w:hAnsi="Palatino Linotype"/>
          <w:sz w:val="22"/>
          <w:szCs w:val="22"/>
          <w:lang w:bidi="hi-IN"/>
        </w:rPr>
        <w:t>.</w:t>
      </w:r>
    </w:p>
    <w:p w:rsidR="00A916BD" w:rsidRPr="00457ACF" w:rsidRDefault="006018D8" w:rsidP="00B67008">
      <w:pPr>
        <w:spacing w:line="480" w:lineRule="auto"/>
        <w:rPr>
          <w:rFonts w:ascii="Palatino Linotype" w:hAnsi="Palatino Linotype"/>
          <w:sz w:val="22"/>
          <w:szCs w:val="22"/>
        </w:rPr>
      </w:pPr>
      <w:r>
        <w:rPr>
          <w:rFonts w:ascii="Palatino Linotype" w:hAnsi="Palatino Linotype"/>
          <w:sz w:val="22"/>
          <w:szCs w:val="22"/>
          <w:lang w:bidi="hi-IN"/>
        </w:rPr>
        <w:t>T</w:t>
      </w:r>
      <w:r w:rsidR="00A916BD" w:rsidRPr="00457ACF">
        <w:rPr>
          <w:rFonts w:ascii="Palatino Linotype" w:hAnsi="Palatino Linotype"/>
          <w:sz w:val="22"/>
          <w:szCs w:val="22"/>
          <w:lang w:bidi="hi-IN"/>
        </w:rPr>
        <w:t xml:space="preserve">he raw data </w:t>
      </w:r>
      <w:r>
        <w:rPr>
          <w:rFonts w:ascii="Palatino Linotype" w:hAnsi="Palatino Linotype"/>
          <w:sz w:val="22"/>
          <w:szCs w:val="22"/>
          <w:lang w:bidi="hi-IN"/>
        </w:rPr>
        <w:t xml:space="preserve">is available </w:t>
      </w:r>
      <w:r w:rsidR="00A916BD" w:rsidRPr="00457ACF">
        <w:rPr>
          <w:rFonts w:ascii="Palatino Linotype" w:hAnsi="Palatino Linotype"/>
          <w:sz w:val="22"/>
          <w:szCs w:val="22"/>
          <w:lang w:bidi="hi-IN"/>
        </w:rPr>
        <w:t xml:space="preserve">on </w:t>
      </w:r>
      <w:hyperlink r:id="rId19" w:history="1">
        <w:r w:rsidR="00A916BD" w:rsidRPr="006018D8">
          <w:rPr>
            <w:rStyle w:val="Hyperlink"/>
            <w:rFonts w:ascii="Palatino Linotype" w:hAnsi="Palatino Linotype"/>
            <w:sz w:val="22"/>
            <w:szCs w:val="22"/>
            <w:lang w:bidi="hi-IN"/>
          </w:rPr>
          <w:t>Dryad</w:t>
        </w:r>
      </w:hyperlink>
      <w:r>
        <w:rPr>
          <w:rFonts w:ascii="Palatino Linotype" w:hAnsi="Palatino Linotype"/>
          <w:sz w:val="22"/>
          <w:szCs w:val="22"/>
          <w:lang w:bidi="hi-IN"/>
        </w:rPr>
        <w:t xml:space="preserve"> (DOI: </w:t>
      </w:r>
      <w:hyperlink r:id="rId20" w:history="1">
        <w:r w:rsidRPr="006018D8">
          <w:rPr>
            <w:rStyle w:val="Hyperlink"/>
            <w:rFonts w:ascii="Palatino Linotype" w:hAnsi="Palatino Linotype"/>
            <w:sz w:val="22"/>
            <w:szCs w:val="22"/>
            <w:lang w:bidi="hi-IN"/>
          </w:rPr>
          <w:t>10.5061/dryad.3066j</w:t>
        </w:r>
      </w:hyperlink>
      <w:r>
        <w:rPr>
          <w:rFonts w:ascii="Palatino Linotype" w:hAnsi="Palatino Linotype"/>
          <w:sz w:val="22"/>
          <w:szCs w:val="22"/>
          <w:lang w:bidi="hi-IN"/>
        </w:rPr>
        <w:t>)</w:t>
      </w:r>
      <w:r w:rsidR="00A916BD" w:rsidRPr="00457ACF">
        <w:rPr>
          <w:rFonts w:ascii="Palatino Linotype" w:hAnsi="Palatino Linotype"/>
          <w:sz w:val="22"/>
          <w:szCs w:val="22"/>
          <w:lang w:bidi="hi-IN"/>
        </w:rPr>
        <w:t>.</w:t>
      </w:r>
    </w:p>
    <w:p w:rsidR="00A916BD" w:rsidRPr="00457ACF" w:rsidRDefault="00A916BD" w:rsidP="0013483B">
      <w:pPr>
        <w:spacing w:line="480" w:lineRule="auto"/>
        <w:rPr>
          <w:rFonts w:ascii="Palatino Linotype" w:eastAsiaTheme="majorEastAsia" w:hAnsi="Palatino Linotype" w:cstheme="majorBidi"/>
          <w:b/>
          <w:bCs/>
          <w:kern w:val="32"/>
          <w:sz w:val="22"/>
          <w:szCs w:val="22"/>
        </w:rPr>
      </w:pPr>
    </w:p>
    <w:p w:rsidR="00D46380" w:rsidRPr="00457ACF" w:rsidRDefault="00D46380" w:rsidP="00457ACF">
      <w:pPr>
        <w:pStyle w:val="Heading1"/>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proofErr w:type="spellStart"/>
      <w:proofErr w:type="gram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proofErr w:type="gramEnd"/>
      <w:r w:rsidRPr="00457ACF">
        <w:rPr>
          <w:rFonts w:ascii="Palatino Linotype" w:hAnsi="Palatino Linotype"/>
          <w:sz w:val="22"/>
          <w:szCs w:val="22"/>
          <w:lang w:bidi="hi-IN"/>
        </w:rPr>
        <w:t xml:space="preserve">. The frequency of such individuals in the next generation </w:t>
      </w:r>
      <w:proofErr w:type="spell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67008">
        <w:tc>
          <w:tcPr>
            <w:tcW w:w="2842" w:type="dxa"/>
          </w:tcPr>
          <w:p w:rsidR="00D46380" w:rsidRPr="00457ACF" w:rsidRDefault="00D46380" w:rsidP="00B67008">
            <w:pPr>
              <w:spacing w:line="480" w:lineRule="auto"/>
              <w:rPr>
                <w:rFonts w:ascii="Palatino Linotype" w:eastAsiaTheme="minorEastAsia" w:hAnsi="Palatino Linotype"/>
                <w:sz w:val="22"/>
                <w:szCs w:val="22"/>
                <w:lang w:bidi="hi-IN"/>
              </w:rPr>
            </w:pPr>
          </w:p>
        </w:tc>
        <w:tc>
          <w:tcPr>
            <w:tcW w:w="2843" w:type="dxa"/>
          </w:tcPr>
          <w:p w:rsidR="00D46380" w:rsidRPr="00457ACF" w:rsidRDefault="005950CD" w:rsidP="00B67008">
            <w:pPr>
              <w:spacing w:line="48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B67008">
            <w:pPr>
              <w:spacing w:line="480" w:lineRule="auto"/>
              <w:jc w:val="right"/>
              <w:rPr>
                <w:rFonts w:ascii="Palatino Linotype" w:eastAsiaTheme="minorEastAsia" w:hAnsi="Palatino Linotype"/>
                <w:sz w:val="22"/>
                <w:szCs w:val="22"/>
                <w:lang w:bidi="hi-IN"/>
              </w:rPr>
            </w:pPr>
          </w:p>
        </w:tc>
      </w:tr>
    </w:tbl>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proofErr w:type="spell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The term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w:t>
      </w:r>
      <w:proofErr w:type="gramStart"/>
      <w:r w:rsidRPr="00457ACF">
        <w:rPr>
          <w:rFonts w:ascii="Palatino Linotype" w:hAnsi="Palatino Linotype"/>
          <w:i/>
          <w:iCs/>
          <w:sz w:val="22"/>
          <w:szCs w:val="22"/>
          <w:vertAlign w:val="subscript"/>
          <w:lang w:bidi="hi-IN"/>
        </w:rPr>
        <w:t>,y</w:t>
      </w:r>
      <w:proofErr w:type="spellEnd"/>
      <w:proofErr w:type="gram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5950CD"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Using the probability mass function of a Poisson distribution, we can expand the above equation to</w:t>
      </w:r>
    </w:p>
    <w:p w:rsidR="00D46380" w:rsidRPr="00457ACF" w:rsidRDefault="005950CD"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proofErr w:type="spellEnd"/>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proofErr w:type="spellStart"/>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5950CD" w:rsidP="00D46380">
      <w:pPr>
        <w:spacing w:line="48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5950CD" w:rsidP="00D46380">
      <w:pPr>
        <w:spacing w:line="48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5950CD" w:rsidP="00D46380">
      <w:pPr>
        <w:spacing w:line="48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and</w:t>
      </w:r>
      <w:proofErr w:type="gramEnd"/>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w:t>
      </w:r>
      <w:proofErr w:type="gramStart"/>
      <w:r w:rsidRPr="00457ACF">
        <w:rPr>
          <w:rFonts w:ascii="Palatino Linotype" w:hAnsi="Palatino Linotype"/>
          <w:sz w:val="22"/>
          <w:szCs w:val="22"/>
          <w:lang w:bidi="hi-IN"/>
        </w:rPr>
        <w:t>population mean</w:t>
      </w:r>
      <w:proofErr w:type="gramEnd"/>
      <w:r w:rsidRPr="00457ACF">
        <w:rPr>
          <w:rFonts w:ascii="Palatino Linotype" w:hAnsi="Palatino Linotype"/>
          <w:sz w:val="22"/>
          <w:szCs w:val="22"/>
          <w:lang w:bidi="hi-IN"/>
        </w:rPr>
        <w:t xml:space="preserve">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5950CD"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which</w:t>
      </w:r>
      <w:proofErr w:type="gramEnd"/>
      <w:r w:rsidRPr="00457ACF">
        <w:rPr>
          <w:rFonts w:ascii="Palatino Linotype" w:hAnsi="Palatino Linotype"/>
          <w:sz w:val="22"/>
          <w:szCs w:val="22"/>
          <w:lang w:bidi="hi-IN"/>
        </w:rPr>
        <w:t xml:space="preserve"> means that the population mean fitness is equal to the product of the fitness of mutation-free individuals and the probability that a mutation-free individual does </w:t>
      </w:r>
      <w:r w:rsidRPr="00457ACF">
        <w:rPr>
          <w:rFonts w:ascii="Palatino Linotype" w:hAnsi="Palatino Linotype"/>
          <w:sz w:val="22"/>
          <w:szCs w:val="22"/>
          <w:lang w:bidi="hi-IN"/>
        </w:rPr>
        <w:lastRenderedPageBreak/>
        <w:t xml:space="preserve">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uniform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"[7]"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[7]</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5950CD"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"[8]"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[8]</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fitness at the MSB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0D3C99">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"[9]" }, "properties" : { "noteIndex" : 0 }, "schema" : "https://github.com/citation-style-language/schema/raw/master/csl-citation.json" }</w:instrText>
      </w:r>
      <w:r w:rsidRPr="00457ACF">
        <w:rPr>
          <w:rFonts w:ascii="Palatino Linotype" w:hAnsi="Palatino Linotype"/>
          <w:sz w:val="22"/>
          <w:szCs w:val="22"/>
        </w:rPr>
        <w:fldChar w:fldCharType="separate"/>
      </w:r>
      <w:r w:rsidR="000D3C99" w:rsidRPr="000D3C99">
        <w:rPr>
          <w:rFonts w:ascii="Palatino Linotype" w:hAnsi="Palatino Linotype"/>
          <w:noProof/>
          <w:sz w:val="22"/>
          <w:szCs w:val="22"/>
        </w:rPr>
        <w:t>[9]</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proofErr w:type="spellStart"/>
      <w:r w:rsidRPr="00457ACF">
        <w:rPr>
          <w:rFonts w:ascii="Palatino Linotype" w:hAnsi="Palatino Linotype"/>
          <w:i/>
          <w:iCs/>
          <w:sz w:val="22"/>
          <w:szCs w:val="22"/>
          <w:lang w:bidi="hi-IN"/>
        </w:rPr>
        <w:t>Perron-Frobenius</w:t>
      </w:r>
      <w:proofErr w:type="spellEnd"/>
      <w:r w:rsidRPr="00457ACF">
        <w:rPr>
          <w:rFonts w:ascii="Palatino Linotype" w:hAnsi="Palatino Linotype"/>
          <w:i/>
          <w:iCs/>
          <w:sz w:val="22"/>
          <w:szCs w:val="22"/>
          <w:lang w:bidi="hi-IN"/>
        </w:rPr>
        <w:t xml:space="preserve">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"[10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"[11]"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[11]</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w:t>
      </w:r>
      <w:proofErr w:type="gramStart"/>
      <w:r w:rsidRPr="00457ACF">
        <w:rPr>
          <w:rFonts w:ascii="Palatino Linotype" w:hAnsi="Palatino Linotype"/>
          <w:sz w:val="22"/>
          <w:szCs w:val="22"/>
          <w:lang w:bidi="hi-IN"/>
        </w:rPr>
        <w:t xml:space="preserve">that </w:t>
      </w:r>
      <w:proofErr w:type="gramEnd"/>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F075B5">
      <w:pPr>
        <w:spacing w:line="480" w:lineRule="auto"/>
        <w:rPr>
          <w:rFonts w:ascii="Palatino Linotype" w:hAnsi="Palatino Linotype"/>
          <w:sz w:val="22"/>
          <w:szCs w:val="22"/>
          <w:lang w:bidi="hi-IN"/>
        </w:rPr>
      </w:pPr>
      <w:r w:rsidRPr="00457ACF">
        <w:rPr>
          <w:rFonts w:ascii="Palatino Linotype" w:hAnsi="Palatino Linotype"/>
          <w:sz w:val="22"/>
          <w:szCs w:val="22"/>
        </w:rPr>
        <w:lastRenderedPageBreak/>
        <w:t xml:space="preserve">Figure </w:t>
      </w:r>
      <w:r w:rsidR="00F075B5">
        <w:rPr>
          <w:rFonts w:ascii="Palatino Linotype" w:hAnsi="Palatino Linotype"/>
          <w:sz w:val="22"/>
          <w:szCs w:val="22"/>
        </w:rPr>
        <w:t>D</w:t>
      </w:r>
      <w:r w:rsidRPr="00457ACF">
        <w:rPr>
          <w:rFonts w:ascii="Palatino Linotype" w:hAnsi="Palatino Linotype"/>
          <w:sz w:val="22"/>
          <w:szCs w:val="22"/>
        </w:rPr>
        <w:t xml:space="preserve">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0D3C99">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"[11]" }, "properties" : { "noteIndex" : 0 }, "schema" : "https://github.com/citation-style-language/schema/raw/master/csl-citation.json" }</w:instrText>
      </w:r>
      <w:r w:rsidRPr="00457ACF">
        <w:rPr>
          <w:rFonts w:ascii="Palatino Linotype" w:hAnsi="Palatino Linotype"/>
          <w:sz w:val="22"/>
          <w:szCs w:val="22"/>
        </w:rPr>
        <w:fldChar w:fldCharType="separate"/>
      </w:r>
      <w:r w:rsidR="000D3C99" w:rsidRPr="000D3C99">
        <w:rPr>
          <w:rFonts w:ascii="Palatino Linotype" w:hAnsi="Palatino Linotype"/>
          <w:noProof/>
          <w:sz w:val="22"/>
          <w:szCs w:val="22"/>
        </w:rPr>
        <w:t>[11]</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w:t>
      </w:r>
      <w:proofErr w:type="gramStart"/>
      <w:r w:rsidRPr="00457ACF">
        <w:rPr>
          <w:rFonts w:ascii="Palatino Linotype" w:hAnsi="Palatino Linotype"/>
          <w:sz w:val="22"/>
          <w:szCs w:val="22"/>
        </w:rPr>
        <w:t xml:space="preserve">that </w:t>
      </w:r>
      <w:proofErr w:type="gramEnd"/>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
    <w:p w:rsidR="00D46380" w:rsidRPr="00457ACF" w:rsidRDefault="00D46380" w:rsidP="00D46380">
      <w:pPr>
        <w:spacing w:line="480" w:lineRule="auto"/>
        <w:jc w:val="center"/>
        <w:rPr>
          <w:rFonts w:ascii="Palatino Linotype" w:hAnsi="Palatino Linotype"/>
          <w:b/>
          <w:bCs/>
          <w:sz w:val="22"/>
          <w:szCs w:val="22"/>
        </w:rPr>
      </w:pPr>
      <w:bookmarkStart w:id="0" w:name="_Ref363979903"/>
      <w:r w:rsidRPr="00457ACF">
        <w:rPr>
          <w:rFonts w:ascii="Palatino Linotype" w:hAnsi="Palatino Linotype"/>
          <w:b/>
          <w:bCs/>
          <w:noProof/>
          <w:sz w:val="22"/>
          <w:szCs w:val="22"/>
        </w:rPr>
        <w:drawing>
          <wp:inline distT="0" distB="0" distL="0" distR="0" wp14:anchorId="4C427AB8" wp14:editId="2D6AC427">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F075B5">
      <w:pPr>
        <w:spacing w:line="480" w:lineRule="auto"/>
        <w:rPr>
          <w:rFonts w:ascii="Palatino Linotype" w:hAnsi="Palatino Linotype"/>
          <w:sz w:val="22"/>
          <w:szCs w:val="22"/>
        </w:rPr>
      </w:pPr>
      <w:r w:rsidRPr="00457ACF">
        <w:rPr>
          <w:rFonts w:ascii="Palatino Linotype" w:hAnsi="Palatino Linotype"/>
          <w:b/>
          <w:bCs/>
          <w:sz w:val="22"/>
          <w:szCs w:val="22"/>
        </w:rPr>
        <w:t>Figure</w:t>
      </w:r>
      <w:bookmarkEnd w:id="0"/>
      <w:r w:rsidRPr="00457ACF">
        <w:rPr>
          <w:rFonts w:ascii="Palatino Linotype" w:hAnsi="Palatino Linotype"/>
          <w:b/>
          <w:bCs/>
          <w:sz w:val="22"/>
          <w:szCs w:val="22"/>
        </w:rPr>
        <w:t xml:space="preserve"> </w:t>
      </w:r>
      <w:r w:rsidR="00F075B5">
        <w:rPr>
          <w:rFonts w:ascii="Palatino Linotype" w:hAnsi="Palatino Linotype"/>
          <w:b/>
          <w:bCs/>
          <w:sz w:val="22"/>
          <w:szCs w:val="22"/>
        </w:rPr>
        <w:t>D</w:t>
      </w:r>
      <w:r w:rsidRPr="00457ACF">
        <w:rPr>
          <w:rFonts w:ascii="Palatino Linotype" w:hAnsi="Palatino Linotype"/>
          <w:b/>
          <w:bCs/>
          <w:sz w:val="22"/>
          <w:szCs w:val="22"/>
        </w:rPr>
        <w:t xml:space="preserve">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w:t>
      </w:r>
      <w:r w:rsidRPr="00457ACF">
        <w:rPr>
          <w:rFonts w:ascii="Palatino Linotype" w:hAnsi="Palatino Linotype"/>
          <w:sz w:val="22"/>
          <w:szCs w:val="22"/>
        </w:rPr>
        <w:lastRenderedPageBreak/>
        <w:t>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7ACF">
      <w:pPr>
        <w:pStyle w:val="Heading1"/>
        <w:rPr>
          <w:rFonts w:eastAsiaTheme="minorEastAsia"/>
        </w:rPr>
      </w:pPr>
      <w:bookmarkStart w:id="1" w:name="_Ref374377810"/>
      <w:r w:rsidRPr="00457ACF">
        <w:rPr>
          <w:rFonts w:eastAsiaTheme="minorEastAsia"/>
        </w:rPr>
        <w:lastRenderedPageBreak/>
        <w:t>Appendix E: Possible relationships between stress and mutation</w:t>
      </w:r>
      <w:bookmarkEnd w:id="1"/>
      <w:r w:rsidRPr="00457ACF">
        <w:rPr>
          <w:rFonts w:eastAsiaTheme="minorEastAsia"/>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In the main text we used a threshold relationship between stress and mutation: if fitness drops below a threshold (&lt;1 for SIM, ≤1 for </w:t>
      </w:r>
      <w:proofErr w:type="spellStart"/>
      <w:r w:rsidRPr="00457ACF">
        <w:rPr>
          <w:rFonts w:ascii="Palatino Linotype" w:hAnsi="Palatino Linotype"/>
          <w:sz w:val="22"/>
          <w:szCs w:val="22"/>
          <w:lang w:bidi="hi-IN"/>
        </w:rPr>
        <w:t>SIM</w:t>
      </w:r>
      <w:r w:rsidRPr="00457ACF">
        <w:rPr>
          <w:rFonts w:ascii="Palatino Linotype" w:hAnsi="Palatino Linotype"/>
          <w:sz w:val="22"/>
          <w:szCs w:val="22"/>
          <w:vertAlign w:val="subscript"/>
          <w:lang w:bidi="hi-IN"/>
        </w:rPr>
        <w:t>e</w:t>
      </w:r>
      <w:proofErr w:type="spellEnd"/>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"[9]"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B408AF" w:rsidRPr="00457ACF" w:rsidRDefault="00B408AF" w:rsidP="00DF58B8">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w:t>
      </w:r>
      <w:r w:rsidR="00DF58B8">
        <w:rPr>
          <w:rFonts w:ascii="Palatino Linotype" w:hAnsi="Palatino Linotype"/>
          <w:sz w:val="22"/>
          <w:szCs w:val="22"/>
        </w:rPr>
        <w:t>E2</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B408AF" w:rsidRPr="00457ACF" w:rsidRDefault="00B408AF" w:rsidP="00B408AF">
      <w:pPr>
        <w:spacing w:line="48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B408AF" w:rsidRPr="00457ACF" w:rsidRDefault="00B408AF" w:rsidP="00DF58B8">
      <w:pPr>
        <w:spacing w:line="480" w:lineRule="auto"/>
        <w:rPr>
          <w:rFonts w:ascii="Palatino Linotype" w:hAnsi="Palatino Linotype"/>
          <w:sz w:val="22"/>
          <w:szCs w:val="22"/>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w:t>
      </w:r>
      <w:proofErr w:type="gramStart"/>
      <w:r w:rsidRPr="00457ACF">
        <w:rPr>
          <w:rFonts w:ascii="Palatino Linotype" w:hAnsi="Palatino Linotype"/>
          <w:sz w:val="22"/>
          <w:szCs w:val="22"/>
          <w:lang w:bidi="hi-IN"/>
        </w:rPr>
        <w:t>)(</w:t>
      </w:r>
      <w:proofErr w:type="gramEnd"/>
      <w:r w:rsidRPr="00457ACF">
        <w:rPr>
          <w:rFonts w:ascii="Palatino Linotype" w:hAnsi="Palatino Linotype"/>
          <w:sz w:val="22"/>
          <w:szCs w:val="22"/>
          <w:lang w:bidi="hi-IN"/>
        </w:rPr>
        <w:t>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w:t>
      </w:r>
      <w:r w:rsidR="00DF58B8">
        <w:rPr>
          <w:rFonts w:ascii="Palatino Linotype" w:hAnsi="Palatino Linotype"/>
          <w:sz w:val="22"/>
          <w:szCs w:val="22"/>
        </w:rPr>
        <w:t>E2</w:t>
      </w:r>
      <w:r w:rsidRPr="00457ACF">
        <w:rPr>
          <w:rFonts w:ascii="Palatino Linotype" w:hAnsi="Palatino Linotype"/>
          <w:sz w:val="22"/>
          <w:szCs w:val="22"/>
        </w:rPr>
        <w:t xml:space="preserve">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aB</w:t>
      </w:r>
      <w:proofErr w:type="spellEnd"/>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D46380">
      <w:pPr>
        <w:spacing w:line="48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7184885B" wp14:editId="04700E1D">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A35F90">
      <w:pPr>
        <w:spacing w:line="48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wildtype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proofErr w:type="spellStart"/>
      <w:r w:rsidRPr="00457ACF">
        <w:rPr>
          <w:rFonts w:ascii="Palatino Linotype" w:hAnsi="Palatino Linotype"/>
          <w:i/>
          <w:iCs/>
          <w:sz w:val="22"/>
          <w:szCs w:val="22"/>
        </w:rPr>
        <w:t>aB</w:t>
      </w:r>
      <w:proofErr w:type="spellEnd"/>
      <w:r w:rsidRPr="00457ACF">
        <w:rPr>
          <w:rFonts w:ascii="Palatino Linotype" w:hAnsi="Palatino Linotype"/>
          <w:i/>
          <w:iCs/>
          <w:sz w:val="22"/>
          <w:szCs w:val="22"/>
        </w:rPr>
        <w:t>/0</w:t>
      </w:r>
      <w:r w:rsidRPr="00457ACF">
        <w:rPr>
          <w:rFonts w:ascii="Palatino Linotype" w:hAnsi="Palatino Linotype"/>
          <w:sz w:val="22"/>
          <w:szCs w:val="22"/>
        </w:rPr>
        <w:t xml:space="preserve">, </w:t>
      </w:r>
      <w:proofErr w:type="gramStart"/>
      <w:r w:rsidRPr="00457ACF">
        <w:rPr>
          <w:rFonts w:ascii="Palatino Linotype" w:hAnsi="Palatino Linotype"/>
          <w:i/>
          <w:iCs/>
          <w:sz w:val="22"/>
          <w:szCs w:val="22"/>
        </w:rPr>
        <w:t>ab</w:t>
      </w:r>
      <w:proofErr w:type="gramEnd"/>
      <w:r w:rsidRPr="00457ACF">
        <w:rPr>
          <w:rFonts w:ascii="Palatino Linotype" w:hAnsi="Palatino Linotype"/>
          <w:i/>
          <w:iCs/>
          <w:sz w:val="22"/>
          <w:szCs w:val="22"/>
        </w:rPr>
        <w:t>/1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D46380">
      <w:pPr>
        <w:spacing w:line="480" w:lineRule="auto"/>
        <w:rPr>
          <w:rFonts w:ascii="Palatino Linotype" w:hAnsi="Palatino Linotype"/>
          <w:sz w:val="22"/>
          <w:szCs w:val="22"/>
        </w:rPr>
      </w:pP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F58B8" w:rsidP="00D46380">
      <w:pPr>
        <w:pStyle w:val="FigureLegend"/>
        <w:spacing w:line="480" w:lineRule="auto"/>
        <w:jc w:val="left"/>
        <w:rPr>
          <w:rFonts w:ascii="Palatino Linotype" w:hAnsi="Palatino Linotype"/>
          <w:b/>
          <w:bCs/>
          <w:sz w:val="22"/>
          <w:szCs w:val="22"/>
        </w:rPr>
      </w:pPr>
      <w:r>
        <w:rPr>
          <w:rFonts w:ascii="Palatino Linotype" w:hAnsi="Palatino Linotype"/>
          <w:noProof/>
          <w:sz w:val="22"/>
          <w:szCs w:val="22"/>
        </w:rPr>
        <w:lastRenderedPageBreak/>
        <w:drawing>
          <wp:inline distT="0" distB="0" distL="0" distR="0" wp14:anchorId="5CC9E3A0" wp14:editId="482E58C0">
            <wp:extent cx="5274945" cy="3575685"/>
            <wp:effectExtent l="0" t="0" r="1905" b="5715"/>
            <wp:docPr id="1" name="Picture 1" descr="D:\workspace\ruggedsim\manuscript\ram_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3575685"/>
                    </a:xfrm>
                    <a:prstGeom prst="rect">
                      <a:avLst/>
                    </a:prstGeom>
                    <a:noFill/>
                    <a:ln>
                      <a:noFill/>
                    </a:ln>
                  </pic:spPr>
                </pic:pic>
              </a:graphicData>
            </a:graphic>
          </wp:inline>
        </w:drawing>
      </w:r>
    </w:p>
    <w:p w:rsidR="00D46380" w:rsidRPr="00457ACF" w:rsidRDefault="00D46380" w:rsidP="00DF58B8">
      <w:pPr>
        <w:pStyle w:val="FigureLegend"/>
        <w:spacing w:line="48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w:t>
      </w:r>
      <w:r w:rsidR="00DF58B8">
        <w:rPr>
          <w:rFonts w:ascii="Palatino Linotype" w:hAnsi="Palatino Linotype"/>
          <w:sz w:val="22"/>
          <w:szCs w:val="22"/>
        </w:rPr>
        <w:t xml:space="preserve"> bottom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w:t>
      </w:r>
      <w:r w:rsidR="00DF58B8">
        <w:rPr>
          <w:rFonts w:ascii="Palatino Linotype" w:hAnsi="Palatino Linotype"/>
          <w:sz w:val="22"/>
          <w:szCs w:val="22"/>
        </w:rPr>
        <w:t xml:space="preserve"> a SIM threshold strategy </w:t>
      </w:r>
      <w:bookmarkStart w:id="2" w:name="_GoBack"/>
      <w:bookmarkEnd w:id="2"/>
      <w:r w:rsidRPr="00457ACF">
        <w:rPr>
          <w:rFonts w:ascii="Palatino Linotype" w:hAnsi="Palatino Linotype"/>
          <w:sz w:val="22"/>
          <w:szCs w:val="22"/>
        </w:rPr>
        <w:t xml:space="preserve">with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7ACF">
      <w:pPr>
        <w:pStyle w:val="Heading1"/>
        <w:rPr>
          <w:rFonts w:eastAsiaTheme="minorEastAsia"/>
        </w:rPr>
      </w:pPr>
      <w:r w:rsidRPr="00457ACF">
        <w:rPr>
          <w:rFonts w:eastAsiaTheme="minorEastAsia"/>
        </w:rPr>
        <w:lastRenderedPageBreak/>
        <w:t>Appendix F: Competitions between mutational strategies</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"[11]"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[11]</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3" w:name="_Ref374366687"/>
    </w:p>
    <w:p w:rsidR="00D46380" w:rsidRPr="00457ACF" w:rsidRDefault="00D46380" w:rsidP="00D46380">
      <w:pPr>
        <w:pStyle w:val="Caption"/>
        <w:spacing w:line="48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754FC473" wp14:editId="10305C47">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545820">
      <w:pPr>
        <w:spacing w:line="48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3"/>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457ACF">
        <w:rPr>
          <w:rFonts w:ascii="Palatino Linotype" w:hAnsi="Palatino Linotype"/>
          <w:sz w:val="22"/>
          <w:szCs w:val="22"/>
          <w:lang w:bidi="hi-IN"/>
        </w:rPr>
        <w:t>CM losses to NM and SIM (P≈0).</w:t>
      </w:r>
      <w:proofErr w:type="gramEnd"/>
      <w:r w:rsidRPr="00457ACF">
        <w:rPr>
          <w:rFonts w:ascii="Palatino Linotype" w:hAnsi="Palatino Linotype"/>
          <w:sz w:val="22"/>
          <w:szCs w:val="22"/>
          <w:lang w:bidi="hi-IN"/>
        </w:rPr>
        <w:t xml:space="preserve"> Therefore, SIM is favored by selection over both NM and CM. Changing roles between resident and invader didn't affect the results (not shown). Error bars represent the standard error of the mean (</w:t>
      </w:r>
      <w:r w:rsidR="00545820">
        <w:rPr>
          <w:rFonts w:ascii="Palatino Linotype" w:hAnsi="Palatino Linotype"/>
          <w:sz w:val="22"/>
          <w:szCs w:val="22"/>
          <w:lang w:bidi="hi-IN"/>
        </w:rPr>
        <w:t>at least 1</w:t>
      </w:r>
      <w:r w:rsidRPr="00457ACF">
        <w:rPr>
          <w:rFonts w:ascii="Palatino Linotype" w:hAnsi="Palatino Linotype"/>
          <w:sz w:val="22"/>
          <w:szCs w:val="22"/>
          <w:lang w:bidi="hi-IN"/>
        </w:rPr>
        <w:t>00 simulations per point). Parameters (see Table 1): U=0.0004, s=0.05, β=0.0002, H=2, N=106.</w:t>
      </w:r>
    </w:p>
    <w:p w:rsidR="00244C09" w:rsidRPr="00457ACF" w:rsidRDefault="00244C09" w:rsidP="0013483B">
      <w:pPr>
        <w:spacing w:line="480" w:lineRule="auto"/>
        <w:rPr>
          <w:rFonts w:ascii="Palatino Linotype" w:hAnsi="Palatino Linotype"/>
          <w:sz w:val="22"/>
          <w:szCs w:val="22"/>
          <w:lang w:bidi="hi-IN"/>
        </w:rPr>
      </w:pPr>
    </w:p>
    <w:p w:rsidR="00A916BD" w:rsidRPr="00457ACF" w:rsidRDefault="00244C09" w:rsidP="00457ACF">
      <w:pPr>
        <w:pStyle w:val="Heading1"/>
        <w:rPr>
          <w:rFonts w:eastAsiaTheme="minorEastAsia"/>
        </w:rPr>
      </w:pPr>
      <w:r w:rsidRPr="00457ACF">
        <w:rPr>
          <w:rFonts w:eastAsiaTheme="minorEastAsia"/>
        </w:rPr>
        <w:lastRenderedPageBreak/>
        <w:t>Supporting Figures</w:t>
      </w:r>
    </w:p>
    <w:p w:rsidR="00244C09" w:rsidRPr="00457ACF" w:rsidRDefault="00244C09" w:rsidP="00244C09">
      <w:pPr>
        <w:keepNext/>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2A50C3DF" wp14:editId="7776FEB3">
            <wp:extent cx="4726562" cy="3780000"/>
            <wp:effectExtent l="0" t="0" r="0" b="0"/>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6562" cy="3780000"/>
                    </a:xfrm>
                    <a:prstGeom prst="rect">
                      <a:avLst/>
                    </a:prstGeom>
                    <a:noFill/>
                    <a:ln>
                      <a:noFill/>
                    </a:ln>
                  </pic:spPr>
                </pic:pic>
              </a:graphicData>
            </a:graphic>
          </wp:inline>
        </w:drawing>
      </w:r>
    </w:p>
    <w:p w:rsidR="00A35F90" w:rsidRDefault="00244C09" w:rsidP="00244C09">
      <w:pPr>
        <w:keepNext/>
        <w:spacing w:line="480" w:lineRule="auto"/>
        <w:rPr>
          <w:rFonts w:ascii="Palatino Linotype" w:hAnsi="Palatino Linotype"/>
          <w:sz w:val="22"/>
          <w:szCs w:val="22"/>
        </w:rPr>
      </w:pPr>
      <w:bookmarkStart w:id="4" w:name="_Ref360183807"/>
      <w:r w:rsidRPr="00457ACF">
        <w:rPr>
          <w:rFonts w:ascii="Palatino Linotype" w:hAnsi="Palatino Linotype"/>
          <w:b/>
          <w:bCs/>
          <w:sz w:val="22"/>
          <w:szCs w:val="22"/>
        </w:rPr>
        <w:t>Figure S</w:t>
      </w:r>
      <w:bookmarkEnd w:id="4"/>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w:t>
      </w:r>
      <w:proofErr w:type="spellStart"/>
      <w:r w:rsidRPr="00457ACF">
        <w:rPr>
          <w:rFonts w:ascii="Palatino Linotype" w:hAnsi="Palatino Linotype"/>
          <w:sz w:val="22"/>
          <w:szCs w:val="22"/>
        </w:rPr>
        <w:t>eqs</w:t>
      </w:r>
      <w:proofErr w:type="spellEnd"/>
      <w:r w:rsidRPr="00457ACF">
        <w:rPr>
          <w:rFonts w:ascii="Palatino Linotype" w:hAnsi="Palatino Linotype"/>
          <w:sz w:val="22"/>
          <w:szCs w:val="22"/>
        </w:rPr>
        <w:t xml:space="preserve">. 2, 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w:t>
      </w:r>
      <w:proofErr w:type="gramStart"/>
      <w:r w:rsidRPr="00457ACF">
        <w:rPr>
          <w:rFonts w:ascii="Palatino Linotype" w:hAnsi="Palatino Linotype"/>
          <w:sz w:val="22"/>
          <w:szCs w:val="22"/>
        </w:rPr>
        <w:t>At least 1,000 simulations per point.</w:t>
      </w:r>
      <w:proofErr w:type="gramEnd"/>
      <w:r w:rsidRPr="00457ACF">
        <w:rPr>
          <w:rFonts w:ascii="Palatino Linotype" w:hAnsi="Palatino Linotype"/>
          <w:sz w:val="22"/>
          <w:szCs w:val="22"/>
        </w:rPr>
        <w:t xml:space="preserve">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analytic approximations and the simulation results for SIM in Figure 2. Parameters are the same as in Figure 2.</w:t>
      </w:r>
    </w:p>
    <w:p w:rsidR="00244C09" w:rsidRPr="00457ACF" w:rsidRDefault="00244C09" w:rsidP="00244C09">
      <w:pPr>
        <w:spacing w:line="480" w:lineRule="auto"/>
        <w:jc w:val="center"/>
        <w:rPr>
          <w:rFonts w:ascii="Palatino Linotype" w:hAnsi="Palatino Linotype"/>
          <w:noProof/>
          <w:sz w:val="22"/>
          <w:szCs w:val="22"/>
        </w:rPr>
      </w:pPr>
      <w:r w:rsidRPr="00457ACF">
        <w:rPr>
          <w:rFonts w:ascii="Palatino Linotype" w:hAnsi="Palatino Linotype"/>
          <w:noProof/>
          <w:sz w:val="22"/>
          <w:szCs w:val="22"/>
        </w:rPr>
        <w:lastRenderedPageBreak/>
        <w:drawing>
          <wp:inline distT="0" distB="0" distL="0" distR="0" wp14:anchorId="2B161E2D" wp14:editId="0A9075A6">
            <wp:extent cx="4412473" cy="3780000"/>
            <wp:effectExtent l="0" t="0" r="762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2473" cy="3780000"/>
                    </a:xfrm>
                    <a:prstGeom prst="rect">
                      <a:avLst/>
                    </a:prstGeom>
                    <a:noFill/>
                    <a:ln>
                      <a:noFill/>
                    </a:ln>
                  </pic:spPr>
                </pic:pic>
              </a:graphicData>
            </a:graphic>
          </wp:inline>
        </w:drawing>
      </w:r>
    </w:p>
    <w:p w:rsidR="00244C09" w:rsidRPr="00457ACF" w:rsidRDefault="00244C09" w:rsidP="00244C09">
      <w:pPr>
        <w:spacing w:line="48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5" w:name="_Ref360562760"/>
      <w:r w:rsidRPr="00457ACF">
        <w:rPr>
          <w:rFonts w:ascii="Palatino Linotype" w:hAnsi="Palatino Linotype"/>
          <w:b/>
          <w:bCs/>
          <w:sz w:val="22"/>
          <w:szCs w:val="22"/>
        </w:rPr>
        <w:t>Figure S</w:t>
      </w:r>
      <w:bookmarkEnd w:id="5"/>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w:t>
      </w:r>
      <w:r w:rsidRPr="00457ACF">
        <w:rPr>
          <w:rFonts w:ascii="Palatino Linotype" w:hAnsi="Palatino Linotype"/>
          <w:sz w:val="22"/>
          <w:szCs w:val="22"/>
        </w:rPr>
        <w:lastRenderedPageBreak/>
        <w:t xml:space="preserve">deleterious background (left panels) then its fixation probability is lower </w:t>
      </w:r>
      <w:r w:rsidRPr="00457ACF">
        <w:rPr>
          <w:rFonts w:ascii="Palatino Linotype" w:hAnsi="Palatino Linotype"/>
          <w:sz w:val="22"/>
          <w:szCs w:val="22"/>
        </w:rPr>
        <w:fldChar w:fldCharType="begin" w:fldLock="1"/>
      </w:r>
      <w:r w:rsidR="000D3C99">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 "page" : "395-411", "title" : "The effect of deleterious alleles on adaptation in asexual populations.", "type" : "article-journal", "volume" : "162" }, "uris" : [ "http://www.mendeley.com/documents/?uuid=f3941c3a-3bc1-4b60-92ac-7986875fd4c6" ] } ], "mendeley" : { "previouslyFormattedCitation" : "[12]" }, "properties" : { "noteIndex" : 0 }, "schema" : "https://github.com/citation-style-language/schema/raw/master/csl-citation.json" }</w:instrText>
      </w:r>
      <w:r w:rsidRPr="00457ACF">
        <w:rPr>
          <w:rFonts w:ascii="Palatino Linotype" w:hAnsi="Palatino Linotype"/>
          <w:sz w:val="22"/>
          <w:szCs w:val="22"/>
        </w:rPr>
        <w:fldChar w:fldCharType="separate"/>
      </w:r>
      <w:r w:rsidR="000D3C99" w:rsidRPr="000D3C99">
        <w:rPr>
          <w:rFonts w:ascii="Palatino Linotype" w:hAnsi="Palatino Linotype"/>
          <w:noProof/>
          <w:sz w:val="22"/>
          <w:szCs w:val="22"/>
        </w:rPr>
        <w:t>[12]</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w:t>
      </w:r>
      <w:proofErr w:type="gramStart"/>
      <w:r w:rsidRPr="00457ACF">
        <w:rPr>
          <w:rFonts w:ascii="Palatino Linotype" w:hAnsi="Palatino Linotype"/>
          <w:sz w:val="22"/>
          <w:szCs w:val="22"/>
        </w:rPr>
        <w:t xml:space="preserve">is </w:t>
      </w:r>
      <w:proofErr w:type="gramEnd"/>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 xml:space="preserve">has a higher fixation probability than CM and SIM: the green lines, representing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are always higher than the red and blue lines representing CM and SIM. Parameters are the same as in Figure 2. </w:t>
      </w:r>
    </w:p>
    <w:p w:rsidR="00244C09" w:rsidRPr="00457ACF" w:rsidRDefault="00244C09">
      <w:pPr>
        <w:rPr>
          <w:rFonts w:ascii="Palatino Linotype" w:hAnsi="Palatino Linotype"/>
          <w:sz w:val="22"/>
          <w:szCs w:val="22"/>
          <w:lang w:bidi="hi-IN"/>
        </w:rPr>
      </w:pPr>
      <w:r w:rsidRPr="00457ACF">
        <w:rPr>
          <w:rFonts w:ascii="Palatino Linotype" w:hAnsi="Palatino Linotype"/>
          <w:sz w:val="22"/>
          <w:szCs w:val="22"/>
          <w:lang w:bidi="hi-IN"/>
        </w:rPr>
        <w:br w:type="page"/>
      </w:r>
    </w:p>
    <w:p w:rsidR="009F7186" w:rsidRPr="00457ACF" w:rsidRDefault="009F7186" w:rsidP="00457ACF">
      <w:pPr>
        <w:pStyle w:val="Heading1"/>
        <w:rPr>
          <w:rFonts w:eastAsiaTheme="minorEastAsia"/>
        </w:rPr>
      </w:pPr>
      <w:r w:rsidRPr="00457ACF">
        <w:rPr>
          <w:rFonts w:eastAsiaTheme="minorEastAsia"/>
        </w:rPr>
        <w:lastRenderedPageBreak/>
        <w:t>References</w:t>
      </w:r>
    </w:p>
    <w:p w:rsidR="000D3C99" w:rsidRPr="000D3C99" w:rsidRDefault="005E1D12">
      <w:pPr>
        <w:pStyle w:val="NormalWeb"/>
        <w:ind w:left="640" w:hanging="640"/>
        <w:divId w:val="1862429546"/>
        <w:rPr>
          <w:rFonts w:ascii="Palatino Linotype" w:hAnsi="Palatino Linotype"/>
          <w:noProof/>
          <w:sz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rPr>
        <w:t>1.</w:t>
      </w:r>
      <w:r w:rsidR="000D3C99" w:rsidRPr="000D3C99">
        <w:rPr>
          <w:rFonts w:ascii="Palatino Linotype" w:hAnsi="Palatino Linotype"/>
          <w:noProof/>
          <w:sz w:val="22"/>
        </w:rPr>
        <w:tab/>
        <w:t xml:space="preserve">Van Rossum, G. &amp; others 2007 Python Programming Language. In </w:t>
      </w:r>
      <w:r w:rsidR="000D3C99" w:rsidRPr="000D3C99">
        <w:rPr>
          <w:rFonts w:ascii="Palatino Linotype" w:hAnsi="Palatino Linotype"/>
          <w:i/>
          <w:iCs/>
          <w:noProof/>
          <w:sz w:val="22"/>
        </w:rPr>
        <w:t>USENIX Annual Technical Conference</w:t>
      </w:r>
      <w:r w:rsidR="000D3C99" w:rsidRPr="000D3C99">
        <w:rPr>
          <w:rFonts w:ascii="Palatino Linotype" w:hAnsi="Palatino Linotype"/>
          <w:noProof/>
          <w:sz w:val="22"/>
        </w:rPr>
        <w:t xml:space="preserve">, </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2.</w:t>
      </w:r>
      <w:r w:rsidRPr="000D3C99">
        <w:rPr>
          <w:rFonts w:ascii="Palatino Linotype" w:hAnsi="Palatino Linotype"/>
          <w:noProof/>
          <w:sz w:val="22"/>
        </w:rPr>
        <w:tab/>
        <w:t xml:space="preserve">Van der Walt, S., Colbert, S. C. &amp; Varoquaux, G. 2011 The NumPy Array: A Structure for Efficient Numerical Computation. </w:t>
      </w:r>
      <w:r w:rsidRPr="000D3C99">
        <w:rPr>
          <w:rFonts w:ascii="Palatino Linotype" w:hAnsi="Palatino Linotype"/>
          <w:i/>
          <w:iCs/>
          <w:noProof/>
          <w:sz w:val="22"/>
        </w:rPr>
        <w:t>Comput. Sci. Eng.</w:t>
      </w:r>
      <w:r w:rsidRPr="000D3C99">
        <w:rPr>
          <w:rFonts w:ascii="Palatino Linotype" w:hAnsi="Palatino Linotype"/>
          <w:noProof/>
          <w:sz w:val="22"/>
        </w:rPr>
        <w:t xml:space="preserve"> </w:t>
      </w:r>
      <w:r w:rsidRPr="000D3C99">
        <w:rPr>
          <w:rFonts w:ascii="Palatino Linotype" w:hAnsi="Palatino Linotype"/>
          <w:b/>
          <w:bCs/>
          <w:noProof/>
          <w:sz w:val="22"/>
        </w:rPr>
        <w:t>13</w:t>
      </w:r>
      <w:r w:rsidRPr="000D3C99">
        <w:rPr>
          <w:rFonts w:ascii="Palatino Linotype" w:hAnsi="Palatino Linotype"/>
          <w:noProof/>
          <w:sz w:val="22"/>
        </w:rPr>
        <w:t>, 22–30. (doi:10.1109/MCSE.2011.37)</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3.</w:t>
      </w:r>
      <w:r w:rsidRPr="000D3C99">
        <w:rPr>
          <w:rFonts w:ascii="Palatino Linotype" w:hAnsi="Palatino Linotype"/>
          <w:noProof/>
          <w:sz w:val="22"/>
        </w:rPr>
        <w:tab/>
        <w:t xml:space="preserve">Jones, E., Oliphant, T., Peterson, P. &amp; others 2001 SciPy: Open source scientific tools for Python. </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4.</w:t>
      </w:r>
      <w:r w:rsidRPr="000D3C99">
        <w:rPr>
          <w:rFonts w:ascii="Palatino Linotype" w:hAnsi="Palatino Linotype"/>
          <w:noProof/>
          <w:sz w:val="22"/>
        </w:rPr>
        <w:tab/>
        <w:t xml:space="preserve">Hunter, J. D. 2007 Matplotlib: A 2D Graphics Environment. </w:t>
      </w:r>
      <w:r w:rsidRPr="000D3C99">
        <w:rPr>
          <w:rFonts w:ascii="Palatino Linotype" w:hAnsi="Palatino Linotype"/>
          <w:i/>
          <w:iCs/>
          <w:noProof/>
          <w:sz w:val="22"/>
        </w:rPr>
        <w:t>Comput. Sci. Eng.</w:t>
      </w:r>
      <w:r w:rsidRPr="000D3C99">
        <w:rPr>
          <w:rFonts w:ascii="Palatino Linotype" w:hAnsi="Palatino Linotype"/>
          <w:noProof/>
          <w:sz w:val="22"/>
        </w:rPr>
        <w:t xml:space="preserve"> </w:t>
      </w:r>
      <w:r w:rsidRPr="000D3C99">
        <w:rPr>
          <w:rFonts w:ascii="Palatino Linotype" w:hAnsi="Palatino Linotype"/>
          <w:b/>
          <w:bCs/>
          <w:noProof/>
          <w:sz w:val="22"/>
        </w:rPr>
        <w:t>9</w:t>
      </w:r>
      <w:r w:rsidRPr="000D3C99">
        <w:rPr>
          <w:rFonts w:ascii="Palatino Linotype" w:hAnsi="Palatino Linotype"/>
          <w:noProof/>
          <w:sz w:val="22"/>
        </w:rPr>
        <w:t>, 90–95. (doi:10.1109/MCSE.2007.55)</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5.</w:t>
      </w:r>
      <w:r w:rsidRPr="000D3C99">
        <w:rPr>
          <w:rFonts w:ascii="Palatino Linotype" w:hAnsi="Palatino Linotype"/>
          <w:noProof/>
          <w:sz w:val="22"/>
        </w:rPr>
        <w:tab/>
        <w:t xml:space="preserve">McKinney, W. 2010 Data Structures for Statistical Computing in Python. In </w:t>
      </w:r>
      <w:r w:rsidRPr="000D3C99">
        <w:rPr>
          <w:rFonts w:ascii="Palatino Linotype" w:hAnsi="Palatino Linotype"/>
          <w:i/>
          <w:iCs/>
          <w:noProof/>
          <w:sz w:val="22"/>
        </w:rPr>
        <w:t>Proceedings of the 9th Python in Science Conference</w:t>
      </w:r>
      <w:r w:rsidRPr="000D3C99">
        <w:rPr>
          <w:rFonts w:ascii="Palatino Linotype" w:hAnsi="Palatino Linotype"/>
          <w:noProof/>
          <w:sz w:val="22"/>
        </w:rPr>
        <w:t xml:space="preserve"> (eds S. van der Walt &amp; J. Millman), pp. 51–56.</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6.</w:t>
      </w:r>
      <w:r w:rsidRPr="000D3C99">
        <w:rPr>
          <w:rFonts w:ascii="Palatino Linotype" w:hAnsi="Palatino Linotype"/>
          <w:noProof/>
          <w:sz w:val="22"/>
        </w:rPr>
        <w:tab/>
        <w:t xml:space="preserve">Perez, F. &amp; Granger, B. E. 2007 IPython: A System for Interactive Scientific Computing. </w:t>
      </w:r>
      <w:r w:rsidRPr="000D3C99">
        <w:rPr>
          <w:rFonts w:ascii="Palatino Linotype" w:hAnsi="Palatino Linotype"/>
          <w:i/>
          <w:iCs/>
          <w:noProof/>
          <w:sz w:val="22"/>
        </w:rPr>
        <w:t>Comput. Sci. Eng.</w:t>
      </w:r>
      <w:r w:rsidRPr="000D3C99">
        <w:rPr>
          <w:rFonts w:ascii="Palatino Linotype" w:hAnsi="Palatino Linotype"/>
          <w:noProof/>
          <w:sz w:val="22"/>
        </w:rPr>
        <w:t xml:space="preserve"> </w:t>
      </w:r>
      <w:r w:rsidRPr="000D3C99">
        <w:rPr>
          <w:rFonts w:ascii="Palatino Linotype" w:hAnsi="Palatino Linotype"/>
          <w:b/>
          <w:bCs/>
          <w:noProof/>
          <w:sz w:val="22"/>
        </w:rPr>
        <w:t>9</w:t>
      </w:r>
      <w:r w:rsidRPr="000D3C99">
        <w:rPr>
          <w:rFonts w:ascii="Palatino Linotype" w:hAnsi="Palatino Linotype"/>
          <w:noProof/>
          <w:sz w:val="22"/>
        </w:rPr>
        <w:t>, 21–29. (doi:10.1109/MCSE.2007.53)</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7.</w:t>
      </w:r>
      <w:r w:rsidRPr="000D3C99">
        <w:rPr>
          <w:rFonts w:ascii="Palatino Linotype" w:hAnsi="Palatino Linotype"/>
          <w:noProof/>
          <w:sz w:val="22"/>
        </w:rPr>
        <w:tab/>
        <w:t xml:space="preserve">Kimura, M. &amp; Maruyama, T. 1966 The mutational load with epistatic gene interactions in fitness. </w:t>
      </w:r>
      <w:r w:rsidRPr="000D3C99">
        <w:rPr>
          <w:rFonts w:ascii="Palatino Linotype" w:hAnsi="Palatino Linotype"/>
          <w:i/>
          <w:iCs/>
          <w:noProof/>
          <w:sz w:val="22"/>
        </w:rPr>
        <w:t>Genetics</w:t>
      </w:r>
      <w:r w:rsidRPr="000D3C99">
        <w:rPr>
          <w:rFonts w:ascii="Palatino Linotype" w:hAnsi="Palatino Linotype"/>
          <w:noProof/>
          <w:sz w:val="22"/>
        </w:rPr>
        <w:t xml:space="preserve"> </w:t>
      </w:r>
      <w:r w:rsidRPr="000D3C99">
        <w:rPr>
          <w:rFonts w:ascii="Palatino Linotype" w:hAnsi="Palatino Linotype"/>
          <w:b/>
          <w:bCs/>
          <w:noProof/>
          <w:sz w:val="22"/>
        </w:rPr>
        <w:t>54</w:t>
      </w:r>
      <w:r w:rsidRPr="000D3C99">
        <w:rPr>
          <w:rFonts w:ascii="Palatino Linotype" w:hAnsi="Palatino Linotype"/>
          <w:noProof/>
          <w:sz w:val="22"/>
        </w:rPr>
        <w:t xml:space="preserve">, 1337–51. </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8.</w:t>
      </w:r>
      <w:r w:rsidRPr="000D3C99">
        <w:rPr>
          <w:rFonts w:ascii="Palatino Linotype" w:hAnsi="Palatino Linotype"/>
          <w:noProof/>
          <w:sz w:val="22"/>
        </w:rPr>
        <w:tab/>
        <w:t xml:space="preserve">Haigh, J. 1978 The accumulation of deleterious genes in a population - Muller’s Ratchet. </w:t>
      </w:r>
      <w:r w:rsidRPr="000D3C99">
        <w:rPr>
          <w:rFonts w:ascii="Palatino Linotype" w:hAnsi="Palatino Linotype"/>
          <w:i/>
          <w:iCs/>
          <w:noProof/>
          <w:sz w:val="22"/>
        </w:rPr>
        <w:t>Theor. Popul. Biol.</w:t>
      </w:r>
      <w:r w:rsidRPr="000D3C99">
        <w:rPr>
          <w:rFonts w:ascii="Palatino Linotype" w:hAnsi="Palatino Linotype"/>
          <w:noProof/>
          <w:sz w:val="22"/>
        </w:rPr>
        <w:t xml:space="preserve"> </w:t>
      </w:r>
      <w:r w:rsidRPr="000D3C99">
        <w:rPr>
          <w:rFonts w:ascii="Palatino Linotype" w:hAnsi="Palatino Linotype"/>
          <w:b/>
          <w:bCs/>
          <w:noProof/>
          <w:sz w:val="22"/>
        </w:rPr>
        <w:t>14</w:t>
      </w:r>
      <w:r w:rsidRPr="000D3C99">
        <w:rPr>
          <w:rFonts w:ascii="Palatino Linotype" w:hAnsi="Palatino Linotype"/>
          <w:noProof/>
          <w:sz w:val="22"/>
        </w:rPr>
        <w:t>, 251–267. (doi:10.1016/0040-5809(78)90027-8)</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9.</w:t>
      </w:r>
      <w:r w:rsidRPr="000D3C99">
        <w:rPr>
          <w:rFonts w:ascii="Palatino Linotype" w:hAnsi="Palatino Linotype"/>
          <w:noProof/>
          <w:sz w:val="22"/>
        </w:rPr>
        <w:tab/>
        <w:t xml:space="preserve">Agrawal, A. F. 2002 Genetic loads under fitness-dependent mutation rates. </w:t>
      </w:r>
      <w:r w:rsidRPr="000D3C99">
        <w:rPr>
          <w:rFonts w:ascii="Palatino Linotype" w:hAnsi="Palatino Linotype"/>
          <w:i/>
          <w:iCs/>
          <w:noProof/>
          <w:sz w:val="22"/>
        </w:rPr>
        <w:t>J. Evol. Biol.</w:t>
      </w:r>
      <w:r w:rsidRPr="000D3C99">
        <w:rPr>
          <w:rFonts w:ascii="Palatino Linotype" w:hAnsi="Palatino Linotype"/>
          <w:noProof/>
          <w:sz w:val="22"/>
        </w:rPr>
        <w:t xml:space="preserve"> </w:t>
      </w:r>
      <w:r w:rsidRPr="000D3C99">
        <w:rPr>
          <w:rFonts w:ascii="Palatino Linotype" w:hAnsi="Palatino Linotype"/>
          <w:b/>
          <w:bCs/>
          <w:noProof/>
          <w:sz w:val="22"/>
        </w:rPr>
        <w:t>15</w:t>
      </w:r>
      <w:r w:rsidRPr="000D3C99">
        <w:rPr>
          <w:rFonts w:ascii="Palatino Linotype" w:hAnsi="Palatino Linotype"/>
          <w:noProof/>
          <w:sz w:val="22"/>
        </w:rPr>
        <w:t>, 1004–1010. (doi:10.1046/j.1420-9101.2002.00464.x)</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10.</w:t>
      </w:r>
      <w:r w:rsidRPr="000D3C99">
        <w:rPr>
          <w:rFonts w:ascii="Palatino Linotype" w:hAnsi="Palatino Linotype"/>
          <w:noProof/>
          <w:sz w:val="22"/>
        </w:rPr>
        <w:tab/>
        <w:t xml:space="preserve">Otto, S. P. &amp; Day, T. 2007 </w:t>
      </w:r>
      <w:r w:rsidRPr="000D3C99">
        <w:rPr>
          <w:rFonts w:ascii="Palatino Linotype" w:hAnsi="Palatino Linotype"/>
          <w:i/>
          <w:iCs/>
          <w:noProof/>
          <w:sz w:val="22"/>
        </w:rPr>
        <w:t>A biologist’s guide to mathematical modeling in ecology and evolution</w:t>
      </w:r>
      <w:r w:rsidRPr="000D3C99">
        <w:rPr>
          <w:rFonts w:ascii="Palatino Linotype" w:hAnsi="Palatino Linotype"/>
          <w:noProof/>
          <w:sz w:val="22"/>
        </w:rPr>
        <w:t>. Princeton University Press.</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11.</w:t>
      </w:r>
      <w:r w:rsidRPr="000D3C99">
        <w:rPr>
          <w:rFonts w:ascii="Palatino Linotype" w:hAnsi="Palatino Linotype"/>
          <w:noProof/>
          <w:sz w:val="22"/>
        </w:rPr>
        <w:tab/>
        <w:t xml:space="preserve">Ram, Y. &amp; Hadany, L. 2012 The evolution of stress-induced hypermutation in asexual populations. </w:t>
      </w:r>
      <w:r w:rsidRPr="000D3C99">
        <w:rPr>
          <w:rFonts w:ascii="Palatino Linotype" w:hAnsi="Palatino Linotype"/>
          <w:i/>
          <w:iCs/>
          <w:noProof/>
          <w:sz w:val="22"/>
        </w:rPr>
        <w:t>Evolution</w:t>
      </w:r>
      <w:r w:rsidRPr="000D3C99">
        <w:rPr>
          <w:rFonts w:ascii="Palatino Linotype" w:hAnsi="Palatino Linotype"/>
          <w:noProof/>
          <w:sz w:val="22"/>
        </w:rPr>
        <w:t xml:space="preserve"> </w:t>
      </w:r>
      <w:r w:rsidRPr="000D3C99">
        <w:rPr>
          <w:rFonts w:ascii="Palatino Linotype" w:hAnsi="Palatino Linotype"/>
          <w:b/>
          <w:bCs/>
          <w:noProof/>
          <w:sz w:val="22"/>
        </w:rPr>
        <w:t>66</w:t>
      </w:r>
      <w:r w:rsidRPr="000D3C99">
        <w:rPr>
          <w:rFonts w:ascii="Palatino Linotype" w:hAnsi="Palatino Linotype"/>
          <w:noProof/>
          <w:sz w:val="22"/>
        </w:rPr>
        <w:t>, 2315–28. (doi:10.1111/j.1558-5646.2012.01576.x)</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12.</w:t>
      </w:r>
      <w:r w:rsidRPr="000D3C99">
        <w:rPr>
          <w:rFonts w:ascii="Palatino Linotype" w:hAnsi="Palatino Linotype"/>
          <w:noProof/>
          <w:sz w:val="22"/>
        </w:rPr>
        <w:tab/>
        <w:t xml:space="preserve">Johnson, T. &amp; Barton, N. H. 2002 The effect of deleterious alleles on adaptation in asexual populations. </w:t>
      </w:r>
      <w:r w:rsidRPr="000D3C99">
        <w:rPr>
          <w:rFonts w:ascii="Palatino Linotype" w:hAnsi="Palatino Linotype"/>
          <w:i/>
          <w:iCs/>
          <w:noProof/>
          <w:sz w:val="22"/>
        </w:rPr>
        <w:t>Genetics</w:t>
      </w:r>
      <w:r w:rsidRPr="000D3C99">
        <w:rPr>
          <w:rFonts w:ascii="Palatino Linotype" w:hAnsi="Palatino Linotype"/>
          <w:noProof/>
          <w:sz w:val="22"/>
        </w:rPr>
        <w:t xml:space="preserve"> </w:t>
      </w:r>
      <w:r w:rsidRPr="000D3C99">
        <w:rPr>
          <w:rFonts w:ascii="Palatino Linotype" w:hAnsi="Palatino Linotype"/>
          <w:b/>
          <w:bCs/>
          <w:noProof/>
          <w:sz w:val="22"/>
        </w:rPr>
        <w:t>162</w:t>
      </w:r>
      <w:r w:rsidRPr="000D3C99">
        <w:rPr>
          <w:rFonts w:ascii="Palatino Linotype" w:hAnsi="Palatino Linotype"/>
          <w:noProof/>
          <w:sz w:val="22"/>
        </w:rPr>
        <w:t xml:space="preserve">, 395–411. </w:t>
      </w:r>
    </w:p>
    <w:p w:rsidR="009F7186" w:rsidRPr="00457ACF" w:rsidRDefault="005E1D12" w:rsidP="000D3C99">
      <w:pPr>
        <w:pStyle w:val="NormalWeb"/>
        <w:ind w:left="640" w:hanging="640"/>
        <w:divId w:val="437603569"/>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27"/>
      <w:footerReference w:type="default" r:id="rId28"/>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0CD" w:rsidRDefault="005950CD">
      <w:r>
        <w:separator/>
      </w:r>
    </w:p>
  </w:endnote>
  <w:endnote w:type="continuationSeparator" w:id="0">
    <w:p w:rsidR="005950CD" w:rsidRDefault="00595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B67008" w:rsidRDefault="00B67008">
        <w:pPr>
          <w:pStyle w:val="Footer"/>
          <w:jc w:val="center"/>
        </w:pPr>
        <w:r>
          <w:fldChar w:fldCharType="begin"/>
        </w:r>
        <w:r>
          <w:instrText xml:space="preserve"> PAGE   \* MERGEFORMAT </w:instrText>
        </w:r>
        <w:r>
          <w:fldChar w:fldCharType="separate"/>
        </w:r>
        <w:r w:rsidR="00DF58B8">
          <w:rPr>
            <w:noProof/>
          </w:rPr>
          <w:t>8</w:t>
        </w:r>
        <w:r>
          <w:rPr>
            <w:noProof/>
          </w:rPr>
          <w:fldChar w:fldCharType="end"/>
        </w:r>
      </w:p>
    </w:sdtContent>
  </w:sdt>
  <w:p w:rsidR="00B67008" w:rsidRDefault="00B67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0CD" w:rsidRDefault="005950CD">
      <w:r>
        <w:separator/>
      </w:r>
    </w:p>
  </w:footnote>
  <w:footnote w:type="continuationSeparator" w:id="0">
    <w:p w:rsidR="005950CD" w:rsidRDefault="00595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08" w:rsidRPr="00002C4C" w:rsidRDefault="00B67008" w:rsidP="00002C4C">
    <w:pPr>
      <w:pStyle w:val="Header"/>
      <w:jc w:val="center"/>
    </w:pPr>
    <w:r w:rsidRPr="00002C4C">
      <w:rPr>
        <w:rFonts w:asciiTheme="majorHAnsi" w:hAnsiTheme="majorHAnsi"/>
        <w:sz w:val="16"/>
        <w:szCs w:val="16"/>
      </w:rPr>
      <w:t>Electronic Supplementary Material for "Stress-Induced Mutagenesis and Complex Adaptation"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02C4C"/>
    <w:rsid w:val="0001727F"/>
    <w:rsid w:val="000317D7"/>
    <w:rsid w:val="00066D40"/>
    <w:rsid w:val="00091183"/>
    <w:rsid w:val="000D3C99"/>
    <w:rsid w:val="000E71D5"/>
    <w:rsid w:val="000F6994"/>
    <w:rsid w:val="0013483B"/>
    <w:rsid w:val="001364E7"/>
    <w:rsid w:val="001547D6"/>
    <w:rsid w:val="001C26FB"/>
    <w:rsid w:val="001D5DB5"/>
    <w:rsid w:val="002175E5"/>
    <w:rsid w:val="00217945"/>
    <w:rsid w:val="00244C09"/>
    <w:rsid w:val="00245A98"/>
    <w:rsid w:val="0028076E"/>
    <w:rsid w:val="002A3FCB"/>
    <w:rsid w:val="002B7010"/>
    <w:rsid w:val="002C0703"/>
    <w:rsid w:val="002D7219"/>
    <w:rsid w:val="002F0F33"/>
    <w:rsid w:val="00302982"/>
    <w:rsid w:val="00311C92"/>
    <w:rsid w:val="00313FB3"/>
    <w:rsid w:val="00322C2A"/>
    <w:rsid w:val="00335C70"/>
    <w:rsid w:val="003453E8"/>
    <w:rsid w:val="0034554A"/>
    <w:rsid w:val="0035041D"/>
    <w:rsid w:val="003531A6"/>
    <w:rsid w:val="00427456"/>
    <w:rsid w:val="00457ACF"/>
    <w:rsid w:val="00501D3E"/>
    <w:rsid w:val="00501F2E"/>
    <w:rsid w:val="00525311"/>
    <w:rsid w:val="00542787"/>
    <w:rsid w:val="00545820"/>
    <w:rsid w:val="005601F8"/>
    <w:rsid w:val="00584A44"/>
    <w:rsid w:val="005950CD"/>
    <w:rsid w:val="005E1D12"/>
    <w:rsid w:val="006018D8"/>
    <w:rsid w:val="00636BF6"/>
    <w:rsid w:val="006465C5"/>
    <w:rsid w:val="006F4488"/>
    <w:rsid w:val="00717CFF"/>
    <w:rsid w:val="00727E75"/>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35F90"/>
    <w:rsid w:val="00A54A48"/>
    <w:rsid w:val="00A6780B"/>
    <w:rsid w:val="00A916BD"/>
    <w:rsid w:val="00AA429E"/>
    <w:rsid w:val="00AF0096"/>
    <w:rsid w:val="00B120F8"/>
    <w:rsid w:val="00B408AF"/>
    <w:rsid w:val="00B67008"/>
    <w:rsid w:val="00B90E9A"/>
    <w:rsid w:val="00BB57BB"/>
    <w:rsid w:val="00C06333"/>
    <w:rsid w:val="00C31483"/>
    <w:rsid w:val="00C623FE"/>
    <w:rsid w:val="00CA7771"/>
    <w:rsid w:val="00CF6D3C"/>
    <w:rsid w:val="00D0437D"/>
    <w:rsid w:val="00D07E45"/>
    <w:rsid w:val="00D46380"/>
    <w:rsid w:val="00D62902"/>
    <w:rsid w:val="00D84B1B"/>
    <w:rsid w:val="00D84EDB"/>
    <w:rsid w:val="00D968AE"/>
    <w:rsid w:val="00DF58B8"/>
    <w:rsid w:val="00E74C93"/>
    <w:rsid w:val="00E96118"/>
    <w:rsid w:val="00EC5B83"/>
    <w:rsid w:val="00EC666C"/>
    <w:rsid w:val="00EE1F7D"/>
    <w:rsid w:val="00EF001D"/>
    <w:rsid w:val="00F075B5"/>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sChild>
                                                                                                <w:div w:id="1983844525">
                                                                                                  <w:marLeft w:val="0"/>
                                                                                                  <w:marRight w:val="0"/>
                                                                                                  <w:marTop w:val="0"/>
                                                                                                  <w:marBottom w:val="0"/>
                                                                                                  <w:divBdr>
                                                                                                    <w:top w:val="none" w:sz="0" w:space="0" w:color="auto"/>
                                                                                                    <w:left w:val="none" w:sz="0" w:space="0" w:color="auto"/>
                                                                                                    <w:bottom w:val="none" w:sz="0" w:space="0" w:color="auto"/>
                                                                                                    <w:right w:val="none" w:sz="0" w:space="0" w:color="auto"/>
                                                                                                  </w:divBdr>
                                                                                                  <w:divsChild>
                                                                                                    <w:div w:id="300040843">
                                                                                                      <w:marLeft w:val="0"/>
                                                                                                      <w:marRight w:val="0"/>
                                                                                                      <w:marTop w:val="0"/>
                                                                                                      <w:marBottom w:val="0"/>
                                                                                                      <w:divBdr>
                                                                                                        <w:top w:val="none" w:sz="0" w:space="0" w:color="auto"/>
                                                                                                        <w:left w:val="none" w:sz="0" w:space="0" w:color="auto"/>
                                                                                                        <w:bottom w:val="none" w:sz="0" w:space="0" w:color="auto"/>
                                                                                                        <w:right w:val="none" w:sz="0" w:space="0" w:color="auto"/>
                                                                                                      </w:divBdr>
                                                                                                      <w:divsChild>
                                                                                                        <w:div w:id="516121705">
                                                                                                          <w:marLeft w:val="0"/>
                                                                                                          <w:marRight w:val="0"/>
                                                                                                          <w:marTop w:val="0"/>
                                                                                                          <w:marBottom w:val="0"/>
                                                                                                          <w:divBdr>
                                                                                                            <w:top w:val="none" w:sz="0" w:space="0" w:color="auto"/>
                                                                                                            <w:left w:val="none" w:sz="0" w:space="0" w:color="auto"/>
                                                                                                            <w:bottom w:val="none" w:sz="0" w:space="0" w:color="auto"/>
                                                                                                            <w:right w:val="none" w:sz="0" w:space="0" w:color="auto"/>
                                                                                                          </w:divBdr>
                                                                                                          <w:divsChild>
                                                                                                            <w:div w:id="1176772727">
                                                                                                              <w:marLeft w:val="0"/>
                                                                                                              <w:marRight w:val="0"/>
                                                                                                              <w:marTop w:val="0"/>
                                                                                                              <w:marBottom w:val="0"/>
                                                                                                              <w:divBdr>
                                                                                                                <w:top w:val="none" w:sz="0" w:space="0" w:color="auto"/>
                                                                                                                <w:left w:val="none" w:sz="0" w:space="0" w:color="auto"/>
                                                                                                                <w:bottom w:val="none" w:sz="0" w:space="0" w:color="auto"/>
                                                                                                                <w:right w:val="none" w:sz="0" w:space="0" w:color="auto"/>
                                                                                                              </w:divBdr>
                                                                                                              <w:divsChild>
                                                                                                                <w:div w:id="1559437726">
                                                                                                                  <w:marLeft w:val="0"/>
                                                                                                                  <w:marRight w:val="0"/>
                                                                                                                  <w:marTop w:val="0"/>
                                                                                                                  <w:marBottom w:val="0"/>
                                                                                                                  <w:divBdr>
                                                                                                                    <w:top w:val="none" w:sz="0" w:space="0" w:color="auto"/>
                                                                                                                    <w:left w:val="none" w:sz="0" w:space="0" w:color="auto"/>
                                                                                                                    <w:bottom w:val="none" w:sz="0" w:space="0" w:color="auto"/>
                                                                                                                    <w:right w:val="none" w:sz="0" w:space="0" w:color="auto"/>
                                                                                                                  </w:divBdr>
                                                                                                                  <w:divsChild>
                                                                                                                    <w:div w:id="906384338">
                                                                                                                      <w:marLeft w:val="0"/>
                                                                                                                      <w:marRight w:val="0"/>
                                                                                                                      <w:marTop w:val="0"/>
                                                                                                                      <w:marBottom w:val="0"/>
                                                                                                                      <w:divBdr>
                                                                                                                        <w:top w:val="none" w:sz="0" w:space="0" w:color="auto"/>
                                                                                                                        <w:left w:val="none" w:sz="0" w:space="0" w:color="auto"/>
                                                                                                                        <w:bottom w:val="none" w:sz="0" w:space="0" w:color="auto"/>
                                                                                                                        <w:right w:val="none" w:sz="0" w:space="0" w:color="auto"/>
                                                                                                                      </w:divBdr>
                                                                                                                      <w:divsChild>
                                                                                                                        <w:div w:id="437603569">
                                                                                                                          <w:marLeft w:val="0"/>
                                                                                                                          <w:marRight w:val="0"/>
                                                                                                                          <w:marTop w:val="0"/>
                                                                                                                          <w:marBottom w:val="0"/>
                                                                                                                          <w:divBdr>
                                                                                                                            <w:top w:val="none" w:sz="0" w:space="0" w:color="auto"/>
                                                                                                                            <w:left w:val="none" w:sz="0" w:space="0" w:color="auto"/>
                                                                                                                            <w:bottom w:val="none" w:sz="0" w:space="0" w:color="auto"/>
                                                                                                                            <w:right w:val="none" w:sz="0" w:space="0" w:color="auto"/>
                                                                                                                          </w:divBdr>
                                                                                                                          <w:divsChild>
                                                                                                                            <w:div w:id="1862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ndas.pydata.org/" TargetMode="External"/><Relationship Id="rId18" Type="http://schemas.openxmlformats.org/officeDocument/2006/relationships/hyperlink" Target="http://rspb.royalsocietypublishing.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matplotlib.org/" TargetMode="External"/><Relationship Id="rId17" Type="http://schemas.openxmlformats.org/officeDocument/2006/relationships/hyperlink" Target="http://ipython.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tonysyu.github.io/mpltools/" TargetMode="External"/><Relationship Id="rId20" Type="http://schemas.openxmlformats.org/officeDocument/2006/relationships/hyperlink" Target="http://dx.doi.org/10.5061/dryad.3066j"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py.org/scipylib/index.htm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atsmodels.sourceforge.net/"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www.numpy.org/" TargetMode="External"/><Relationship Id="rId19" Type="http://schemas.openxmlformats.org/officeDocument/2006/relationships/hyperlink" Target="http://datadryad.org/" TargetMode="External"/><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hyperlink" Target="https://github.com/cgevans/scikits-bootstrap"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93C89-F05B-4789-ACEF-83C11125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14</Pages>
  <Words>7154</Words>
  <Characters>35772</Characters>
  <Application>Microsoft Office Word</Application>
  <DocSecurity>0</DocSecurity>
  <Lines>298</Lines>
  <Paragraphs>85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42841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28</cp:revision>
  <cp:lastPrinted>2014-03-30T10:10:00Z</cp:lastPrinted>
  <dcterms:created xsi:type="dcterms:W3CDTF">2014-03-30T05:08:00Z</dcterms:created>
  <dcterms:modified xsi:type="dcterms:W3CDTF">2014-07-16T14:52:00Z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