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13483B">
      <w:pPr>
        <w:pStyle w:val="Title"/>
        <w:spacing w:line="48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13483B">
      <w:pPr>
        <w:pStyle w:val="Subtitle"/>
        <w:spacing w:line="48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13483B">
      <w:pPr>
        <w:pStyle w:val="Heading1"/>
        <w:numPr>
          <w:ilvl w:val="0"/>
          <w:numId w:val="5"/>
        </w:numPr>
        <w:spacing w:line="48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EC5B83">
      <w:pPr>
        <w:spacing w:line="48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proofErr w:type="gramStart"/>
      <w:r w:rsidR="0035041D">
        <w:rPr>
          <w:rFonts w:ascii="Palatino Linotype" w:hAnsi="Palatino Linotype"/>
          <w:lang w:bidi="hi-IN"/>
        </w:rPr>
        <w:t>,</w:t>
      </w:r>
      <w:r w:rsidRPr="00EE1F7D">
        <w:rPr>
          <w:rFonts w:ascii="Palatino Linotype" w:hAnsi="Palatino Linotype"/>
          <w:lang w:bidi="hi-IN"/>
        </w:rPr>
        <w:t xml:space="preserve"> </w:t>
      </w:r>
      <w:r>
        <w:rPr>
          <w:rFonts w:ascii="Palatino Linotype" w:hAnsi="Palatino Linotype"/>
          <w:lang w:bidi="hi-IN"/>
        </w:rPr>
        <w:t xml:space="preserve"> S1</w:t>
      </w:r>
      <w:proofErr w:type="gramEnd"/>
      <w:r>
        <w:rPr>
          <w:rFonts w:ascii="Palatino Linotype" w:hAnsi="Palatino Linotype"/>
          <w:lang w:bidi="hi-IN"/>
        </w:rPr>
        <w:t>, S2</w:t>
      </w:r>
      <w:r w:rsidR="00EC5B83">
        <w:rPr>
          <w:rFonts w:ascii="Palatino Linotype" w:hAnsi="Palatino Linotype"/>
          <w:lang w:bidi="hi-IN"/>
        </w:rPr>
        <w:t>, S5, and S6</w:t>
      </w:r>
      <w:r>
        <w:rPr>
          <w:rFonts w:ascii="Palatino Linotype" w:hAnsi="Palatino Linotype"/>
          <w:lang w:bidi="hi-IN"/>
        </w:rPr>
        <w:t xml:space="preserve">. The notebook and the raw data </w:t>
      </w:r>
      <w:r w:rsidRPr="000317D7">
        <w:rPr>
          <w:rFonts w:ascii="Palatino Linotype" w:hAnsi="Palatino Linotype"/>
          <w:u w:val="single"/>
          <w:lang w:bidi="hi-IN"/>
        </w:rPr>
        <w:t>will be</w:t>
      </w:r>
      <w:r>
        <w:rPr>
          <w:rFonts w:ascii="Palatino Linotype" w:hAnsi="Palatino Linotype"/>
          <w:lang w:bidi="hi-IN"/>
        </w:rPr>
        <w:t xml:space="preserv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rsidP="0013483B">
      <w:pPr>
        <w:spacing w:line="480" w:lineRule="auto"/>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13483B">
      <w:pPr>
        <w:pStyle w:val="Heading1"/>
        <w:numPr>
          <w:ilvl w:val="0"/>
          <w:numId w:val="5"/>
        </w:numPr>
        <w:spacing w:line="480" w:lineRule="auto"/>
        <w:rPr>
          <w:rFonts w:ascii="Palatino Linotype" w:hAnsi="Palatino Linotype"/>
        </w:rPr>
      </w:pPr>
      <w:r w:rsidRPr="00EE1F7D">
        <w:rPr>
          <w:rFonts w:ascii="Palatino Linotype" w:hAnsi="Palatino Linotype"/>
        </w:rPr>
        <w:lastRenderedPageBreak/>
        <w:t>Supporting figures</w:t>
      </w:r>
    </w:p>
    <w:p w:rsidR="009F7186" w:rsidRPr="00EE1F7D" w:rsidRDefault="00FF7828" w:rsidP="0013483B">
      <w:pPr>
        <w:keepNext/>
        <w:spacing w:line="480" w:lineRule="auto"/>
        <w:jc w:val="center"/>
        <w:rPr>
          <w:rFonts w:ascii="Palatino Linotype" w:hAnsi="Palatino Linotype"/>
          <w:noProof/>
        </w:rPr>
      </w:pPr>
      <w:r>
        <w:rPr>
          <w:rFonts w:ascii="Palatino Linotype" w:hAnsi="Palatino Linotype"/>
          <w:noProof/>
        </w:rPr>
        <w:drawing>
          <wp:inline distT="0" distB="0" distL="0" distR="0" wp14:anchorId="2F937EBF" wp14:editId="48722633">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787111" w:rsidRPr="00A916BD" w:rsidRDefault="00787111" w:rsidP="0013483B">
      <w:pPr>
        <w:keepNext/>
        <w:spacing w:line="480" w:lineRule="auto"/>
        <w:rPr>
          <w:rFonts w:ascii="Palatino Linotype" w:hAnsi="Palatino Linotype"/>
          <w:b/>
          <w:bCs/>
          <w:sz w:val="20"/>
          <w:szCs w:val="20"/>
        </w:rPr>
      </w:pPr>
      <w:bookmarkStart w:id="0" w:name="_Ref360183807"/>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 xml:space="preserve">too small to show. </w:t>
      </w:r>
      <w:proofErr w:type="gramStart"/>
      <w:r w:rsidR="00A32824" w:rsidRPr="00A916BD">
        <w:rPr>
          <w:rFonts w:ascii="Palatino Linotype" w:hAnsi="Palatino Linotype"/>
          <w:sz w:val="20"/>
          <w:szCs w:val="20"/>
        </w:rPr>
        <w:t>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13483B" w:rsidP="0013483B">
      <w:pPr>
        <w:spacing w:line="480" w:lineRule="auto"/>
        <w:jc w:val="center"/>
        <w:rPr>
          <w:rFonts w:ascii="Palatino Linotype" w:hAnsi="Palatino Linotype"/>
          <w:noProof/>
        </w:rPr>
      </w:pPr>
      <w:r>
        <w:rPr>
          <w:rFonts w:ascii="Palatino Linotype" w:hAnsi="Palatino Linotype"/>
          <w:noProof/>
        </w:rPr>
        <w:lastRenderedPageBreak/>
        <w:drawing>
          <wp:inline distT="0" distB="0" distL="0" distR="0" wp14:anchorId="5E3050EF" wp14:editId="7E9DDBEE">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F07A1E" w:rsidRDefault="00787111" w:rsidP="0013483B">
      <w:pPr>
        <w:spacing w:line="48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 xml:space="preserve">can appear on a deleterious background (left panels) then its fixation </w:t>
      </w:r>
      <w:r w:rsidRPr="00A916BD">
        <w:rPr>
          <w:rFonts w:ascii="Palatino Linotype" w:hAnsi="Palatino Linotype"/>
          <w:sz w:val="20"/>
          <w:szCs w:val="20"/>
        </w:rPr>
        <w:lastRenderedPageBreak/>
        <w:t>probability is lower</w:t>
      </w:r>
      <w:r w:rsidR="0035041D">
        <w:rPr>
          <w:rFonts w:ascii="Palatino Linotype" w:hAnsi="Palatino Linotype"/>
          <w:sz w:val="20"/>
          <w:szCs w:val="20"/>
        </w:rPr>
        <w:t xml:space="preserve"> </w:t>
      </w:r>
      <w:r w:rsidR="005E1D12">
        <w:rPr>
          <w:rFonts w:ascii="Palatino Linotype" w:hAnsi="Palatino Linotype"/>
          <w:sz w:val="20"/>
          <w:szCs w:val="20"/>
        </w:rPr>
        <w:fldChar w:fldCharType="begin" w:fldLock="1"/>
      </w:r>
      <w:r w:rsidR="00B90E9A">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5E1D12">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5E1D12">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has a higher fixation probability than CM and SIM</w:t>
      </w:r>
      <w:r w:rsidR="00EC666C">
        <w:rPr>
          <w:rFonts w:ascii="Palatino Linotype" w:hAnsi="Palatino Linotype"/>
          <w:sz w:val="20"/>
          <w:szCs w:val="20"/>
        </w:rPr>
        <w:t>:</w:t>
      </w:r>
      <w:r w:rsidR="001C26FB">
        <w:rPr>
          <w:rFonts w:ascii="Palatino Linotype" w:hAnsi="Palatino Linotype"/>
          <w:sz w:val="20"/>
          <w:szCs w:val="20"/>
        </w:rPr>
        <w:t xml:space="preserve"> </w:t>
      </w:r>
      <w:r w:rsidR="00EC666C">
        <w:rPr>
          <w:rFonts w:ascii="Palatino Linotype" w:hAnsi="Palatino Linotype"/>
          <w:sz w:val="20"/>
          <w:szCs w:val="20"/>
        </w:rPr>
        <w:t>t</w:t>
      </w:r>
      <w:r w:rsidR="001C26FB" w:rsidRPr="00525311">
        <w:rPr>
          <w:rFonts w:ascii="Palatino Linotype" w:hAnsi="Palatino Linotype"/>
          <w:sz w:val="20"/>
          <w:szCs w:val="20"/>
        </w:rPr>
        <w:t xml:space="preserve">he green lines, representing </w:t>
      </w:r>
      <w:proofErr w:type="spellStart"/>
      <w:r w:rsidR="001C26FB" w:rsidRPr="00525311">
        <w:rPr>
          <w:rFonts w:ascii="Palatino Linotype" w:hAnsi="Palatino Linotype"/>
          <w:sz w:val="20"/>
          <w:szCs w:val="20"/>
        </w:rPr>
        <w:t>SIM</w:t>
      </w:r>
      <w:r w:rsidR="001C26FB" w:rsidRPr="00525311">
        <w:rPr>
          <w:rFonts w:ascii="Palatino Linotype" w:hAnsi="Palatino Linotype"/>
          <w:sz w:val="20"/>
          <w:szCs w:val="20"/>
          <w:vertAlign w:val="subscript"/>
        </w:rPr>
        <w:t>e</w:t>
      </w:r>
      <w:proofErr w:type="spellEnd"/>
      <w:r w:rsidR="001C26FB"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F07A1E" w:rsidRDefault="00F07A1E" w:rsidP="0013483B">
      <w:pPr>
        <w:spacing w:line="480" w:lineRule="auto"/>
      </w:pPr>
      <w:r>
        <w:br w:type="page"/>
      </w:r>
    </w:p>
    <w:p w:rsidR="002B7010" w:rsidRDefault="0013483B" w:rsidP="0013483B">
      <w:pPr>
        <w:spacing w:line="480" w:lineRule="auto"/>
        <w:jc w:val="center"/>
        <w:rPr>
          <w:rFonts w:ascii="Palatino Linotype" w:hAnsi="Palatino Linotype"/>
        </w:rPr>
      </w:pPr>
      <w:r>
        <w:rPr>
          <w:rFonts w:ascii="Palatino Linotype" w:hAnsi="Palatino Linotype"/>
          <w:noProof/>
        </w:rPr>
        <w:lastRenderedPageBreak/>
        <w:drawing>
          <wp:inline distT="0" distB="0" distL="0" distR="0" wp14:anchorId="3CA2846A" wp14:editId="41BEABED">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A916BD" w:rsidRDefault="002B7010" w:rsidP="00E96118">
      <w:pPr>
        <w:spacing w:line="48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w:t>
      </w:r>
      <w:r w:rsidR="00FF7828">
        <w:rPr>
          <w:rFonts w:ascii="Palatino Linotype" w:hAnsi="Palatino Linotype"/>
          <w:sz w:val="20"/>
          <w:szCs w:val="20"/>
        </w:rPr>
        <w:t>Supporting Text S4</w:t>
      </w:r>
      <w:bookmarkStart w:id="2" w:name="_GoBack"/>
      <w:bookmarkEnd w:id="2"/>
      <w:r w:rsidR="007769E2" w:rsidRPr="00A916BD">
        <w:rPr>
          <w:rFonts w:ascii="Palatino Linotype" w:hAnsi="Palatino Linotype"/>
          <w:sz w:val="20"/>
          <w:szCs w:val="20"/>
        </w:rPr>
        <w:t xml:space="preserve">.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proofErr w:type="spellStart"/>
      <w:r w:rsidR="0035041D">
        <w:rPr>
          <w:rFonts w:ascii="Palatino Linotype" w:hAnsi="Palatino Linotype"/>
          <w:i/>
          <w:iCs/>
          <w:sz w:val="20"/>
          <w:szCs w:val="20"/>
        </w:rPr>
        <w:t>aB</w:t>
      </w:r>
      <w:proofErr w:type="spellEnd"/>
      <w:r w:rsidR="0035041D">
        <w:rPr>
          <w:rFonts w:ascii="Palatino Linotype" w:hAnsi="Palatino Linotype"/>
          <w:i/>
          <w:iCs/>
          <w:sz w:val="20"/>
          <w:szCs w:val="20"/>
        </w:rPr>
        <w:t>/0</w:t>
      </w:r>
      <w:r w:rsidR="0035041D">
        <w:rPr>
          <w:rFonts w:ascii="Palatino Linotype" w:hAnsi="Palatino Linotype"/>
          <w:sz w:val="20"/>
          <w:szCs w:val="20"/>
        </w:rPr>
        <w:t xml:space="preserve">, </w:t>
      </w:r>
      <w:proofErr w:type="gramStart"/>
      <w:r w:rsidR="0035041D">
        <w:rPr>
          <w:rFonts w:ascii="Palatino Linotype" w:hAnsi="Palatino Linotype"/>
          <w:i/>
          <w:iCs/>
          <w:sz w:val="20"/>
          <w:szCs w:val="20"/>
        </w:rPr>
        <w:t>ab</w:t>
      </w:r>
      <w:proofErr w:type="gramEnd"/>
      <w:r w:rsidR="0035041D">
        <w:rPr>
          <w:rFonts w:ascii="Palatino Linotype" w:hAnsi="Palatino Linotype"/>
          <w:i/>
          <w:iCs/>
          <w:sz w:val="20"/>
          <w:szCs w:val="20"/>
        </w:rPr>
        <w:t>/1</w:t>
      </w:r>
      <w:r w:rsidR="0035041D">
        <w:rPr>
          <w:rFonts w:ascii="Palatino Linotype" w:hAnsi="Palatino Linotype"/>
          <w:sz w:val="20"/>
          <w:szCs w:val="20"/>
        </w:rPr>
        <w:t>)</w:t>
      </w:r>
      <w:r w:rsidR="007769E2" w:rsidRPr="00A916BD">
        <w:rPr>
          <w:rFonts w:ascii="Palatino Linotype" w:hAnsi="Palatino Linotype"/>
          <w:sz w:val="20"/>
          <w:szCs w:val="20"/>
        </w:rPr>
        <w:t xml:space="preserve">. Figure </w:t>
      </w:r>
      <w:r w:rsidR="00FF7828">
        <w:rPr>
          <w:rFonts w:ascii="Palatino Linotype" w:hAnsi="Palatino Linotype"/>
          <w:sz w:val="20"/>
          <w:szCs w:val="20"/>
        </w:rPr>
        <w:t>S5</w:t>
      </w:r>
      <w:r w:rsidR="007769E2" w:rsidRPr="00A916BD">
        <w:rPr>
          <w:rFonts w:ascii="Palatino Linotype" w:hAnsi="Palatino Linotype"/>
          <w:sz w:val="20"/>
          <w:szCs w:val="20"/>
        </w:rPr>
        <w:t xml:space="preserve"> shows that the adaptation rate with such threshold relationship approximates the adaptation rate with a continuous relationship.</w:t>
      </w:r>
    </w:p>
    <w:p w:rsidR="00302982" w:rsidRDefault="00302982" w:rsidP="0013483B">
      <w:pPr>
        <w:spacing w:line="480" w:lineRule="auto"/>
      </w:pPr>
      <w:r>
        <w:br w:type="page"/>
      </w:r>
    </w:p>
    <w:p w:rsidR="00302982" w:rsidRDefault="0013483B" w:rsidP="0013483B">
      <w:pPr>
        <w:spacing w:line="480" w:lineRule="auto"/>
        <w:jc w:val="center"/>
        <w:rPr>
          <w:b/>
          <w:bCs/>
          <w:sz w:val="20"/>
          <w:szCs w:val="20"/>
        </w:rPr>
      </w:pPr>
      <w:bookmarkStart w:id="3" w:name="_Ref363979903"/>
      <w:r>
        <w:rPr>
          <w:b/>
          <w:bCs/>
          <w:noProof/>
          <w:sz w:val="20"/>
          <w:szCs w:val="20"/>
        </w:rPr>
        <w:lastRenderedPageBreak/>
        <w:drawing>
          <wp:inline distT="0" distB="0" distL="0" distR="0" wp14:anchorId="4AD67FA2" wp14:editId="21EB5035">
            <wp:extent cx="5279390" cy="4222115"/>
            <wp:effectExtent l="0" t="0" r="0" b="6985"/>
            <wp:docPr id="7" name="Picture 7"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302982" w:rsidRDefault="00302982" w:rsidP="0013483B">
      <w:pPr>
        <w:spacing w:line="480" w:lineRule="auto"/>
        <w:rPr>
          <w:sz w:val="20"/>
          <w:szCs w:val="20"/>
        </w:rPr>
      </w:pPr>
      <w:r w:rsidRPr="00733307">
        <w:rPr>
          <w:b/>
          <w:bCs/>
          <w:sz w:val="20"/>
          <w:szCs w:val="20"/>
        </w:rPr>
        <w:t>Figure</w:t>
      </w:r>
      <w:bookmarkEnd w:id="3"/>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13483B" w:rsidRDefault="0013483B" w:rsidP="0013483B">
      <w:pPr>
        <w:spacing w:line="480" w:lineRule="auto"/>
      </w:pPr>
      <w:r>
        <w:br w:type="page"/>
      </w:r>
    </w:p>
    <w:p w:rsidR="0013483B" w:rsidRDefault="0013483B" w:rsidP="0013483B">
      <w:pPr>
        <w:pStyle w:val="FigureLegend"/>
        <w:spacing w:line="480" w:lineRule="auto"/>
        <w:jc w:val="left"/>
        <w:rPr>
          <w:b/>
          <w:bCs/>
          <w:sz w:val="20"/>
          <w:szCs w:val="20"/>
        </w:rPr>
      </w:pPr>
      <w:r>
        <w:rPr>
          <w:b/>
          <w:bCs/>
          <w:noProof/>
          <w:sz w:val="20"/>
          <w:szCs w:val="20"/>
        </w:rPr>
        <w:lastRenderedPageBreak/>
        <w:drawing>
          <wp:inline distT="0" distB="0" distL="0" distR="0" wp14:anchorId="5B70B960" wp14:editId="0E847397">
            <wp:extent cx="5271770" cy="3578225"/>
            <wp:effectExtent l="0" t="0" r="5080" b="3175"/>
            <wp:docPr id="5" name="Picture 5"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13483B" w:rsidRPr="00733307" w:rsidRDefault="0013483B" w:rsidP="002D7219">
      <w:pPr>
        <w:pStyle w:val="FigureLegend"/>
        <w:spacing w:line="480" w:lineRule="auto"/>
        <w:jc w:val="left"/>
        <w:rPr>
          <w:sz w:val="20"/>
          <w:szCs w:val="20"/>
        </w:rPr>
      </w:pPr>
      <w:r w:rsidRPr="00733307">
        <w:rPr>
          <w:b/>
          <w:bCs/>
          <w:sz w:val="20"/>
          <w:szCs w:val="20"/>
        </w:rPr>
        <w:t>Figure</w:t>
      </w:r>
      <w:r>
        <w:rPr>
          <w:b/>
          <w:bCs/>
          <w:sz w:val="20"/>
          <w:szCs w:val="20"/>
        </w:rPr>
        <w:t xml:space="preserve"> S5</w:t>
      </w:r>
      <w:r w:rsidRPr="00733307">
        <w:rPr>
          <w:b/>
          <w:bCs/>
          <w:sz w:val="20"/>
          <w:szCs w:val="20"/>
        </w:rPr>
        <w:t xml:space="preserve"> – Complex adaptation with </w:t>
      </w:r>
      <w:r w:rsidRPr="0013483B">
        <w:rPr>
          <w:b/>
          <w:bCs/>
          <w:sz w:val="20"/>
          <w:szCs w:val="20"/>
        </w:rPr>
        <w:t xml:space="preserve">continuous relationship </w:t>
      </w:r>
      <w:r>
        <w:rPr>
          <w:b/>
          <w:bCs/>
          <w:sz w:val="20"/>
          <w:szCs w:val="20"/>
        </w:rPr>
        <w:t>stress-induced mutagenesis</w:t>
      </w:r>
      <w:r w:rsidRPr="00733307">
        <w:rPr>
          <w:b/>
          <w:bCs/>
          <w:sz w:val="20"/>
          <w:szCs w:val="20"/>
        </w:rPr>
        <w:t>.</w:t>
      </w:r>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sidR="002D7219">
        <w:rPr>
          <w:sz w:val="20"/>
          <w:szCs w:val="20"/>
        </w:rPr>
        <w:t>The s</w:t>
      </w:r>
      <w:r>
        <w:rPr>
          <w:sz w:val="20"/>
          <w:szCs w:val="20"/>
        </w:rPr>
        <w:t xml:space="preserve">olid line is </w:t>
      </w:r>
      <w:r w:rsidR="002D7219">
        <w:rPr>
          <w:sz w:val="20"/>
          <w:szCs w:val="20"/>
        </w:rPr>
        <w:t>an</w:t>
      </w:r>
      <w:r>
        <w:rPr>
          <w:sz w:val="20"/>
          <w:szCs w:val="20"/>
        </w:rPr>
        <w:t xml:space="preserve"> analytical approximation of SIM (same as in Figure 2). </w:t>
      </w:r>
      <w:r w:rsidRPr="00733307">
        <w:rPr>
          <w:sz w:val="20"/>
          <w:szCs w:val="20"/>
        </w:rPr>
        <w:t xml:space="preserve">Markers are the results of </w:t>
      </w:r>
      <w:r>
        <w:rPr>
          <w:sz w:val="20"/>
          <w:szCs w:val="20"/>
        </w:rPr>
        <w:t xml:space="preserve">simulations of </w:t>
      </w:r>
      <w:r w:rsidRPr="00733307">
        <w:rPr>
          <w:sz w:val="20"/>
          <w:szCs w:val="20"/>
        </w:rPr>
        <w:t>adaptation with SIM with different continuous relationships between fitness and mutation rate</w:t>
      </w:r>
      <w:r>
        <w:rPr>
          <w:sz w:val="20"/>
          <w:szCs w:val="20"/>
        </w:rPr>
        <w:t>. These continuous relationships are</w:t>
      </w:r>
      <w:r w:rsidRPr="00733307">
        <w:rPr>
          <w:sz w:val="20"/>
          <w:szCs w:val="20"/>
        </w:rPr>
        <w:t xml:space="preserve"> defined by </w:t>
      </w:r>
      <w:r>
        <w:rPr>
          <w:sz w:val="20"/>
          <w:szCs w:val="20"/>
        </w:rPr>
        <w:t xml:space="preserve">a </w:t>
      </w:r>
      <w:r w:rsidRPr="00733307">
        <w:rPr>
          <w:sz w:val="20"/>
          <w:szCs w:val="20"/>
        </w:rPr>
        <w:t xml:space="preserve">mutation rate fold increase </w:t>
      </w:r>
      <w:r w:rsidRPr="00733307">
        <w:rPr>
          <w:rFonts w:ascii="Times New Roman" w:hAnsi="Times New Roman"/>
          <w:i/>
          <w:iCs/>
          <w:sz w:val="20"/>
          <w:szCs w:val="20"/>
        </w:rPr>
        <w:t>τ</w:t>
      </w:r>
      <w:r w:rsidRPr="00733307">
        <w:rPr>
          <w:sz w:val="20"/>
          <w:szCs w:val="20"/>
        </w:rPr>
        <w:t xml:space="preserve">=10 </w:t>
      </w:r>
      <w:r>
        <w:rPr>
          <w:sz w:val="20"/>
          <w:szCs w:val="20"/>
        </w:rPr>
        <w:t xml:space="preserve">and </w:t>
      </w:r>
      <w:r w:rsidRPr="00733307">
        <w:rPr>
          <w:sz w:val="20"/>
          <w:szCs w:val="20"/>
        </w:rPr>
        <w:t xml:space="preserve">a curvature parameter </w:t>
      </w:r>
      <w:r w:rsidRPr="00733307">
        <w:rPr>
          <w:i/>
          <w:iCs/>
          <w:sz w:val="20"/>
          <w:szCs w:val="20"/>
        </w:rPr>
        <w:t>k</w:t>
      </w:r>
      <w:r w:rsidRPr="0035628B">
        <w:rPr>
          <w:sz w:val="20"/>
          <w:szCs w:val="20"/>
        </w:rPr>
        <w:t>=10</w:t>
      </w:r>
      <w:r>
        <w:rPr>
          <w:sz w:val="20"/>
          <w:szCs w:val="20"/>
        </w:rPr>
        <w:t>, 1, and 1/10, top to bottom</w:t>
      </w:r>
      <w:r w:rsidRPr="00733307">
        <w:rPr>
          <w:sz w:val="20"/>
          <w:szCs w:val="20"/>
        </w:rPr>
        <w:t xml:space="preserve"> (see </w:t>
      </w:r>
      <w:r>
        <w:rPr>
          <w:sz w:val="20"/>
          <w:szCs w:val="20"/>
        </w:rPr>
        <w:t>Supporting Text S4</w:t>
      </w:r>
      <w:r w:rsidRPr="00733307">
        <w:rPr>
          <w:sz w:val="20"/>
          <w:szCs w:val="20"/>
        </w:rPr>
        <w:t xml:space="preserve"> and Figure S3</w:t>
      </w:r>
      <w:r>
        <w:rPr>
          <w:sz w:val="20"/>
          <w:szCs w:val="20"/>
        </w:rPr>
        <w:t xml:space="preserve"> for more details on continuous SIM</w:t>
      </w:r>
      <w:r w:rsidRPr="00733307">
        <w:rPr>
          <w:sz w:val="20"/>
          <w:szCs w:val="20"/>
        </w:rPr>
        <w:t>)</w:t>
      </w:r>
      <w:r w:rsidRPr="00733307">
        <w:rPr>
          <w:b/>
          <w:bCs/>
          <w:sz w:val="20"/>
          <w:szCs w:val="20"/>
        </w:rPr>
        <w:t xml:space="preserve">. </w:t>
      </w:r>
      <w:r w:rsidRPr="00733307">
        <w:rPr>
          <w:sz w:val="20"/>
          <w:szCs w:val="20"/>
        </w:rPr>
        <w:t>Each dashed line is an approxim</w:t>
      </w:r>
      <w:r w:rsidRPr="000448EE">
        <w:rPr>
          <w:sz w:val="20"/>
          <w:szCs w:val="20"/>
        </w:rPr>
        <w:t xml:space="preserve">ation of a continuous SIM using a SIM threshold strategy (eq. </w:t>
      </w:r>
      <w:r w:rsidRPr="002D7219">
        <w:rPr>
          <w:sz w:val="20"/>
          <w:szCs w:val="20"/>
        </w:rPr>
        <w:t>13</w:t>
      </w:r>
      <w:r w:rsidRPr="002D7219">
        <w:rPr>
          <w:sz w:val="20"/>
          <w:szCs w:val="20"/>
        </w:rPr>
        <w:fldChar w:fldCharType="begin"/>
      </w:r>
      <w:r w:rsidRPr="002D7219">
        <w:rPr>
          <w:sz w:val="20"/>
          <w:szCs w:val="20"/>
        </w:rPr>
        <w:instrText xml:space="preserve"> REF _Ref375754011 \h  \* MERGEFORMAT </w:instrText>
      </w:r>
      <w:r w:rsidRPr="002D7219">
        <w:rPr>
          <w:sz w:val="20"/>
          <w:szCs w:val="20"/>
        </w:rPr>
      </w:r>
      <w:r w:rsidRPr="002D7219">
        <w:rPr>
          <w:sz w:val="20"/>
          <w:szCs w:val="20"/>
        </w:rPr>
        <w:fldChar w:fldCharType="end"/>
      </w:r>
      <w:r w:rsidRPr="000448EE">
        <w:rPr>
          <w:sz w:val="20"/>
          <w:szCs w:val="20"/>
        </w:rPr>
        <w:t xml:space="preserve">) with </w:t>
      </w:r>
      <w:r w:rsidRPr="000448EE">
        <w:rPr>
          <w:i/>
          <w:iCs/>
          <w:sz w:val="20"/>
          <w:szCs w:val="20"/>
        </w:rPr>
        <w:t>τ</w:t>
      </w:r>
      <w:r w:rsidRPr="000448EE">
        <w:rPr>
          <w:sz w:val="20"/>
          <w:szCs w:val="20"/>
        </w:rPr>
        <w:t>=</w:t>
      </w:r>
      <w:r w:rsidRPr="000448EE">
        <w:rPr>
          <w:sz w:val="20"/>
          <w:szCs w:val="20"/>
          <w:lang w:bidi="hi-IN"/>
        </w:rPr>
        <w:t xml:space="preserve">4.61, 1.45, and 1.05, top to bottom. The fit between the dashed lines and the </w:t>
      </w:r>
      <w:r w:rsidR="002D7219">
        <w:rPr>
          <w:sz w:val="20"/>
          <w:szCs w:val="20"/>
          <w:lang w:bidi="hi-IN"/>
        </w:rPr>
        <w:t xml:space="preserve">corresponding </w:t>
      </w:r>
      <w:r w:rsidRPr="000448EE">
        <w:rPr>
          <w:sz w:val="20"/>
          <w:szCs w:val="20"/>
          <w:lang w:bidi="hi-IN"/>
        </w:rPr>
        <w:t>markers suggests that a threshold strategy captures the adaptive dynamics.</w:t>
      </w:r>
      <w:r>
        <w:rPr>
          <w:sz w:val="20"/>
          <w:szCs w:val="20"/>
          <w:lang w:bidi="hi-IN"/>
        </w:rPr>
        <w:t xml:space="preserve"> </w:t>
      </w:r>
      <w:r>
        <w:rPr>
          <w:sz w:val="20"/>
          <w:szCs w:val="20"/>
        </w:rPr>
        <w:t>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Pr="006620EE">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r w:rsidRPr="00733307">
        <w:rPr>
          <w:sz w:val="20"/>
          <w:szCs w:val="20"/>
        </w:rPr>
        <w:t>.</w:t>
      </w:r>
    </w:p>
    <w:p w:rsidR="0013483B" w:rsidRDefault="0013483B" w:rsidP="0013483B">
      <w:pPr>
        <w:spacing w:line="480" w:lineRule="auto"/>
      </w:pPr>
      <w:r>
        <w:br w:type="page"/>
      </w:r>
    </w:p>
    <w:p w:rsidR="0013483B" w:rsidRDefault="0013483B" w:rsidP="0013483B">
      <w:pPr>
        <w:pStyle w:val="Caption"/>
        <w:spacing w:line="480" w:lineRule="auto"/>
        <w:rPr>
          <w:rFonts w:eastAsiaTheme="minorHAnsi"/>
          <w:smallCaps w:val="0"/>
          <w:color w:val="auto"/>
          <w:spacing w:val="0"/>
          <w:sz w:val="20"/>
          <w:szCs w:val="20"/>
          <w:lang w:bidi="he-IL"/>
        </w:rPr>
      </w:pPr>
      <w:bookmarkStart w:id="4" w:name="_Ref374366687"/>
      <w:r>
        <w:rPr>
          <w:rFonts w:eastAsiaTheme="minorHAnsi"/>
          <w:smallCaps w:val="0"/>
          <w:noProof/>
          <w:color w:val="auto"/>
          <w:spacing w:val="0"/>
          <w:sz w:val="20"/>
          <w:szCs w:val="20"/>
          <w:lang w:bidi="he-IL"/>
        </w:rPr>
        <w:lastRenderedPageBreak/>
        <w:drawing>
          <wp:inline distT="0" distB="0" distL="0" distR="0" wp14:anchorId="0A5327EC" wp14:editId="332F47D3">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13483B" w:rsidRPr="0013483B" w:rsidRDefault="0013483B" w:rsidP="0013483B">
      <w:pPr>
        <w:spacing w:line="480" w:lineRule="auto"/>
        <w:rPr>
          <w:sz w:val="20"/>
          <w:szCs w:val="20"/>
          <w:lang w:bidi="hi-IN"/>
        </w:rPr>
      </w:pPr>
      <w:r w:rsidRPr="0013483B">
        <w:rPr>
          <w:b/>
          <w:bCs/>
          <w:sz w:val="20"/>
          <w:szCs w:val="20"/>
          <w:lang w:bidi="hi-IN"/>
        </w:rPr>
        <w:t xml:space="preserve">Figure </w:t>
      </w:r>
      <w:bookmarkEnd w:id="4"/>
      <w:r w:rsidRPr="0013483B">
        <w:rPr>
          <w:b/>
          <w:bCs/>
          <w:sz w:val="20"/>
          <w:szCs w:val="20"/>
          <w:lang w:bidi="hi-IN"/>
        </w:rPr>
        <w:t>S6 – Direct competitions between three mutational strategies.</w:t>
      </w:r>
      <w:r w:rsidRPr="0013483B">
        <w:rPr>
          <w:sz w:val="20"/>
          <w:szCs w:val="20"/>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CM losses to NM and SIM (P≈0). Therefore, SIM is favored by selection over both NM and CM. Changing roles between resident and invader didn't a</w:t>
      </w:r>
      <w:r w:rsidR="00FF7828">
        <w:rPr>
          <w:sz w:val="20"/>
          <w:szCs w:val="20"/>
          <w:lang w:bidi="hi-IN"/>
        </w:rPr>
        <w:t>ffect the results (not shown).</w:t>
      </w:r>
      <w:r w:rsidRPr="0013483B">
        <w:rPr>
          <w:sz w:val="20"/>
          <w:szCs w:val="20"/>
          <w:lang w:bidi="hi-IN"/>
        </w:rPr>
        <w:t xml:space="preserve"> Error bars represent the standard error of the mean (500 simulations per point). Parameters (see Table 1): U=0.0004, s=0.05, β=0.0002, H=2, N=106.</w:t>
      </w:r>
    </w:p>
    <w:p w:rsidR="0013483B" w:rsidRDefault="0013483B" w:rsidP="0013483B">
      <w:pPr>
        <w:spacing w:line="480" w:lineRule="auto"/>
        <w:rPr>
          <w:rFonts w:asciiTheme="majorHAnsi" w:eastAsiaTheme="minorHAnsi" w:hAnsiTheme="majorHAnsi" w:cstheme="majorBidi"/>
          <w:b/>
          <w:bCs/>
          <w:smallCaps/>
          <w:kern w:val="32"/>
          <w:sz w:val="20"/>
          <w:szCs w:val="20"/>
        </w:rPr>
      </w:pPr>
      <w:r>
        <w:rPr>
          <w:rFonts w:eastAsiaTheme="minorHAnsi"/>
          <w:smallCaps/>
          <w:sz w:val="20"/>
          <w:szCs w:val="20"/>
        </w:rPr>
        <w:br w:type="page"/>
      </w:r>
    </w:p>
    <w:p w:rsidR="00787111" w:rsidRPr="00EE1F7D" w:rsidRDefault="00787111" w:rsidP="0013483B">
      <w:pPr>
        <w:pStyle w:val="Heading1"/>
        <w:numPr>
          <w:ilvl w:val="0"/>
          <w:numId w:val="5"/>
        </w:numPr>
        <w:spacing w:line="48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13483B">
            <w:pPr>
              <w:spacing w:line="480" w:lineRule="auto"/>
              <w:rPr>
                <w:rFonts w:ascii="Palatino Linotype" w:eastAsiaTheme="minorEastAsia" w:hAnsi="Palatino Linotype"/>
                <w:lang w:bidi="hi-IN"/>
              </w:rPr>
            </w:pPr>
          </w:p>
        </w:tc>
        <w:tc>
          <w:tcPr>
            <w:tcW w:w="2843" w:type="dxa"/>
          </w:tcPr>
          <w:p w:rsidR="00787111" w:rsidRPr="00EE1F7D" w:rsidRDefault="002175E5" w:rsidP="0013483B">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13483B">
            <w:pPr>
              <w:spacing w:line="480" w:lineRule="auto"/>
              <w:jc w:val="right"/>
              <w:rPr>
                <w:rFonts w:ascii="Palatino Linotype" w:eastAsiaTheme="minorEastAsia" w:hAnsi="Palatino Linotype"/>
                <w:lang w:bidi="hi-IN"/>
              </w:rPr>
            </w:pPr>
          </w:p>
        </w:tc>
      </w:tr>
    </w:tbl>
    <w:p w:rsidR="00747917" w:rsidRDefault="00787111" w:rsidP="0013483B">
      <w:pPr>
        <w:spacing w:line="480" w:lineRule="auto"/>
        <w:rPr>
          <w:rFonts w:ascii="Palatino Linotype" w:hAnsi="Palatino Linotype"/>
          <w:lang w:bidi="hi-IN"/>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to </w:t>
      </w:r>
      <w:r w:rsidRPr="00B120F8">
        <w:rPr>
          <w:rFonts w:ascii="Palatino Linotype" w:hAnsi="Palatino Linotype"/>
          <w:i/>
          <w:iCs/>
          <w:lang w:bidi="hi-IN"/>
        </w:rPr>
        <w:t>x</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w:t>
      </w:r>
    </w:p>
    <w:p w:rsidR="00787111" w:rsidRPr="00B120F8" w:rsidRDefault="00787111" w:rsidP="0013483B">
      <w:pPr>
        <w:spacing w:line="480" w:lineRule="auto"/>
        <w:rPr>
          <w:rFonts w:ascii="Palatino Linotype" w:hAnsi="Palatino Linotype"/>
        </w:rPr>
      </w:pPr>
      <w:r w:rsidRPr="00B120F8">
        <w:rPr>
          <w:rFonts w:ascii="Palatino Linotype" w:hAnsi="Palatino Linotype"/>
          <w:lang w:bidi="hi-IN"/>
        </w:rPr>
        <w:t xml:space="preserve">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00747917" w:rsidRPr="00B120F8">
        <w:rPr>
          <w:rFonts w:ascii="Palatino Linotype" w:hAnsi="Palatino Linotype"/>
          <w:lang w:bidi="hi-IN"/>
        </w:rPr>
        <w:t>consist of</w:t>
      </w:r>
      <w:r w:rsidRPr="00B120F8">
        <w:rPr>
          <w:rFonts w:ascii="Palatino Linotype" w:hAnsi="Palatino Linotype"/>
          <w:lang w:bidi="hi-IN"/>
        </w:rPr>
        <w:t xml:space="preserve"> the fitness of individuals with </w:t>
      </w:r>
      <w:r w:rsidRPr="00B120F8">
        <w:rPr>
          <w:rFonts w:ascii="Palatino Linotype" w:hAnsi="Palatino Linotype"/>
          <w:i/>
          <w:iCs/>
          <w:lang w:bidi="hi-IN"/>
        </w:rPr>
        <w:t>y</w:t>
      </w:r>
      <w:r w:rsidRPr="00B120F8">
        <w:rPr>
          <w:rFonts w:ascii="Palatino Linotype" w:hAnsi="Palatino Linotype"/>
        </w:rPr>
        <w:t xml:space="preserve"> deleterious </w:t>
      </w:r>
      <w:r w:rsidR="00311C92" w:rsidRPr="00B120F8">
        <w:rPr>
          <w:rFonts w:ascii="Palatino Linotype" w:hAnsi="Palatino Linotype"/>
        </w:rPr>
        <w:t>alleles,</w:t>
      </w:r>
      <w:r w:rsidRPr="00B120F8">
        <w:rPr>
          <w:rFonts w:ascii="Palatino Linotype" w:hAnsi="Palatino Linotype"/>
        </w:rPr>
        <w:t xml:space="preserve"> </w:t>
      </w:r>
      <w:proofErr w:type="spellStart"/>
      <w:r w:rsidR="00311C92" w:rsidRPr="00B120F8">
        <w:rPr>
          <w:rFonts w:ascii="Palatino Linotype" w:hAnsi="Palatino Linotype"/>
          <w:i/>
          <w:iCs/>
        </w:rPr>
        <w:t>ω</w:t>
      </w:r>
      <w:r w:rsidR="00311C92" w:rsidRPr="00B120F8">
        <w:rPr>
          <w:rFonts w:ascii="Palatino Linotype" w:hAnsi="Palatino Linotype"/>
          <w:i/>
          <w:iCs/>
          <w:vertAlign w:val="subscript"/>
        </w:rPr>
        <w:t>y</w:t>
      </w:r>
      <w:proofErr w:type="spellEnd"/>
      <w:r w:rsidR="00311C92" w:rsidRPr="00B120F8">
        <w:rPr>
          <w:rFonts w:ascii="Palatino Linotype" w:hAnsi="Palatino Linotype"/>
          <w:lang w:bidi="hi-IN"/>
        </w:rPr>
        <w:t xml:space="preserve">, </w:t>
      </w:r>
      <w:r w:rsidRPr="00B120F8">
        <w:rPr>
          <w:rFonts w:ascii="Palatino Linotype" w:hAnsi="Palatino Linotype"/>
        </w:rPr>
        <w:t xml:space="preserve">and the probability </w:t>
      </w:r>
      <w:r w:rsidR="00311C92" w:rsidRPr="00B120F8">
        <w:rPr>
          <w:rFonts w:ascii="Palatino Linotype" w:hAnsi="Palatino Linotype"/>
        </w:rPr>
        <w:t xml:space="preserve">that the precise number of </w:t>
      </w:r>
      <w:r w:rsidRPr="00B120F8">
        <w:rPr>
          <w:rFonts w:ascii="Palatino Linotype" w:hAnsi="Palatino Linotype"/>
        </w:rPr>
        <w:t>mutations occurr</w:t>
      </w:r>
      <w:r w:rsidR="00311C92" w:rsidRPr="00B120F8">
        <w:rPr>
          <w:rFonts w:ascii="Palatino Linotype" w:hAnsi="Palatino Linotype"/>
        </w:rPr>
        <w:t>ed</w:t>
      </w:r>
      <w:r w:rsidR="00311C92" w:rsidRPr="00B120F8">
        <w:rPr>
          <w:rFonts w:ascii="Palatino Linotype" w:hAnsi="Palatino Linotype"/>
          <w:lang w:bidi="hi-IN"/>
        </w:rPr>
        <w:t xml:space="preserve">. Specifically,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y-x</w:t>
      </w:r>
      <w:r w:rsidR="00311C92" w:rsidRPr="00B120F8">
        <w:rPr>
          <w:rFonts w:ascii="Palatino Linotype" w:hAnsi="Palatino Linotype"/>
          <w:lang w:bidi="hi-IN"/>
        </w:rPr>
        <w:t xml:space="preserve"> beneficial mutation must occur;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x-y</w:t>
      </w:r>
      <w:r w:rsidR="00311C92" w:rsidRPr="00B120F8">
        <w:rPr>
          <w:rFonts w:ascii="Palatino Linotype" w:hAnsi="Palatino Linotype"/>
          <w:lang w:bidi="hi-IN"/>
        </w:rPr>
        <w:t xml:space="preserve"> deleterious mutations must occur:</w:t>
      </w:r>
    </w:p>
    <w:p w:rsidR="00787111" w:rsidRPr="00B120F8" w:rsidRDefault="002175E5" w:rsidP="0013483B">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B120F8">
        <w:rPr>
          <w:rFonts w:ascii="Palatino Linotype" w:hAnsi="Palatino Linotype"/>
          <w:lang w:bidi="hi-IN"/>
        </w:rPr>
        <w:t>.</w:t>
      </w:r>
    </w:p>
    <w:p w:rsidR="00787111" w:rsidRPr="00EE1F7D" w:rsidRDefault="00311C92" w:rsidP="0013483B">
      <w:pPr>
        <w:spacing w:line="480" w:lineRule="auto"/>
        <w:rPr>
          <w:rFonts w:ascii="Palatino Linotype" w:hAnsi="Palatino Linotype"/>
          <w:lang w:bidi="hi-IN"/>
        </w:rPr>
      </w:pPr>
      <w:r w:rsidRPr="00B120F8">
        <w:rPr>
          <w:rFonts w:ascii="Palatino Linotype" w:hAnsi="Palatino Linotype"/>
          <w:lang w:bidi="hi-IN"/>
        </w:rPr>
        <w:t xml:space="preserve">Using </w:t>
      </w:r>
      <w:r w:rsidR="00787111" w:rsidRPr="00B120F8">
        <w:rPr>
          <w:rFonts w:ascii="Palatino Linotype" w:hAnsi="Palatino Linotype"/>
          <w:lang w:bidi="hi-IN"/>
        </w:rPr>
        <w:t>the probability mass function of a Poisson distribution, we can expand</w:t>
      </w:r>
      <w:r w:rsidR="00787111" w:rsidRPr="00EE1F7D">
        <w:rPr>
          <w:rFonts w:ascii="Palatino Linotype" w:hAnsi="Palatino Linotype"/>
          <w:lang w:bidi="hi-IN"/>
        </w:rPr>
        <w:t xml:space="preserve"> the </w:t>
      </w:r>
      <w:r>
        <w:rPr>
          <w:rFonts w:ascii="Palatino Linotype" w:hAnsi="Palatino Linotype"/>
          <w:lang w:bidi="hi-IN"/>
        </w:rPr>
        <w:t>above equation to</w:t>
      </w:r>
    </w:p>
    <w:p w:rsidR="00787111" w:rsidRPr="00EE1F7D" w:rsidRDefault="002175E5" w:rsidP="0013483B">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13483B">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00311C92"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w:t>
      </w:r>
      <w:r w:rsidR="00747917">
        <w:rPr>
          <w:rFonts w:ascii="Palatino Linotype" w:hAnsi="Palatino Linotype"/>
          <w:lang w:bidi="hi-IN"/>
        </w:rPr>
        <w:t xml:space="preserve"> of individuals</w:t>
      </w:r>
      <w:r w:rsidRPr="00EE1F7D">
        <w:rPr>
          <w:rFonts w:ascii="Palatino Linotype" w:hAnsi="Palatino Linotype"/>
          <w:lang w:bidi="hi-IN"/>
        </w:rPr>
        <w:t xml:space="preserve">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sidR="00311C92">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w:t>
      </w:r>
      <w:r w:rsidR="00747917">
        <w:rPr>
          <w:rFonts w:ascii="Palatino Linotype" w:hAnsi="Palatino Linotype"/>
        </w:rPr>
        <w:t>alleles</w:t>
      </w:r>
      <w:r w:rsidRPr="00EE1F7D">
        <w:rPr>
          <w:rFonts w:ascii="Palatino Linotype" w:hAnsi="Palatino Linotype"/>
        </w:rPr>
        <w:t>.</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lastRenderedPageBreak/>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2175E5" w:rsidP="0013483B">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2175E5" w:rsidP="0013483B">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2175E5" w:rsidP="0013483B">
      <w:pPr>
        <w:spacing w:line="480" w:lineRule="auto"/>
        <w:jc w:val="center"/>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m:oMathPara>
    </w:p>
    <w:p w:rsidR="00747917" w:rsidRDefault="00747917" w:rsidP="0013483B">
      <w:pPr>
        <w:spacing w:line="480" w:lineRule="auto"/>
        <w:rPr>
          <w:rFonts w:ascii="Palatino Linotype" w:hAnsi="Palatino Linotype"/>
          <w:lang w:bidi="hi-IN"/>
        </w:rPr>
      </w:pPr>
      <w:proofErr w:type="gramStart"/>
      <w:r>
        <w:rPr>
          <w:rFonts w:ascii="Palatino Linotype" w:hAnsi="Palatino Linotype"/>
          <w:lang w:bidi="hi-IN"/>
        </w:rPr>
        <w:t>and</w:t>
      </w:r>
      <w:proofErr w:type="gramEnd"/>
      <w:r w:rsidR="00787111" w:rsidRPr="00EE1F7D">
        <w:rPr>
          <w:rFonts w:ascii="Palatino Linotype" w:hAnsi="Palatino Linotype"/>
          <w:lang w:bidi="hi-IN"/>
        </w:rPr>
        <w:t xml:space="preserve"> </w:t>
      </w:r>
      <w:r w:rsidR="00787111" w:rsidRPr="00EE1F7D">
        <w:rPr>
          <w:rFonts w:ascii="Palatino Linotype" w:hAnsi="Palatino Linotype"/>
          <w:i/>
          <w:iCs/>
          <w:lang w:bidi="hi-IN"/>
        </w:rPr>
        <w:t>M</w:t>
      </w:r>
      <w:r w:rsidR="00787111" w:rsidRPr="00EE1F7D">
        <w:rPr>
          <w:rFonts w:ascii="Palatino Linotype" w:hAnsi="Palatino Linotype"/>
          <w:lang w:bidi="hi-IN"/>
        </w:rPr>
        <w:t xml:space="preserve"> is a </w:t>
      </w:r>
      <w:r>
        <w:rPr>
          <w:rFonts w:ascii="Palatino Linotype" w:hAnsi="Palatino Linotype"/>
          <w:lang w:bidi="hi-IN"/>
        </w:rPr>
        <w:t xml:space="preserve">triangular </w:t>
      </w:r>
      <w:r w:rsidR="00787111" w:rsidRPr="00EE1F7D">
        <w:rPr>
          <w:rFonts w:ascii="Palatino Linotype" w:hAnsi="Palatino Linotype"/>
          <w:lang w:bidi="hi-IN"/>
        </w:rPr>
        <w:t>matrix</w:t>
      </w:r>
      <w:r>
        <w:rPr>
          <w:rFonts w:ascii="Palatino Linotype" w:hAnsi="Palatino Linotype"/>
          <w:lang w:bidi="hi-IN"/>
        </w:rPr>
        <w:t xml:space="preserve">. In this case the </w:t>
      </w:r>
      <w:proofErr w:type="gramStart"/>
      <w:r>
        <w:rPr>
          <w:rFonts w:ascii="Palatino Linotype" w:hAnsi="Palatino Linotype"/>
          <w:lang w:bidi="hi-IN"/>
        </w:rPr>
        <w:t>population mean</w:t>
      </w:r>
      <w:proofErr w:type="gramEnd"/>
      <w:r>
        <w:rPr>
          <w:rFonts w:ascii="Palatino Linotype" w:hAnsi="Palatino Linotype"/>
          <w:lang w:bidi="hi-IN"/>
        </w:rPr>
        <w:t xml:space="preserve"> fitness can be found by solving the equation for </w:t>
      </w:r>
      <w:r>
        <w:rPr>
          <w:rFonts w:ascii="Palatino Linotype" w:hAnsi="Palatino Linotype"/>
          <w:i/>
          <w:iCs/>
          <w:lang w:bidi="hi-IN"/>
        </w:rPr>
        <w:t>f</w:t>
      </w:r>
      <w:r>
        <w:rPr>
          <w:rFonts w:ascii="Palatino Linotype" w:hAnsi="Palatino Linotype"/>
          <w:i/>
          <w:iCs/>
          <w:vertAlign w:val="subscript"/>
          <w:lang w:bidi="hi-IN"/>
        </w:rPr>
        <w:t>0</w:t>
      </w:r>
      <w:r w:rsidR="00787111" w:rsidRPr="00EE1F7D">
        <w:rPr>
          <w:rFonts w:ascii="Palatino Linotype" w:hAnsi="Palatino Linotype"/>
          <w:lang w:bidi="hi-IN"/>
        </w:rPr>
        <w:t xml:space="preserve">: </w:t>
      </w:r>
    </w:p>
    <w:p w:rsidR="00747917" w:rsidRDefault="002175E5" w:rsidP="0013483B">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0,0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oMath>
      <w:r w:rsidR="008C6F95">
        <w:rPr>
          <w:rFonts w:ascii="Palatino Linotype" w:hAnsi="Palatino Linotype"/>
          <w:lang w:bidi="hi-IN"/>
        </w:rPr>
        <w:t>,</w:t>
      </w:r>
    </w:p>
    <w:p w:rsidR="00747917" w:rsidRDefault="008C6F95" w:rsidP="0013483B">
      <w:pPr>
        <w:spacing w:line="480" w:lineRule="auto"/>
        <w:rPr>
          <w:rFonts w:ascii="Palatino Linotype" w:hAnsi="Palatino Linotype"/>
          <w:lang w:bidi="hi-IN"/>
        </w:rPr>
      </w:pPr>
      <w:proofErr w:type="gramStart"/>
      <w:r>
        <w:rPr>
          <w:rFonts w:ascii="Palatino Linotype" w:hAnsi="Palatino Linotype"/>
          <w:lang w:bidi="hi-IN"/>
        </w:rPr>
        <w:t>which</w:t>
      </w:r>
      <w:proofErr w:type="gramEnd"/>
      <w:r>
        <w:rPr>
          <w:rFonts w:ascii="Palatino Linotype" w:hAnsi="Palatino Linotype"/>
          <w:lang w:bidi="hi-IN"/>
        </w:rPr>
        <w:t xml:space="preserve"> means that the population mean fitness is equal to the product of the fitness of mutation-free individuals and the probability that a mutation-free individual does not mutate. </w:t>
      </w:r>
      <w:r w:rsidR="00787111" w:rsidRPr="00EE1F7D">
        <w:rPr>
          <w:rFonts w:ascii="Palatino Linotype" w:hAnsi="Palatino Linotype"/>
          <w:lang w:bidi="hi-IN"/>
        </w:rPr>
        <w:t xml:space="preserve">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00787111"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00787111" w:rsidRPr="00EE1F7D">
        <w:rPr>
          <w:rFonts w:ascii="Palatino Linotype" w:hAnsi="Palatino Linotype"/>
          <w:lang w:bidi="hi-IN"/>
        </w:rPr>
        <w:t xml:space="preserve"> (constant uniform mutation rate) then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-U</m:t>
            </m:r>
          </m:sup>
        </m:sSup>
      </m:oMath>
      <w:r>
        <w:rPr>
          <w:rFonts w:ascii="Palatino Linotype" w:hAnsi="Palatino Linotype"/>
          <w:lang w:bidi="hi-IN"/>
        </w:rPr>
        <w:t xml:space="preserve"> </w:t>
      </w:r>
      <w:r>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rFonts w:ascii="Palatino Linotype" w:hAnsi="Palatino Linotype"/>
          <w:lang w:bidi="hi-IN"/>
        </w:rPr>
        <w:fldChar w:fldCharType="separate"/>
      </w:r>
      <w:r w:rsidRPr="008C6F95">
        <w:rPr>
          <w:rFonts w:ascii="Palatino Linotype" w:hAnsi="Palatino Linotype"/>
          <w:noProof/>
          <w:lang w:bidi="hi-IN"/>
        </w:rPr>
        <w:t>(Kimura and Maruyama 1966)</w:t>
      </w:r>
      <w:r>
        <w:rPr>
          <w:rFonts w:ascii="Palatino Linotype" w:hAnsi="Palatino Linotype"/>
          <w:lang w:bidi="hi-IN"/>
        </w:rPr>
        <w:fldChar w:fldCharType="end"/>
      </w:r>
      <w:r w:rsidR="00747917">
        <w:rPr>
          <w:rFonts w:ascii="Palatino Linotype" w:hAnsi="Palatino Linotype"/>
          <w:lang w:bidi="hi-IN"/>
        </w:rPr>
        <w:t xml:space="preserve"> and by the forward substitution method the </w:t>
      </w:r>
      <w:r w:rsidR="00787111" w:rsidRPr="00EE1F7D">
        <w:rPr>
          <w:rFonts w:ascii="Palatino Linotype" w:hAnsi="Palatino Linotype"/>
          <w:lang w:bidi="hi-IN"/>
        </w:rPr>
        <w:t xml:space="preserve">frequencies vector is </w:t>
      </w:r>
    </w:p>
    <w:p w:rsidR="00747917" w:rsidRDefault="002175E5" w:rsidP="0013483B">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00787111" w:rsidRPr="00EE1F7D">
        <w:rPr>
          <w:rFonts w:ascii="Palatino Linotype" w:hAnsi="Palatino Linotype"/>
          <w:lang w:bidi="hi-IN"/>
        </w:rPr>
        <w:t>,</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 xml:space="preserve">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005E1D12"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sidR="00C31483">
        <w:rPr>
          <w:rFonts w:ascii="Palatino Linotype" w:hAnsi="Palatino Linotype"/>
        </w:rPr>
        <w:t xml:space="preserve">population </w:t>
      </w:r>
      <w:r w:rsidRPr="00EE1F7D">
        <w:rPr>
          <w:rFonts w:ascii="Palatino Linotype" w:hAnsi="Palatino Linotype"/>
        </w:rPr>
        <w:t>mean fitness</w:t>
      </w:r>
      <w:r w:rsidR="00C31483">
        <w:rPr>
          <w:rFonts w:ascii="Palatino Linotype" w:hAnsi="Palatino Linotype"/>
        </w:rPr>
        <w:t xml:space="preserve"> at the MSB</w:t>
      </w:r>
      <w:r w:rsidRPr="00EE1F7D">
        <w:rPr>
          <w:rFonts w:ascii="Palatino Linotype" w:hAnsi="Palatino Linotype"/>
        </w:rPr>
        <w:t xml:space="preserve"> </w:t>
      </w:r>
      <w:proofErr w:type="gramStart"/>
      <w:r w:rsidR="00C31483">
        <w:rPr>
          <w:rFonts w:ascii="Palatino Linotype" w:hAnsi="Palatino Linotype"/>
        </w:rPr>
        <w:t xml:space="preserve">is </w:t>
      </w:r>
      <w:proofErr w:type="gramEnd"/>
      <m:oMath>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-τU</m:t>
            </m:r>
          </m:sup>
        </m:sSup>
      </m:oMath>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w:t>
      </w:r>
      <w:r w:rsidRPr="00EE1F7D">
        <w:rPr>
          <w:rFonts w:ascii="Palatino Linotype" w:hAnsi="Palatino Linotype"/>
        </w:rPr>
        <w:lastRenderedPageBreak/>
        <w:t xml:space="preserve">mutagenesis (SIM), as </w:t>
      </w:r>
      <w:r w:rsidR="00C31483">
        <w:rPr>
          <w:rFonts w:ascii="Palatino Linotype" w:hAnsi="Palatino Linotype"/>
        </w:rPr>
        <w:t xml:space="preserve">shown by </w:t>
      </w:r>
      <w:r w:rsidRPr="00EE1F7D">
        <w:rPr>
          <w:rFonts w:ascii="Palatino Linotype" w:hAnsi="Palatino Linotype"/>
        </w:rPr>
        <w:t xml:space="preserve">Agrawal </w:t>
      </w:r>
      <w:r w:rsidR="005E1D12" w:rsidRPr="00EE1F7D">
        <w:rPr>
          <w:rFonts w:ascii="Palatino Linotype" w:hAnsi="Palatino Linotype"/>
        </w:rPr>
        <w:fldChar w:fldCharType="begin" w:fldLock="1"/>
      </w:r>
      <w:r w:rsidR="00B90E9A">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5E1D12" w:rsidRPr="00EE1F7D">
        <w:rPr>
          <w:rFonts w:ascii="Palatino Linotype" w:hAnsi="Palatino Linotype"/>
        </w:rPr>
        <w:fldChar w:fldCharType="separate"/>
      </w:r>
      <w:r w:rsidR="00AA429E" w:rsidRPr="00AA429E">
        <w:rPr>
          <w:rFonts w:ascii="Palatino Linotype" w:hAnsi="Palatino Linotype"/>
          <w:noProof/>
        </w:rPr>
        <w:t>(2002)</w:t>
      </w:r>
      <w:r w:rsidR="005E1D12"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w:t>
      </w:r>
      <w:proofErr w:type="gramStart"/>
      <w:r w:rsidRPr="00EE1F7D">
        <w:rPr>
          <w:rFonts w:ascii="Palatino Linotype" w:hAnsi="Palatino Linotype"/>
        </w:rPr>
        <w:t>is</w:t>
      </w:r>
      <w:r w:rsidR="008C6F95">
        <w:rPr>
          <w:rFonts w:ascii="Palatino Linotype" w:hAnsi="Palatino Linotype"/>
        </w:rP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EE1F7D">
        <w:rPr>
          <w:rFonts w:ascii="Palatino Linotype" w:hAnsi="Palatino Linotype"/>
        </w:rPr>
        <w:t>.</w:t>
      </w:r>
    </w:p>
    <w:p w:rsidR="00747917"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β&gt;0)</w:t>
      </w:r>
      <w:r w:rsidR="00747917">
        <w:rPr>
          <w:rFonts w:ascii="Palatino Linotype" w:hAnsi="Palatino Linotype"/>
        </w:rPr>
        <w:t xml:space="preserve">, </w:t>
      </w:r>
      <w:r w:rsidR="008C6F95">
        <w:rPr>
          <w:rFonts w:ascii="Palatino Linotype" w:hAnsi="Palatino Linotype"/>
          <w:lang w:bidi="hi-IN"/>
        </w:rPr>
        <w:t xml:space="preserve">the matrix </w:t>
      </w:r>
      <w:r w:rsidR="00747917" w:rsidRPr="00EE1F7D">
        <w:rPr>
          <w:rFonts w:ascii="Palatino Linotype" w:hAnsi="Palatino Linotype"/>
          <w:i/>
          <w:iCs/>
          <w:lang w:bidi="hi-IN"/>
        </w:rPr>
        <w:t>M</w:t>
      </w:r>
      <w:r w:rsidR="00747917" w:rsidRPr="00EE1F7D">
        <w:rPr>
          <w:rFonts w:ascii="Palatino Linotype" w:hAnsi="Palatino Linotype"/>
          <w:lang w:bidi="hi-IN"/>
        </w:rPr>
        <w:t xml:space="preserve"> is a </w:t>
      </w:r>
      <w:r w:rsidR="008C6F95">
        <w:rPr>
          <w:rFonts w:ascii="Palatino Linotype" w:hAnsi="Palatino Linotype"/>
          <w:lang w:bidi="hi-IN"/>
        </w:rPr>
        <w:t xml:space="preserve">positive </w:t>
      </w:r>
      <w:r w:rsidR="00747917" w:rsidRPr="00EE1F7D">
        <w:rPr>
          <w:rFonts w:ascii="Palatino Linotype" w:hAnsi="Palatino Linotype"/>
          <w:lang w:bidi="hi-IN"/>
        </w:rPr>
        <w:t>matrix,</w:t>
      </w:r>
      <w:r w:rsidR="008C6F95">
        <w:rPr>
          <w:rFonts w:ascii="Palatino Linotype" w:hAnsi="Palatino Linotype"/>
          <w:lang w:bidi="hi-IN"/>
        </w:rPr>
        <w:t xml:space="preserve"> and</w:t>
      </w:r>
      <w:r w:rsidR="00747917" w:rsidRPr="00EE1F7D">
        <w:rPr>
          <w:rFonts w:ascii="Palatino Linotype" w:hAnsi="Palatino Linotype"/>
          <w:lang w:bidi="hi-IN"/>
        </w:rPr>
        <w:t xml:space="preserve"> by the </w:t>
      </w:r>
      <w:proofErr w:type="spellStart"/>
      <w:r w:rsidR="00747917" w:rsidRPr="00EE1F7D">
        <w:rPr>
          <w:rFonts w:ascii="Palatino Linotype" w:hAnsi="Palatino Linotype"/>
          <w:i/>
          <w:iCs/>
          <w:lang w:bidi="hi-IN"/>
        </w:rPr>
        <w:t>Perron-Frobenius</w:t>
      </w:r>
      <w:proofErr w:type="spellEnd"/>
      <w:r w:rsidR="00747917" w:rsidRPr="00EE1F7D">
        <w:rPr>
          <w:rFonts w:ascii="Palatino Linotype" w:hAnsi="Palatino Linotype"/>
          <w:i/>
          <w:iCs/>
          <w:lang w:bidi="hi-IN"/>
        </w:rPr>
        <w:t xml:space="preserve"> Theorem</w:t>
      </w:r>
      <w:r w:rsidR="00747917" w:rsidRPr="00EE1F7D">
        <w:rPr>
          <w:rFonts w:ascii="Palatino Linotype" w:hAnsi="Palatino Linotype"/>
          <w:lang w:bidi="hi-IN"/>
        </w:rPr>
        <w:t xml:space="preserve"> </w:t>
      </w:r>
      <w:r w:rsidR="00747917" w:rsidRPr="00EE1F7D">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00747917" w:rsidRPr="00EE1F7D">
        <w:rPr>
          <w:rFonts w:ascii="Palatino Linotype" w:hAnsi="Palatino Linotype"/>
          <w:lang w:bidi="hi-IN"/>
        </w:rPr>
        <w:fldChar w:fldCharType="separate"/>
      </w:r>
      <w:r w:rsidR="00747917" w:rsidRPr="00EE1F7D">
        <w:rPr>
          <w:rFonts w:ascii="Palatino Linotype" w:hAnsi="Palatino Linotype"/>
          <w:noProof/>
          <w:lang w:bidi="hi-IN"/>
        </w:rPr>
        <w:t>(Otto and Day 2007, p. 709)</w:t>
      </w:r>
      <w:r w:rsidR="00747917" w:rsidRPr="00EE1F7D">
        <w:rPr>
          <w:rFonts w:ascii="Palatino Linotype" w:hAnsi="Palatino Linotype"/>
          <w:lang w:bidi="hi-IN"/>
        </w:rPr>
        <w:fldChar w:fldCharType="end"/>
      </w:r>
      <w:r w:rsidR="00747917"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00747917" w:rsidRPr="00EE1F7D">
        <w:rPr>
          <w:rFonts w:ascii="Palatino Linotype" w:hAnsi="Palatino Linotype"/>
          <w:lang w:bidi="hi-IN"/>
        </w:rPr>
        <w:t xml:space="preserve"> is the largest eigenvalue of </w:t>
      </w:r>
      <w:r w:rsidR="00747917" w:rsidRPr="00EE1F7D">
        <w:rPr>
          <w:rFonts w:ascii="Palatino Linotype" w:hAnsi="Palatino Linotype"/>
          <w:i/>
          <w:iCs/>
          <w:lang w:bidi="hi-IN"/>
        </w:rPr>
        <w:t>M</w:t>
      </w:r>
      <w:r w:rsidR="008C6F95">
        <w:rPr>
          <w:rFonts w:ascii="Palatino Linotype" w:hAnsi="Palatino Linotype"/>
          <w:lang w:bidi="hi-IN"/>
        </w:rPr>
        <w:t xml:space="preserve"> </w:t>
      </w:r>
      <w:r w:rsidR="00747917" w:rsidRPr="00EE1F7D">
        <w:rPr>
          <w:rFonts w:ascii="Palatino Linotype" w:hAnsi="Palatino Linotype"/>
          <w:lang w:bidi="hi-IN"/>
        </w:rPr>
        <w:t xml:space="preserve">and </w:t>
      </w:r>
      <w:r w:rsidR="00747917" w:rsidRPr="00EE1F7D">
        <w:rPr>
          <w:rFonts w:ascii="Palatino Linotype" w:hAnsi="Palatino Linotype"/>
          <w:i/>
          <w:iCs/>
          <w:lang w:bidi="hi-IN"/>
        </w:rPr>
        <w:t>f*</w:t>
      </w:r>
      <w:r w:rsidR="00747917" w:rsidRPr="00EE1F7D">
        <w:rPr>
          <w:rFonts w:ascii="Palatino Linotype" w:hAnsi="Palatino Linotype"/>
          <w:lang w:bidi="hi-IN"/>
        </w:rPr>
        <w:t xml:space="preserve"> is its unique </w:t>
      </w:r>
      <w:r w:rsidR="008C6F95">
        <w:rPr>
          <w:rFonts w:ascii="Palatino Linotype" w:hAnsi="Palatino Linotype"/>
          <w:lang w:bidi="hi-IN"/>
        </w:rPr>
        <w:t>positive</w:t>
      </w:r>
      <w:r w:rsidR="00747917" w:rsidRPr="00EE1F7D">
        <w:rPr>
          <w:rFonts w:ascii="Palatino Linotype" w:hAnsi="Palatino Linotype"/>
          <w:lang w:bidi="hi-IN"/>
        </w:rPr>
        <w:t xml:space="preserve"> eigenvector with </w:t>
      </w:r>
      <m:oMath>
        <m:r>
          <w:rPr>
            <w:rFonts w:ascii="Cambria Math" w:hAnsi="Cambria Math"/>
            <w:lang w:bidi="hi-IN"/>
          </w:rPr>
          <m:t>∑f=1</m:t>
        </m:r>
      </m:oMath>
      <w:r w:rsidR="00747917" w:rsidRPr="00EE1F7D">
        <w:rPr>
          <w:rFonts w:ascii="Palatino Linotype" w:hAnsi="Palatino Linotype"/>
          <w:lang w:bidi="hi-IN"/>
        </w:rPr>
        <w:t xml:space="preserve">. </w:t>
      </w:r>
    </w:p>
    <w:p w:rsidR="00787111" w:rsidRPr="00747917" w:rsidRDefault="008C6F95" w:rsidP="0013483B">
      <w:pPr>
        <w:spacing w:line="480" w:lineRule="auto"/>
        <w:rPr>
          <w:rFonts w:ascii="Palatino Linotype" w:hAnsi="Palatino Linotype"/>
          <w:lang w:bidi="hi-IN"/>
        </w:rPr>
      </w:pPr>
      <w:r>
        <w:rPr>
          <w:rFonts w:ascii="Palatino Linotype" w:hAnsi="Palatino Linotype"/>
          <w:lang w:bidi="hi-IN"/>
        </w:rPr>
        <w:t>This eigenvalue problem is hard to solve analytically, however, b</w:t>
      </w:r>
      <w:r w:rsidR="00787111" w:rsidRPr="00EE1F7D">
        <w:rPr>
          <w:rFonts w:ascii="Palatino Linotype" w:hAnsi="Palatino Linotype"/>
          <w:lang w:bidi="hi-IN"/>
        </w:rPr>
        <w:t xml:space="preserve">y neglecting elements outside the main three diagonals of </w:t>
      </w:r>
      <w:r w:rsidR="00787111" w:rsidRPr="00EE1F7D">
        <w:rPr>
          <w:rFonts w:ascii="Palatino Linotype" w:hAnsi="Palatino Linotype"/>
          <w:i/>
          <w:iCs/>
          <w:lang w:bidi="hi-IN"/>
        </w:rPr>
        <w:t>M</w:t>
      </w:r>
      <w:r w:rsidR="00787111" w:rsidRPr="00EE1F7D">
        <w:rPr>
          <w:rFonts w:ascii="Palatino Linotype" w:hAnsi="Palatino Linotype"/>
          <w:lang w:bidi="hi-IN"/>
        </w:rPr>
        <w:t xml:space="preserve"> we have shown before </w:t>
      </w:r>
      <w:r w:rsidR="005E1D12" w:rsidRPr="00EE1F7D">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005E1D12"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13483B">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13483B">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13483B">
      <w:pPr>
        <w:spacing w:line="48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m:oMath>
        <m:sSup>
          <m:sSupPr>
            <m:ctrlPr>
              <w:rPr>
                <w:rFonts w:ascii="Cambria Math" w:hAnsi="Cambria Math"/>
                <w:i/>
              </w:rPr>
            </m:ctrlPr>
          </m:sSupPr>
          <m:e>
            <m:r>
              <w:rPr>
                <w:rFonts w:ascii="Cambria Math" w:hAnsi="Cambria Math"/>
              </w:rPr>
              <m:t>e</m:t>
            </m:r>
          </m:e>
          <m:sup>
            <m:r>
              <w:rPr>
                <w:rFonts w:ascii="Cambria Math" w:hAnsi="Cambria Math"/>
              </w:rPr>
              <m:t>-U</m:t>
            </m:r>
          </m:sup>
        </m:sSup>
      </m:oMath>
      <w:r w:rsidR="008C6F95">
        <w:rPr>
          <w:rFonts w:ascii="Palatino Linotype" w:hAnsi="Palatino Linotype"/>
        </w:rPr>
        <w:t xml:space="preserve"> </w:t>
      </w:r>
      <w:r w:rsidR="00787111" w:rsidRPr="00EE1F7D">
        <w:rPr>
          <w:rFonts w:ascii="Palatino Linotype" w:hAnsi="Palatino Linotype"/>
        </w:rPr>
        <w:t xml:space="preserve">is a good approximation to the population mean fitness (because </w:t>
      </w:r>
      <m:oMath>
        <m:r>
          <w:rPr>
            <w:rFonts w:ascii="Cambria Math" w:hAnsi="Cambria Math"/>
          </w:rPr>
          <m:t>β≪δ&lt;1</m:t>
        </m:r>
      </m:oMath>
      <w:r w:rsidR="00787111" w:rsidRPr="00EE1F7D">
        <w:rPr>
          <w:rFonts w:ascii="Palatino Linotype" w:hAnsi="Palatino Linotype"/>
        </w:rPr>
        <w:t xml:space="preserve">), </w:t>
      </w:r>
      <w:r w:rsidR="008C6F95">
        <w:rPr>
          <w:rFonts w:ascii="Palatino Linotype" w:hAnsi="Palatino Linotype"/>
        </w:rPr>
        <w:t>and that</w:t>
      </w:r>
      <w:r w:rsidR="00787111" w:rsidRPr="00EE1F7D">
        <w:rPr>
          <w:rFonts w:ascii="Palatino Linotype" w:hAnsi="Palatino Linotype"/>
        </w:rPr>
        <w:t xml:space="preserve"> SIM </w:t>
      </w:r>
      <w:r w:rsidR="00C31483">
        <w:rPr>
          <w:rFonts w:ascii="Palatino Linotype" w:hAnsi="Palatino Linotype"/>
        </w:rPr>
        <w:t xml:space="preserve">slightly </w:t>
      </w:r>
      <w:r w:rsidR="00787111" w:rsidRPr="00EE1F7D">
        <w:rPr>
          <w:rFonts w:ascii="Palatino Linotype" w:hAnsi="Palatino Linotype"/>
        </w:rPr>
        <w:t>increase</w:t>
      </w:r>
      <w:r w:rsidR="008C6F95">
        <w:rPr>
          <w:rFonts w:ascii="Palatino Linotype" w:hAnsi="Palatino Linotype"/>
        </w:rPr>
        <w:t>s</w:t>
      </w:r>
      <w:r w:rsidR="00787111" w:rsidRPr="00EE1F7D">
        <w:rPr>
          <w:rFonts w:ascii="Palatino Linotype" w:hAnsi="Palatino Linotype"/>
        </w:rPr>
        <w:t xml:space="preserv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sidR="005E1D12">
        <w:rPr>
          <w:rFonts w:ascii="Palatino Linotype" w:hAnsi="Palatino Linotype"/>
        </w:rPr>
        <w:fldChar w:fldCharType="begin" w:fldLock="1"/>
      </w:r>
      <w:r w:rsidR="00B90E9A">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Pr>
          <w:rFonts w:ascii="Palatino Linotype" w:hAnsi="Palatino Linotype"/>
        </w:rPr>
        <w:fldChar w:fldCharType="separate"/>
      </w:r>
      <w:r w:rsidR="00D84EDB" w:rsidRPr="00D84EDB">
        <w:rPr>
          <w:rFonts w:ascii="Palatino Linotype" w:hAnsi="Palatino Linotype"/>
          <w:noProof/>
        </w:rPr>
        <w:t>(Ram and Hadany 2012)</w:t>
      </w:r>
      <w:r w:rsidR="005E1D12">
        <w:rPr>
          <w:rFonts w:ascii="Palatino Linotype" w:hAnsi="Palatino Linotype"/>
        </w:rPr>
        <w:fldChar w:fldCharType="end"/>
      </w:r>
      <w:r w:rsidR="00787111" w:rsidRPr="00EE1F7D">
        <w:rPr>
          <w:rFonts w:ascii="Palatino Linotype" w:hAnsi="Palatino Linotype"/>
        </w:rPr>
        <w:t xml:space="preserve">. Since we assume </w:t>
      </w:r>
      <w:proofErr w:type="gramStart"/>
      <w:r w:rsidR="00787111" w:rsidRPr="00EE1F7D">
        <w:rPr>
          <w:rFonts w:ascii="Palatino Linotype" w:hAnsi="Palatino Linotype"/>
        </w:rPr>
        <w:t xml:space="preserve">that </w:t>
      </w:r>
      <w:proofErr w:type="gramEnd"/>
      <m:oMath>
        <m:r>
          <w:rPr>
            <w:rFonts w:ascii="Cambria Math" w:hAnsi="Cambria Math"/>
          </w:rPr>
          <m:t>U&lt;s</m:t>
        </m:r>
      </m:oMath>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≈1-U&gt;1-s</m:t>
        </m:r>
      </m:oMath>
      <w:r w:rsidR="00787111" w:rsidRPr="00EE1F7D">
        <w:rPr>
          <w:rFonts w:ascii="Palatino Linotype" w:hAnsi="Palatino Linotype"/>
        </w:rPr>
        <w:t xml:space="preserve">. Therefore, </w:t>
      </w:r>
      <w:r w:rsidR="00C31483">
        <w:rPr>
          <w:rFonts w:ascii="Palatino Linotype" w:hAnsi="Palatino Linotype"/>
        </w:rPr>
        <w:t>for</w:t>
      </w:r>
      <w:r w:rsidR="00787111" w:rsidRPr="00EE1F7D">
        <w:rPr>
          <w:rFonts w:ascii="Palatino Linotype" w:hAnsi="Palatino Linotype"/>
        </w:rPr>
        <w:t xml:space="preserve"> </w:t>
      </w:r>
      <w:r w:rsidR="00787111" w:rsidRPr="00EE1F7D">
        <w:rPr>
          <w:rFonts w:ascii="Palatino Linotype" w:hAnsi="Palatino Linotype"/>
        </w:rPr>
        <w:lastRenderedPageBreak/>
        <w:t xml:space="preserve">SIM </w:t>
      </w:r>
      <w:r w:rsidR="00C31483">
        <w:rPr>
          <w:rFonts w:ascii="Palatino Linotype" w:hAnsi="Palatino Linotype"/>
        </w:rPr>
        <w:t xml:space="preserve">to </w:t>
      </w:r>
      <w:r w:rsidR="00C31483" w:rsidRPr="00EE1F7D">
        <w:rPr>
          <w:rFonts w:ascii="Palatino Linotype" w:hAnsi="Palatino Linotype"/>
        </w:rPr>
        <w:t xml:space="preserve">increase the population mean fitness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F07A1E" w:rsidRDefault="00F07A1E" w:rsidP="0013483B">
      <w:pPr>
        <w:spacing w:line="480" w:lineRule="auto"/>
        <w:rPr>
          <w:rFonts w:ascii="Palatino Linotype" w:hAnsi="Palatino Linotype"/>
          <w:lang w:bidi="hi-IN"/>
        </w:rPr>
      </w:pPr>
      <w:r>
        <w:rPr>
          <w:rFonts w:ascii="Palatino Linotype" w:hAnsi="Palatino Linotype"/>
          <w:lang w:bidi="hi-IN"/>
        </w:rPr>
        <w:br w:type="page"/>
      </w:r>
    </w:p>
    <w:p w:rsidR="00F07A1E" w:rsidRPr="000448EE" w:rsidRDefault="00F07A1E" w:rsidP="0013483B">
      <w:pPr>
        <w:pStyle w:val="Heading1"/>
        <w:numPr>
          <w:ilvl w:val="0"/>
          <w:numId w:val="5"/>
        </w:numPr>
        <w:spacing w:line="480" w:lineRule="auto"/>
      </w:pPr>
      <w:bookmarkStart w:id="5" w:name="_Ref374377810"/>
      <w:r w:rsidRPr="000448EE">
        <w:lastRenderedPageBreak/>
        <w:t>Possible relationships between stress and mutation</w:t>
      </w:r>
      <w:bookmarkEnd w:id="5"/>
      <w:r w:rsidRPr="000448EE">
        <w:t xml:space="preserve"> </w:t>
      </w:r>
    </w:p>
    <w:p w:rsidR="002D7219" w:rsidRDefault="00901975" w:rsidP="002D7219">
      <w:pPr>
        <w:spacing w:line="480" w:lineRule="auto"/>
        <w:rPr>
          <w:lang w:bidi="hi-IN"/>
        </w:rPr>
      </w:pPr>
      <w:r>
        <w:rPr>
          <w:lang w:bidi="hi-IN"/>
        </w:rPr>
        <w:t xml:space="preserve">In the main text </w:t>
      </w:r>
      <w:r w:rsidR="00F07A1E" w:rsidRPr="000448EE">
        <w:rPr>
          <w:lang w:bidi="hi-IN"/>
        </w:rPr>
        <w:t>we used a threshold relat</w:t>
      </w:r>
      <w:r w:rsidR="00F07A1E" w:rsidRPr="008F3447">
        <w:rPr>
          <w:lang w:bidi="hi-IN"/>
        </w:rPr>
        <w:t xml:space="preserve">ionship between stress and mutation: if fitness </w:t>
      </w:r>
      <w:r w:rsidRPr="008F3447">
        <w:rPr>
          <w:lang w:bidi="hi-IN"/>
        </w:rPr>
        <w:t>drops</w:t>
      </w:r>
      <w:r w:rsidR="00F07A1E" w:rsidRPr="008F3447">
        <w:rPr>
          <w:lang w:bidi="hi-IN"/>
        </w:rPr>
        <w:t xml:space="preserve"> below a threshold (&lt;1 for SIM, </w:t>
      </w:r>
      <w:r w:rsidR="00F07A1E" w:rsidRPr="008F3447">
        <w:rPr>
          <w:rFonts w:ascii="Times New Roman" w:hAnsi="Times New Roman"/>
          <w:lang w:bidi="hi-IN"/>
        </w:rPr>
        <w:t>≤</w:t>
      </w:r>
      <w:r w:rsidR="00F07A1E" w:rsidRPr="008F3447">
        <w:rPr>
          <w:lang w:bidi="hi-IN"/>
        </w:rPr>
        <w:t xml:space="preserve">1 for </w:t>
      </w:r>
      <w:proofErr w:type="spellStart"/>
      <w:r w:rsidR="00F07A1E" w:rsidRPr="008F3447">
        <w:rPr>
          <w:lang w:bidi="hi-IN"/>
        </w:rPr>
        <w:t>SIM</w:t>
      </w:r>
      <w:r w:rsidR="00F07A1E" w:rsidRPr="008F3447">
        <w:rPr>
          <w:vertAlign w:val="subscript"/>
          <w:lang w:bidi="hi-IN"/>
        </w:rPr>
        <w:t>e</w:t>
      </w:r>
      <w:proofErr w:type="spellEnd"/>
      <w:r w:rsidR="00F07A1E" w:rsidRPr="008F3447">
        <w:rPr>
          <w:lang w:bidi="hi-IN"/>
        </w:rPr>
        <w:t xml:space="preserve">), the mutation rate </w:t>
      </w:r>
      <w:r w:rsidR="00F07A1E" w:rsidRPr="00B1563A">
        <w:rPr>
          <w:lang w:bidi="hi-IN"/>
        </w:rPr>
        <w:t xml:space="preserve">increases </w:t>
      </w:r>
      <w:r w:rsidR="00F07A1E" w:rsidRPr="00B1563A">
        <w:rPr>
          <w:i/>
          <w:iCs/>
          <w:lang w:bidi="hi-IN"/>
        </w:rPr>
        <w:t>τ</w:t>
      </w:r>
      <w:r w:rsidR="00F07A1E" w:rsidRPr="008F3447">
        <w:rPr>
          <w:lang w:bidi="hi-IN"/>
        </w:rPr>
        <w:t>-fold. But the relationship</w:t>
      </w:r>
      <w:r w:rsidR="00F07A1E" w:rsidRPr="00BA2B02">
        <w:rPr>
          <w:lang w:bidi="hi-IN"/>
        </w:rPr>
        <w:t xml:space="preserve"> between stress and mutation can be m</w:t>
      </w:r>
      <w:r w:rsidR="00F07A1E">
        <w:rPr>
          <w:lang w:bidi="hi-IN"/>
        </w:rPr>
        <w:t xml:space="preserve">ore complex. For example, Agrawal </w:t>
      </w:r>
      <w:r w:rsidR="00F07A1E">
        <w:rPr>
          <w:lang w:bidi="hi-IN"/>
        </w:rPr>
        <w:fldChar w:fldCharType="begin" w:fldLock="1"/>
      </w:r>
      <w:r w:rsidR="00B90E9A">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F07A1E">
        <w:rPr>
          <w:lang w:bidi="hi-IN"/>
        </w:rPr>
        <w:fldChar w:fldCharType="separate"/>
      </w:r>
      <w:r w:rsidR="00F07A1E" w:rsidRPr="00FD35E1">
        <w:rPr>
          <w:noProof/>
          <w:lang w:bidi="hi-IN"/>
        </w:rPr>
        <w:t>(2002)</w:t>
      </w:r>
      <w:r w:rsidR="00F07A1E">
        <w:rPr>
          <w:lang w:bidi="hi-IN"/>
        </w:rPr>
        <w:fldChar w:fldCharType="end"/>
      </w:r>
      <w:r w:rsidR="00F07A1E">
        <w:rPr>
          <w:lang w:bidi="hi-IN"/>
        </w:rPr>
        <w:t xml:space="preserve"> has used a continuous relationship defined by a curvature parameter </w:t>
      </w:r>
      <w:r w:rsidR="00F07A1E" w:rsidRPr="00FD35E1">
        <w:rPr>
          <w:i/>
          <w:iCs/>
          <w:lang w:bidi="hi-IN"/>
        </w:rPr>
        <w:t>k</w:t>
      </w:r>
      <w:r w:rsidR="00F07A1E">
        <w:rPr>
          <w:lang w:bidi="hi-IN"/>
        </w:rPr>
        <w:t xml:space="preserve">. This relationship defines the </w:t>
      </w:r>
      <w:r w:rsidR="00F07A1E" w:rsidRPr="000448EE">
        <w:rPr>
          <w:lang w:bidi="hi-IN"/>
        </w:rPr>
        <w:t xml:space="preserve">mutation rate for an individual with fitness </w:t>
      </w:r>
      <w:r w:rsidR="00F07A1E" w:rsidRPr="000448EE">
        <w:rPr>
          <w:i/>
          <w:iCs/>
          <w:lang w:bidi="hi-IN"/>
        </w:rPr>
        <w:t>ω</w:t>
      </w:r>
      <w:r w:rsidR="00F07A1E" w:rsidRPr="000448EE">
        <w:rPr>
          <w:lang w:bidi="hi-IN"/>
        </w:rPr>
        <w:t xml:space="preserve">, baseline mutation rate </w:t>
      </w:r>
      <w:r w:rsidR="00F07A1E" w:rsidRPr="000448EE">
        <w:rPr>
          <w:i/>
          <w:iCs/>
          <w:lang w:bidi="hi-IN"/>
        </w:rPr>
        <w:t>U</w:t>
      </w:r>
      <w:r w:rsidR="00F07A1E" w:rsidRPr="000448EE">
        <w:rPr>
          <w:lang w:bidi="hi-IN"/>
        </w:rPr>
        <w:t xml:space="preserve">, and a maximal mutation rate fold increase </w:t>
      </w:r>
      <w:r w:rsidR="00F07A1E" w:rsidRPr="000448EE">
        <w:rPr>
          <w:i/>
          <w:iCs/>
          <w:lang w:bidi="hi-IN"/>
        </w:rPr>
        <w:t>τ</w:t>
      </w:r>
      <w:r w:rsidR="00F07A1E" w:rsidRPr="000448EE">
        <w:rPr>
          <w:lang w:bidi="hi-IN"/>
        </w:rPr>
        <w:t xml:space="preserve"> as</w:t>
      </w:r>
    </w:p>
    <w:p w:rsidR="002D7219" w:rsidRDefault="002D7219" w:rsidP="002D7219">
      <w:pPr>
        <w:spacing w:line="480" w:lineRule="auto"/>
        <w:jc w:val="center"/>
        <w:rPr>
          <w:lang w:bidi="hi-IN"/>
        </w:rPr>
      </w:pPr>
      <m:oMath>
        <m:r>
          <w:rPr>
            <w:rFonts w:ascii="Cambria Math" w:hAnsi="Cambria Math"/>
            <w:lang w:bidi="hi-IN"/>
          </w:rPr>
          <m:t>U(ω)=τU-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r>
              <w:rPr>
                <w:rFonts w:ascii="Cambria Math" w:hAnsi="Cambria Math"/>
                <w:lang w:bidi="hi-IN"/>
              </w:rPr>
              <m:t>ω</m:t>
            </m:r>
          </m:e>
          <m:sup>
            <m:r>
              <w:rPr>
                <w:rFonts w:ascii="Cambria Math" w:hAnsi="Cambria Math"/>
                <w:lang w:bidi="hi-IN"/>
              </w:rPr>
              <m:t>k</m:t>
            </m:r>
          </m:sup>
        </m:sSup>
      </m:oMath>
      <w:r w:rsidRPr="000448EE">
        <w:rPr>
          <w:lang w:bidi="hi-IN"/>
        </w:rPr>
        <w:t>.</w:t>
      </w:r>
    </w:p>
    <w:p w:rsidR="00F07A1E" w:rsidRPr="002825FD" w:rsidRDefault="00F07A1E" w:rsidP="002D7219">
      <w:pPr>
        <w:spacing w:line="480" w:lineRule="auto"/>
      </w:pPr>
      <w:r w:rsidRPr="000448EE">
        <w:rPr>
          <w:lang w:bidi="hi-IN"/>
        </w:rPr>
        <w:t xml:space="preserve">When </w:t>
      </w:r>
      <w:r w:rsidRPr="000448EE">
        <w:rPr>
          <w:i/>
          <w:iCs/>
          <w:lang w:bidi="hi-IN"/>
        </w:rPr>
        <w:t>k</w:t>
      </w:r>
      <w:r w:rsidRPr="000448EE">
        <w:rPr>
          <w:lang w:bidi="hi-IN"/>
        </w:rPr>
        <w:t xml:space="preserve"> approaches 0 this expression approaches </w:t>
      </w:r>
      <w:r w:rsidRPr="000448EE">
        <w:rPr>
          <w:i/>
          <w:iCs/>
          <w:lang w:bidi="hi-IN"/>
        </w:rPr>
        <w:t>U</w:t>
      </w:r>
      <w:r w:rsidRPr="000448EE">
        <w:rPr>
          <w:lang w:bidi="hi-IN"/>
        </w:rPr>
        <w:t xml:space="preserve">, corresponding to the NM strategy. When </w:t>
      </w:r>
      <w:r w:rsidRPr="000448EE">
        <w:rPr>
          <w:i/>
          <w:iCs/>
          <w:lang w:bidi="hi-IN"/>
        </w:rPr>
        <w:t xml:space="preserve">k </w:t>
      </w:r>
      <w:r w:rsidRPr="000448EE">
        <w:t xml:space="preserve">approaches infinity this expression approaches eq. </w:t>
      </w:r>
      <w:r>
        <w:t>1</w:t>
      </w:r>
      <w:r>
        <w:fldChar w:fldCharType="begin"/>
      </w:r>
      <w:r>
        <w:instrText xml:space="preserve"> REF _Ref374460264 \h  \* MERGEFORMAT </w:instrText>
      </w:r>
      <w:r>
        <w:fldChar w:fldCharType="end"/>
      </w:r>
      <w:r w:rsidRPr="000448EE">
        <w:t>, corresponding to the SIM threshold strategy. See Figure S3 for a plot of these continuous relationships for various values</w:t>
      </w:r>
      <w:r>
        <w:t xml:space="preserve"> of </w:t>
      </w:r>
      <w:r>
        <w:rPr>
          <w:i/>
          <w:iCs/>
        </w:rPr>
        <w:t>k</w:t>
      </w:r>
      <w:r>
        <w:t>.</w:t>
      </w:r>
    </w:p>
    <w:p w:rsidR="002D7219" w:rsidRDefault="00F07A1E" w:rsidP="002D7219">
      <w:pPr>
        <w:spacing w:line="480" w:lineRule="auto"/>
        <w:rPr>
          <w:lang w:bidi="hi-IN"/>
        </w:rPr>
      </w:pPr>
      <w:r>
        <w:t xml:space="preserve">Figure </w:t>
      </w:r>
      <w:r w:rsidR="0013483B">
        <w:t>S5</w:t>
      </w:r>
      <w:r>
        <w:rPr>
          <w:lang w:bidi="hi-IN"/>
        </w:rPr>
        <w:t xml:space="preserve"> shows the adaptation time for three continuous strategies (</w:t>
      </w:r>
      <w:r w:rsidRPr="0066767E">
        <w:rPr>
          <w:i/>
          <w:iCs/>
          <w:lang w:bidi="hi-IN"/>
        </w:rPr>
        <w:t>k</w:t>
      </w:r>
      <w:r>
        <w:rPr>
          <w:lang w:bidi="hi-IN"/>
        </w:rPr>
        <w:t>=1/10, 1, and 10).  Remarkably, the dynamics of a continuous strategy can be approximated by a threshold strategy by matching the mutation rates of single mutants:</w:t>
      </w:r>
    </w:p>
    <w:p w:rsidR="002D7219" w:rsidRDefault="002D7219" w:rsidP="002D7219">
      <w:pPr>
        <w:spacing w:line="480" w:lineRule="auto"/>
        <w:jc w:val="center"/>
        <w:rPr>
          <w:lang w:bidi="hi-IN"/>
        </w:rP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U,                                           ω≥1</m:t>
                </m:r>
              </m:e>
              <m:e>
                <m:r>
                  <w:rPr>
                    <w:rFonts w:ascii="Cambria Math" w:hAnsi="Cambria Math"/>
                    <w:lang w:bidi="hi-IN"/>
                  </w:rPr>
                  <m:t>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k</m:t>
                    </m:r>
                  </m:sup>
                </m:sSup>
                <m:r>
                  <w:rPr>
                    <w:rFonts w:ascii="Cambria Math" w:hAnsi="Cambria Math"/>
                    <w:lang w:bidi="hi-IN"/>
                  </w:rPr>
                  <m:t>,   ω&lt;1</m:t>
                </m:r>
              </m:e>
            </m:eqArr>
          </m:e>
        </m:d>
      </m:oMath>
      <w:r>
        <w:rPr>
          <w:lang w:bidi="hi-IN"/>
        </w:rPr>
        <w:t>.</w:t>
      </w:r>
    </w:p>
    <w:p w:rsidR="00F07A1E" w:rsidRDefault="002D7219" w:rsidP="002D7219">
      <w:pPr>
        <w:spacing w:line="480" w:lineRule="auto"/>
        <w:rPr>
          <w:lang w:bidi="hi-IN"/>
        </w:rPr>
      </w:pPr>
      <w:r>
        <w:rPr>
          <w:lang w:bidi="hi-IN"/>
        </w:rPr>
        <w:t xml:space="preserve"> </w:t>
      </w:r>
      <w:r w:rsidR="00F07A1E">
        <w:rPr>
          <w:lang w:bidi="hi-IN"/>
        </w:rPr>
        <w:t xml:space="preserve">This is equivalent to using a </w:t>
      </w:r>
      <w:r w:rsidR="00F07A1E">
        <w:t xml:space="preserve">threshold strategy with mutation rate </w:t>
      </w:r>
      <w:r w:rsidR="00F07A1E" w:rsidRPr="00815DEF">
        <w:t xml:space="preserve">increase </w:t>
      </w:r>
      <w:r w:rsidR="00F07A1E" w:rsidRPr="00815DEF">
        <w:rPr>
          <w:i/>
          <w:iCs/>
          <w:lang w:bidi="hi-IN"/>
        </w:rPr>
        <w:t>τ</w:t>
      </w:r>
      <w:r w:rsidR="00F07A1E" w:rsidRPr="00815DEF">
        <w:rPr>
          <w:lang w:bidi="hi-IN"/>
        </w:rPr>
        <w:t>-(</w:t>
      </w:r>
      <w:r w:rsidR="00F07A1E" w:rsidRPr="00815DEF">
        <w:rPr>
          <w:i/>
          <w:iCs/>
          <w:lang w:bidi="hi-IN"/>
        </w:rPr>
        <w:t>τ</w:t>
      </w:r>
      <w:r w:rsidR="00F07A1E" w:rsidRPr="00815DEF">
        <w:rPr>
          <w:lang w:bidi="hi-IN"/>
        </w:rPr>
        <w:t>-1</w:t>
      </w:r>
      <w:proofErr w:type="gramStart"/>
      <w:r w:rsidR="00F07A1E" w:rsidRPr="00815DEF">
        <w:rPr>
          <w:lang w:bidi="hi-IN"/>
        </w:rPr>
        <w:t>)(</w:t>
      </w:r>
      <w:proofErr w:type="gramEnd"/>
      <w:r w:rsidR="00F07A1E" w:rsidRPr="00815DEF">
        <w:rPr>
          <w:lang w:bidi="hi-IN"/>
        </w:rPr>
        <w:t>1-</w:t>
      </w:r>
      <w:r w:rsidR="00F07A1E" w:rsidRPr="00815DEF">
        <w:rPr>
          <w:i/>
          <w:iCs/>
          <w:lang w:bidi="hi-IN"/>
        </w:rPr>
        <w:t>s</w:t>
      </w:r>
      <w:r w:rsidR="00F07A1E" w:rsidRPr="00815DEF">
        <w:rPr>
          <w:lang w:bidi="hi-IN"/>
        </w:rPr>
        <w:t>)</w:t>
      </w:r>
      <w:r w:rsidR="00F07A1E" w:rsidRPr="00815DEF">
        <w:rPr>
          <w:i/>
          <w:iCs/>
          <w:vertAlign w:val="superscript"/>
          <w:lang w:bidi="hi-IN"/>
        </w:rPr>
        <w:t>k</w:t>
      </w:r>
      <w:r w:rsidR="00F07A1E" w:rsidRPr="00815DEF">
        <w:rPr>
          <w:lang w:bidi="hi-IN"/>
        </w:rPr>
        <w:t xml:space="preserve">. </w:t>
      </w:r>
      <w:r w:rsidR="00F07A1E">
        <w:rPr>
          <w:lang w:bidi="hi-IN"/>
        </w:rPr>
        <w:t xml:space="preserve">The dashed lines in </w:t>
      </w:r>
      <w:r w:rsidR="00F07A1E">
        <w:t xml:space="preserve">Figure </w:t>
      </w:r>
      <w:r w:rsidR="0013483B">
        <w:t>S5</w:t>
      </w:r>
      <w:r w:rsidR="00F07A1E">
        <w:t xml:space="preserve"> </w:t>
      </w:r>
      <w:r w:rsidR="00F07A1E">
        <w:rPr>
          <w:lang w:bidi="hi-IN"/>
        </w:rPr>
        <w:t>demonstrate this approximation. The continuous strategies can be approximated by threshold strategies because the main factor determining the adaptation rate is the mutation rate increase o</w:t>
      </w:r>
      <w:r w:rsidR="00F07A1E" w:rsidRPr="00BA2B02">
        <w:rPr>
          <w:lang w:bidi="hi-IN"/>
        </w:rPr>
        <w:t>f</w:t>
      </w:r>
      <w:r w:rsidR="00F07A1E">
        <w:rPr>
          <w:lang w:bidi="hi-IN"/>
        </w:rPr>
        <w:t xml:space="preserve"> the wildtype and the single mutants</w:t>
      </w:r>
      <w:r w:rsidR="00F07A1E" w:rsidRPr="00BA2B02">
        <w:rPr>
          <w:lang w:bidi="hi-IN"/>
        </w:rPr>
        <w:t xml:space="preserve"> </w:t>
      </w:r>
      <w:r w:rsidR="00F07A1E">
        <w:rPr>
          <w:lang w:bidi="hi-IN"/>
        </w:rPr>
        <w:t>(</w:t>
      </w:r>
      <w:r w:rsidR="00F07A1E" w:rsidRPr="00BA2B02">
        <w:rPr>
          <w:i/>
          <w:iCs/>
          <w:lang w:bidi="hi-IN"/>
        </w:rPr>
        <w:t>ab</w:t>
      </w:r>
      <w:r w:rsidR="00F07A1E" w:rsidRPr="00BA2B02">
        <w:rPr>
          <w:lang w:bidi="hi-IN"/>
        </w:rPr>
        <w:t xml:space="preserve">, </w:t>
      </w:r>
      <w:proofErr w:type="spellStart"/>
      <w:r w:rsidR="00F07A1E" w:rsidRPr="00BA2B02">
        <w:rPr>
          <w:i/>
          <w:iCs/>
          <w:lang w:bidi="hi-IN"/>
        </w:rPr>
        <w:t>aB</w:t>
      </w:r>
      <w:proofErr w:type="spellEnd"/>
      <w:r w:rsidR="00F07A1E" w:rsidRPr="00BA2B02">
        <w:rPr>
          <w:lang w:bidi="hi-IN"/>
        </w:rPr>
        <w:t xml:space="preserve">, and </w:t>
      </w:r>
      <w:r w:rsidR="00F07A1E" w:rsidRPr="00BA2B02">
        <w:rPr>
          <w:i/>
          <w:iCs/>
          <w:lang w:bidi="hi-IN"/>
        </w:rPr>
        <w:t>Ab</w:t>
      </w:r>
      <w:r w:rsidR="00F07A1E">
        <w:rPr>
          <w:lang w:bidi="hi-IN"/>
        </w:rPr>
        <w:t>)</w:t>
      </w:r>
      <w:r w:rsidR="00F07A1E" w:rsidRPr="00BA2B02">
        <w:rPr>
          <w:lang w:bidi="hi-IN"/>
        </w:rPr>
        <w:t>. This is because individuals with more than a single mutation do not have a significant contribution to adaptation.</w:t>
      </w:r>
    </w:p>
    <w:p w:rsidR="00F07A1E" w:rsidRDefault="00F07A1E" w:rsidP="0013483B">
      <w:pPr>
        <w:spacing w:line="480" w:lineRule="auto"/>
        <w:rPr>
          <w:lang w:bidi="hi-IN"/>
        </w:rPr>
      </w:pPr>
      <w:r>
        <w:rPr>
          <w:lang w:bidi="hi-IN"/>
        </w:rPr>
        <w:br w:type="page"/>
      </w:r>
    </w:p>
    <w:p w:rsidR="00F07A1E" w:rsidRDefault="00F07A1E" w:rsidP="0013483B">
      <w:pPr>
        <w:pStyle w:val="Heading1"/>
        <w:numPr>
          <w:ilvl w:val="0"/>
          <w:numId w:val="5"/>
        </w:numPr>
        <w:spacing w:line="480" w:lineRule="auto"/>
      </w:pPr>
      <w:r w:rsidRPr="008F3447">
        <w:lastRenderedPageBreak/>
        <w:t>Competitions between mutational strategies</w:t>
      </w:r>
    </w:p>
    <w:p w:rsidR="00F07A1E" w:rsidRPr="00BA2B02" w:rsidRDefault="00F07A1E" w:rsidP="0013483B">
      <w:pPr>
        <w:spacing w:line="480" w:lineRule="auto"/>
      </w:pPr>
      <w:r w:rsidRPr="00020A87">
        <w:rPr>
          <w:lang w:bidi="hi-IN"/>
        </w:rPr>
        <w:t>We also simulated direct competitions between the different mutational strategies (NM, CM, and SIM). In these competitions</w:t>
      </w:r>
      <w:r>
        <w:rPr>
          <w:lang w:bidi="hi-IN"/>
        </w:rPr>
        <w:t xml:space="preserve">, </w:t>
      </w:r>
      <w:r w:rsidRPr="00020A87">
        <w:rPr>
          <w:lang w:bidi="hi-IN"/>
        </w:rPr>
        <w:t>half of the population alters its mutational strategy to an invading strategy</w:t>
      </w:r>
      <w:r>
        <w:rPr>
          <w:lang w:bidi="hi-IN"/>
        </w:rPr>
        <w:t xml:space="preserve"> at the time of the environmental change</w:t>
      </w:r>
      <w:r w:rsidRPr="00020A87">
        <w:rPr>
          <w:lang w:bidi="hi-IN"/>
        </w:rPr>
        <w:t xml:space="preserve">. </w:t>
      </w:r>
      <w:r>
        <w:rPr>
          <w:lang w:bidi="hi-IN"/>
        </w:rPr>
        <w:t>Each simulation</w:t>
      </w:r>
      <w:r w:rsidRPr="00020A87">
        <w:rPr>
          <w:lang w:bidi="hi-IN"/>
        </w:rPr>
        <w:t xml:space="preserve"> provides a sample of the frequency of the invading strategy</w:t>
      </w:r>
      <w:r>
        <w:rPr>
          <w:lang w:bidi="hi-IN"/>
        </w:rPr>
        <w:t xml:space="preserve"> </w:t>
      </w:r>
      <w:r w:rsidRPr="00020A87">
        <w:rPr>
          <w:lang w:bidi="hi-IN"/>
        </w:rPr>
        <w:t xml:space="preserve">after the </w:t>
      </w:r>
      <w:r>
        <w:rPr>
          <w:lang w:bidi="hi-IN"/>
        </w:rPr>
        <w:t xml:space="preserve">appearance and subsequent </w:t>
      </w:r>
      <w:r w:rsidRPr="00020A87">
        <w:rPr>
          <w:lang w:bidi="hi-IN"/>
        </w:rPr>
        <w:t xml:space="preserve">fixation or extinction of the double mutant </w:t>
      </w:r>
      <w:r w:rsidRPr="00020A87">
        <w:rPr>
          <w:i/>
          <w:iCs/>
          <w:lang w:bidi="hi-IN"/>
        </w:rPr>
        <w:t>AB</w:t>
      </w:r>
      <w:r>
        <w:rPr>
          <w:lang w:bidi="hi-IN"/>
        </w:rPr>
        <w:t>.</w:t>
      </w:r>
      <w:r w:rsidRPr="00020A87">
        <w:rPr>
          <w:lang w:bidi="hi-IN"/>
        </w:rPr>
        <w:t xml:space="preserve"> If the average final frequency is significantly lower or higher than</w:t>
      </w:r>
      <w:r w:rsidRPr="00BA2B02">
        <w:rPr>
          <w:lang w:bidi="hi-IN"/>
        </w:rPr>
        <w:t xml:space="preserve"> 50% we consider the invading strategy disfavored or favored by </w:t>
      </w:r>
      <w:r>
        <w:rPr>
          <w:lang w:bidi="hi-IN"/>
        </w:rPr>
        <w:t xml:space="preserve">natural </w:t>
      </w:r>
      <w:r w:rsidRPr="00BA2B02">
        <w:rPr>
          <w:lang w:bidi="hi-IN"/>
        </w:rPr>
        <w:t xml:space="preserve">selection over the initial strategy. </w:t>
      </w:r>
      <w:r>
        <w:rPr>
          <w:lang w:bidi="hi-IN"/>
        </w:rPr>
        <w:t>S</w:t>
      </w:r>
      <w:r w:rsidRPr="00BA2B02">
        <w:rPr>
          <w:lang w:bidi="hi-IN"/>
        </w:rPr>
        <w:t xml:space="preserve">tatistical significance </w:t>
      </w:r>
      <w:r>
        <w:rPr>
          <w:lang w:bidi="hi-IN"/>
        </w:rPr>
        <w:t xml:space="preserve">was calculated </w:t>
      </w:r>
      <w:r w:rsidRPr="00BA2B02">
        <w:rPr>
          <w:lang w:bidi="hi-IN"/>
        </w:rPr>
        <w:t>using a 1-sample 2-tailed t-test.</w:t>
      </w:r>
    </w:p>
    <w:p w:rsidR="00F07A1E" w:rsidRDefault="0013483B" w:rsidP="0013483B">
      <w:pPr>
        <w:spacing w:line="480" w:lineRule="auto"/>
        <w:rPr>
          <w:lang w:bidi="hi-IN"/>
        </w:rPr>
      </w:pPr>
      <w:r>
        <w:t>Figure S6</w:t>
      </w:r>
      <w:r w:rsidR="00F07A1E">
        <w:t xml:space="preserve"> </w:t>
      </w:r>
      <w:r w:rsidR="00F07A1E" w:rsidRPr="008F3447">
        <w:rPr>
          <w:lang w:bidi="hi-IN"/>
        </w:rPr>
        <w:t>summarizes the competitions. CM clearly loses to both SIM and NM (first and</w:t>
      </w:r>
      <w:r w:rsidR="00F07A1E">
        <w:rPr>
          <w:lang w:bidi="hi-IN"/>
        </w:rPr>
        <w:t xml:space="preserve"> second panels from the right). SIM is significantly advantageous over NM when the mutation rate increase is large enough (</w:t>
      </w:r>
      <w:r w:rsidR="00F07A1E" w:rsidRPr="00B1563A">
        <w:rPr>
          <w:i/>
          <w:iCs/>
          <w:lang w:bidi="hi-IN"/>
        </w:rPr>
        <w:t>τ</w:t>
      </w:r>
      <w:r w:rsidR="00F07A1E">
        <w:rPr>
          <w:lang w:bidi="hi-IN"/>
        </w:rPr>
        <w:t xml:space="preserve">&gt;2; 2-tail t-test, P&lt;0.0015). </w:t>
      </w:r>
    </w:p>
    <w:p w:rsidR="00F07A1E" w:rsidRPr="00343645" w:rsidRDefault="00F07A1E" w:rsidP="0013483B">
      <w:pPr>
        <w:spacing w:line="480" w:lineRule="auto"/>
        <w:rPr>
          <w:lang w:bidi="hi-IN"/>
        </w:rPr>
      </w:pPr>
      <w:r>
        <w:rPr>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Pr>
          <w:lang w:bidi="hi-IN"/>
        </w:rPr>
        <w:fldChar w:fldCharType="begin" w:fldLock="1"/>
      </w:r>
      <w:r w:rsidR="00B90E9A">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bidi="hi-IN"/>
        </w:rPr>
        <w:fldChar w:fldCharType="separate"/>
      </w:r>
      <w:r w:rsidRPr="004F715E">
        <w:rPr>
          <w:noProof/>
          <w:lang w:bidi="hi-IN"/>
        </w:rPr>
        <w:t>(Ram and Hadany 2012)</w:t>
      </w:r>
      <w:r>
        <w:rPr>
          <w:lang w:bidi="hi-IN"/>
        </w:rPr>
        <w:fldChar w:fldCharType="end"/>
      </w:r>
      <w:r>
        <w:rPr>
          <w:lang w:bidi="hi-IN"/>
        </w:rPr>
        <w:t>.</w:t>
      </w:r>
    </w:p>
    <w:p w:rsidR="00A916BD" w:rsidRDefault="00A916BD" w:rsidP="0013483B">
      <w:pPr>
        <w:spacing w:line="48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13483B">
      <w:pPr>
        <w:pStyle w:val="Heading1"/>
        <w:numPr>
          <w:ilvl w:val="0"/>
          <w:numId w:val="5"/>
        </w:numPr>
        <w:spacing w:line="480" w:lineRule="auto"/>
        <w:rPr>
          <w:rFonts w:ascii="Palatino Linotype" w:hAnsi="Palatino Linotype"/>
          <w:lang w:bidi="hi-IN"/>
        </w:rPr>
      </w:pPr>
      <w:r w:rsidRPr="00EE1F7D">
        <w:rPr>
          <w:rFonts w:ascii="Palatino Linotype" w:hAnsi="Palatino Linotype"/>
          <w:lang w:bidi="hi-IN"/>
        </w:rPr>
        <w:lastRenderedPageBreak/>
        <w:t>References</w:t>
      </w:r>
    </w:p>
    <w:p w:rsidR="00B90E9A" w:rsidRPr="00B90E9A" w:rsidRDefault="005E1D12">
      <w:pPr>
        <w:pStyle w:val="NormalWeb"/>
        <w:divId w:val="648167837"/>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B90E9A" w:rsidRPr="00B90E9A">
        <w:rPr>
          <w:rFonts w:ascii="Palatino Linotype" w:hAnsi="Palatino Linotype"/>
          <w:noProof/>
          <w:sz w:val="22"/>
        </w:rPr>
        <w:t>Agrawal, A. F. 2002. Genetic loads under fitness-dependent mutation rates. J. Evol. Biol. 15:1004–1010.</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Haigh, J. 1978. The accumulation of deleterious genes in a population - Muller’s Ratchet. Theor. Popul. Biol. 14:251–267.</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Johnson, T., and N. H. N. H. Barton. 2002. The effect of deleterious alleles on adaptation in asexual populations. Genetics 162:395–411.</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Kimura, M., and T. Maruyama. 1966. The mutational load with epistatic gene interactions in fitness. Genetics 54:1337–51.</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Otto, S. P., and T. Day. 2007. A biologist’s guide to mathematical modeling in ecology and evolution. Princeton University Press.</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Perez, F., and B. E. Granger. 2007. IPython: A System for Interactive Scientific Computing. Comput. Sci. Eng. 9:21–29.</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 xml:space="preserve">Ram, Y., and L. Hadany. 2012. The evolution of stress-induced hypermutation in asexual populations. Evolution 66:2315–28. </w:t>
      </w:r>
    </w:p>
    <w:p w:rsidR="009F7186" w:rsidRPr="00EE1F7D" w:rsidRDefault="005E1D12" w:rsidP="00B90E9A">
      <w:pPr>
        <w:pStyle w:val="NormalWeb"/>
        <w:spacing w:line="480" w:lineRule="auto"/>
        <w:divId w:val="1354575480"/>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5E5" w:rsidRDefault="002175E5">
      <w:r>
        <w:separator/>
      </w:r>
    </w:p>
  </w:endnote>
  <w:endnote w:type="continuationSeparator" w:id="0">
    <w:p w:rsidR="002175E5" w:rsidRDefault="00217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E96118">
          <w:rPr>
            <w:noProof/>
          </w:rPr>
          <w:t>15</w:t>
        </w:r>
        <w:r>
          <w:rPr>
            <w:noProof/>
          </w:rPr>
          <w:fldChar w:fldCharType="end"/>
        </w:r>
      </w:p>
    </w:sdtContent>
  </w:sdt>
  <w:p w:rsidR="00531CC2" w:rsidRDefault="00217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5E5" w:rsidRDefault="002175E5">
      <w:r>
        <w:separator/>
      </w:r>
    </w:p>
  </w:footnote>
  <w:footnote w:type="continuationSeparator" w:id="0">
    <w:p w:rsidR="002175E5" w:rsidRDefault="00217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317D7"/>
    <w:rsid w:val="00091183"/>
    <w:rsid w:val="000E71D5"/>
    <w:rsid w:val="000F6994"/>
    <w:rsid w:val="0013483B"/>
    <w:rsid w:val="001364E7"/>
    <w:rsid w:val="001547D6"/>
    <w:rsid w:val="001C26FB"/>
    <w:rsid w:val="002175E5"/>
    <w:rsid w:val="00217945"/>
    <w:rsid w:val="0028076E"/>
    <w:rsid w:val="002A3FCB"/>
    <w:rsid w:val="002B7010"/>
    <w:rsid w:val="002C0703"/>
    <w:rsid w:val="002D7219"/>
    <w:rsid w:val="002F0F33"/>
    <w:rsid w:val="00302982"/>
    <w:rsid w:val="00311C92"/>
    <w:rsid w:val="00313FB3"/>
    <w:rsid w:val="00322C2A"/>
    <w:rsid w:val="003453E8"/>
    <w:rsid w:val="0034554A"/>
    <w:rsid w:val="0035041D"/>
    <w:rsid w:val="00427456"/>
    <w:rsid w:val="00501F2E"/>
    <w:rsid w:val="00525311"/>
    <w:rsid w:val="005601F8"/>
    <w:rsid w:val="00584A44"/>
    <w:rsid w:val="005E1D12"/>
    <w:rsid w:val="00636BF6"/>
    <w:rsid w:val="006465C5"/>
    <w:rsid w:val="006F4488"/>
    <w:rsid w:val="00717CFF"/>
    <w:rsid w:val="00747917"/>
    <w:rsid w:val="00760A38"/>
    <w:rsid w:val="007769E2"/>
    <w:rsid w:val="00787111"/>
    <w:rsid w:val="007A45FD"/>
    <w:rsid w:val="007F319B"/>
    <w:rsid w:val="00845A8D"/>
    <w:rsid w:val="008B12A4"/>
    <w:rsid w:val="008C6F95"/>
    <w:rsid w:val="00901975"/>
    <w:rsid w:val="009130D2"/>
    <w:rsid w:val="00940E9C"/>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D0437D"/>
    <w:rsid w:val="00D07E45"/>
    <w:rsid w:val="00D84B1B"/>
    <w:rsid w:val="00D84EDB"/>
    <w:rsid w:val="00D968AE"/>
    <w:rsid w:val="00E74C93"/>
    <w:rsid w:val="00E96118"/>
    <w:rsid w:val="00EC5B83"/>
    <w:rsid w:val="00EC666C"/>
    <w:rsid w:val="00EE1F7D"/>
    <w:rsid w:val="00EF001D"/>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361A1-A66B-434F-9709-8349395D2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6159</Words>
  <Characters>30797</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12</cp:revision>
  <cp:lastPrinted>2014-03-30T10:10:00Z</cp:lastPrinted>
  <dcterms:created xsi:type="dcterms:W3CDTF">2014-03-30T05:08:00Z</dcterms:created>
  <dcterms:modified xsi:type="dcterms:W3CDTF">2014-04-04T08:49:00Z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