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457ACF" w:rsidRDefault="00457ACF" w:rsidP="00002C4C">
      <w:pPr>
        <w:pStyle w:val="Title"/>
      </w:pPr>
      <w:r>
        <w:t>E</w:t>
      </w:r>
      <w:r w:rsidRPr="00457ACF">
        <w:t xml:space="preserve">lectronic </w:t>
      </w:r>
      <w:r>
        <w:t>S</w:t>
      </w:r>
      <w:r w:rsidRPr="00457ACF">
        <w:t xml:space="preserve">upplementary </w:t>
      </w:r>
      <w:r>
        <w:t>M</w:t>
      </w:r>
      <w:r w:rsidRPr="00457ACF">
        <w:t>aterial</w:t>
      </w:r>
      <w:r w:rsidR="00760A38" w:rsidRPr="00457ACF">
        <w:t xml:space="preserve"> for "</w:t>
      </w:r>
      <w:r w:rsidR="00002C4C" w:rsidRPr="00457ACF">
        <w:t xml:space="preserve">Stress-Induced Mutagenesis </w:t>
      </w:r>
      <w:r w:rsidR="00002C4C">
        <w:t xml:space="preserve">and </w:t>
      </w:r>
      <w:r w:rsidR="00D46380" w:rsidRPr="00457ACF">
        <w:t>Complex Adaptation</w:t>
      </w:r>
      <w:r w:rsidR="00760A38"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A916BD" w:rsidRPr="00457ACF" w:rsidRDefault="00A916BD" w:rsidP="00EC5B83">
      <w:pPr>
        <w:spacing w:line="480" w:lineRule="auto"/>
        <w:rPr>
          <w:rFonts w:ascii="Palatino Linotype" w:hAnsi="Palatino Linotype"/>
          <w:sz w:val="22"/>
          <w:szCs w:val="22"/>
        </w:rPr>
      </w:pPr>
      <w:r w:rsidRPr="00457ACF">
        <w:rPr>
          <w:rFonts w:ascii="Palatino Linotype" w:hAnsi="Palatino Linotype"/>
          <w:sz w:val="22"/>
          <w:szCs w:val="22"/>
          <w:lang w:bidi="hi-IN"/>
        </w:rPr>
        <w:t xml:space="preserve">All figures were produced with Python on an </w:t>
      </w:r>
      <w:hyperlink r:id="rId9"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"[1]"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[1]</w:t>
      </w:r>
      <w:r w:rsidR="005E1D12"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The notebook includes the analytic approximations as Python functions and uses the simulation raw data which is necessary for Figures 2,</w:t>
      </w:r>
      <w:r w:rsidR="0035041D" w:rsidRPr="00457ACF">
        <w:rPr>
          <w:rFonts w:ascii="Palatino Linotype" w:hAnsi="Palatino Linotype"/>
          <w:sz w:val="22"/>
          <w:szCs w:val="22"/>
          <w:lang w:bidi="hi-IN"/>
        </w:rPr>
        <w:t xml:space="preserve"> 3,</w:t>
      </w:r>
      <w:r w:rsidRPr="00457ACF">
        <w:rPr>
          <w:rFonts w:ascii="Palatino Linotype" w:hAnsi="Palatino Linotype"/>
          <w:sz w:val="22"/>
          <w:szCs w:val="22"/>
          <w:lang w:bidi="hi-IN"/>
        </w:rPr>
        <w:t xml:space="preserve"> S1, S2</w:t>
      </w:r>
      <w:r w:rsidR="00EC5B83" w:rsidRPr="00457ACF">
        <w:rPr>
          <w:rFonts w:ascii="Palatino Linotype" w:hAnsi="Palatino Linotype"/>
          <w:sz w:val="22"/>
          <w:szCs w:val="22"/>
          <w:lang w:bidi="hi-IN"/>
        </w:rPr>
        <w:t xml:space="preserve">, </w:t>
      </w:r>
      <w:r w:rsidR="00244C09" w:rsidRPr="00457ACF">
        <w:rPr>
          <w:rFonts w:ascii="Palatino Linotype" w:hAnsi="Palatino Linotype"/>
          <w:sz w:val="22"/>
          <w:szCs w:val="22"/>
          <w:lang w:bidi="hi-IN"/>
        </w:rPr>
        <w:t>E2</w:t>
      </w:r>
      <w:r w:rsidR="00EC5B83" w:rsidRPr="00457ACF">
        <w:rPr>
          <w:rFonts w:ascii="Palatino Linotype" w:hAnsi="Palatino Linotype"/>
          <w:sz w:val="22"/>
          <w:szCs w:val="22"/>
          <w:lang w:bidi="hi-IN"/>
        </w:rPr>
        <w:t xml:space="preserve">, and </w:t>
      </w:r>
      <w:r w:rsidR="00244C09" w:rsidRPr="00457ACF">
        <w:rPr>
          <w:rFonts w:ascii="Palatino Linotype" w:hAnsi="Palatino Linotype"/>
          <w:sz w:val="22"/>
          <w:szCs w:val="22"/>
          <w:lang w:bidi="hi-IN"/>
        </w:rPr>
        <w:t>F1</w:t>
      </w:r>
      <w:r w:rsidRPr="00457ACF">
        <w:rPr>
          <w:rFonts w:ascii="Palatino Linotype" w:hAnsi="Palatino Linotype"/>
          <w:sz w:val="22"/>
          <w:szCs w:val="22"/>
          <w:lang w:bidi="hi-IN"/>
        </w:rPr>
        <w:t xml:space="preserve">. The notebook and the raw data </w:t>
      </w:r>
      <w:r w:rsidRPr="00457ACF">
        <w:rPr>
          <w:rFonts w:ascii="Palatino Linotype" w:hAnsi="Palatino Linotype"/>
          <w:sz w:val="22"/>
          <w:szCs w:val="22"/>
          <w:u w:val="single"/>
          <w:lang w:bidi="hi-IN"/>
        </w:rPr>
        <w:t>will be</w:t>
      </w:r>
      <w:r w:rsidRPr="00457ACF">
        <w:rPr>
          <w:rFonts w:ascii="Palatino Linotype" w:hAnsi="Palatino Linotype"/>
          <w:sz w:val="22"/>
          <w:szCs w:val="22"/>
          <w:lang w:bidi="hi-IN"/>
        </w:rPr>
        <w:t xml:space="preserve"> deposited on Dryad.</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73EBF">
        <w:tc>
          <w:tcPr>
            <w:tcW w:w="2842" w:type="dxa"/>
          </w:tcPr>
          <w:p w:rsidR="00D46380" w:rsidRPr="00457ACF" w:rsidRDefault="00D46380" w:rsidP="00B73EBF">
            <w:pPr>
              <w:spacing w:line="480" w:lineRule="auto"/>
              <w:rPr>
                <w:rFonts w:ascii="Palatino Linotype" w:eastAsiaTheme="minorEastAsia" w:hAnsi="Palatino Linotype"/>
                <w:sz w:val="22"/>
                <w:szCs w:val="22"/>
                <w:lang w:bidi="hi-IN"/>
              </w:rPr>
            </w:pPr>
          </w:p>
        </w:tc>
        <w:tc>
          <w:tcPr>
            <w:tcW w:w="2843" w:type="dxa"/>
          </w:tcPr>
          <w:p w:rsidR="00D46380" w:rsidRPr="00457ACF" w:rsidRDefault="001D5DB5" w:rsidP="00B73EBF">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73EBF">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1D5DB5"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1D5DB5"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1D5DB5"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1D5DB5"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1D5DB5"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1D5DB5"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1D5DB5"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"[3]"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[3]</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w:t>
      </w:r>
      <w:r w:rsidRPr="00457ACF">
        <w:rPr>
          <w:rFonts w:ascii="Palatino Linotype" w:hAnsi="Palatino Linotype"/>
          <w:sz w:val="22"/>
          <w:szCs w:val="22"/>
        </w:rPr>
        <w:lastRenderedPageBreak/>
        <w:t xml:space="preserve">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[4]</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"[5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F075B5">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F075B5">
        <w:rPr>
          <w:rFonts w:ascii="Palatino Linotype" w:hAnsi="Palatino Linotype"/>
          <w:sz w:val="22"/>
          <w:szCs w:val="22"/>
        </w:rPr>
        <w:t>D</w:t>
      </w:r>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[6]</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0" w:name="_Ref363979903"/>
      <w:r w:rsidRPr="00457ACF">
        <w:rPr>
          <w:rFonts w:ascii="Palatino Linotype" w:hAnsi="Palatino Linotype"/>
          <w:b/>
          <w:bCs/>
          <w:noProof/>
          <w:sz w:val="22"/>
          <w:szCs w:val="22"/>
        </w:rPr>
        <w:drawing>
          <wp:inline distT="0" distB="0" distL="0" distR="0" wp14:anchorId="0F96D33B" wp14:editId="283244CB">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F075B5">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0"/>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1" w:name="_Ref374377810"/>
      <w:r w:rsidRPr="00457ACF">
        <w:rPr>
          <w:rFonts w:eastAsiaTheme="minorEastAsia"/>
        </w:rPr>
        <w:lastRenderedPageBreak/>
        <w:t>Appendix E: Possible relationships between stress and mutation</w:t>
      </w:r>
      <w:bookmarkEnd w:id="1"/>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00B72455" wp14:editId="0CF96FD4">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t>
      </w:r>
      <w:proofErr w:type="spellStart"/>
      <w:r w:rsidRPr="00457ACF">
        <w:rPr>
          <w:rFonts w:ascii="Palatino Linotype" w:hAnsi="Palatino Linotype"/>
          <w:sz w:val="22"/>
          <w:szCs w:val="22"/>
        </w:rPr>
        <w:t>wildtypes</w:t>
      </w:r>
      <w:proofErr w:type="spellEnd"/>
      <w:r w:rsidRPr="00457ACF">
        <w:rPr>
          <w:rFonts w:ascii="Palatino Linotype" w:hAnsi="Palatino Linotype"/>
          <w:sz w:val="22"/>
          <w:szCs w:val="22"/>
        </w:rPr>
        <w:t xml:space="preserv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501D3E">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 xml:space="preserve">Figure </w:t>
      </w:r>
      <w:r w:rsidR="00501D3E">
        <w:rPr>
          <w:rFonts w:ascii="Palatino Linotype" w:hAnsi="Palatino Linotype"/>
          <w:sz w:val="22"/>
          <w:szCs w:val="22"/>
        </w:rPr>
        <w:t>2B</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D46380" w:rsidRPr="00457ACF" w:rsidRDefault="00D46380" w:rsidP="00501D3E">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w:t>
      </w:r>
      <w:r w:rsidR="00501D3E">
        <w:rPr>
          <w:rFonts w:ascii="Palatino Linotype" w:hAnsi="Palatino Linotype"/>
          <w:sz w:val="22"/>
          <w:szCs w:val="22"/>
        </w:rPr>
        <w:t>2B</w:t>
      </w:r>
      <w:bookmarkStart w:id="2" w:name="_GoBack"/>
      <w:bookmarkEnd w:id="2"/>
      <w:r w:rsidRPr="00457ACF">
        <w:rPr>
          <w:rFonts w:ascii="Palatino Linotype" w:hAnsi="Palatino Linotype"/>
          <w:sz w:val="22"/>
          <w:szCs w:val="22"/>
        </w:rPr>
        <w:t xml:space="preserve">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5843CC2A" wp14:editId="3BFC5CC9">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5B804E01" wp14:editId="643D6509">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(500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25A00F5" wp14:editId="71E3860D">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244C09" w:rsidRPr="00457ACF" w:rsidRDefault="00244C09" w:rsidP="00244C09">
      <w:pPr>
        <w:keepNext/>
        <w:spacing w:line="480" w:lineRule="auto"/>
        <w:rPr>
          <w:rFonts w:ascii="Palatino Linotype" w:hAnsi="Palatino Linotype"/>
          <w:b/>
          <w:bCs/>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w:t>
      </w:r>
      <w:r w:rsidRPr="00457ACF">
        <w:rPr>
          <w:rFonts w:ascii="Palatino Linotype" w:hAnsi="Palatino Linotype"/>
          <w:sz w:val="22"/>
          <w:szCs w:val="22"/>
        </w:rPr>
        <w:lastRenderedPageBreak/>
        <w:t>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409A92C4" wp14:editId="04FD2E37">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w:t>
      </w:r>
      <w:r w:rsidRPr="00457ACF">
        <w:rPr>
          <w:rFonts w:ascii="Palatino Linotype" w:hAnsi="Palatino Linotype"/>
          <w:sz w:val="22"/>
          <w:szCs w:val="22"/>
        </w:rPr>
        <w:lastRenderedPageBreak/>
        <w:t xml:space="preserve">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deleterious background (left panels) then its fixation probability is lower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"[7]"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[7]</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457ACF" w:rsidRPr="00457ACF" w:rsidRDefault="005E1D12">
      <w:pPr>
        <w:pStyle w:val="NormalWeb"/>
        <w:ind w:left="640" w:hanging="640"/>
        <w:divId w:val="1062680519"/>
        <w:rPr>
          <w:rFonts w:ascii="Palatino Linotype" w:hAnsi="Palatino Linotype"/>
          <w:noProof/>
          <w:sz w:val="22"/>
          <w:szCs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rPr>
        <w:t>1.</w:t>
      </w:r>
      <w:r w:rsidR="00457ACF" w:rsidRPr="00457ACF">
        <w:rPr>
          <w:rFonts w:ascii="Palatino Linotype" w:hAnsi="Palatino Linotype"/>
          <w:noProof/>
          <w:sz w:val="22"/>
          <w:szCs w:val="22"/>
        </w:rPr>
        <w:tab/>
        <w:t xml:space="preserve">Perez, F. &amp; Granger, B. E. 2007 IPython: A System for Interactive Scientific Computing. </w:t>
      </w:r>
      <w:r w:rsidR="00457ACF" w:rsidRPr="00457ACF">
        <w:rPr>
          <w:rFonts w:ascii="Palatino Linotype" w:hAnsi="Palatino Linotype"/>
          <w:i/>
          <w:iCs/>
          <w:noProof/>
          <w:sz w:val="22"/>
          <w:szCs w:val="22"/>
        </w:rPr>
        <w:t>Comput. Sci. Eng.</w:t>
      </w:r>
      <w:r w:rsidR="00457ACF" w:rsidRPr="00457ACF">
        <w:rPr>
          <w:rFonts w:ascii="Palatino Linotype" w:hAnsi="Palatino Linotype"/>
          <w:noProof/>
          <w:sz w:val="22"/>
          <w:szCs w:val="22"/>
        </w:rPr>
        <w:t xml:space="preserve"> </w:t>
      </w:r>
      <w:r w:rsidR="00457ACF" w:rsidRPr="00457ACF">
        <w:rPr>
          <w:rFonts w:ascii="Palatino Linotype" w:hAnsi="Palatino Linotype"/>
          <w:b/>
          <w:bCs/>
          <w:noProof/>
          <w:sz w:val="22"/>
          <w:szCs w:val="22"/>
        </w:rPr>
        <w:t>9</w:t>
      </w:r>
      <w:r w:rsidR="00457ACF" w:rsidRPr="00457ACF">
        <w:rPr>
          <w:rFonts w:ascii="Palatino Linotype" w:hAnsi="Palatino Linotype"/>
          <w:noProof/>
          <w:sz w:val="22"/>
          <w:szCs w:val="22"/>
        </w:rPr>
        <w:t>, 21–29. (doi:10.1109/MCSE.2007.53)</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2.</w:t>
      </w:r>
      <w:r w:rsidRPr="00457ACF">
        <w:rPr>
          <w:rFonts w:ascii="Palatino Linotype" w:hAnsi="Palatino Linotype"/>
          <w:noProof/>
          <w:sz w:val="22"/>
          <w:szCs w:val="22"/>
        </w:rPr>
        <w:tab/>
        <w:t xml:space="preserve">Kimura, M. &amp; Maruyama, T. 1966 The mutational load with epistatic gene interactions in fitness.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54</w:t>
      </w:r>
      <w:r w:rsidRPr="00457ACF">
        <w:rPr>
          <w:rFonts w:ascii="Palatino Linotype" w:hAnsi="Palatino Linotype"/>
          <w:noProof/>
          <w:sz w:val="22"/>
          <w:szCs w:val="22"/>
        </w:rPr>
        <w:t xml:space="preserve">, 1337–51. </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3.</w:t>
      </w:r>
      <w:r w:rsidRPr="00457ACF">
        <w:rPr>
          <w:rFonts w:ascii="Palatino Linotype" w:hAnsi="Palatino Linotype"/>
          <w:noProof/>
          <w:sz w:val="22"/>
          <w:szCs w:val="22"/>
        </w:rPr>
        <w:tab/>
        <w:t xml:space="preserve">Haigh, J. 1978 The accumulation of deleterious genes in a population - Muller’s Ratchet. </w:t>
      </w:r>
      <w:r w:rsidRPr="00457ACF">
        <w:rPr>
          <w:rFonts w:ascii="Palatino Linotype" w:hAnsi="Palatino Linotype"/>
          <w:i/>
          <w:iCs/>
          <w:noProof/>
          <w:sz w:val="22"/>
          <w:szCs w:val="22"/>
        </w:rPr>
        <w:t>Theor. Popul.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14</w:t>
      </w:r>
      <w:r w:rsidRPr="00457ACF">
        <w:rPr>
          <w:rFonts w:ascii="Palatino Linotype" w:hAnsi="Palatino Linotype"/>
          <w:noProof/>
          <w:sz w:val="22"/>
          <w:szCs w:val="22"/>
        </w:rPr>
        <w:t>, 251–267. (doi:10.1016/0040-5809(78)90027-8)</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4.</w:t>
      </w:r>
      <w:r w:rsidRPr="00457ACF">
        <w:rPr>
          <w:rFonts w:ascii="Palatino Linotype" w:hAnsi="Palatino Linotype"/>
          <w:noProof/>
          <w:sz w:val="22"/>
          <w:szCs w:val="22"/>
        </w:rPr>
        <w:tab/>
        <w:t xml:space="preserve">Agrawal, A. F. 2002 Genetic loads under fitness-dependent mutation rates. </w:t>
      </w:r>
      <w:r w:rsidRPr="00457ACF">
        <w:rPr>
          <w:rFonts w:ascii="Palatino Linotype" w:hAnsi="Palatino Linotype"/>
          <w:i/>
          <w:iCs/>
          <w:noProof/>
          <w:sz w:val="22"/>
          <w:szCs w:val="22"/>
        </w:rPr>
        <w:t>J. Evol.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15</w:t>
      </w:r>
      <w:r w:rsidRPr="00457ACF">
        <w:rPr>
          <w:rFonts w:ascii="Palatino Linotype" w:hAnsi="Palatino Linotype"/>
          <w:noProof/>
          <w:sz w:val="22"/>
          <w:szCs w:val="22"/>
        </w:rPr>
        <w:t>, 1004–1010. (doi:10.1046/j.1420-9101.2002.00464.x)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5.</w:t>
      </w:r>
      <w:r w:rsidRPr="00457ACF">
        <w:rPr>
          <w:rFonts w:ascii="Palatino Linotype" w:hAnsi="Palatino Linotype"/>
          <w:noProof/>
          <w:sz w:val="22"/>
          <w:szCs w:val="22"/>
        </w:rPr>
        <w:tab/>
        <w:t xml:space="preserve">Otto, S. P. &amp; Day, T. 2007 </w:t>
      </w:r>
      <w:r w:rsidRPr="00457ACF">
        <w:rPr>
          <w:rFonts w:ascii="Palatino Linotype" w:hAnsi="Palatino Linotype"/>
          <w:i/>
          <w:iCs/>
          <w:noProof/>
          <w:sz w:val="22"/>
          <w:szCs w:val="22"/>
        </w:rPr>
        <w:t>A biologist’s guide to mathematical modeling in ecology and evolution</w:t>
      </w:r>
      <w:r w:rsidRPr="00457ACF">
        <w:rPr>
          <w:rFonts w:ascii="Palatino Linotype" w:hAnsi="Palatino Linotype"/>
          <w:noProof/>
          <w:sz w:val="22"/>
          <w:szCs w:val="22"/>
        </w:rPr>
        <w:t>. Princeton University Press.</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6.</w:t>
      </w:r>
      <w:r w:rsidRPr="00457ACF">
        <w:rPr>
          <w:rFonts w:ascii="Palatino Linotype" w:hAnsi="Palatino Linotype"/>
          <w:noProof/>
          <w:sz w:val="22"/>
          <w:szCs w:val="22"/>
        </w:rPr>
        <w:tab/>
        <w:t xml:space="preserve">Ram, Y. &amp; Hadany, L. 2012 The evolution of stress-induced hypermutation in asexual populations. </w:t>
      </w:r>
      <w:r w:rsidRPr="00457ACF">
        <w:rPr>
          <w:rFonts w:ascii="Palatino Linotype" w:hAnsi="Palatino Linotype"/>
          <w:i/>
          <w:iCs/>
          <w:noProof/>
          <w:sz w:val="22"/>
          <w:szCs w:val="22"/>
        </w:rPr>
        <w:t>Evolution</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66</w:t>
      </w:r>
      <w:r w:rsidRPr="00457ACF">
        <w:rPr>
          <w:rFonts w:ascii="Palatino Linotype" w:hAnsi="Palatino Linotype"/>
          <w:noProof/>
          <w:sz w:val="22"/>
          <w:szCs w:val="22"/>
        </w:rPr>
        <w:t>, 2315–28. (doi:10.1111/j.1558-5646.2012.01576.x)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7.</w:t>
      </w:r>
      <w:r w:rsidRPr="00457ACF">
        <w:rPr>
          <w:rFonts w:ascii="Palatino Linotype" w:hAnsi="Palatino Linotype"/>
          <w:noProof/>
          <w:sz w:val="22"/>
          <w:szCs w:val="22"/>
        </w:rPr>
        <w:tab/>
        <w:t xml:space="preserve">Johnson, T. &amp; Barton, N. H. 2002 The effect of deleterious alleles on adaptation in asexual populations.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162</w:t>
      </w:r>
      <w:r w:rsidRPr="00457ACF">
        <w:rPr>
          <w:rFonts w:ascii="Palatino Linotype" w:hAnsi="Palatino Linotype"/>
          <w:noProof/>
          <w:sz w:val="22"/>
          <w:szCs w:val="22"/>
        </w:rPr>
        <w:t xml:space="preserve">, 395–411. </w:t>
      </w:r>
    </w:p>
    <w:p w:rsidR="009F7186" w:rsidRPr="00457ACF" w:rsidRDefault="005E1D12" w:rsidP="00457ACF">
      <w:pPr>
        <w:pStyle w:val="NormalWeb"/>
        <w:ind w:left="640" w:hanging="640"/>
        <w:divId w:val="177952451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DB5" w:rsidRDefault="001D5DB5">
      <w:r>
        <w:separator/>
      </w:r>
    </w:p>
  </w:endnote>
  <w:endnote w:type="continuationSeparator" w:id="0">
    <w:p w:rsidR="001D5DB5" w:rsidRDefault="001D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501D3E">
          <w:rPr>
            <w:noProof/>
          </w:rPr>
          <w:t>6</w:t>
        </w:r>
        <w:r>
          <w:rPr>
            <w:noProof/>
          </w:rPr>
          <w:fldChar w:fldCharType="end"/>
        </w:r>
      </w:p>
    </w:sdtContent>
  </w:sdt>
  <w:p w:rsidR="00531CC2" w:rsidRDefault="001D5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DB5" w:rsidRDefault="001D5DB5">
      <w:r>
        <w:separator/>
      </w:r>
    </w:p>
  </w:footnote>
  <w:footnote w:type="continuationSeparator" w:id="0">
    <w:p w:rsidR="001D5DB5" w:rsidRDefault="001D5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02C4C" w:rsidRDefault="00002C4C"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91183"/>
    <w:rsid w:val="000E71D5"/>
    <w:rsid w:val="000F6994"/>
    <w:rsid w:val="0013483B"/>
    <w:rsid w:val="001364E7"/>
    <w:rsid w:val="001547D6"/>
    <w:rsid w:val="001C26FB"/>
    <w:rsid w:val="001D5DB5"/>
    <w:rsid w:val="002175E5"/>
    <w:rsid w:val="00217945"/>
    <w:rsid w:val="00244C09"/>
    <w:rsid w:val="0028076E"/>
    <w:rsid w:val="002A3FCB"/>
    <w:rsid w:val="002B7010"/>
    <w:rsid w:val="002C0703"/>
    <w:rsid w:val="002D7219"/>
    <w:rsid w:val="002F0F33"/>
    <w:rsid w:val="00302982"/>
    <w:rsid w:val="00311C92"/>
    <w:rsid w:val="00313FB3"/>
    <w:rsid w:val="00322C2A"/>
    <w:rsid w:val="00335C70"/>
    <w:rsid w:val="003453E8"/>
    <w:rsid w:val="0034554A"/>
    <w:rsid w:val="0035041D"/>
    <w:rsid w:val="00427456"/>
    <w:rsid w:val="00457ACF"/>
    <w:rsid w:val="00501D3E"/>
    <w:rsid w:val="00501F2E"/>
    <w:rsid w:val="00525311"/>
    <w:rsid w:val="00542787"/>
    <w:rsid w:val="005601F8"/>
    <w:rsid w:val="00584A44"/>
    <w:rsid w:val="005E1D12"/>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42B5A-3582-497F-B754-C5573A87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6141</Words>
  <Characters>30709</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22</cp:revision>
  <cp:lastPrinted>2014-03-30T10:10:00Z</cp:lastPrinted>
  <dcterms:created xsi:type="dcterms:W3CDTF">2014-03-30T05:08:00Z</dcterms:created>
  <dcterms:modified xsi:type="dcterms:W3CDTF">2014-07-14T08:42:00Z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