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AF" w:rsidRDefault="00457ACF" w:rsidP="00002C4C">
      <w:pPr>
        <w:pStyle w:val="Title"/>
      </w:pPr>
      <w:r>
        <w:t>E</w:t>
      </w:r>
      <w:r w:rsidRPr="00457ACF">
        <w:t xml:space="preserve">lectronic </w:t>
      </w:r>
      <w:r>
        <w:t>S</w:t>
      </w:r>
      <w:r w:rsidRPr="00457ACF">
        <w:t xml:space="preserve">upplementary </w:t>
      </w:r>
      <w:r>
        <w:t>M</w:t>
      </w:r>
      <w:r w:rsidRPr="00457ACF">
        <w:t>aterial</w:t>
      </w:r>
      <w:r w:rsidR="00760A38" w:rsidRPr="00457ACF">
        <w:t xml:space="preserve"> for </w:t>
      </w:r>
    </w:p>
    <w:p w:rsidR="00760A38" w:rsidRPr="00457ACF" w:rsidRDefault="00760A38" w:rsidP="00002C4C">
      <w:pPr>
        <w:pStyle w:val="Title"/>
      </w:pPr>
      <w:r w:rsidRPr="00457ACF">
        <w:t>"</w:t>
      </w:r>
      <w:r w:rsidR="00002C4C" w:rsidRPr="00457ACF">
        <w:t xml:space="preserve">Stress-Induced Mutagenesis </w:t>
      </w:r>
      <w:r w:rsidR="00002C4C">
        <w:t xml:space="preserve">and </w:t>
      </w:r>
      <w:r w:rsidR="00D46380" w:rsidRPr="00457ACF">
        <w:t>Complex Adaptation</w:t>
      </w:r>
      <w:r w:rsidRPr="00457ACF">
        <w:t>"</w:t>
      </w:r>
    </w:p>
    <w:p w:rsidR="00760A38" w:rsidRDefault="00760A38" w:rsidP="00457ACF">
      <w:pPr>
        <w:pStyle w:val="Subtitle"/>
      </w:pPr>
      <w:proofErr w:type="spellStart"/>
      <w:r w:rsidRPr="00457ACF">
        <w:t>Yoav</w:t>
      </w:r>
      <w:proofErr w:type="spellEnd"/>
      <w:r w:rsidRPr="00457ACF">
        <w:t xml:space="preserve"> Ram and </w:t>
      </w:r>
      <w:proofErr w:type="spellStart"/>
      <w:r w:rsidRPr="00457ACF">
        <w:t>Lilach</w:t>
      </w:r>
      <w:proofErr w:type="spellEnd"/>
      <w:r w:rsidRPr="00457ACF">
        <w:t xml:space="preserve"> </w:t>
      </w:r>
      <w:proofErr w:type="spellStart"/>
      <w:r w:rsidRPr="00457ACF">
        <w:t>Hadany</w:t>
      </w:r>
      <w:proofErr w:type="spellEnd"/>
    </w:p>
    <w:p w:rsidR="00CF6D3C" w:rsidRPr="00CF6D3C" w:rsidRDefault="00CF6D3C" w:rsidP="00CF6D3C"/>
    <w:p w:rsidR="00A916BD" w:rsidRPr="00457ACF" w:rsidRDefault="00A916BD" w:rsidP="00457ACF">
      <w:pPr>
        <w:pStyle w:val="Heading1"/>
      </w:pPr>
      <w:r w:rsidRPr="00457ACF">
        <w:rPr>
          <w:rFonts w:eastAsiaTheme="minorEastAsia"/>
        </w:rPr>
        <w:t xml:space="preserve">Figure reproduction </w:t>
      </w:r>
    </w:p>
    <w:p w:rsidR="00B67008" w:rsidRDefault="00A916BD" w:rsidP="003531A6">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All </w:t>
      </w:r>
      <w:r w:rsidR="00B67008">
        <w:rPr>
          <w:rFonts w:ascii="Palatino Linotype" w:hAnsi="Palatino Linotype"/>
          <w:sz w:val="22"/>
          <w:szCs w:val="22"/>
          <w:lang w:bidi="hi-IN"/>
        </w:rPr>
        <w:t xml:space="preserve">the </w:t>
      </w:r>
      <w:r w:rsidRPr="00457ACF">
        <w:rPr>
          <w:rFonts w:ascii="Palatino Linotype" w:hAnsi="Palatino Linotype"/>
          <w:sz w:val="22"/>
          <w:szCs w:val="22"/>
          <w:lang w:bidi="hi-IN"/>
        </w:rPr>
        <w:t xml:space="preserve">figures were produced </w:t>
      </w:r>
      <w:r w:rsidR="00B67008">
        <w:rPr>
          <w:rFonts w:ascii="Palatino Linotype" w:hAnsi="Palatino Linotype"/>
          <w:sz w:val="22"/>
          <w:szCs w:val="22"/>
          <w:lang w:bidi="hi-IN"/>
        </w:rPr>
        <w:t xml:space="preserve">using </w:t>
      </w:r>
      <w:hyperlink r:id="rId9" w:history="1">
        <w:r w:rsidRPr="00245A98">
          <w:rPr>
            <w:rStyle w:val="Hyperlink"/>
            <w:rFonts w:ascii="Palatino Linotype" w:hAnsi="Palatino Linotype"/>
            <w:sz w:val="22"/>
            <w:szCs w:val="22"/>
            <w:lang w:bidi="hi-IN"/>
          </w:rPr>
          <w:t>Python</w:t>
        </w:r>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"previouslyFormattedCitation" : "[1]"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[1]</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with the </w:t>
      </w:r>
      <w:hyperlink r:id="rId10" w:history="1">
        <w:proofErr w:type="spellStart"/>
        <w:r w:rsidR="00B67008" w:rsidRPr="00245A98">
          <w:rPr>
            <w:rStyle w:val="Hyperlink"/>
            <w:rFonts w:ascii="Palatino Linotype" w:hAnsi="Palatino Linotype"/>
            <w:sz w:val="22"/>
            <w:szCs w:val="22"/>
            <w:lang w:bidi="hi-IN"/>
          </w:rPr>
          <w:t>NumPy</w:t>
        </w:r>
        <w:proofErr w:type="spellEnd"/>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"previouslyFormattedCitation" : "[2]"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[2]</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1" w:history="1">
        <w:proofErr w:type="spellStart"/>
        <w:r w:rsidR="00B67008" w:rsidRPr="00245A98">
          <w:rPr>
            <w:rStyle w:val="Hyperlink"/>
            <w:rFonts w:ascii="Palatino Linotype" w:hAnsi="Palatino Linotype"/>
            <w:sz w:val="22"/>
            <w:szCs w:val="22"/>
            <w:lang w:bidi="hi-IN"/>
          </w:rPr>
          <w:t>SciPy</w:t>
        </w:r>
        <w:proofErr w:type="spellEnd"/>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"previouslyFormattedCitation" : "[3]"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[3]</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2" w:history="1">
        <w:proofErr w:type="spellStart"/>
        <w:r w:rsidR="00B67008" w:rsidRPr="00245A98">
          <w:rPr>
            <w:rStyle w:val="Hyperlink"/>
            <w:rFonts w:ascii="Palatino Linotype" w:hAnsi="Palatino Linotype"/>
            <w:sz w:val="22"/>
            <w:szCs w:val="22"/>
            <w:lang w:bidi="hi-IN"/>
          </w:rPr>
          <w:t>Matplotlib</w:t>
        </w:r>
        <w:proofErr w:type="spellEnd"/>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"previouslyFormattedCitation" : "[4]"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[4]</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3" w:history="1">
        <w:r w:rsidR="00B67008" w:rsidRPr="00245A98">
          <w:rPr>
            <w:rStyle w:val="Hyperlink"/>
            <w:rFonts w:ascii="Palatino Linotype" w:hAnsi="Palatino Linotype"/>
            <w:sz w:val="22"/>
            <w:szCs w:val="22"/>
            <w:lang w:bidi="hi-IN"/>
          </w:rPr>
          <w:t>Pandas</w:t>
        </w:r>
      </w:hyperlink>
      <w:r w:rsidR="000D3C99">
        <w:rPr>
          <w:rFonts w:ascii="Palatino Linotype" w:hAnsi="Palatino Linotype"/>
          <w:sz w:val="22"/>
          <w:szCs w:val="22"/>
          <w:lang w:bidi="hi-IN"/>
        </w:rPr>
        <w:t xml:space="preserve"> </w:t>
      </w:r>
      <w:r w:rsidR="000D3C99">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"previouslyFormattedCitation" : "[5]" }, "properties" : { "noteIndex" : 0 }, "schema" : "https://github.com/citation-style-language/schema/raw/master/csl-citation.json" }</w:instrText>
      </w:r>
      <w:r w:rsidR="000D3C99">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[5]</w:t>
      </w:r>
      <w:r w:rsidR="000D3C99">
        <w:rPr>
          <w:rFonts w:ascii="Palatino Linotype" w:hAnsi="Palatino Linotype"/>
          <w:sz w:val="22"/>
          <w:szCs w:val="22"/>
          <w:lang w:bidi="hi-IN"/>
        </w:rPr>
        <w:fldChar w:fldCharType="end"/>
      </w:r>
      <w:r w:rsidR="00B67008">
        <w:rPr>
          <w:rFonts w:ascii="Palatino Linotype" w:hAnsi="Palatino Linotype"/>
          <w:sz w:val="22"/>
          <w:szCs w:val="22"/>
          <w:lang w:bidi="hi-IN"/>
        </w:rPr>
        <w:t xml:space="preserve">, </w:t>
      </w:r>
      <w:hyperlink r:id="rId14" w:history="1">
        <w:proofErr w:type="spellStart"/>
        <w:r w:rsidR="00B67008" w:rsidRPr="00245A98">
          <w:rPr>
            <w:rStyle w:val="Hyperlink"/>
            <w:rFonts w:ascii="Palatino Linotype" w:hAnsi="Palatino Linotype"/>
            <w:sz w:val="22"/>
            <w:szCs w:val="22"/>
            <w:lang w:bidi="hi-IN"/>
          </w:rPr>
          <w:t>scikits</w:t>
        </w:r>
        <w:proofErr w:type="spellEnd"/>
        <w:r w:rsidR="00245A98" w:rsidRPr="00245A98">
          <w:rPr>
            <w:rStyle w:val="Hyperlink"/>
            <w:rFonts w:ascii="Palatino Linotype" w:hAnsi="Palatino Linotype"/>
            <w:sz w:val="22"/>
            <w:szCs w:val="22"/>
            <w:lang w:bidi="hi-IN"/>
          </w:rPr>
          <w:t>-bootstrap</w:t>
        </w:r>
      </w:hyperlink>
      <w:r w:rsidR="00B67008">
        <w:rPr>
          <w:rFonts w:ascii="Palatino Linotype" w:hAnsi="Palatino Linotype"/>
          <w:sz w:val="22"/>
          <w:szCs w:val="22"/>
          <w:lang w:bidi="hi-IN"/>
        </w:rPr>
        <w:t xml:space="preserve">, </w:t>
      </w:r>
      <w:hyperlink r:id="rId15" w:history="1">
        <w:proofErr w:type="spellStart"/>
        <w:r w:rsidR="00B67008" w:rsidRPr="00245A98">
          <w:rPr>
            <w:rStyle w:val="Hyperlink"/>
            <w:rFonts w:ascii="Palatino Linotype" w:hAnsi="Palatino Linotype"/>
            <w:sz w:val="22"/>
            <w:szCs w:val="22"/>
            <w:lang w:bidi="hi-IN"/>
          </w:rPr>
          <w:t>statsmodels</w:t>
        </w:r>
        <w:proofErr w:type="spellEnd"/>
      </w:hyperlink>
      <w:r w:rsidR="00B67008">
        <w:rPr>
          <w:rFonts w:ascii="Palatino Linotype" w:hAnsi="Palatino Linotype"/>
          <w:sz w:val="22"/>
          <w:szCs w:val="22"/>
          <w:lang w:bidi="hi-IN"/>
        </w:rPr>
        <w:t xml:space="preserve">, and </w:t>
      </w:r>
      <w:hyperlink r:id="rId16" w:history="1">
        <w:proofErr w:type="spellStart"/>
        <w:r w:rsidR="00B67008" w:rsidRPr="00245A98">
          <w:rPr>
            <w:rStyle w:val="Hyperlink"/>
            <w:rFonts w:ascii="Palatino Linotype" w:hAnsi="Palatino Linotype"/>
            <w:sz w:val="22"/>
            <w:szCs w:val="22"/>
            <w:lang w:bidi="hi-IN"/>
          </w:rPr>
          <w:t>mpltools</w:t>
        </w:r>
        <w:proofErr w:type="spellEnd"/>
      </w:hyperlink>
      <w:r w:rsidR="00B67008">
        <w:rPr>
          <w:rFonts w:ascii="Palatino Linotype" w:hAnsi="Palatino Linotype"/>
          <w:sz w:val="22"/>
          <w:szCs w:val="22"/>
          <w:lang w:bidi="hi-IN"/>
        </w:rPr>
        <w:t xml:space="preserve"> packages</w:t>
      </w:r>
      <w:r w:rsidR="003531A6">
        <w:rPr>
          <w:rFonts w:ascii="Palatino Linotype" w:hAnsi="Palatino Linotype"/>
          <w:sz w:val="22"/>
          <w:szCs w:val="22"/>
          <w:lang w:bidi="hi-IN"/>
        </w:rPr>
        <w:t>.</w:t>
      </w:r>
      <w:bookmarkStart w:id="0" w:name="_GoBack"/>
      <w:bookmarkEnd w:id="0"/>
      <w:r w:rsidR="00B67008">
        <w:rPr>
          <w:rFonts w:ascii="Palatino Linotype" w:hAnsi="Palatino Linotype"/>
          <w:sz w:val="22"/>
          <w:szCs w:val="22"/>
          <w:lang w:bidi="hi-IN"/>
        </w:rPr>
        <w:t xml:space="preserve"> The code is available as </w:t>
      </w:r>
      <w:r w:rsidRPr="00457ACF">
        <w:rPr>
          <w:rFonts w:ascii="Palatino Linotype" w:hAnsi="Palatino Linotype"/>
          <w:sz w:val="22"/>
          <w:szCs w:val="22"/>
          <w:lang w:bidi="hi-IN"/>
        </w:rPr>
        <w:t xml:space="preserve">an </w:t>
      </w:r>
      <w:hyperlink r:id="rId17" w:history="1">
        <w:proofErr w:type="spellStart"/>
        <w:r w:rsidRPr="00457ACF">
          <w:rPr>
            <w:rStyle w:val="Hyperlink"/>
            <w:rFonts w:ascii="Palatino Linotype" w:hAnsi="Palatino Linotype"/>
            <w:sz w:val="22"/>
            <w:szCs w:val="22"/>
            <w:lang w:bidi="hi-IN"/>
          </w:rPr>
          <w:t>IPython</w:t>
        </w:r>
        <w:proofErr w:type="spellEnd"/>
      </w:hyperlink>
      <w:r w:rsidRPr="00457ACF">
        <w:rPr>
          <w:rFonts w:ascii="Palatino Linotype" w:hAnsi="Palatino Linotype"/>
          <w:sz w:val="22"/>
          <w:szCs w:val="22"/>
          <w:lang w:bidi="hi-IN"/>
        </w:rPr>
        <w:t xml:space="preserve"> Notebook </w:t>
      </w:r>
      <w:r w:rsidR="005E1D12"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"[6]" }, "properties" : { "noteIndex" : 0 }, "schema" : "https://github.com/citation-style-language/schema/raw/master/csl-citation.json" }</w:instrText>
      </w:r>
      <w:r w:rsidR="005E1D12"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[6]</w:t>
      </w:r>
      <w:r w:rsidR="005E1D12" w:rsidRPr="00457ACF">
        <w:rPr>
          <w:rFonts w:ascii="Palatino Linotype" w:hAnsi="Palatino Linotype"/>
          <w:sz w:val="22"/>
          <w:szCs w:val="22"/>
          <w:lang w:bidi="hi-IN"/>
        </w:rPr>
        <w:fldChar w:fldCharType="end"/>
      </w:r>
      <w:r w:rsidR="006018D8">
        <w:rPr>
          <w:rFonts w:ascii="Palatino Linotype" w:hAnsi="Palatino Linotype"/>
          <w:sz w:val="22"/>
          <w:szCs w:val="22"/>
          <w:lang w:bidi="hi-IN"/>
        </w:rPr>
        <w:t xml:space="preserve"> on the </w:t>
      </w:r>
      <w:hyperlink r:id="rId18" w:history="1">
        <w:r w:rsidR="006018D8" w:rsidRPr="006018D8">
          <w:rPr>
            <w:rStyle w:val="Hyperlink"/>
            <w:rFonts w:ascii="Palatino Linotype" w:hAnsi="Palatino Linotype"/>
            <w:sz w:val="22"/>
            <w:szCs w:val="22"/>
            <w:lang w:bidi="hi-IN"/>
          </w:rPr>
          <w:t>Proceedings of the Royal Society B</w:t>
        </w:r>
      </w:hyperlink>
      <w:r w:rsidR="00245A98">
        <w:rPr>
          <w:rFonts w:ascii="Palatino Linotype" w:hAnsi="Palatino Linotype"/>
          <w:sz w:val="22"/>
          <w:szCs w:val="22"/>
          <w:lang w:bidi="hi-IN"/>
        </w:rPr>
        <w:t xml:space="preserve"> website as </w:t>
      </w:r>
      <w:r w:rsidR="00B67008">
        <w:rPr>
          <w:rFonts w:ascii="Palatino Linotype" w:hAnsi="Palatino Linotype"/>
          <w:sz w:val="22"/>
          <w:szCs w:val="22"/>
          <w:lang w:bidi="hi-IN"/>
        </w:rPr>
        <w:t>an Electronic Supplementary Material</w:t>
      </w:r>
      <w:r w:rsidR="006018D8">
        <w:rPr>
          <w:rFonts w:ascii="Palatino Linotype" w:hAnsi="Palatino Linotype"/>
          <w:sz w:val="22"/>
          <w:szCs w:val="22"/>
          <w:lang w:bidi="hi-IN"/>
        </w:rPr>
        <w:t>.</w:t>
      </w:r>
      <w:r w:rsidR="00B67008">
        <w:rPr>
          <w:rFonts w:ascii="Palatino Linotype" w:hAnsi="Palatino Linotype"/>
          <w:sz w:val="22"/>
          <w:szCs w:val="22"/>
          <w:lang w:bidi="hi-IN"/>
        </w:rPr>
        <w:t xml:space="preserve"> </w:t>
      </w:r>
      <w:r w:rsidR="00B67008" w:rsidRPr="00457ACF">
        <w:rPr>
          <w:rFonts w:ascii="Palatino Linotype" w:hAnsi="Palatino Linotype"/>
          <w:sz w:val="22"/>
          <w:szCs w:val="22"/>
          <w:lang w:bidi="hi-IN"/>
        </w:rPr>
        <w:t>The notebook includes the analytic approximations as Python functions and uses the simulation raw data which is necessary for Figures 2, 3, S1, S2, and F1</w:t>
      </w:r>
      <w:r w:rsidR="00B67008">
        <w:rPr>
          <w:rFonts w:ascii="Palatino Linotype" w:hAnsi="Palatino Linotype"/>
          <w:sz w:val="22"/>
          <w:szCs w:val="22"/>
          <w:lang w:bidi="hi-IN"/>
        </w:rPr>
        <w:t>.</w:t>
      </w:r>
    </w:p>
    <w:p w:rsidR="00A916BD" w:rsidRPr="00457ACF" w:rsidRDefault="006018D8" w:rsidP="00B67008">
      <w:pPr>
        <w:spacing w:line="480" w:lineRule="auto"/>
        <w:rPr>
          <w:rFonts w:ascii="Palatino Linotype" w:hAnsi="Palatino Linotype"/>
          <w:sz w:val="22"/>
          <w:szCs w:val="22"/>
        </w:rPr>
      </w:pPr>
      <w:r>
        <w:rPr>
          <w:rFonts w:ascii="Palatino Linotype" w:hAnsi="Palatino Linotype"/>
          <w:sz w:val="22"/>
          <w:szCs w:val="22"/>
          <w:lang w:bidi="hi-IN"/>
        </w:rPr>
        <w:t>T</w:t>
      </w:r>
      <w:r w:rsidR="00A916BD" w:rsidRPr="00457ACF">
        <w:rPr>
          <w:rFonts w:ascii="Palatino Linotype" w:hAnsi="Palatino Linotype"/>
          <w:sz w:val="22"/>
          <w:szCs w:val="22"/>
          <w:lang w:bidi="hi-IN"/>
        </w:rPr>
        <w:t xml:space="preserve">he raw data </w:t>
      </w:r>
      <w:r>
        <w:rPr>
          <w:rFonts w:ascii="Palatino Linotype" w:hAnsi="Palatino Linotype"/>
          <w:sz w:val="22"/>
          <w:szCs w:val="22"/>
          <w:lang w:bidi="hi-IN"/>
        </w:rPr>
        <w:t xml:space="preserve">is available </w:t>
      </w:r>
      <w:r w:rsidR="00A916BD" w:rsidRPr="00457ACF">
        <w:rPr>
          <w:rFonts w:ascii="Palatino Linotype" w:hAnsi="Palatino Linotype"/>
          <w:sz w:val="22"/>
          <w:szCs w:val="22"/>
          <w:lang w:bidi="hi-IN"/>
        </w:rPr>
        <w:t xml:space="preserve">on </w:t>
      </w:r>
      <w:hyperlink r:id="rId19" w:history="1">
        <w:r w:rsidR="00A916BD" w:rsidRPr="006018D8">
          <w:rPr>
            <w:rStyle w:val="Hyperlink"/>
            <w:rFonts w:ascii="Palatino Linotype" w:hAnsi="Palatino Linotype"/>
            <w:sz w:val="22"/>
            <w:szCs w:val="22"/>
            <w:lang w:bidi="hi-IN"/>
          </w:rPr>
          <w:t>Dryad</w:t>
        </w:r>
      </w:hyperlink>
      <w:r>
        <w:rPr>
          <w:rFonts w:ascii="Palatino Linotype" w:hAnsi="Palatino Linotype"/>
          <w:sz w:val="22"/>
          <w:szCs w:val="22"/>
          <w:lang w:bidi="hi-IN"/>
        </w:rPr>
        <w:t xml:space="preserve"> (DOI: </w:t>
      </w:r>
      <w:hyperlink r:id="rId20" w:history="1">
        <w:r w:rsidRPr="006018D8">
          <w:rPr>
            <w:rStyle w:val="Hyperlink"/>
            <w:rFonts w:ascii="Palatino Linotype" w:hAnsi="Palatino Linotype"/>
            <w:sz w:val="22"/>
            <w:szCs w:val="22"/>
            <w:lang w:bidi="hi-IN"/>
          </w:rPr>
          <w:t>10.5061/dryad.3066j</w:t>
        </w:r>
      </w:hyperlink>
      <w:r>
        <w:rPr>
          <w:rFonts w:ascii="Palatino Linotype" w:hAnsi="Palatino Linotype"/>
          <w:sz w:val="22"/>
          <w:szCs w:val="22"/>
          <w:lang w:bidi="hi-IN"/>
        </w:rPr>
        <w:t>)</w:t>
      </w:r>
      <w:r w:rsidR="00A916BD" w:rsidRPr="00457ACF">
        <w:rPr>
          <w:rFonts w:ascii="Palatino Linotype" w:hAnsi="Palatino Linotype"/>
          <w:sz w:val="22"/>
          <w:szCs w:val="22"/>
          <w:lang w:bidi="hi-IN"/>
        </w:rPr>
        <w:t>.</w:t>
      </w:r>
    </w:p>
    <w:p w:rsidR="00A916BD" w:rsidRPr="00457ACF" w:rsidRDefault="00A916BD" w:rsidP="0013483B">
      <w:pPr>
        <w:spacing w:line="480" w:lineRule="auto"/>
        <w:rPr>
          <w:rFonts w:ascii="Palatino Linotype" w:eastAsiaTheme="majorEastAsia" w:hAnsi="Palatino Linotype" w:cstheme="majorBidi"/>
          <w:b/>
          <w:bCs/>
          <w:kern w:val="32"/>
          <w:sz w:val="22"/>
          <w:szCs w:val="22"/>
        </w:rPr>
      </w:pPr>
    </w:p>
    <w:p w:rsidR="00D46380" w:rsidRPr="00457ACF" w:rsidRDefault="00D46380" w:rsidP="00457ACF">
      <w:pPr>
        <w:pStyle w:val="Heading1"/>
        <w:rPr>
          <w:rFonts w:eastAsiaTheme="minorEastAsia"/>
        </w:rPr>
      </w:pPr>
      <w:r w:rsidRPr="00457ACF">
        <w:t>Appendix</w:t>
      </w:r>
      <w:r w:rsidRPr="00457ACF">
        <w:rPr>
          <w:rFonts w:eastAsiaTheme="minorEastAsia"/>
        </w:rPr>
        <w:t xml:space="preserve"> D: Mean fitness at the mutation-selection balance</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Denote the frequency of individuals with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by </w:t>
      </w:r>
      <w:proofErr w:type="spellStart"/>
      <w:proofErr w:type="gram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proofErr w:type="gramEnd"/>
      <w:r w:rsidRPr="00457ACF">
        <w:rPr>
          <w:rFonts w:ascii="Palatino Linotype" w:hAnsi="Palatino Linotype"/>
          <w:sz w:val="22"/>
          <w:szCs w:val="22"/>
          <w:lang w:bidi="hi-IN"/>
        </w:rPr>
        <w:t xml:space="preserve">. The frequency of such individuals in the next generation </w:t>
      </w:r>
      <w:proofErr w:type="spell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r w:rsidRPr="00457ACF">
        <w:rPr>
          <w:rFonts w:ascii="Palatino Linotype" w:hAnsi="Palatino Linotype"/>
          <w:sz w:val="22"/>
          <w:szCs w:val="22"/>
          <w:lang w:bidi="hi-IN"/>
        </w:rPr>
        <w:t xml:space="preserve">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D46380" w:rsidRPr="00457ACF" w:rsidTr="00B67008">
        <w:tc>
          <w:tcPr>
            <w:tcW w:w="2842" w:type="dxa"/>
          </w:tcPr>
          <w:p w:rsidR="00D46380" w:rsidRPr="00457ACF" w:rsidRDefault="00D46380" w:rsidP="00B67008">
            <w:pPr>
              <w:spacing w:line="480" w:lineRule="auto"/>
              <w:rPr>
                <w:rFonts w:ascii="Palatino Linotype" w:eastAsiaTheme="minorEastAsia" w:hAnsi="Palatino Linotype"/>
                <w:sz w:val="22"/>
                <w:szCs w:val="22"/>
                <w:lang w:bidi="hi-IN"/>
              </w:rPr>
            </w:pPr>
          </w:p>
        </w:tc>
        <w:tc>
          <w:tcPr>
            <w:tcW w:w="2843" w:type="dxa"/>
          </w:tcPr>
          <w:p w:rsidR="00D46380" w:rsidRPr="00457ACF" w:rsidRDefault="00B67008" w:rsidP="00B67008">
            <w:pPr>
              <w:spacing w:line="480" w:lineRule="auto"/>
              <w:rPr>
                <w:rFonts w:ascii="Palatino Linotype" w:eastAsiaTheme="minorEastAsia" w:hAnsi="Palatino Linotype"/>
                <w:sz w:val="22"/>
                <w:szCs w:val="22"/>
                <w:lang w:bidi="hi-IN"/>
              </w:rPr>
            </w:pPr>
            <m:oMath>
              <m:acc>
                <m:accPr>
                  <m:chr m:val="̅"/>
                  <m:ctrlPr>
                    <w:rPr>
                      <w:rFonts w:ascii="Cambria Math" w:eastAsiaTheme="minorEastAsia" w:hAnsi="Cambria Math"/>
                      <w:i/>
                      <w:sz w:val="22"/>
                      <w:szCs w:val="22"/>
                      <w:lang w:bidi="hi-IN"/>
                    </w:rPr>
                  </m:ctrlPr>
                </m:accPr>
                <m:e>
                  <m:r>
                    <w:rPr>
                      <w:rFonts w:ascii="Cambria Math" w:hAnsi="Cambria Math"/>
                      <w:sz w:val="22"/>
                      <w:szCs w:val="22"/>
                      <w:lang w:bidi="hi-IN"/>
                    </w:rPr>
                    <m:t>ω</m:t>
                  </m:r>
                  <m:ctrlPr>
                    <w:rPr>
                      <w:rFonts w:ascii="Cambria Math" w:hAnsi="Cambria Math"/>
                      <w:i/>
                      <w:sz w:val="22"/>
                      <w:szCs w:val="22"/>
                      <w:lang w:bidi="hi-IN"/>
                    </w:rPr>
                  </m:ctrlP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y≥0</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e>
              </m:nary>
            </m:oMath>
            <w:r w:rsidR="00D46380" w:rsidRPr="00457ACF">
              <w:rPr>
                <w:rFonts w:ascii="Palatino Linotype" w:eastAsiaTheme="minorEastAsia" w:hAnsi="Palatino Linotype"/>
                <w:sz w:val="22"/>
                <w:szCs w:val="22"/>
                <w:lang w:bidi="hi-IN"/>
              </w:rPr>
              <w:t>,</w:t>
            </w:r>
          </w:p>
        </w:tc>
        <w:tc>
          <w:tcPr>
            <w:tcW w:w="2843" w:type="dxa"/>
          </w:tcPr>
          <w:p w:rsidR="00D46380" w:rsidRPr="00457ACF" w:rsidRDefault="00D46380" w:rsidP="00B67008">
            <w:pPr>
              <w:spacing w:line="480" w:lineRule="auto"/>
              <w:jc w:val="right"/>
              <w:rPr>
                <w:rFonts w:ascii="Palatino Linotype" w:eastAsiaTheme="minorEastAsia" w:hAnsi="Palatino Linotype"/>
                <w:sz w:val="22"/>
                <w:szCs w:val="22"/>
                <w:lang w:bidi="hi-IN"/>
              </w:rPr>
            </w:pPr>
          </w:p>
        </w:tc>
      </w:tr>
    </w:tbl>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x,y</w:t>
      </w:r>
      <w:proofErr w:type="spell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is the transition probability from </w:t>
      </w:r>
      <w:r w:rsidRPr="00457ACF">
        <w:rPr>
          <w:rFonts w:ascii="Palatino Linotype" w:hAnsi="Palatino Linotype"/>
          <w:i/>
          <w:iCs/>
          <w:sz w:val="22"/>
          <w:szCs w:val="22"/>
          <w:lang w:bidi="hi-IN"/>
        </w:rPr>
        <w:t>y</w:t>
      </w:r>
      <w:r w:rsidRPr="00457ACF">
        <w:rPr>
          <w:rFonts w:ascii="Palatino Linotype" w:hAnsi="Palatino Linotype"/>
          <w:sz w:val="22"/>
          <w:szCs w:val="22"/>
          <w:lang w:bidi="hi-IN"/>
        </w:rPr>
        <w:t xml:space="preserve"> deleterious alleles to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and </w:t>
      </w:r>
      <m:oMath>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The term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w:t>
      </w:r>
      <w:proofErr w:type="gramStart"/>
      <w:r w:rsidRPr="00457ACF">
        <w:rPr>
          <w:rFonts w:ascii="Palatino Linotype" w:hAnsi="Palatino Linotype"/>
          <w:i/>
          <w:iCs/>
          <w:sz w:val="22"/>
          <w:szCs w:val="22"/>
          <w:vertAlign w:val="subscript"/>
          <w:lang w:bidi="hi-IN"/>
        </w:rPr>
        <w:t>,y</w:t>
      </w:r>
      <w:proofErr w:type="spellEnd"/>
      <w:proofErr w:type="gram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consist of the fitness of individuals with </w:t>
      </w:r>
      <w:r w:rsidRPr="00457ACF">
        <w:rPr>
          <w:rFonts w:ascii="Palatino Linotype" w:hAnsi="Palatino Linotype"/>
          <w:i/>
          <w:iCs/>
          <w:sz w:val="22"/>
          <w:szCs w:val="22"/>
          <w:lang w:bidi="hi-IN"/>
        </w:rPr>
        <w:t>y</w:t>
      </w:r>
      <w:r w:rsidRPr="00457ACF">
        <w:rPr>
          <w:rFonts w:ascii="Palatino Linotype" w:hAnsi="Palatino Linotype"/>
          <w:sz w:val="22"/>
          <w:szCs w:val="22"/>
        </w:rPr>
        <w:t xml:space="preserve"> deleterious alleles,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lang w:bidi="hi-IN"/>
        </w:rPr>
        <w:t xml:space="preserve">, </w:t>
      </w:r>
      <w:r w:rsidRPr="00457ACF">
        <w:rPr>
          <w:rFonts w:ascii="Palatino Linotype" w:hAnsi="Palatino Linotype"/>
          <w:sz w:val="22"/>
          <w:szCs w:val="22"/>
        </w:rPr>
        <w:t>and the probability that the precise number of mutations occurred</w:t>
      </w:r>
      <w:r w:rsidRPr="00457ACF">
        <w:rPr>
          <w:rFonts w:ascii="Palatino Linotype" w:hAnsi="Palatino Linotype"/>
          <w:sz w:val="22"/>
          <w:szCs w:val="22"/>
          <w:lang w:bidi="hi-IN"/>
        </w:rPr>
        <w:t xml:space="preserve">. Specifically,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beneficial mutation must occur;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x-y</w:t>
      </w:r>
      <w:r w:rsidRPr="00457ACF">
        <w:rPr>
          <w:rFonts w:ascii="Palatino Linotype" w:hAnsi="Palatino Linotype"/>
          <w:sz w:val="22"/>
          <w:szCs w:val="22"/>
          <w:lang w:bidi="hi-IN"/>
        </w:rPr>
        <w:t xml:space="preserve"> deleterious mutations must occur:</w:t>
      </w:r>
    </w:p>
    <w:p w:rsidR="00D46380" w:rsidRPr="00457ACF" w:rsidRDefault="00B67008"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r>
          <w:rPr>
            <w:rFonts w:ascii="Cambria Math" w:hAnsi="Cambria Math"/>
            <w:sz w:val="22"/>
            <w:szCs w:val="22"/>
            <w:lang w:bidi="hi-IN"/>
          </w:rPr>
          <m:t>=</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∙P(x-y deleterious m</m:t>
                </m:r>
                <m:r>
                  <w:rPr>
                    <w:rFonts w:ascii="Cambria Math" w:hAnsi="Cambria Math"/>
                    <w:sz w:val="22"/>
                    <w:szCs w:val="22"/>
                    <w:lang w:bidi="hi-IN"/>
                  </w:rPr>
                  <m:t>utations),   y&lt;x</m:t>
                </m: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 xml:space="preserve">∙P(y-x beneficial mutations),      y&gt;x </m:t>
                </m:r>
                <m:ctrlPr>
                  <w:rPr>
                    <w:rFonts w:ascii="Cambria Math" w:eastAsia="Cambria Math" w:hAnsi="Cambria Math" w:cs="Cambria Math"/>
                    <w:i/>
                    <w:sz w:val="22"/>
                    <w:szCs w:val="22"/>
                    <w:lang w:bidi="hi-IN"/>
                  </w:rPr>
                </m:ctrlP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∙P(no mutations),                                 y=x</m:t>
                </m:r>
              </m:e>
            </m:eqArr>
          </m:e>
        </m:d>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Using the probability mass function of a Poisson distribution, we can expand the above equation to</w:t>
      </w:r>
    </w:p>
    <w:p w:rsidR="00D46380" w:rsidRPr="00457ACF" w:rsidRDefault="00B67008"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y-x</m:t>
                    </m:r>
                  </m:sup>
                </m:sSup>
              </m:num>
              <m:den>
                <m:d>
                  <m:dPr>
                    <m:ctrlPr>
                      <w:rPr>
                        <w:rFonts w:ascii="Cambria Math" w:hAnsi="Cambria Math"/>
                        <w:i/>
                        <w:sz w:val="22"/>
                        <w:szCs w:val="22"/>
                        <w:lang w:bidi="hi-IN"/>
                      </w:rPr>
                    </m:ctrlPr>
                  </m:dPr>
                  <m:e>
                    <m:r>
                      <w:rPr>
                        <w:rFonts w:ascii="Cambria Math" w:hAnsi="Cambria Math"/>
                        <w:sz w:val="22"/>
                        <w:szCs w:val="22"/>
                        <w:lang w:bidi="hi-IN"/>
                      </w:rPr>
                      <m:t>y-x</m:t>
                    </m:r>
                  </m:e>
                </m:d>
                <m:r>
                  <w:rPr>
                    <w:rFonts w:ascii="Cambria Math" w:hAnsi="Cambria Math"/>
                    <w:sz w:val="22"/>
                    <w:szCs w:val="22"/>
                    <w:lang w:bidi="hi-IN"/>
                  </w:rPr>
                  <m:t>!</m:t>
                </m:r>
              </m:den>
            </m:f>
          </m:e>
        </m:nary>
        <m:r>
          <w:rPr>
            <w:rFonts w:ascii="Cambria Math" w:hAnsi="Cambria Math"/>
            <w:sz w:val="22"/>
            <w:szCs w:val="22"/>
            <w:lang w:bidi="hi-IN"/>
          </w:rPr>
          <m:t>,   ∀x≥0</m:t>
        </m:r>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lang w:bidi="hi-IN"/>
        </w:rPr>
        <w:t>y</w:t>
      </w:r>
      <w:proofErr w:type="spellEnd"/>
      <w:r w:rsidRPr="00457ACF">
        <w:rPr>
          <w:rFonts w:ascii="Palatino Linotype" w:hAnsi="Palatino Linotype"/>
          <w:sz w:val="22"/>
          <w:szCs w:val="22"/>
          <w:lang w:bidi="hi-IN"/>
        </w:rPr>
        <w:t xml:space="preserve"> is the fitness of individuals with </w:t>
      </w:r>
      <w:r w:rsidRPr="00457ACF">
        <w:rPr>
          <w:rFonts w:ascii="Palatino Linotype" w:hAnsi="Palatino Linotype"/>
          <w:i/>
          <w:iCs/>
          <w:sz w:val="22"/>
          <w:szCs w:val="22"/>
          <w:lang w:bidi="hi-IN"/>
        </w:rPr>
        <w:t xml:space="preserve">y </w:t>
      </w:r>
      <w:r w:rsidRPr="00457ACF">
        <w:rPr>
          <w:rFonts w:ascii="Palatino Linotype" w:hAnsi="Palatino Linotype"/>
          <w:sz w:val="22"/>
          <w:szCs w:val="22"/>
        </w:rPr>
        <w:t xml:space="preserve">deleterious alleles, </w:t>
      </w:r>
      <m:oMath>
        <m:r>
          <w:rPr>
            <w:rFonts w:ascii="Cambria Math" w:hAnsi="Cambria Math"/>
            <w:sz w:val="22"/>
            <w:szCs w:val="22"/>
            <w:lang w:bidi="hi-IN"/>
          </w:rPr>
          <m:t xml:space="preserve"> </m:t>
        </m:r>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oMath>
      <w:r w:rsidRPr="00457ACF">
        <w:rPr>
          <w:rFonts w:ascii="Palatino Linotype" w:hAnsi="Palatino Linotype"/>
          <w:sz w:val="22"/>
          <w:szCs w:val="22"/>
          <w:lang w:bidi="hi-IN"/>
        </w:rPr>
        <w:t>),</w:t>
      </w:r>
      <w:r w:rsidRPr="00457ACF">
        <w:rPr>
          <w:rFonts w:ascii="Palatino Linotype" w:hAnsi="Palatino Linotype"/>
          <w:sz w:val="22"/>
          <w:szCs w:val="22"/>
        </w:rPr>
        <w:t xml:space="preserve"> </w:t>
      </w:r>
      <w:r w:rsidRPr="00457ACF">
        <w:rPr>
          <w:rFonts w:ascii="Palatino Linotype" w:hAnsi="Palatino Linotype"/>
          <w:i/>
          <w:iCs/>
          <w:sz w:val="22"/>
          <w:szCs w:val="22"/>
        </w:rPr>
        <w:t>δ</w:t>
      </w:r>
      <w:r w:rsidRPr="00457ACF">
        <w:rPr>
          <w:rFonts w:ascii="Palatino Linotype" w:hAnsi="Palatino Linotype"/>
          <w:sz w:val="22"/>
          <w:szCs w:val="22"/>
        </w:rPr>
        <w:t xml:space="preserve"> and </w:t>
      </w:r>
      <w:r w:rsidRPr="00457ACF">
        <w:rPr>
          <w:rFonts w:ascii="Palatino Linotype" w:hAnsi="Palatino Linotype"/>
          <w:i/>
          <w:iCs/>
          <w:sz w:val="22"/>
          <w:szCs w:val="22"/>
        </w:rPr>
        <w:t>β</w:t>
      </w:r>
      <w:r w:rsidRPr="00457ACF">
        <w:rPr>
          <w:rFonts w:ascii="Palatino Linotype" w:hAnsi="Palatino Linotype"/>
          <w:sz w:val="22"/>
          <w:szCs w:val="22"/>
        </w:rPr>
        <w:t xml:space="preserve"> are the fraction of mutations that are deleterious and beneficial, respectively (</w:t>
      </w:r>
      <w:r w:rsidRPr="00457ACF">
        <w:rPr>
          <w:rFonts w:ascii="Palatino Linotype" w:hAnsi="Palatino Linotype"/>
          <w:i/>
          <w:iCs/>
          <w:sz w:val="22"/>
          <w:szCs w:val="22"/>
        </w:rPr>
        <w:t>δ+β</w:t>
      </w:r>
      <w:r w:rsidRPr="00457ACF">
        <w:rPr>
          <w:rFonts w:ascii="Palatino Linotype" w:hAnsi="Palatino Linotype"/>
          <w:sz w:val="22"/>
          <w:szCs w:val="22"/>
        </w:rPr>
        <w:t>=1 and 0</w:t>
      </w:r>
      <w:r w:rsidRPr="00457ACF">
        <w:rPr>
          <w:rFonts w:ascii="Palatino Linotype" w:hAnsi="Palatino Linotype" w:cs="Arial"/>
          <w:sz w:val="22"/>
          <w:szCs w:val="22"/>
        </w:rPr>
        <w:t>≤</w:t>
      </w:r>
      <w:r w:rsidRPr="00457ACF">
        <w:rPr>
          <w:rFonts w:ascii="Palatino Linotype" w:hAnsi="Palatino Linotype"/>
          <w:i/>
          <w:iCs/>
          <w:sz w:val="22"/>
          <w:szCs w:val="22"/>
        </w:rPr>
        <w:t>β</w:t>
      </w:r>
      <w:r w:rsidRPr="00457ACF">
        <w:rPr>
          <w:rFonts w:ascii="Palatino Linotype" w:hAnsi="Palatino Linotype"/>
          <w:sz w:val="22"/>
          <w:szCs w:val="22"/>
        </w:rPr>
        <w:t>&lt;</w:t>
      </w:r>
      <w:r w:rsidRPr="00457ACF">
        <w:rPr>
          <w:rFonts w:ascii="Palatino Linotype" w:hAnsi="Palatino Linotype"/>
          <w:i/>
          <w:iCs/>
          <w:sz w:val="22"/>
          <w:szCs w:val="22"/>
        </w:rPr>
        <w:t>δ</w:t>
      </w:r>
      <w:r w:rsidRPr="00457ACF">
        <w:rPr>
          <w:rFonts w:ascii="Palatino Linotype" w:hAnsi="Palatino Linotype" w:cs="Arial"/>
          <w:sz w:val="22"/>
          <w:szCs w:val="22"/>
        </w:rPr>
        <w:t>≤</w:t>
      </w:r>
      <w:r w:rsidRPr="00457ACF">
        <w:rPr>
          <w:rFonts w:ascii="Palatino Linotype" w:hAnsi="Palatino Linotype"/>
          <w:sz w:val="22"/>
          <w:szCs w:val="22"/>
        </w:rPr>
        <w:t>1</w:t>
      </w:r>
      <w:r w:rsidRPr="00457ACF">
        <w:rPr>
          <w:rFonts w:ascii="Palatino Linotype" w:hAnsi="Palatino Linotype"/>
          <w:i/>
          <w:iCs/>
          <w:sz w:val="22"/>
          <w:szCs w:val="22"/>
        </w:rPr>
        <w:t>)</w:t>
      </w:r>
      <w:r w:rsidRPr="00457ACF">
        <w:rPr>
          <w:rFonts w:ascii="Palatino Linotype" w:hAnsi="Palatino Linotype"/>
          <w:sz w:val="22"/>
          <w:szCs w:val="22"/>
        </w:rPr>
        <w:t xml:space="preserve">, and </w:t>
      </w:r>
      <w:proofErr w:type="spellStart"/>
      <w:r w:rsidRPr="00457ACF">
        <w:rPr>
          <w:rFonts w:ascii="Palatino Linotype" w:hAnsi="Palatino Linotype"/>
          <w:i/>
          <w:iCs/>
          <w:sz w:val="22"/>
          <w:szCs w:val="22"/>
        </w:rPr>
        <w:t>U</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vertAlign w:val="superscript"/>
        </w:rPr>
        <w:t xml:space="preserve"> </w:t>
      </w:r>
      <w:r w:rsidRPr="00457ACF">
        <w:rPr>
          <w:rFonts w:ascii="Palatino Linotype" w:hAnsi="Palatino Linotype"/>
          <w:sz w:val="22"/>
          <w:szCs w:val="22"/>
        </w:rPr>
        <w:t xml:space="preserve">is the average number of new mutations per generation in an individual with </w:t>
      </w:r>
      <w:r w:rsidRPr="00457ACF">
        <w:rPr>
          <w:rFonts w:ascii="Palatino Linotype" w:hAnsi="Palatino Linotype"/>
          <w:i/>
          <w:iCs/>
          <w:sz w:val="22"/>
          <w:szCs w:val="22"/>
        </w:rPr>
        <w:t>y</w:t>
      </w:r>
      <w:r w:rsidRPr="00457ACF">
        <w:rPr>
          <w:rFonts w:ascii="Palatino Linotype" w:hAnsi="Palatino Linotype"/>
          <w:sz w:val="22"/>
          <w:szCs w:val="22"/>
        </w:rPr>
        <w:t xml:space="preserve"> deleterious alleles.</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can be written as a matrix equation by multiplying the frequencies vector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and the mutation-selection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w:t>
      </w:r>
    </w:p>
    <w:p w:rsidR="00D46380" w:rsidRPr="00457ACF" w:rsidRDefault="00B67008" w:rsidP="00D46380">
      <w:pPr>
        <w:spacing w:line="480" w:lineRule="auto"/>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=Mf</m:t>
          </m:r>
        </m:oMath>
      </m:oMathPara>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At the mutation-selection balance (MSB),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solves the equation (a star * denotes equilibrium quantities)</w:t>
      </w:r>
    </w:p>
    <w:p w:rsidR="00D46380" w:rsidRPr="00457ACF" w:rsidRDefault="00B67008" w:rsidP="00D46380">
      <w:pPr>
        <w:spacing w:line="480" w:lineRule="auto"/>
        <w:jc w:val="center"/>
        <w:rPr>
          <w:rFonts w:ascii="Palatino Linotype" w:hAnsi="Palatino Linotype"/>
          <w:sz w:val="22"/>
          <w:szCs w:val="22"/>
          <w:lang w:bidi="hi-IN"/>
        </w:rPr>
      </w:pP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m:t>
        </m:r>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Without beneficial mutations (</w:t>
      </w:r>
      <w:r w:rsidRPr="00457ACF">
        <w:rPr>
          <w:rFonts w:ascii="Palatino Linotype" w:hAnsi="Palatino Linotype"/>
          <w:i/>
          <w:iCs/>
          <w:sz w:val="22"/>
          <w:szCs w:val="22"/>
          <w:lang w:bidi="hi-IN"/>
        </w:rPr>
        <w:t>δ</w:t>
      </w:r>
      <w:r w:rsidRPr="00457ACF">
        <w:rPr>
          <w:rFonts w:ascii="Palatino Linotype" w:hAnsi="Palatino Linotype"/>
          <w:sz w:val="22"/>
          <w:szCs w:val="22"/>
          <w:lang w:bidi="hi-IN"/>
        </w:rPr>
        <w:t xml:space="preserve">=1 and </w:t>
      </w:r>
      <w:r w:rsidRPr="00457ACF">
        <w:rPr>
          <w:rFonts w:ascii="Palatino Linotype" w:hAnsi="Palatino Linotype"/>
          <w:sz w:val="22"/>
          <w:szCs w:val="22"/>
        </w:rPr>
        <w:t>β=0)</w:t>
      </w:r>
      <w:r w:rsidRPr="00457ACF">
        <w:rPr>
          <w:rFonts w:ascii="Palatino Linotype" w:hAnsi="Palatino Linotype"/>
          <w:sz w:val="22"/>
          <w:szCs w:val="22"/>
          <w:lang w:bidi="hi-IN"/>
        </w:rPr>
        <w:t>, the above equation simplifies to</w:t>
      </w:r>
    </w:p>
    <w:p w:rsidR="00D46380" w:rsidRPr="00457ACF" w:rsidRDefault="00B67008" w:rsidP="00D46380">
      <w:pPr>
        <w:spacing w:line="480" w:lineRule="auto"/>
        <w:jc w:val="center"/>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k</m:t>
                          </m:r>
                        </m:sub>
                      </m:sSub>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   ∀x≥0</m:t>
          </m:r>
        </m:oMath>
      </m:oMathPara>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and</w:t>
      </w:r>
      <w:proofErr w:type="gramEnd"/>
      <w:r w:rsidRPr="00457ACF">
        <w:rPr>
          <w:rFonts w:ascii="Palatino Linotype" w:hAnsi="Palatino Linotype"/>
          <w:sz w:val="22"/>
          <w:szCs w:val="22"/>
          <w:lang w:bidi="hi-IN"/>
        </w:rPr>
        <w:t xml:space="preserve">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triangular matrix. In this case the </w:t>
      </w:r>
      <w:proofErr w:type="gramStart"/>
      <w:r w:rsidRPr="00457ACF">
        <w:rPr>
          <w:rFonts w:ascii="Palatino Linotype" w:hAnsi="Palatino Linotype"/>
          <w:sz w:val="22"/>
          <w:szCs w:val="22"/>
          <w:lang w:bidi="hi-IN"/>
        </w:rPr>
        <w:t>population mean</w:t>
      </w:r>
      <w:proofErr w:type="gramEnd"/>
      <w:r w:rsidRPr="00457ACF">
        <w:rPr>
          <w:rFonts w:ascii="Palatino Linotype" w:hAnsi="Palatino Linotype"/>
          <w:sz w:val="22"/>
          <w:szCs w:val="22"/>
          <w:lang w:bidi="hi-IN"/>
        </w:rPr>
        <w:t xml:space="preserve"> fitness can be found by solving the equation for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0</w:t>
      </w:r>
      <w:r w:rsidRPr="00457ACF">
        <w:rPr>
          <w:rFonts w:ascii="Palatino Linotype" w:hAnsi="Palatino Linotype"/>
          <w:sz w:val="22"/>
          <w:szCs w:val="22"/>
          <w:lang w:bidi="hi-IN"/>
        </w:rPr>
        <w:t xml:space="preserve">: </w:t>
      </w:r>
    </w:p>
    <w:p w:rsidR="00D46380" w:rsidRPr="00457ACF" w:rsidRDefault="00B67008"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0,0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which</w:t>
      </w:r>
      <w:proofErr w:type="gramEnd"/>
      <w:r w:rsidRPr="00457ACF">
        <w:rPr>
          <w:rFonts w:ascii="Palatino Linotype" w:hAnsi="Palatino Linotype"/>
          <w:sz w:val="22"/>
          <w:szCs w:val="22"/>
          <w:lang w:bidi="hi-IN"/>
        </w:rPr>
        <w:t xml:space="preserve"> means that the population mean fitness is equal to the product of the fitness of mutation-free individuals and the probability that a mutation-free individual does </w:t>
      </w:r>
      <w:r w:rsidRPr="00457ACF">
        <w:rPr>
          <w:rFonts w:ascii="Palatino Linotype" w:hAnsi="Palatino Linotype"/>
          <w:sz w:val="22"/>
          <w:szCs w:val="22"/>
          <w:lang w:bidi="hi-IN"/>
        </w:rPr>
        <w:lastRenderedPageBreak/>
        <w:t xml:space="preserve">not mutate. If </w:t>
      </w:r>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x</m:t>
            </m:r>
          </m:sup>
        </m:sSup>
      </m:oMath>
      <w:r w:rsidRPr="00457ACF">
        <w:rPr>
          <w:rFonts w:ascii="Palatino Linotype" w:hAnsi="Palatino Linotype"/>
          <w:sz w:val="22"/>
          <w:szCs w:val="22"/>
          <w:lang w:bidi="hi-IN"/>
        </w:rPr>
        <w:t xml:space="preserve"> and </w:t>
      </w:r>
      <m:oMath>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r>
          <w:rPr>
            <w:rFonts w:ascii="Cambria Math" w:hAnsi="Cambria Math"/>
            <w:sz w:val="22"/>
            <w:szCs w:val="22"/>
            <w:lang w:bidi="hi-IN"/>
          </w:rPr>
          <m:t>=U</m:t>
        </m:r>
      </m:oMath>
      <w:r w:rsidRPr="00457ACF">
        <w:rPr>
          <w:rFonts w:ascii="Palatino Linotype" w:hAnsi="Palatino Linotype"/>
          <w:sz w:val="22"/>
          <w:szCs w:val="22"/>
          <w:lang w:bidi="hi-IN"/>
        </w:rPr>
        <w:t xml:space="preserve"> (constant uniform mutation rate) then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sup>
        </m:sSup>
      </m:oMath>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"[7]"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[7]</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and by the forward substitution method the frequencies vector is </w:t>
      </w:r>
    </w:p>
    <w:p w:rsidR="00D46380" w:rsidRPr="00457ACF" w:rsidRDefault="00B67008"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sup>
        </m:sSup>
        <m:f>
          <m:fPr>
            <m:type m:val="lin"/>
            <m:ctrlPr>
              <w:rPr>
                <w:rFonts w:ascii="Cambria Math" w:hAnsi="Cambria Math"/>
                <w:i/>
                <w:sz w:val="22"/>
                <w:szCs w:val="22"/>
                <w:lang w:bidi="hi-IN"/>
              </w:rPr>
            </m:ctrlPr>
          </m:fPr>
          <m:num>
            <m:sSup>
              <m:sSupPr>
                <m:ctrlPr>
                  <w:rPr>
                    <w:rFonts w:ascii="Cambria Math" w:hAnsi="Cambria Math"/>
                    <w:i/>
                    <w:sz w:val="22"/>
                    <w:szCs w:val="22"/>
                    <w:lang w:bidi="hi-IN"/>
                  </w:rPr>
                </m:ctrlPr>
              </m:sSupPr>
              <m:e>
                <m:d>
                  <m:dPr>
                    <m:ctrlPr>
                      <w:rPr>
                        <w:rFonts w:ascii="Cambria Math" w:hAnsi="Cambria Math"/>
                        <w:i/>
                        <w:sz w:val="22"/>
                        <w:szCs w:val="22"/>
                        <w:lang w:bidi="hi-IN"/>
                      </w:rPr>
                    </m:ctrlPr>
                  </m:dPr>
                  <m:e>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e>
                </m:d>
              </m:e>
              <m:sup>
                <m:r>
                  <w:rPr>
                    <w:rFonts w:ascii="Cambria Math" w:hAnsi="Cambria Math"/>
                    <w:sz w:val="22"/>
                    <w:szCs w:val="22"/>
                    <w:lang w:bidi="hi-IN"/>
                  </w:rPr>
                  <m:t>x</m:t>
                </m:r>
              </m:sup>
            </m:sSup>
          </m:num>
          <m:den>
            <m:r>
              <w:rPr>
                <w:rFonts w:ascii="Cambria Math" w:hAnsi="Cambria Math"/>
                <w:sz w:val="22"/>
                <w:szCs w:val="22"/>
                <w:lang w:bidi="hi-IN"/>
              </w:rPr>
              <m:t>x!</m:t>
            </m:r>
          </m:den>
        </m:f>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that is, the number of deleterious mutations per individual is Poisson distributed with average </w:t>
      </w:r>
      <w:r w:rsidRPr="00457ACF">
        <w:rPr>
          <w:rFonts w:ascii="Palatino Linotype" w:hAnsi="Palatino Linotype"/>
          <w:i/>
          <w:iCs/>
          <w:sz w:val="22"/>
          <w:szCs w:val="22"/>
          <w:lang w:bidi="hi-IN"/>
        </w:rPr>
        <w:t>U/s</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"[8]"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[8]</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w:r w:rsidRPr="00457ACF">
        <w:rPr>
          <w:rFonts w:ascii="Palatino Linotype" w:hAnsi="Palatino Linotype"/>
          <w:sz w:val="22"/>
          <w:szCs w:val="22"/>
        </w:rPr>
        <w:t xml:space="preserve">With constitutive mutagenesis (CM), the population mean fitness at the MSB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-τU</m:t>
            </m:r>
          </m:sup>
        </m:sSup>
      </m:oMath>
      <w:r w:rsidRPr="00457ACF">
        <w:rPr>
          <w:rFonts w:ascii="Palatino Linotype" w:hAnsi="Palatino Linotype"/>
          <w:sz w:val="22"/>
          <w:szCs w:val="22"/>
        </w:rPr>
        <w:t xml:space="preserve">: it decays exponentially as a function of </w:t>
      </w:r>
      <w:r w:rsidRPr="00457ACF">
        <w:rPr>
          <w:rFonts w:ascii="Palatino Linotype" w:hAnsi="Palatino Linotype"/>
          <w:i/>
          <w:iCs/>
          <w:sz w:val="22"/>
          <w:szCs w:val="22"/>
        </w:rPr>
        <w:t>τ</w:t>
      </w:r>
      <w:r w:rsidRPr="00457ACF">
        <w:rPr>
          <w:rFonts w:ascii="Palatino Linotype" w:hAnsi="Palatino Linotype"/>
          <w:sz w:val="22"/>
          <w:szCs w:val="22"/>
        </w:rPr>
        <w:t xml:space="preserve"> the mutation rate fold increase. In contrast, stress-induced mutagenesis (SIM), as shown by Agrawal </w:t>
      </w:r>
      <w:r w:rsidRPr="00457ACF">
        <w:rPr>
          <w:rFonts w:ascii="Palatino Linotype" w:hAnsi="Palatino Linotype"/>
          <w:sz w:val="22"/>
          <w:szCs w:val="22"/>
        </w:rPr>
        <w:fldChar w:fldCharType="begin" w:fldLock="1"/>
      </w:r>
      <w:r w:rsidR="000D3C99">
        <w:rPr>
          <w:rFonts w:ascii="Palatino Linotype" w:hAnsi="Palatino Linotype"/>
          <w:sz w:val="22"/>
          <w:szCs w:val="22"/>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"[9]" }, "properties" : { "noteIndex" : 0 }, "schema" : "https://github.com/citation-style-language/schema/raw/master/csl-citation.json" }</w:instrText>
      </w:r>
      <w:r w:rsidRPr="00457ACF">
        <w:rPr>
          <w:rFonts w:ascii="Palatino Linotype" w:hAnsi="Palatino Linotype"/>
          <w:sz w:val="22"/>
          <w:szCs w:val="22"/>
        </w:rPr>
        <w:fldChar w:fldCharType="separate"/>
      </w:r>
      <w:r w:rsidR="000D3C99" w:rsidRPr="000D3C99">
        <w:rPr>
          <w:rFonts w:ascii="Palatino Linotype" w:hAnsi="Palatino Linotype"/>
          <w:noProof/>
          <w:sz w:val="22"/>
          <w:szCs w:val="22"/>
        </w:rPr>
        <w:t>[9]</w:t>
      </w:r>
      <w:r w:rsidRPr="00457ACF">
        <w:rPr>
          <w:rFonts w:ascii="Palatino Linotype" w:hAnsi="Palatino Linotype"/>
          <w:sz w:val="22"/>
          <w:szCs w:val="22"/>
        </w:rPr>
        <w:fldChar w:fldCharType="end"/>
      </w:r>
      <w:r w:rsidRPr="00457ACF">
        <w:rPr>
          <w:rFonts w:ascii="Palatino Linotype" w:hAnsi="Palatino Linotype"/>
          <w:sz w:val="22"/>
          <w:szCs w:val="22"/>
        </w:rPr>
        <w:t>, does not change the population mean fitness with respect to normal mutagenesis (NM). This is because the least loaded individuals (</w:t>
      </w:r>
      <w:r w:rsidRPr="00457ACF">
        <w:rPr>
          <w:rFonts w:ascii="Palatino Linotype" w:hAnsi="Palatino Linotype"/>
          <w:i/>
          <w:iCs/>
          <w:sz w:val="22"/>
          <w:szCs w:val="22"/>
        </w:rPr>
        <w:t>x</w:t>
      </w:r>
      <w:r w:rsidRPr="00457ACF">
        <w:rPr>
          <w:rFonts w:ascii="Palatino Linotype" w:hAnsi="Palatino Linotype"/>
          <w:sz w:val="22"/>
          <w:szCs w:val="22"/>
        </w:rPr>
        <w:t xml:space="preserve">=0), with fitness </w:t>
      </w:r>
      <w:r w:rsidRPr="00457ACF">
        <w:rPr>
          <w:rFonts w:ascii="Palatino Linotype" w:hAnsi="Palatino Linotype"/>
          <w:i/>
          <w:iCs/>
          <w:sz w:val="22"/>
          <w:szCs w:val="22"/>
        </w:rPr>
        <w:t>ω</w:t>
      </w:r>
      <w:r w:rsidRPr="00457ACF">
        <w:rPr>
          <w:rFonts w:ascii="Palatino Linotype" w:hAnsi="Palatino Linotype"/>
          <w:sz w:val="22"/>
          <w:szCs w:val="22"/>
          <w:vertAlign w:val="subscript"/>
        </w:rPr>
        <w:t>0</w:t>
      </w:r>
      <w:r w:rsidRPr="00457ACF">
        <w:rPr>
          <w:rFonts w:ascii="Palatino Linotype" w:hAnsi="Palatino Linotype"/>
          <w:sz w:val="22"/>
          <w:szCs w:val="22"/>
        </w:rPr>
        <w:t xml:space="preserve">=1, also have the lowest mutation rate, </w:t>
      </w:r>
      <w:r w:rsidRPr="00457ACF">
        <w:rPr>
          <w:rFonts w:ascii="Palatino Linotype" w:hAnsi="Palatino Linotype"/>
          <w:i/>
          <w:iCs/>
          <w:sz w:val="22"/>
          <w:szCs w:val="22"/>
        </w:rPr>
        <w:t>U</w:t>
      </w:r>
      <w:r w:rsidRPr="00457ACF">
        <w:rPr>
          <w:rFonts w:ascii="Palatino Linotype" w:hAnsi="Palatino Linotype"/>
          <w:sz w:val="22"/>
          <w:szCs w:val="22"/>
        </w:rPr>
        <w:t xml:space="preserve">, and therefore the population mean fitness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 beneficial mutations (</w:t>
      </w:r>
      <w:r w:rsidRPr="00457ACF">
        <w:rPr>
          <w:rFonts w:ascii="Palatino Linotype" w:hAnsi="Palatino Linotype"/>
          <w:sz w:val="22"/>
          <w:szCs w:val="22"/>
        </w:rPr>
        <w:t xml:space="preserve">β&gt;0), </w:t>
      </w:r>
      <w:r w:rsidRPr="00457ACF">
        <w:rPr>
          <w:rFonts w:ascii="Palatino Linotype" w:hAnsi="Palatino Linotype"/>
          <w:sz w:val="22"/>
          <w:szCs w:val="22"/>
          <w:lang w:bidi="hi-IN"/>
        </w:rPr>
        <w:t xml:space="preserve">the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positive matrix, and by the </w:t>
      </w:r>
      <w:proofErr w:type="spellStart"/>
      <w:r w:rsidRPr="00457ACF">
        <w:rPr>
          <w:rFonts w:ascii="Palatino Linotype" w:hAnsi="Palatino Linotype"/>
          <w:i/>
          <w:iCs/>
          <w:sz w:val="22"/>
          <w:szCs w:val="22"/>
          <w:lang w:bidi="hi-IN"/>
        </w:rPr>
        <w:t>Perron-Frobenius</w:t>
      </w:r>
      <w:proofErr w:type="spellEnd"/>
      <w:r w:rsidRPr="00457ACF">
        <w:rPr>
          <w:rFonts w:ascii="Palatino Linotype" w:hAnsi="Palatino Linotype"/>
          <w:i/>
          <w:iCs/>
          <w:sz w:val="22"/>
          <w:szCs w:val="22"/>
          <w:lang w:bidi="hi-IN"/>
        </w:rPr>
        <w:t xml:space="preserve"> Theorem</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"[10 pg.]"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Pr="00457ACF">
        <w:rPr>
          <w:rFonts w:ascii="Palatino Linotype" w:hAnsi="Palatino Linotype"/>
          <w:noProof/>
          <w:sz w:val="22"/>
          <w:szCs w:val="22"/>
          <w:lang w:bidi="hi-IN"/>
        </w:rPr>
        <w:t>(Otto and Day 2007, p. 709)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oMath>
      <w:r w:rsidRPr="00457ACF">
        <w:rPr>
          <w:rFonts w:ascii="Palatino Linotype" w:hAnsi="Palatino Linotype"/>
          <w:sz w:val="22"/>
          <w:szCs w:val="22"/>
          <w:lang w:bidi="hi-IN"/>
        </w:rPr>
        <w:t xml:space="preserve"> is the largest eigenvalue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is its unique positive eigenvector with </w:t>
      </w:r>
      <m:oMath>
        <m:r>
          <w:rPr>
            <w:rFonts w:ascii="Cambria Math" w:hAnsi="Cambria Math"/>
            <w:sz w:val="22"/>
            <w:szCs w:val="22"/>
            <w:lang w:bidi="hi-IN"/>
          </w:rPr>
          <m:t>∑f=1</m:t>
        </m:r>
      </m:oMath>
      <w:r w:rsidRPr="00457ACF">
        <w:rPr>
          <w:rFonts w:ascii="Palatino Linotype" w:hAnsi="Palatino Linotype"/>
          <w:sz w:val="22"/>
          <w:szCs w:val="22"/>
          <w:lang w:bidi="hi-IN"/>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eigenvalue problem is hard to solve analytically, however, by neglecting elements outside the main three diagonals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we have shown before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"[11]"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[11]</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that the population mean fitness increases with the mutation rate of individuals with a below–average fitness: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sign</m:t>
        </m:r>
        <m:f>
          <m:fPr>
            <m:ctrlPr>
              <w:rPr>
                <w:rFonts w:ascii="Cambria Math" w:hAnsi="Cambria Math"/>
                <w:i/>
                <w:sz w:val="22"/>
                <w:szCs w:val="22"/>
                <w:lang w:bidi="hi-IN"/>
              </w:rPr>
            </m:ctrlPr>
          </m:fPr>
          <m:num>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num>
          <m:den>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den>
        </m:f>
        <m:r>
          <w:rPr>
            <w:rFonts w:ascii="Cambria Math" w:hAnsi="Cambria Math"/>
            <w:sz w:val="22"/>
            <w:szCs w:val="22"/>
            <w:lang w:bidi="hi-IN"/>
          </w:rPr>
          <m:t>=sign(</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Nevertheless, this framework allows the numerical calculation of the population mean fitness for finite </w:t>
      </w:r>
      <w:r w:rsidRPr="00457ACF">
        <w:rPr>
          <w:rFonts w:ascii="Palatino Linotype" w:hAnsi="Palatino Linotype"/>
          <w:i/>
          <w:iCs/>
          <w:sz w:val="22"/>
          <w:szCs w:val="22"/>
          <w:lang w:bidi="hi-IN"/>
        </w:rPr>
        <w:t>n</w:t>
      </w:r>
      <w:r w:rsidRPr="00457ACF">
        <w:rPr>
          <w:rFonts w:ascii="Palatino Linotype" w:hAnsi="Palatino Linotype"/>
          <w:sz w:val="22"/>
          <w:szCs w:val="22"/>
          <w:lang w:bidi="hi-IN"/>
        </w:rPr>
        <w:t>-by-</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mutation-selection matrices by defining </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such </w:t>
      </w:r>
      <w:proofErr w:type="gramStart"/>
      <w:r w:rsidRPr="00457ACF">
        <w:rPr>
          <w:rFonts w:ascii="Palatino Linotype" w:hAnsi="Palatino Linotype"/>
          <w:sz w:val="22"/>
          <w:szCs w:val="22"/>
          <w:lang w:bidi="hi-IN"/>
        </w:rPr>
        <w:t xml:space="preserve">that </w:t>
      </w:r>
      <w:proofErr w:type="gramEnd"/>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=0 ∀x≥n</m:t>
        </m:r>
      </m:oMath>
      <w:r w:rsidRPr="00457ACF">
        <w:rPr>
          <w:rFonts w:ascii="Palatino Linotype" w:hAnsi="Palatino Linotype"/>
          <w:sz w:val="22"/>
          <w:szCs w:val="22"/>
          <w:lang w:bidi="hi-IN"/>
        </w:rPr>
        <w:t xml:space="preserve">. The mean fitness of populations with different mutational strategies is then calculated by manipulating </w:t>
      </w:r>
      <w:r w:rsidRPr="00457ACF">
        <w:rPr>
          <w:rFonts w:ascii="Palatino Linotype" w:hAnsi="Palatino Linotype"/>
          <w:i/>
          <w:iCs/>
          <w:sz w:val="22"/>
          <w:szCs w:val="22"/>
          <w:lang w:bidi="hi-IN"/>
        </w:rPr>
        <w:t>U</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w:t>
      </w:r>
      <w:r w:rsidRPr="00457ACF">
        <w:rPr>
          <w:rFonts w:ascii="Palatino Linotype" w:hAnsi="Palatino Linotype"/>
          <w:sz w:val="22"/>
          <w:szCs w:val="22"/>
        </w:rPr>
        <w:t xml:space="preserve"> </w:t>
      </w:r>
    </w:p>
    <w:p w:rsidR="00D46380" w:rsidRPr="00457ACF" w:rsidRDefault="00D46380" w:rsidP="00F075B5">
      <w:pPr>
        <w:spacing w:line="480" w:lineRule="auto"/>
        <w:rPr>
          <w:rFonts w:ascii="Palatino Linotype" w:hAnsi="Palatino Linotype"/>
          <w:sz w:val="22"/>
          <w:szCs w:val="22"/>
          <w:lang w:bidi="hi-IN"/>
        </w:rPr>
      </w:pPr>
      <w:r w:rsidRPr="00457ACF">
        <w:rPr>
          <w:rFonts w:ascii="Palatino Linotype" w:hAnsi="Palatino Linotype"/>
          <w:sz w:val="22"/>
          <w:szCs w:val="22"/>
        </w:rPr>
        <w:lastRenderedPageBreak/>
        <w:t xml:space="preserve">Figure </w:t>
      </w:r>
      <w:r w:rsidR="00F075B5">
        <w:rPr>
          <w:rFonts w:ascii="Palatino Linotype" w:hAnsi="Palatino Linotype"/>
          <w:sz w:val="22"/>
          <w:szCs w:val="22"/>
        </w:rPr>
        <w:t>D</w:t>
      </w:r>
      <w:r w:rsidRPr="00457ACF">
        <w:rPr>
          <w:rFonts w:ascii="Palatino Linotype" w:hAnsi="Palatino Linotype"/>
          <w:sz w:val="22"/>
          <w:szCs w:val="22"/>
        </w:rPr>
        <w:t xml:space="preserve">1 shows that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 xml:space="preserve"> is a good approximation to the population mean fitness (because </w:t>
      </w:r>
      <m:oMath>
        <m:r>
          <w:rPr>
            <w:rFonts w:ascii="Cambria Math" w:hAnsi="Cambria Math"/>
            <w:sz w:val="22"/>
            <w:szCs w:val="22"/>
          </w:rPr>
          <m:t>β≪δ&lt;1</m:t>
        </m:r>
      </m:oMath>
      <w:r w:rsidRPr="00457ACF">
        <w:rPr>
          <w:rFonts w:ascii="Palatino Linotype" w:hAnsi="Palatino Linotype"/>
          <w:sz w:val="22"/>
          <w:szCs w:val="22"/>
        </w:rPr>
        <w:t xml:space="preserve">), and that SIM slightly increases the population mean fitness with respect to NM; a sufficient condition is that the mutation rate of individuals with below average fitness is increased </w:t>
      </w:r>
      <w:r w:rsidRPr="00457ACF">
        <w:rPr>
          <w:rFonts w:ascii="Palatino Linotype" w:hAnsi="Palatino Linotype"/>
          <w:sz w:val="22"/>
          <w:szCs w:val="22"/>
        </w:rPr>
        <w:fldChar w:fldCharType="begin" w:fldLock="1"/>
      </w:r>
      <w:r w:rsidR="000D3C99">
        <w:rPr>
          <w:rFonts w:ascii="Palatino Linotype" w:hAnsi="Palatino Linotype"/>
          <w:sz w:val="22"/>
          <w:szCs w:val="22"/>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"[11]" }, "properties" : { "noteIndex" : 0 }, "schema" : "https://github.com/citation-style-language/schema/raw/master/csl-citation.json" }</w:instrText>
      </w:r>
      <w:r w:rsidRPr="00457ACF">
        <w:rPr>
          <w:rFonts w:ascii="Palatino Linotype" w:hAnsi="Palatino Linotype"/>
          <w:sz w:val="22"/>
          <w:szCs w:val="22"/>
        </w:rPr>
        <w:fldChar w:fldCharType="separate"/>
      </w:r>
      <w:r w:rsidR="000D3C99" w:rsidRPr="000D3C99">
        <w:rPr>
          <w:rFonts w:ascii="Palatino Linotype" w:hAnsi="Palatino Linotype"/>
          <w:noProof/>
          <w:sz w:val="22"/>
          <w:szCs w:val="22"/>
        </w:rPr>
        <w:t>[11]</w:t>
      </w:r>
      <w:r w:rsidRPr="00457ACF">
        <w:rPr>
          <w:rFonts w:ascii="Palatino Linotype" w:hAnsi="Palatino Linotype"/>
          <w:sz w:val="22"/>
          <w:szCs w:val="22"/>
        </w:rPr>
        <w:fldChar w:fldCharType="end"/>
      </w:r>
      <w:r w:rsidRPr="00457ACF">
        <w:rPr>
          <w:rFonts w:ascii="Palatino Linotype" w:hAnsi="Palatino Linotype"/>
          <w:sz w:val="22"/>
          <w:szCs w:val="22"/>
        </w:rPr>
        <w:t xml:space="preserve">. Since we assume </w:t>
      </w:r>
      <w:proofErr w:type="gramStart"/>
      <w:r w:rsidRPr="00457ACF">
        <w:rPr>
          <w:rFonts w:ascii="Palatino Linotype" w:hAnsi="Palatino Linotype"/>
          <w:sz w:val="22"/>
          <w:szCs w:val="22"/>
        </w:rPr>
        <w:t xml:space="preserve">that </w:t>
      </w:r>
      <w:proofErr w:type="gramEnd"/>
      <m:oMath>
        <m:r>
          <w:rPr>
            <w:rFonts w:ascii="Cambria Math" w:hAnsi="Cambria Math"/>
            <w:sz w:val="22"/>
            <w:szCs w:val="22"/>
          </w:rPr>
          <m:t>U&lt;s</m:t>
        </m:r>
      </m:oMath>
      <w:r w:rsidRPr="00457ACF">
        <w:rPr>
          <w:rFonts w:ascii="Palatino Linotype" w:hAnsi="Palatino Linotype"/>
          <w:sz w:val="22"/>
          <w:szCs w:val="22"/>
        </w:rPr>
        <w:t>,</w:t>
      </w:r>
      <w:r w:rsidRPr="00457ACF">
        <w:rPr>
          <w:rFonts w:ascii="Palatino Linotype" w:hAnsi="Palatino Linotype"/>
          <w:i/>
          <w:iCs/>
          <w:sz w:val="22"/>
          <w:szCs w:val="22"/>
        </w:rPr>
        <w:t xml:space="preserve"> </w:t>
      </w:r>
      <w:r w:rsidRPr="00457ACF">
        <w:rPr>
          <w:rFonts w:ascii="Palatino Linotype" w:hAnsi="Palatino Linotype"/>
          <w:sz w:val="22"/>
          <w:szCs w:val="22"/>
        </w:rPr>
        <w:t xml:space="preserve">then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r>
          <w:rPr>
            <w:rFonts w:ascii="Cambria Math" w:hAnsi="Cambria Math"/>
            <w:sz w:val="22"/>
            <w:szCs w:val="22"/>
          </w:rPr>
          <m:t>≈1-U&gt;1-s</m:t>
        </m:r>
      </m:oMath>
      <w:r w:rsidRPr="00457ACF">
        <w:rPr>
          <w:rFonts w:ascii="Palatino Linotype" w:hAnsi="Palatino Linotype"/>
          <w:sz w:val="22"/>
          <w:szCs w:val="22"/>
        </w:rPr>
        <w:t>. Therefore, for SIM to increase the population mean fitness it must increase the mutation rate in individuals with at least one deleterious mutation</w:t>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
    <w:p w:rsidR="00D46380" w:rsidRPr="00457ACF" w:rsidRDefault="00D46380" w:rsidP="00D46380">
      <w:pPr>
        <w:spacing w:line="480" w:lineRule="auto"/>
        <w:jc w:val="center"/>
        <w:rPr>
          <w:rFonts w:ascii="Palatino Linotype" w:hAnsi="Palatino Linotype"/>
          <w:b/>
          <w:bCs/>
          <w:sz w:val="22"/>
          <w:szCs w:val="22"/>
        </w:rPr>
      </w:pPr>
      <w:bookmarkStart w:id="1" w:name="_Ref363979903"/>
      <w:r w:rsidRPr="00457ACF">
        <w:rPr>
          <w:rFonts w:ascii="Palatino Linotype" w:hAnsi="Palatino Linotype"/>
          <w:b/>
          <w:bCs/>
          <w:noProof/>
          <w:sz w:val="22"/>
          <w:szCs w:val="22"/>
        </w:rPr>
        <w:drawing>
          <wp:inline distT="0" distB="0" distL="0" distR="0" wp14:anchorId="4C427AB8" wp14:editId="2D6AC427">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D46380" w:rsidRPr="00457ACF" w:rsidRDefault="00D46380" w:rsidP="00F075B5">
      <w:pPr>
        <w:spacing w:line="480" w:lineRule="auto"/>
        <w:rPr>
          <w:rFonts w:ascii="Palatino Linotype" w:hAnsi="Palatino Linotype"/>
          <w:sz w:val="22"/>
          <w:szCs w:val="22"/>
        </w:rPr>
      </w:pPr>
      <w:r w:rsidRPr="00457ACF">
        <w:rPr>
          <w:rFonts w:ascii="Palatino Linotype" w:hAnsi="Palatino Linotype"/>
          <w:b/>
          <w:bCs/>
          <w:sz w:val="22"/>
          <w:szCs w:val="22"/>
        </w:rPr>
        <w:t>Figure</w:t>
      </w:r>
      <w:bookmarkEnd w:id="1"/>
      <w:r w:rsidRPr="00457ACF">
        <w:rPr>
          <w:rFonts w:ascii="Palatino Linotype" w:hAnsi="Palatino Linotype"/>
          <w:b/>
          <w:bCs/>
          <w:sz w:val="22"/>
          <w:szCs w:val="22"/>
        </w:rPr>
        <w:t xml:space="preserve"> </w:t>
      </w:r>
      <w:r w:rsidR="00F075B5">
        <w:rPr>
          <w:rFonts w:ascii="Palatino Linotype" w:hAnsi="Palatino Linotype"/>
          <w:b/>
          <w:bCs/>
          <w:sz w:val="22"/>
          <w:szCs w:val="22"/>
        </w:rPr>
        <w:t>D</w:t>
      </w:r>
      <w:r w:rsidRPr="00457ACF">
        <w:rPr>
          <w:rFonts w:ascii="Palatino Linotype" w:hAnsi="Palatino Linotype"/>
          <w:b/>
          <w:bCs/>
          <w:sz w:val="22"/>
          <w:szCs w:val="22"/>
        </w:rPr>
        <w:t xml:space="preserve">1 – Mean fitness at the mutation-selection balance with stress-induced mutagenesis. </w:t>
      </w:r>
      <w:r w:rsidRPr="00457ACF">
        <w:rPr>
          <w:rFonts w:ascii="Palatino Linotype" w:hAnsi="Palatino Linotype"/>
          <w:sz w:val="22"/>
          <w:szCs w:val="22"/>
        </w:rPr>
        <w:t xml:space="preserve">The brightness represents the fitness advantage of stress-induced mutagenesis over normal mutagenesis </w:t>
      </w:r>
      <m:oMath>
        <m:d>
          <m:dPr>
            <m:ctrlPr>
              <w:rPr>
                <w:rFonts w:ascii="Cambria Math" w:hAnsi="Cambria Math"/>
                <w:i/>
                <w:sz w:val="22"/>
                <w:szCs w:val="22"/>
              </w:rPr>
            </m:ctrlPr>
          </m:dPr>
          <m:e>
            <m:f>
              <m:fPr>
                <m:type m:val="lin"/>
                <m:ctrlPr>
                  <w:rPr>
                    <w:rFonts w:ascii="Cambria Math" w:hAnsi="Cambria Math"/>
                    <w:i/>
                    <w:sz w:val="22"/>
                    <w:szCs w:val="22"/>
                  </w:rPr>
                </m:ctrlPr>
              </m:fPr>
              <m:num>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SIM</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e>
                </m:d>
              </m:num>
              <m:den>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den>
            </m:f>
          </m:e>
        </m:d>
      </m:oMath>
      <w:r w:rsidRPr="00457ACF">
        <w:rPr>
          <w:rFonts w:ascii="Palatino Linotype" w:hAnsi="Palatino Linotype"/>
          <w:sz w:val="22"/>
          <w:szCs w:val="22"/>
        </w:rPr>
        <w:t xml:space="preserve"> at the mutation-selection balance. The x-axis is the fraction of mutations that are beneficial </w:t>
      </w:r>
      <w:r w:rsidRPr="00457ACF">
        <w:rPr>
          <w:rFonts w:ascii="Palatino Linotype" w:hAnsi="Palatino Linotype"/>
          <w:i/>
          <w:iCs/>
          <w:sz w:val="22"/>
          <w:szCs w:val="22"/>
        </w:rPr>
        <w:t>β</w:t>
      </w:r>
      <w:r w:rsidRPr="00457ACF">
        <w:rPr>
          <w:rFonts w:ascii="Palatino Linotype" w:hAnsi="Palatino Linotype"/>
          <w:sz w:val="22"/>
          <w:szCs w:val="22"/>
        </w:rPr>
        <w:t>. The y-</w:t>
      </w:r>
      <w:r w:rsidRPr="00457ACF">
        <w:rPr>
          <w:rFonts w:ascii="Palatino Linotype" w:hAnsi="Palatino Linotype"/>
          <w:sz w:val="22"/>
          <w:szCs w:val="22"/>
        </w:rPr>
        <w:lastRenderedPageBreak/>
        <w:t>axis is the mutation rate fold increase under stress</w:t>
      </w:r>
      <w:r w:rsidRPr="00457ACF">
        <w:rPr>
          <w:rFonts w:ascii="Palatino Linotype" w:hAnsi="Palatino Linotype"/>
          <w:i/>
          <w:iCs/>
          <w:sz w:val="22"/>
          <w:szCs w:val="22"/>
        </w:rPr>
        <w:t xml:space="preserve"> τ</w:t>
      </w:r>
      <w:r w:rsidRPr="00457ACF">
        <w:rPr>
          <w:rFonts w:ascii="Palatino Linotype" w:hAnsi="Palatino Linotype"/>
          <w:sz w:val="22"/>
          <w:szCs w:val="22"/>
        </w:rPr>
        <w:t xml:space="preserve">. "X" marks the parameter set </w:t>
      </w:r>
      <w:r w:rsidRPr="00457ACF">
        <w:rPr>
          <w:rFonts w:ascii="Palatino Linotype" w:hAnsi="Palatino Linotype"/>
          <w:i/>
          <w:iCs/>
          <w:sz w:val="22"/>
          <w:szCs w:val="22"/>
        </w:rPr>
        <w:t>β</w:t>
      </w:r>
      <w:r w:rsidRPr="00457ACF">
        <w:rPr>
          <w:rFonts w:ascii="Palatino Linotype" w:hAnsi="Palatino Linotype"/>
          <w:sz w:val="22"/>
          <w:szCs w:val="22"/>
        </w:rPr>
        <w:t xml:space="preserve">=1/5000 and </w:t>
      </w:r>
      <w:r w:rsidRPr="00457ACF">
        <w:rPr>
          <w:rFonts w:ascii="Palatino Linotype" w:hAnsi="Palatino Linotype"/>
          <w:i/>
          <w:iCs/>
          <w:sz w:val="22"/>
          <w:szCs w:val="22"/>
        </w:rPr>
        <w:t>τ</w:t>
      </w:r>
      <w:r w:rsidRPr="00457ACF">
        <w:rPr>
          <w:rFonts w:ascii="Palatino Linotype" w:hAnsi="Palatino Linotype"/>
          <w:sz w:val="22"/>
          <w:szCs w:val="22"/>
        </w:rPr>
        <w:t>=10, in which the fitness advantage of SIM is ~5</w:t>
      </w:r>
      <w:r w:rsidRPr="00457ACF">
        <w:rPr>
          <w:rFonts w:ascii="Palatino Linotype" w:hAnsi="Palatino Linotype"/>
          <w:sz w:val="22"/>
          <w:szCs w:val="22"/>
        </w:rPr>
        <w:sym w:font="Symbol" w:char="F0D7"/>
      </w:r>
      <w:r w:rsidRPr="00457ACF">
        <w:rPr>
          <w:rFonts w:ascii="Palatino Linotype" w:hAnsi="Palatino Linotype"/>
          <w:sz w:val="22"/>
          <w:szCs w:val="22"/>
        </w:rPr>
        <w:t>10</w:t>
      </w:r>
      <w:r w:rsidRPr="00457ACF">
        <w:rPr>
          <w:rFonts w:ascii="Palatino Linotype" w:hAnsi="Palatino Linotype"/>
          <w:sz w:val="22"/>
          <w:szCs w:val="22"/>
          <w:vertAlign w:val="superscript"/>
        </w:rPr>
        <w:t>-9</w:t>
      </w:r>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457ACF">
      <w:pPr>
        <w:pStyle w:val="Heading1"/>
        <w:rPr>
          <w:rFonts w:eastAsiaTheme="minorEastAsia"/>
        </w:rPr>
      </w:pPr>
      <w:bookmarkStart w:id="2" w:name="_Ref374377810"/>
      <w:r w:rsidRPr="00457ACF">
        <w:rPr>
          <w:rFonts w:eastAsiaTheme="minorEastAsia"/>
        </w:rPr>
        <w:lastRenderedPageBreak/>
        <w:t>Appendix E: Possible relationships between stress and mutation</w:t>
      </w:r>
      <w:bookmarkEnd w:id="2"/>
      <w:r w:rsidRPr="00457ACF">
        <w:rPr>
          <w:rFonts w:eastAsiaTheme="minorEastAsia"/>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In the main text we used a threshold relationship between stress and mutation: if fitness drops below a threshold (&lt;1 for SIM, ≤1 for </w:t>
      </w:r>
      <w:proofErr w:type="spellStart"/>
      <w:r w:rsidRPr="00457ACF">
        <w:rPr>
          <w:rFonts w:ascii="Palatino Linotype" w:hAnsi="Palatino Linotype"/>
          <w:sz w:val="22"/>
          <w:szCs w:val="22"/>
          <w:lang w:bidi="hi-IN"/>
        </w:rPr>
        <w:t>SIM</w:t>
      </w:r>
      <w:r w:rsidRPr="00457ACF">
        <w:rPr>
          <w:rFonts w:ascii="Palatino Linotype" w:hAnsi="Palatino Linotype"/>
          <w:sz w:val="22"/>
          <w:szCs w:val="22"/>
          <w:vertAlign w:val="subscript"/>
          <w:lang w:bidi="hi-IN"/>
        </w:rPr>
        <w:t>e</w:t>
      </w:r>
      <w:proofErr w:type="spellEnd"/>
      <w:r w:rsidRPr="00457ACF">
        <w:rPr>
          <w:rFonts w:ascii="Palatino Linotype" w:hAnsi="Palatino Linotype"/>
          <w:sz w:val="22"/>
          <w:szCs w:val="22"/>
          <w:lang w:bidi="hi-IN"/>
        </w:rPr>
        <w:t xml:space="preserve">), the mutation rate increases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-fold. But the relationship between stress and mutation can be more complex. For example, Agrawal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"[9]"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has used a continuous relationship defined by a curvature parameter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This relationship defines the mutation rate for an individual with fitness </w:t>
      </w:r>
      <w:r w:rsidRPr="00457ACF">
        <w:rPr>
          <w:rFonts w:ascii="Palatino Linotype" w:hAnsi="Palatino Linotype"/>
          <w:i/>
          <w:iCs/>
          <w:sz w:val="22"/>
          <w:szCs w:val="22"/>
          <w:lang w:bidi="hi-IN"/>
        </w:rPr>
        <w:t>ω</w:t>
      </w:r>
      <w:r w:rsidRPr="00457ACF">
        <w:rPr>
          <w:rFonts w:ascii="Palatino Linotype" w:hAnsi="Palatino Linotype"/>
          <w:sz w:val="22"/>
          <w:szCs w:val="22"/>
          <w:lang w:bidi="hi-IN"/>
        </w:rPr>
        <w:t xml:space="preserve">, baseline mutation rate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and a maximal mutation rate fold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 as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r>
              <w:rPr>
                <w:rFonts w:ascii="Cambria Math" w:hAnsi="Cambria Math"/>
                <w:sz w:val="22"/>
                <w:szCs w:val="22"/>
                <w:lang w:bidi="hi-IN"/>
              </w:rPr>
              <m:t>ω</m:t>
            </m:r>
          </m:e>
          <m:sup>
            <m:r>
              <w:rPr>
                <w:rFonts w:ascii="Cambria Math" w:hAnsi="Cambria Math"/>
                <w:sz w:val="22"/>
                <w:szCs w:val="22"/>
                <w:lang w:bidi="hi-IN"/>
              </w:rPr>
              <m:t>k</m:t>
            </m:r>
          </m:sup>
        </m:sSup>
      </m:oMath>
      <w:r w:rsidRPr="00457ACF">
        <w:rPr>
          <w:rFonts w:ascii="Palatino Linotype" w:hAnsi="Palatino Linotype"/>
          <w:sz w:val="22"/>
          <w:szCs w:val="22"/>
          <w:lang w:bidi="hi-IN"/>
        </w:rPr>
        <w:t>.</w:t>
      </w:r>
    </w:p>
    <w:p w:rsidR="00D46380"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When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approaches 0 this expression approaches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corresponding to the NM strategy. When </w:t>
      </w:r>
      <w:r w:rsidRPr="00457ACF">
        <w:rPr>
          <w:rFonts w:ascii="Palatino Linotype" w:hAnsi="Palatino Linotype"/>
          <w:i/>
          <w:iCs/>
          <w:sz w:val="22"/>
          <w:szCs w:val="22"/>
          <w:lang w:bidi="hi-IN"/>
        </w:rPr>
        <w:t xml:space="preserve">k </w:t>
      </w:r>
      <w:r w:rsidRPr="00457ACF">
        <w:rPr>
          <w:rFonts w:ascii="Palatino Linotype" w:hAnsi="Palatino Linotype"/>
          <w:sz w:val="22"/>
          <w:szCs w:val="22"/>
        </w:rPr>
        <w:t>approaches infinity this expression approaches eq. 1</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_Ref374460264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w:t>
      </w:r>
      <w:r w:rsidRPr="00457ACF">
        <w:rPr>
          <w:rFonts w:ascii="Palatino Linotype" w:hAnsi="Palatino Linotype"/>
          <w:noProof/>
          <w:sz w:val="22"/>
          <w:szCs w:val="22"/>
        </w:rPr>
        <w:t>1</w:t>
      </w:r>
      <w:r w:rsidRPr="00457ACF">
        <w:rPr>
          <w:rFonts w:ascii="Palatino Linotype" w:hAnsi="Palatino Linotype"/>
          <w:sz w:val="22"/>
          <w:szCs w:val="22"/>
        </w:rPr>
        <w:t>)</w:t>
      </w:r>
      <w:r w:rsidRPr="00457ACF">
        <w:rPr>
          <w:rFonts w:ascii="Palatino Linotype" w:hAnsi="Palatino Linotype"/>
          <w:sz w:val="22"/>
          <w:szCs w:val="22"/>
        </w:rPr>
        <w:fldChar w:fldCharType="end"/>
      </w:r>
      <w:r w:rsidRPr="00457ACF">
        <w:rPr>
          <w:rFonts w:ascii="Palatino Linotype" w:hAnsi="Palatino Linotype"/>
          <w:sz w:val="22"/>
          <w:szCs w:val="22"/>
        </w:rPr>
        <w:t xml:space="preserve">, corresponding to the SIM threshold strategy. See Figure E1 for a plot of these continuous relationships for various values of </w:t>
      </w:r>
      <w:r w:rsidRPr="00457ACF">
        <w:rPr>
          <w:rFonts w:ascii="Palatino Linotype" w:hAnsi="Palatino Linotype"/>
          <w:i/>
          <w:iCs/>
          <w:sz w:val="22"/>
          <w:szCs w:val="22"/>
        </w:rPr>
        <w:t>k</w:t>
      </w:r>
      <w:r w:rsidRPr="00457ACF">
        <w:rPr>
          <w:rFonts w:ascii="Palatino Linotype" w:hAnsi="Palatino Linotype"/>
          <w:sz w:val="22"/>
          <w:szCs w:val="22"/>
        </w:rPr>
        <w:t>.</w:t>
      </w:r>
    </w:p>
    <w:p w:rsidR="00B408AF" w:rsidRPr="00457ACF" w:rsidRDefault="00B408AF" w:rsidP="00B408AF">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w:t>
      </w:r>
      <w:r>
        <w:rPr>
          <w:rFonts w:ascii="Palatino Linotype" w:hAnsi="Palatino Linotype"/>
          <w:sz w:val="22"/>
          <w:szCs w:val="22"/>
        </w:rPr>
        <w:t>2B</w:t>
      </w:r>
      <w:r w:rsidRPr="00457ACF">
        <w:rPr>
          <w:rFonts w:ascii="Palatino Linotype" w:hAnsi="Palatino Linotype"/>
          <w:sz w:val="22"/>
          <w:szCs w:val="22"/>
          <w:lang w:bidi="hi-IN"/>
        </w:rPr>
        <w:t xml:space="preserve"> shows the adaptation time for three continuous strategies (</w:t>
      </w:r>
      <w:r w:rsidRPr="00457ACF">
        <w:rPr>
          <w:rFonts w:ascii="Palatino Linotype" w:hAnsi="Palatino Linotype"/>
          <w:i/>
          <w:iCs/>
          <w:sz w:val="22"/>
          <w:szCs w:val="22"/>
          <w:lang w:bidi="hi-IN"/>
        </w:rPr>
        <w:t>k</w:t>
      </w:r>
      <w:r w:rsidRPr="00457ACF">
        <w:rPr>
          <w:rFonts w:ascii="Palatino Linotype" w:hAnsi="Palatino Linotype"/>
          <w:sz w:val="22"/>
          <w:szCs w:val="22"/>
          <w:lang w:bidi="hi-IN"/>
        </w:rPr>
        <w:t>=1/10, 1, and 10).  Remarkably, the dynamics of a continuous strategy can be approximated by a threshold strategy by matching the mutation rates of single mutants:</w:t>
      </w:r>
    </w:p>
    <w:p w:rsidR="00B408AF" w:rsidRPr="00457ACF" w:rsidRDefault="00B408AF" w:rsidP="00B408AF">
      <w:pPr>
        <w:spacing w:line="480" w:lineRule="auto"/>
        <w:jc w:val="center"/>
        <w:rPr>
          <w:rFonts w:ascii="Palatino Linotype" w:hAnsi="Palatino Linotype"/>
          <w:sz w:val="22"/>
          <w:szCs w:val="22"/>
          <w:lang w:bidi="hi-IN"/>
        </w:rPr>
      </w:pPr>
      <m:oMath>
        <m:r>
          <w:rPr>
            <w:rFonts w:ascii="Cambria Math" w:hAnsi="Cambria Math"/>
            <w:sz w:val="22"/>
            <w:szCs w:val="22"/>
            <w:lang w:bidi="hi-IN"/>
          </w:rPr>
          <m:t>U(ω)=</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r>
                  <w:rPr>
                    <w:rFonts w:ascii="Cambria Math" w:hAnsi="Cambria Math"/>
                    <w:sz w:val="22"/>
                    <w:szCs w:val="22"/>
                    <w:lang w:bidi="hi-IN"/>
                  </w:rPr>
                  <m:t>U,                                           ω≥1</m:t>
                </m:r>
              </m:e>
              <m:e>
                <m:r>
                  <w:rPr>
                    <w:rFonts w:ascii="Cambria Math" w:hAnsi="Cambria Math"/>
                    <w:sz w:val="22"/>
                    <w:szCs w:val="22"/>
                    <w:lang w:bidi="hi-IN"/>
                  </w:rPr>
                  <m:t>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k</m:t>
                    </m:r>
                  </m:sup>
                </m:sSup>
                <m:r>
                  <w:rPr>
                    <w:rFonts w:ascii="Cambria Math" w:hAnsi="Cambria Math"/>
                    <w:sz w:val="22"/>
                    <w:szCs w:val="22"/>
                    <w:lang w:bidi="hi-IN"/>
                  </w:rPr>
                  <m:t>,   ω&lt;1</m:t>
                </m:r>
              </m:e>
            </m:eqArr>
          </m:e>
        </m:d>
      </m:oMath>
      <w:r w:rsidRPr="00457ACF">
        <w:rPr>
          <w:rFonts w:ascii="Palatino Linotype" w:hAnsi="Palatino Linotype"/>
          <w:sz w:val="22"/>
          <w:szCs w:val="22"/>
          <w:lang w:bidi="hi-IN"/>
        </w:rPr>
        <w:t>.</w:t>
      </w:r>
    </w:p>
    <w:p w:rsidR="00B408AF" w:rsidRPr="00457ACF" w:rsidRDefault="00B408AF" w:rsidP="00B408AF">
      <w:pPr>
        <w:spacing w:line="480" w:lineRule="auto"/>
        <w:rPr>
          <w:rFonts w:ascii="Palatino Linotype" w:hAnsi="Palatino Linotype"/>
          <w:sz w:val="22"/>
          <w:szCs w:val="22"/>
        </w:rPr>
      </w:pPr>
      <w:r w:rsidRPr="00457ACF">
        <w:rPr>
          <w:rFonts w:ascii="Palatino Linotype" w:hAnsi="Palatino Linotype"/>
          <w:sz w:val="22"/>
          <w:szCs w:val="22"/>
          <w:lang w:bidi="hi-IN"/>
        </w:rPr>
        <w:t xml:space="preserve"> This is equivalent to using a </w:t>
      </w:r>
      <w:r w:rsidRPr="00457ACF">
        <w:rPr>
          <w:rFonts w:ascii="Palatino Linotype" w:hAnsi="Palatino Linotype"/>
          <w:sz w:val="22"/>
          <w:szCs w:val="22"/>
        </w:rPr>
        <w:t xml:space="preserve">threshold strategy with mutation rate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w:t>
      </w:r>
      <w:r w:rsidRPr="00457ACF">
        <w:rPr>
          <w:rFonts w:ascii="Palatino Linotype" w:hAnsi="Palatino Linotype"/>
          <w:i/>
          <w:iCs/>
          <w:sz w:val="22"/>
          <w:szCs w:val="22"/>
          <w:lang w:bidi="hi-IN"/>
        </w:rPr>
        <w:t>τ</w:t>
      </w:r>
      <w:r w:rsidRPr="00457ACF">
        <w:rPr>
          <w:rFonts w:ascii="Palatino Linotype" w:hAnsi="Palatino Linotype"/>
          <w:sz w:val="22"/>
          <w:szCs w:val="22"/>
          <w:lang w:bidi="hi-IN"/>
        </w:rPr>
        <w:t>-1</w:t>
      </w:r>
      <w:proofErr w:type="gramStart"/>
      <w:r w:rsidRPr="00457ACF">
        <w:rPr>
          <w:rFonts w:ascii="Palatino Linotype" w:hAnsi="Palatino Linotype"/>
          <w:sz w:val="22"/>
          <w:szCs w:val="22"/>
          <w:lang w:bidi="hi-IN"/>
        </w:rPr>
        <w:t>)(</w:t>
      </w:r>
      <w:proofErr w:type="gramEnd"/>
      <w:r w:rsidRPr="00457ACF">
        <w:rPr>
          <w:rFonts w:ascii="Palatino Linotype" w:hAnsi="Palatino Linotype"/>
          <w:sz w:val="22"/>
          <w:szCs w:val="22"/>
          <w:lang w:bidi="hi-IN"/>
        </w:rPr>
        <w:t>1-</w:t>
      </w:r>
      <w:r w:rsidRPr="00457ACF">
        <w:rPr>
          <w:rFonts w:ascii="Palatino Linotype" w:hAnsi="Palatino Linotype"/>
          <w:i/>
          <w:iCs/>
          <w:sz w:val="22"/>
          <w:szCs w:val="22"/>
          <w:lang w:bidi="hi-IN"/>
        </w:rPr>
        <w:t>s</w:t>
      </w:r>
      <w:r w:rsidRPr="00457ACF">
        <w:rPr>
          <w:rFonts w:ascii="Palatino Linotype" w:hAnsi="Palatino Linotype"/>
          <w:sz w:val="22"/>
          <w:szCs w:val="22"/>
          <w:lang w:bidi="hi-IN"/>
        </w:rPr>
        <w:t>)</w:t>
      </w:r>
      <w:r w:rsidRPr="00457ACF">
        <w:rPr>
          <w:rFonts w:ascii="Palatino Linotype" w:hAnsi="Palatino Linotype"/>
          <w:i/>
          <w:iCs/>
          <w:sz w:val="22"/>
          <w:szCs w:val="22"/>
          <w:vertAlign w:val="superscript"/>
          <w:lang w:bidi="hi-IN"/>
        </w:rPr>
        <w:t>k</w:t>
      </w:r>
      <w:r w:rsidRPr="00457ACF">
        <w:rPr>
          <w:rFonts w:ascii="Palatino Linotype" w:hAnsi="Palatino Linotype"/>
          <w:sz w:val="22"/>
          <w:szCs w:val="22"/>
          <w:lang w:bidi="hi-IN"/>
        </w:rPr>
        <w:t xml:space="preserve">. The dashed lines in </w:t>
      </w:r>
      <w:r w:rsidRPr="00457ACF">
        <w:rPr>
          <w:rFonts w:ascii="Palatino Linotype" w:hAnsi="Palatino Linotype"/>
          <w:sz w:val="22"/>
          <w:szCs w:val="22"/>
        </w:rPr>
        <w:t xml:space="preserve">Figure </w:t>
      </w:r>
      <w:r>
        <w:rPr>
          <w:rFonts w:ascii="Palatino Linotype" w:hAnsi="Palatino Linotype"/>
          <w:sz w:val="22"/>
          <w:szCs w:val="22"/>
        </w:rPr>
        <w:t>2B</w:t>
      </w:r>
      <w:r w:rsidRPr="00457ACF">
        <w:rPr>
          <w:rFonts w:ascii="Palatino Linotype" w:hAnsi="Palatino Linotype"/>
          <w:sz w:val="22"/>
          <w:szCs w:val="22"/>
        </w:rPr>
        <w:t xml:space="preserve"> </w:t>
      </w:r>
      <w:r w:rsidRPr="00457ACF">
        <w:rPr>
          <w:rFonts w:ascii="Palatino Linotype" w:hAnsi="Palatino Linotype"/>
          <w:sz w:val="22"/>
          <w:szCs w:val="22"/>
          <w:lang w:bidi="hi-IN"/>
        </w:rPr>
        <w:t>demonstrate this approximation. The continuous strategies can be approximated by threshold strategies because the main factor determining the adaptation rate is the mutation rate increase of the wildtype and the single mutants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aB</w:t>
      </w:r>
      <w:proofErr w:type="spellEnd"/>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This is because individuals with more than a single mutation do not have a significant contribution to adaptation.</w:t>
      </w:r>
    </w:p>
    <w:p w:rsidR="00D46380" w:rsidRPr="00457ACF" w:rsidRDefault="00D46380" w:rsidP="00D46380">
      <w:pPr>
        <w:spacing w:line="480" w:lineRule="auto"/>
        <w:jc w:val="center"/>
        <w:rPr>
          <w:rFonts w:ascii="Palatino Linotype" w:hAnsi="Palatino Linotype"/>
          <w:sz w:val="22"/>
          <w:szCs w:val="22"/>
        </w:rPr>
      </w:pPr>
      <w:r w:rsidRPr="00457ACF">
        <w:rPr>
          <w:rFonts w:ascii="Palatino Linotype" w:hAnsi="Palatino Linotype"/>
          <w:noProof/>
          <w:sz w:val="22"/>
          <w:szCs w:val="22"/>
        </w:rPr>
        <w:lastRenderedPageBreak/>
        <w:drawing>
          <wp:inline distT="0" distB="0" distL="0" distR="0" wp14:anchorId="28587E87" wp14:editId="65FAC7B3">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D46380" w:rsidRPr="00457ACF" w:rsidRDefault="00D46380" w:rsidP="00A35F90">
      <w:pPr>
        <w:spacing w:line="480" w:lineRule="auto"/>
        <w:rPr>
          <w:rFonts w:ascii="Palatino Linotype" w:hAnsi="Palatino Linotype"/>
          <w:sz w:val="22"/>
          <w:szCs w:val="22"/>
        </w:rPr>
      </w:pPr>
      <w:r w:rsidRPr="00457ACF">
        <w:rPr>
          <w:rFonts w:ascii="Palatino Linotype" w:hAnsi="Palatino Linotype"/>
          <w:b/>
          <w:bCs/>
          <w:sz w:val="22"/>
          <w:szCs w:val="22"/>
        </w:rPr>
        <w:t xml:space="preserve">Figure E1– Different relationships between stress and mutation. </w:t>
      </w:r>
      <w:r w:rsidRPr="00457ACF">
        <w:rPr>
          <w:rFonts w:ascii="Palatino Linotype" w:hAnsi="Palatino Linotype"/>
          <w:sz w:val="22"/>
          <w:szCs w:val="22"/>
        </w:rPr>
        <w:t xml:space="preserve">The figure shows continuous relationships between fitness (x-axis) and mutation rate (y-axis) in solid lines and threshold relationships in dashed lines. The threshold relationship is defined in section 2 of the main text. The continuous relationships are defined in Supporting Text S4. Each panel shows a pair of relationships, with </w:t>
      </w:r>
      <w:r w:rsidRPr="00457ACF">
        <w:rPr>
          <w:rFonts w:ascii="Palatino Linotype" w:hAnsi="Palatino Linotype"/>
          <w:i/>
          <w:iCs/>
          <w:sz w:val="22"/>
          <w:szCs w:val="22"/>
        </w:rPr>
        <w:t>k</w:t>
      </w:r>
      <w:r w:rsidRPr="00457ACF">
        <w:rPr>
          <w:rFonts w:ascii="Palatino Linotype" w:hAnsi="Palatino Linotype"/>
          <w:sz w:val="22"/>
          <w:szCs w:val="22"/>
        </w:rPr>
        <w:t xml:space="preserve"> increasing from 1/10 (convex relationship), to 1 (linear relationship) to 10 and 100 (concave relationships). Each continuous relationship is compared with a threshold relationship that has the same mutation rate for wildtype (</w:t>
      </w:r>
      <w:r w:rsidRPr="00457ACF">
        <w:rPr>
          <w:rFonts w:ascii="Palatino Linotype" w:hAnsi="Palatino Linotype"/>
          <w:i/>
          <w:iCs/>
          <w:sz w:val="22"/>
          <w:szCs w:val="22"/>
        </w:rPr>
        <w:t>ab/0</w:t>
      </w:r>
      <w:r w:rsidRPr="00457ACF">
        <w:rPr>
          <w:rFonts w:ascii="Palatino Linotype" w:hAnsi="Palatino Linotype"/>
          <w:sz w:val="22"/>
          <w:szCs w:val="22"/>
        </w:rPr>
        <w:t>) and single mutants (</w:t>
      </w:r>
      <w:r w:rsidRPr="00457ACF">
        <w:rPr>
          <w:rFonts w:ascii="Palatino Linotype" w:hAnsi="Palatino Linotype"/>
          <w:i/>
          <w:iCs/>
          <w:sz w:val="22"/>
          <w:szCs w:val="22"/>
        </w:rPr>
        <w:t>Ab/0</w:t>
      </w:r>
      <w:r w:rsidRPr="00457ACF">
        <w:rPr>
          <w:rFonts w:ascii="Palatino Linotype" w:hAnsi="Palatino Linotype"/>
          <w:sz w:val="22"/>
          <w:szCs w:val="22"/>
        </w:rPr>
        <w:t xml:space="preserve">, </w:t>
      </w:r>
      <w:proofErr w:type="spellStart"/>
      <w:r w:rsidRPr="00457ACF">
        <w:rPr>
          <w:rFonts w:ascii="Palatino Linotype" w:hAnsi="Palatino Linotype"/>
          <w:i/>
          <w:iCs/>
          <w:sz w:val="22"/>
          <w:szCs w:val="22"/>
        </w:rPr>
        <w:t>aB</w:t>
      </w:r>
      <w:proofErr w:type="spellEnd"/>
      <w:r w:rsidRPr="00457ACF">
        <w:rPr>
          <w:rFonts w:ascii="Palatino Linotype" w:hAnsi="Palatino Linotype"/>
          <w:i/>
          <w:iCs/>
          <w:sz w:val="22"/>
          <w:szCs w:val="22"/>
        </w:rPr>
        <w:t>/0</w:t>
      </w:r>
      <w:r w:rsidRPr="00457ACF">
        <w:rPr>
          <w:rFonts w:ascii="Palatino Linotype" w:hAnsi="Palatino Linotype"/>
          <w:sz w:val="22"/>
          <w:szCs w:val="22"/>
        </w:rPr>
        <w:t xml:space="preserve">, </w:t>
      </w:r>
      <w:proofErr w:type="gramStart"/>
      <w:r w:rsidRPr="00457ACF">
        <w:rPr>
          <w:rFonts w:ascii="Palatino Linotype" w:hAnsi="Palatino Linotype"/>
          <w:i/>
          <w:iCs/>
          <w:sz w:val="22"/>
          <w:szCs w:val="22"/>
        </w:rPr>
        <w:t>ab</w:t>
      </w:r>
      <w:proofErr w:type="gramEnd"/>
      <w:r w:rsidRPr="00457ACF">
        <w:rPr>
          <w:rFonts w:ascii="Palatino Linotype" w:hAnsi="Palatino Linotype"/>
          <w:i/>
          <w:iCs/>
          <w:sz w:val="22"/>
          <w:szCs w:val="22"/>
        </w:rPr>
        <w:t>/1</w:t>
      </w:r>
      <w:r w:rsidRPr="00457ACF">
        <w:rPr>
          <w:rFonts w:ascii="Palatino Linotype" w:hAnsi="Palatino Linotype"/>
          <w:sz w:val="22"/>
          <w:szCs w:val="22"/>
        </w:rPr>
        <w:t>). Figure S5 shows that the adaptation rate with such threshold relationship approximates the adaptation rate with a continuous relationship.</w:t>
      </w:r>
    </w:p>
    <w:p w:rsidR="00D46380" w:rsidRPr="00457ACF" w:rsidRDefault="00D46380" w:rsidP="00D46380">
      <w:pPr>
        <w:spacing w:line="480" w:lineRule="auto"/>
        <w:rPr>
          <w:rFonts w:ascii="Palatino Linotype" w:hAnsi="Palatino Linotype"/>
          <w:sz w:val="22"/>
          <w:szCs w:val="22"/>
        </w:rPr>
      </w:pP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D46380">
      <w:pPr>
        <w:pStyle w:val="FigureLegend"/>
        <w:spacing w:line="480" w:lineRule="auto"/>
        <w:jc w:val="left"/>
        <w:rPr>
          <w:rFonts w:ascii="Palatino Linotype" w:hAnsi="Palatino Linotype"/>
          <w:b/>
          <w:bCs/>
          <w:sz w:val="22"/>
          <w:szCs w:val="22"/>
        </w:rPr>
      </w:pPr>
      <w:r w:rsidRPr="00457ACF">
        <w:rPr>
          <w:rFonts w:ascii="Palatino Linotype" w:hAnsi="Palatino Linotype"/>
          <w:b/>
          <w:bCs/>
          <w:noProof/>
          <w:sz w:val="22"/>
          <w:szCs w:val="22"/>
        </w:rPr>
        <w:lastRenderedPageBreak/>
        <w:drawing>
          <wp:inline distT="0" distB="0" distL="0" distR="0" wp14:anchorId="60CC02E1" wp14:editId="0D975E50">
            <wp:extent cx="5271770" cy="3578225"/>
            <wp:effectExtent l="0" t="0" r="5080" b="3175"/>
            <wp:docPr id="12" name="Picture 12"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D46380" w:rsidRPr="00457ACF" w:rsidRDefault="00D46380" w:rsidP="00D46380">
      <w:pPr>
        <w:pStyle w:val="FigureLegend"/>
        <w:spacing w:line="480" w:lineRule="auto"/>
        <w:jc w:val="left"/>
        <w:rPr>
          <w:rFonts w:ascii="Palatino Linotype" w:hAnsi="Palatino Linotype"/>
          <w:sz w:val="22"/>
          <w:szCs w:val="22"/>
          <w:lang w:bidi="hi-IN"/>
        </w:rPr>
      </w:pPr>
      <w:r w:rsidRPr="00457ACF">
        <w:rPr>
          <w:rFonts w:ascii="Palatino Linotype" w:hAnsi="Palatino Linotype"/>
          <w:b/>
          <w:bCs/>
          <w:sz w:val="22"/>
          <w:szCs w:val="22"/>
        </w:rPr>
        <w:t>Figure E2 – Complex adaptation with continuous relationship stress-induced mutagenesis.</w:t>
      </w:r>
      <w:r w:rsidRPr="00457ACF">
        <w:rPr>
          <w:rFonts w:ascii="Palatino Linotype" w:hAnsi="Palatino Linotype"/>
          <w:sz w:val="22"/>
          <w:szCs w:val="22"/>
        </w:rPr>
        <w:t xml:space="preserve"> The figure shows the adaptation rate </w:t>
      </w:r>
      <w:r w:rsidRPr="00457ACF">
        <w:rPr>
          <w:rFonts w:ascii="Palatino Linotype" w:hAnsi="Palatino Linotype"/>
          <w:i/>
          <w:iCs/>
          <w:sz w:val="22"/>
          <w:szCs w:val="22"/>
        </w:rPr>
        <w:t>ν</w:t>
      </w:r>
      <w:r w:rsidRPr="00457ACF">
        <w:rPr>
          <w:rFonts w:ascii="Palatino Linotype" w:hAnsi="Palatino Linotype"/>
          <w:sz w:val="22"/>
          <w:szCs w:val="22"/>
        </w:rPr>
        <w:t xml:space="preserve"> as a function of the mutation rate increase </w:t>
      </w:r>
      <w:r w:rsidRPr="00457ACF">
        <w:rPr>
          <w:rFonts w:ascii="Palatino Linotype" w:hAnsi="Palatino Linotype"/>
          <w:i/>
          <w:iCs/>
          <w:sz w:val="22"/>
          <w:szCs w:val="22"/>
        </w:rPr>
        <w:t>τ</w:t>
      </w:r>
      <w:r w:rsidRPr="00457ACF">
        <w:rPr>
          <w:rFonts w:ascii="Palatino Linotype" w:hAnsi="Palatino Linotype"/>
          <w:sz w:val="22"/>
          <w:szCs w:val="22"/>
        </w:rPr>
        <w:t xml:space="preserve"> (both in log scale). The solid line is an analytical approximation of SIM (same as in Figure 2). Markers are the results of simulations of adaptation with SIM with different continuous relationships between fitness and mutation rate. These continuous relationships are defined by a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=10 and a curvature parameter </w:t>
      </w:r>
      <w:r w:rsidRPr="00457ACF">
        <w:rPr>
          <w:rFonts w:ascii="Palatino Linotype" w:hAnsi="Palatino Linotype"/>
          <w:i/>
          <w:iCs/>
          <w:sz w:val="22"/>
          <w:szCs w:val="22"/>
        </w:rPr>
        <w:t>k</w:t>
      </w:r>
      <w:r w:rsidRPr="00457ACF">
        <w:rPr>
          <w:rFonts w:ascii="Palatino Linotype" w:hAnsi="Palatino Linotype"/>
          <w:sz w:val="22"/>
          <w:szCs w:val="22"/>
        </w:rPr>
        <w:t>=10, 1, and 1/10, top to bottom (see Supporting Text S4 and Figure S3 for more details on continuous SIM)</w:t>
      </w:r>
      <w:r w:rsidRPr="00457ACF">
        <w:rPr>
          <w:rFonts w:ascii="Palatino Linotype" w:hAnsi="Palatino Linotype"/>
          <w:b/>
          <w:bCs/>
          <w:sz w:val="22"/>
          <w:szCs w:val="22"/>
        </w:rPr>
        <w:t xml:space="preserve">. </w:t>
      </w:r>
      <w:r w:rsidRPr="00457ACF">
        <w:rPr>
          <w:rFonts w:ascii="Palatino Linotype" w:hAnsi="Palatino Linotype"/>
          <w:sz w:val="22"/>
          <w:szCs w:val="22"/>
        </w:rPr>
        <w:t>Each dashed line is an approximation of a continuous SIM using a SIM threshold strategy (eq. 13</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_Ref375754011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Error! Reference source not found.</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proofErr w:type="gramStart"/>
      <w:r w:rsidRPr="00457ACF">
        <w:rPr>
          <w:rFonts w:ascii="Palatino Linotype" w:hAnsi="Palatino Linotype"/>
          <w:sz w:val="22"/>
          <w:szCs w:val="22"/>
        </w:rPr>
        <w:t>with</w:t>
      </w:r>
      <w:proofErr w:type="gramEnd"/>
      <w:r w:rsidRPr="00457ACF">
        <w:rPr>
          <w:rFonts w:ascii="Palatino Linotype" w:hAnsi="Palatino Linotype"/>
          <w:sz w:val="22"/>
          <w:szCs w:val="22"/>
        </w:rPr>
        <w:t xml:space="preserve"> </w:t>
      </w:r>
      <w:r w:rsidRPr="00457ACF">
        <w:rPr>
          <w:rFonts w:ascii="Palatino Linotype" w:hAnsi="Palatino Linotype"/>
          <w:i/>
          <w:iCs/>
          <w:sz w:val="22"/>
          <w:szCs w:val="22"/>
        </w:rPr>
        <w:t>τ</w:t>
      </w:r>
      <w:r w:rsidRPr="00457ACF">
        <w:rPr>
          <w:rFonts w:ascii="Palatino Linotype" w:hAnsi="Palatino Linotype"/>
          <w:sz w:val="22"/>
          <w:szCs w:val="22"/>
        </w:rPr>
        <w:t>=</w:t>
      </w:r>
      <w:r w:rsidRPr="00457ACF">
        <w:rPr>
          <w:rFonts w:ascii="Palatino Linotype" w:hAnsi="Palatino Linotype"/>
          <w:sz w:val="22"/>
          <w:szCs w:val="22"/>
          <w:lang w:bidi="hi-IN"/>
        </w:rPr>
        <w:t xml:space="preserve">4.61, 1.45, and 1.05, top to bottom. The fit between the dashed lines and the corresponding markers suggests that a threshold strategy captures the adaptive dynamics. </w:t>
      </w:r>
      <w:r w:rsidRPr="00457ACF">
        <w:rPr>
          <w:rFonts w:ascii="Palatino Linotype" w:hAnsi="Palatino Linotype"/>
          <w:sz w:val="22"/>
          <w:szCs w:val="22"/>
        </w:rPr>
        <w:t xml:space="preserve">Error bars represent 95% confidence interval of the mean (at least 1,000 simulations per point; computed with bootstrap with 1,000 samples per point). Parameters (see </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_Ref358791100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Table 1</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r w:rsidRPr="00457ACF">
        <w:rPr>
          <w:rFonts w:ascii="Palatino Linotype" w:hAnsi="Palatino Linotype"/>
          <w:i/>
          <w:iCs/>
          <w:sz w:val="22"/>
          <w:szCs w:val="22"/>
        </w:rPr>
        <w:t>U</w:t>
      </w:r>
      <w:r w:rsidRPr="00457ACF">
        <w:rPr>
          <w:rFonts w:ascii="Palatino Linotype" w:hAnsi="Palatino Linotype"/>
          <w:sz w:val="22"/>
          <w:szCs w:val="22"/>
        </w:rPr>
        <w:t xml:space="preserve">=0.0004, </w:t>
      </w:r>
      <w:r w:rsidRPr="00457ACF">
        <w:rPr>
          <w:rFonts w:ascii="Palatino Linotype" w:hAnsi="Palatino Linotype"/>
          <w:i/>
          <w:iCs/>
          <w:sz w:val="22"/>
          <w:szCs w:val="22"/>
        </w:rPr>
        <w:t>s</w:t>
      </w:r>
      <w:r w:rsidRPr="00457ACF">
        <w:rPr>
          <w:rFonts w:ascii="Palatino Linotype" w:hAnsi="Palatino Linotype"/>
          <w:sz w:val="22"/>
          <w:szCs w:val="22"/>
        </w:rPr>
        <w:t xml:space="preserve">=0.05, </w:t>
      </w:r>
      <w:r w:rsidRPr="00457ACF">
        <w:rPr>
          <w:rFonts w:ascii="Palatino Linotype" w:hAnsi="Palatino Linotype"/>
          <w:i/>
          <w:iCs/>
          <w:sz w:val="22"/>
          <w:szCs w:val="22"/>
        </w:rPr>
        <w:t>β</w:t>
      </w:r>
      <w:r w:rsidRPr="00457ACF">
        <w:rPr>
          <w:rFonts w:ascii="Palatino Linotype" w:hAnsi="Palatino Linotype"/>
          <w:sz w:val="22"/>
          <w:szCs w:val="22"/>
        </w:rPr>
        <w:t xml:space="preserve">=0.0002, </w:t>
      </w:r>
      <w:r w:rsidRPr="00457ACF">
        <w:rPr>
          <w:rFonts w:ascii="Palatino Linotype" w:hAnsi="Palatino Linotype"/>
          <w:i/>
          <w:iCs/>
          <w:sz w:val="22"/>
          <w:szCs w:val="22"/>
        </w:rPr>
        <w:t>H</w:t>
      </w:r>
      <w:r w:rsidRPr="00457ACF">
        <w:rPr>
          <w:rFonts w:ascii="Palatino Linotype" w:hAnsi="Palatino Linotype"/>
          <w:sz w:val="22"/>
          <w:szCs w:val="22"/>
        </w:rPr>
        <w:t xml:space="preserve">=2, </w:t>
      </w:r>
      <w:r w:rsidRPr="00457ACF">
        <w:rPr>
          <w:rFonts w:ascii="Palatino Linotype" w:hAnsi="Palatino Linotype"/>
          <w:i/>
          <w:iCs/>
          <w:sz w:val="22"/>
          <w:szCs w:val="22"/>
        </w:rPr>
        <w:t>N</w:t>
      </w:r>
      <w:r w:rsidRPr="00457ACF">
        <w:rPr>
          <w:rFonts w:ascii="Palatino Linotype" w:hAnsi="Palatino Linotype"/>
          <w:sz w:val="22"/>
          <w:szCs w:val="22"/>
        </w:rPr>
        <w:t>=10</w:t>
      </w:r>
      <w:r w:rsidRPr="00457ACF">
        <w:rPr>
          <w:rFonts w:ascii="Palatino Linotype" w:hAnsi="Palatino Linotype"/>
          <w:sz w:val="22"/>
          <w:szCs w:val="22"/>
          <w:vertAlign w:val="superscript"/>
        </w:rPr>
        <w:t>6</w:t>
      </w:r>
      <w:r w:rsidRPr="00457ACF">
        <w:rPr>
          <w:rFonts w:ascii="Palatino Linotype" w:hAnsi="Palatino Linotype"/>
          <w:sz w:val="22"/>
          <w:szCs w:val="22"/>
        </w:rPr>
        <w:t>.</w:t>
      </w:r>
    </w:p>
    <w:p w:rsidR="00D46380" w:rsidRPr="00457ACF" w:rsidRDefault="00D46380" w:rsidP="00457ACF">
      <w:pPr>
        <w:pStyle w:val="Heading1"/>
        <w:rPr>
          <w:rFonts w:eastAsiaTheme="minorEastAsia"/>
        </w:rPr>
      </w:pPr>
      <w:r w:rsidRPr="00457ACF">
        <w:rPr>
          <w:rFonts w:eastAsiaTheme="minorEastAsia"/>
        </w:rPr>
        <w:lastRenderedPageBreak/>
        <w:t>Appendix F: Competitions between mutational strategies</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We also simulated direct competitions between the different mutational strategies (NM, CM, and SIM). In these competitions, half of the population alters its mutational strategy to an invading strategy at the time of the environmental change. Each simulation provides a sample of the frequency of the invading strategy after the appearance and subsequent fixation or extinction of the double mutant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If the average final frequency is significantly lower or higher than 50% we consider the invading strategy disfavored or favored by natural selection over the initial strategy. Statistical significance was calculated using a 1-sample 2-tailed t-test.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F1 </w:t>
      </w:r>
      <w:r w:rsidRPr="00457ACF">
        <w:rPr>
          <w:rFonts w:ascii="Palatino Linotype" w:hAnsi="Palatino Linotype"/>
          <w:sz w:val="22"/>
          <w:szCs w:val="22"/>
          <w:lang w:bidi="hi-IN"/>
        </w:rPr>
        <w:t>summarizes the competitions. CM clearly loses to both SIM and NM (first and second panels from the right). SIM is significantly advantageous over NM when the mutation rate increase is large enough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&gt;2; 2-tail t-test, P&lt;0.0015).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sidRPr="00457ACF">
        <w:rPr>
          <w:rFonts w:ascii="Palatino Linotype" w:hAnsi="Palatino Linotype"/>
          <w:sz w:val="22"/>
          <w:szCs w:val="22"/>
          <w:lang w:bidi="hi-IN"/>
        </w:rPr>
        <w:fldChar w:fldCharType="begin" w:fldLock="1"/>
      </w:r>
      <w:r w:rsidR="000D3C99">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"[11]"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szCs w:val="22"/>
          <w:lang w:bidi="hi-IN"/>
        </w:rPr>
        <w:t>[11]</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bookmarkStart w:id="3" w:name="_Ref374366687"/>
    </w:p>
    <w:p w:rsidR="00D46380" w:rsidRPr="00457ACF" w:rsidRDefault="00D46380" w:rsidP="00D46380">
      <w:pPr>
        <w:pStyle w:val="Caption"/>
        <w:spacing w:line="480" w:lineRule="auto"/>
        <w:rPr>
          <w:rFonts w:ascii="Palatino Linotype" w:eastAsiaTheme="minorHAnsi" w:hAnsi="Palatino Linotype"/>
          <w:smallCaps w:val="0"/>
          <w:color w:val="auto"/>
          <w:spacing w:val="0"/>
          <w:szCs w:val="22"/>
          <w:lang w:bidi="he-IL"/>
        </w:rPr>
      </w:pPr>
      <w:r w:rsidRPr="00457ACF">
        <w:rPr>
          <w:rFonts w:ascii="Palatino Linotype" w:eastAsiaTheme="minorHAnsi" w:hAnsi="Palatino Linotype"/>
          <w:smallCaps w:val="0"/>
          <w:noProof/>
          <w:color w:val="auto"/>
          <w:spacing w:val="0"/>
          <w:szCs w:val="22"/>
          <w:lang w:bidi="he-IL"/>
        </w:rPr>
        <w:lastRenderedPageBreak/>
        <w:drawing>
          <wp:inline distT="0" distB="0" distL="0" distR="0" wp14:anchorId="754FC473" wp14:editId="10305C47">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D46380" w:rsidRPr="00457ACF" w:rsidRDefault="00D46380" w:rsidP="00545820">
      <w:pPr>
        <w:spacing w:line="480" w:lineRule="auto"/>
        <w:rPr>
          <w:rFonts w:ascii="Palatino Linotype" w:hAnsi="Palatino Linotype"/>
          <w:sz w:val="22"/>
          <w:szCs w:val="22"/>
          <w:lang w:bidi="hi-IN"/>
        </w:rPr>
      </w:pPr>
      <w:r w:rsidRPr="00457ACF">
        <w:rPr>
          <w:rFonts w:ascii="Palatino Linotype" w:hAnsi="Palatino Linotype"/>
          <w:b/>
          <w:bCs/>
          <w:sz w:val="22"/>
          <w:szCs w:val="22"/>
          <w:lang w:bidi="hi-IN"/>
        </w:rPr>
        <w:t xml:space="preserve">Figure </w:t>
      </w:r>
      <w:bookmarkEnd w:id="3"/>
      <w:r w:rsidRPr="00457ACF">
        <w:rPr>
          <w:rFonts w:ascii="Palatino Linotype" w:hAnsi="Palatino Linotype"/>
          <w:b/>
          <w:bCs/>
          <w:sz w:val="22"/>
          <w:szCs w:val="22"/>
          <w:lang w:bidi="hi-IN"/>
        </w:rPr>
        <w:t>F1 – Direct competitions between three mutational strategies.</w:t>
      </w:r>
      <w:r w:rsidRPr="00457ACF">
        <w:rPr>
          <w:rFonts w:ascii="Palatino Linotype" w:hAnsi="Palatino Linotype"/>
          <w:sz w:val="22"/>
          <w:szCs w:val="22"/>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457ACF">
        <w:rPr>
          <w:rFonts w:ascii="Palatino Linotype" w:hAnsi="Palatino Linotype"/>
          <w:sz w:val="22"/>
          <w:szCs w:val="22"/>
          <w:lang w:bidi="hi-IN"/>
        </w:rPr>
        <w:t>CM losses to NM and SIM (P≈0).</w:t>
      </w:r>
      <w:proofErr w:type="gramEnd"/>
      <w:r w:rsidRPr="00457ACF">
        <w:rPr>
          <w:rFonts w:ascii="Palatino Linotype" w:hAnsi="Palatino Linotype"/>
          <w:sz w:val="22"/>
          <w:szCs w:val="22"/>
          <w:lang w:bidi="hi-IN"/>
        </w:rPr>
        <w:t xml:space="preserve"> Therefore, SIM is favored by selection over both NM and CM. Changing roles between resident and invader didn't affect the results (not shown). Error bars represent the standard error of the mean (</w:t>
      </w:r>
      <w:r w:rsidR="00545820">
        <w:rPr>
          <w:rFonts w:ascii="Palatino Linotype" w:hAnsi="Palatino Linotype"/>
          <w:sz w:val="22"/>
          <w:szCs w:val="22"/>
          <w:lang w:bidi="hi-IN"/>
        </w:rPr>
        <w:t>at least 1</w:t>
      </w:r>
      <w:r w:rsidRPr="00457ACF">
        <w:rPr>
          <w:rFonts w:ascii="Palatino Linotype" w:hAnsi="Palatino Linotype"/>
          <w:sz w:val="22"/>
          <w:szCs w:val="22"/>
          <w:lang w:bidi="hi-IN"/>
        </w:rPr>
        <w:t>00 simulations per point). Parameters (see Table 1): U=0.0004, s=0.05, β=0.0002, H=2, N=106.</w:t>
      </w:r>
    </w:p>
    <w:p w:rsidR="00244C09" w:rsidRPr="00457ACF" w:rsidRDefault="00244C09" w:rsidP="0013483B">
      <w:pPr>
        <w:spacing w:line="480" w:lineRule="auto"/>
        <w:rPr>
          <w:rFonts w:ascii="Palatino Linotype" w:hAnsi="Palatino Linotype"/>
          <w:sz w:val="22"/>
          <w:szCs w:val="22"/>
          <w:lang w:bidi="hi-IN"/>
        </w:rPr>
      </w:pPr>
    </w:p>
    <w:p w:rsidR="00A916BD" w:rsidRPr="00457ACF" w:rsidRDefault="00244C09" w:rsidP="00457ACF">
      <w:pPr>
        <w:pStyle w:val="Heading1"/>
        <w:rPr>
          <w:rFonts w:eastAsiaTheme="minorEastAsia"/>
        </w:rPr>
      </w:pPr>
      <w:r w:rsidRPr="00457ACF">
        <w:rPr>
          <w:rFonts w:eastAsiaTheme="minorEastAsia"/>
        </w:rPr>
        <w:lastRenderedPageBreak/>
        <w:t>Supporting Figures</w:t>
      </w:r>
    </w:p>
    <w:p w:rsidR="00244C09" w:rsidRPr="00457ACF" w:rsidRDefault="00244C09" w:rsidP="00244C09">
      <w:pPr>
        <w:keepNext/>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2A50C3DF" wp14:editId="7776FEB3">
            <wp:extent cx="4726562" cy="3780000"/>
            <wp:effectExtent l="0" t="0" r="0" b="0"/>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6562" cy="3780000"/>
                    </a:xfrm>
                    <a:prstGeom prst="rect">
                      <a:avLst/>
                    </a:prstGeom>
                    <a:noFill/>
                    <a:ln>
                      <a:noFill/>
                    </a:ln>
                  </pic:spPr>
                </pic:pic>
              </a:graphicData>
            </a:graphic>
          </wp:inline>
        </w:drawing>
      </w:r>
    </w:p>
    <w:p w:rsidR="00A35F90" w:rsidRDefault="00244C09" w:rsidP="00244C09">
      <w:pPr>
        <w:keepNext/>
        <w:spacing w:line="480" w:lineRule="auto"/>
        <w:rPr>
          <w:rFonts w:ascii="Palatino Linotype" w:hAnsi="Palatino Linotype"/>
          <w:sz w:val="22"/>
          <w:szCs w:val="22"/>
        </w:rPr>
      </w:pPr>
      <w:bookmarkStart w:id="4" w:name="_Ref360183807"/>
      <w:r w:rsidRPr="00457ACF">
        <w:rPr>
          <w:rFonts w:ascii="Palatino Linotype" w:hAnsi="Palatino Linotype"/>
          <w:b/>
          <w:bCs/>
          <w:sz w:val="22"/>
          <w:szCs w:val="22"/>
        </w:rPr>
        <w:t>Figure S</w:t>
      </w:r>
      <w:bookmarkEnd w:id="4"/>
      <w:r w:rsidRPr="00457ACF">
        <w:rPr>
          <w:rFonts w:ascii="Palatino Linotype" w:hAnsi="Palatino Linotype"/>
          <w:b/>
          <w:bCs/>
          <w:sz w:val="22"/>
          <w:szCs w:val="22"/>
        </w:rPr>
        <w:t>1</w:t>
      </w:r>
      <w:r w:rsidRPr="00457ACF">
        <w:rPr>
          <w:rFonts w:ascii="Palatino Linotype" w:hAnsi="Palatino Linotype"/>
          <w:b/>
          <w:bCs/>
          <w:noProof/>
          <w:sz w:val="22"/>
          <w:szCs w:val="22"/>
        </w:rPr>
        <w:t xml:space="preserve"> – Waiting time for the appearance of a double mutant </w:t>
      </w:r>
      <w:r w:rsidRPr="00457ACF">
        <w:rPr>
          <w:rFonts w:ascii="Palatino Linotype" w:hAnsi="Palatino Linotype"/>
          <w:sz w:val="22"/>
          <w:szCs w:val="22"/>
        </w:rPr>
        <w:t xml:space="preserve">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Normal mutagenesis (NM) is </w:t>
      </w:r>
      <w:r w:rsidRPr="00457ACF">
        <w:rPr>
          <w:rFonts w:ascii="Palatino Linotype" w:hAnsi="Palatino Linotype"/>
          <w:i/>
          <w:iCs/>
          <w:sz w:val="22"/>
          <w:szCs w:val="22"/>
        </w:rPr>
        <w:t>τ</w:t>
      </w:r>
      <w:r w:rsidRPr="00457ACF">
        <w:rPr>
          <w:rFonts w:ascii="Palatino Linotype" w:hAnsi="Palatino Linotype"/>
          <w:sz w:val="22"/>
          <w:szCs w:val="22"/>
        </w:rPr>
        <w:t>=1; constitutive mutagenesis (CM) in red; stress-induced mutagenesis (SIM) in blue. Lines are analytic approximations (</w:t>
      </w:r>
      <w:proofErr w:type="spellStart"/>
      <w:r w:rsidRPr="00457ACF">
        <w:rPr>
          <w:rFonts w:ascii="Palatino Linotype" w:hAnsi="Palatino Linotype"/>
          <w:sz w:val="22"/>
          <w:szCs w:val="22"/>
        </w:rPr>
        <w:t>eqs</w:t>
      </w:r>
      <w:proofErr w:type="spellEnd"/>
      <w:r w:rsidRPr="00457ACF">
        <w:rPr>
          <w:rFonts w:ascii="Palatino Linotype" w:hAnsi="Palatino Linotype"/>
          <w:sz w:val="22"/>
          <w:szCs w:val="22"/>
        </w:rPr>
        <w:t xml:space="preserve">. 2, 3 in main text). Markers are means of simulation results - black circles for the standard simulations, white triangles for alternative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The standard error of the mean was too small to show. </w:t>
      </w:r>
      <w:proofErr w:type="gramStart"/>
      <w:r w:rsidRPr="00457ACF">
        <w:rPr>
          <w:rFonts w:ascii="Palatino Linotype" w:hAnsi="Palatino Linotype"/>
          <w:sz w:val="22"/>
          <w:szCs w:val="22"/>
        </w:rPr>
        <w:t>At least 1,000 simulations per point.</w:t>
      </w:r>
      <w:proofErr w:type="gramEnd"/>
      <w:r w:rsidRPr="00457ACF">
        <w:rPr>
          <w:rFonts w:ascii="Palatino Linotype" w:hAnsi="Palatino Linotype"/>
          <w:sz w:val="22"/>
          <w:szCs w:val="22"/>
        </w:rPr>
        <w:t xml:space="preserve"> Both axes are in log scale. The appearance time decreases as a function of </w:t>
      </w:r>
      <w:r w:rsidRPr="00457ACF">
        <w:rPr>
          <w:rFonts w:ascii="Palatino Linotype" w:hAnsi="Palatino Linotype"/>
          <w:i/>
          <w:iCs/>
          <w:sz w:val="22"/>
          <w:szCs w:val="22"/>
        </w:rPr>
        <w:t>τ</w:t>
      </w:r>
      <w:r w:rsidRPr="00457ACF">
        <w:rPr>
          <w:rFonts w:ascii="Palatino Linotype" w:hAnsi="Palatino Linotype"/>
          <w:sz w:val="22"/>
          <w:szCs w:val="22"/>
          <w:vertAlign w:val="superscript"/>
        </w:rPr>
        <w:t>2</w:t>
      </w:r>
      <w:r w:rsidRPr="00457ACF">
        <w:rPr>
          <w:rFonts w:ascii="Palatino Linotype" w:hAnsi="Palatino Linotype"/>
          <w:sz w:val="22"/>
          <w:szCs w:val="22"/>
        </w:rPr>
        <w:t xml:space="preserve"> and </w:t>
      </w:r>
      <w:r w:rsidRPr="00457ACF">
        <w:rPr>
          <w:rFonts w:ascii="Palatino Linotype" w:hAnsi="Palatino Linotype"/>
          <w:i/>
          <w:iCs/>
          <w:sz w:val="22"/>
          <w:szCs w:val="22"/>
        </w:rPr>
        <w:t>τ</w:t>
      </w:r>
      <w:r w:rsidRPr="00457ACF">
        <w:rPr>
          <w:rFonts w:ascii="Palatino Linotype" w:hAnsi="Palatino Linotype"/>
          <w:sz w:val="22"/>
          <w:szCs w:val="22"/>
        </w:rPr>
        <w:t xml:space="preserve"> with CM and SIM, respectively. Appearance time is slightly longer if </w:t>
      </w:r>
      <w:r w:rsidRPr="00457ACF">
        <w:rPr>
          <w:rFonts w:ascii="Palatino Linotype" w:hAnsi="Palatino Linotype"/>
          <w:i/>
          <w:iCs/>
          <w:sz w:val="22"/>
          <w:szCs w:val="22"/>
        </w:rPr>
        <w:t>AB</w:t>
      </w:r>
      <w:r w:rsidRPr="00457ACF">
        <w:rPr>
          <w:rFonts w:ascii="Palatino Linotype" w:hAnsi="Palatino Linotype"/>
          <w:sz w:val="22"/>
          <w:szCs w:val="22"/>
        </w:rPr>
        <w:t xml:space="preserve"> only appears on unloaded background (white triangles) which explains the difference between the analytic approximations and the simulation results for SIM in Figure 2. Parameters are the same as in Figure 2.</w:t>
      </w:r>
    </w:p>
    <w:p w:rsidR="00244C09" w:rsidRPr="00457ACF" w:rsidRDefault="00244C09" w:rsidP="00244C09">
      <w:pPr>
        <w:spacing w:line="480" w:lineRule="auto"/>
        <w:jc w:val="center"/>
        <w:rPr>
          <w:rFonts w:ascii="Palatino Linotype" w:hAnsi="Palatino Linotype"/>
          <w:noProof/>
          <w:sz w:val="22"/>
          <w:szCs w:val="22"/>
        </w:rPr>
      </w:pPr>
      <w:r w:rsidRPr="00457ACF">
        <w:rPr>
          <w:rFonts w:ascii="Palatino Linotype" w:hAnsi="Palatino Linotype"/>
          <w:noProof/>
          <w:sz w:val="22"/>
          <w:szCs w:val="22"/>
        </w:rPr>
        <w:lastRenderedPageBreak/>
        <w:drawing>
          <wp:inline distT="0" distB="0" distL="0" distR="0" wp14:anchorId="2B161E2D" wp14:editId="0A9075A6">
            <wp:extent cx="4412473" cy="3780000"/>
            <wp:effectExtent l="0" t="0" r="762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2473" cy="3780000"/>
                    </a:xfrm>
                    <a:prstGeom prst="rect">
                      <a:avLst/>
                    </a:prstGeom>
                    <a:noFill/>
                    <a:ln>
                      <a:noFill/>
                    </a:ln>
                  </pic:spPr>
                </pic:pic>
              </a:graphicData>
            </a:graphic>
          </wp:inline>
        </w:drawing>
      </w:r>
    </w:p>
    <w:p w:rsidR="00244C09" w:rsidRPr="00457ACF" w:rsidRDefault="00244C09" w:rsidP="00244C09">
      <w:pPr>
        <w:spacing w:line="480" w:lineRule="auto"/>
        <w:rPr>
          <w:rFonts w:ascii="Palatino Linotype" w:hAnsi="Palatino Linotype"/>
          <w:sz w:val="22"/>
          <w:szCs w:val="22"/>
          <w:lang w:bidi="hi-IN"/>
        </w:rPr>
      </w:pPr>
      <w:r w:rsidRPr="00457ACF">
        <w:rPr>
          <w:rFonts w:ascii="Palatino Linotype" w:hAnsi="Palatino Linotype"/>
          <w:noProof/>
          <w:sz w:val="22"/>
          <w:szCs w:val="22"/>
        </w:rPr>
        <w:t xml:space="preserve"> </w:t>
      </w:r>
      <w:bookmarkStart w:id="5" w:name="_Ref360562760"/>
      <w:r w:rsidRPr="00457ACF">
        <w:rPr>
          <w:rFonts w:ascii="Palatino Linotype" w:hAnsi="Palatino Linotype"/>
          <w:b/>
          <w:bCs/>
          <w:sz w:val="22"/>
          <w:szCs w:val="22"/>
        </w:rPr>
        <w:t>Figure S</w:t>
      </w:r>
      <w:bookmarkEnd w:id="5"/>
      <w:r w:rsidRPr="00457ACF">
        <w:rPr>
          <w:rFonts w:ascii="Palatino Linotype" w:hAnsi="Palatino Linotype"/>
          <w:b/>
          <w:bCs/>
          <w:sz w:val="22"/>
          <w:szCs w:val="22"/>
        </w:rPr>
        <w:t>2 – Fixation probability</w:t>
      </w:r>
      <w:r w:rsidRPr="00457ACF">
        <w:rPr>
          <w:rFonts w:ascii="Palatino Linotype" w:hAnsi="Palatino Linotype"/>
          <w:sz w:val="22"/>
          <w:szCs w:val="22"/>
        </w:rPr>
        <w:t xml:space="preserve"> </w:t>
      </w:r>
      <w:r w:rsidRPr="00457ACF">
        <w:rPr>
          <w:rFonts w:ascii="Palatino Linotype" w:hAnsi="Palatino Linotype"/>
          <w:b/>
          <w:bCs/>
          <w:sz w:val="22"/>
          <w:szCs w:val="22"/>
        </w:rPr>
        <w:t xml:space="preserve">of the double mutant </w:t>
      </w:r>
      <w:r w:rsidRPr="00457ACF">
        <w:rPr>
          <w:rFonts w:ascii="Palatino Linotype" w:hAnsi="Palatino Linotype"/>
          <w:b/>
          <w:bCs/>
          <w:i/>
          <w:iCs/>
          <w:sz w:val="22"/>
          <w:szCs w:val="22"/>
        </w:rPr>
        <w:t>AB</w:t>
      </w:r>
      <w:r w:rsidRPr="00457ACF">
        <w:rPr>
          <w:rFonts w:ascii="Palatino Linotype" w:hAnsi="Palatino Linotype"/>
          <w:sz w:val="22"/>
          <w:szCs w:val="22"/>
        </w:rPr>
        <w:t xml:space="preserve"> 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with three mutational strategies: constitutive mutagenesis (CM; top panels in red), stress-induced mutagenesis (SIM; middle panels in blue) and stress-induced mutagenesis with environmental stress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bottom panels in green; see section 3.5 in main text). Dashed lines are analytic approximations; black error bars represent simulation results with 95% confidence interval of the mean (at least 1,000 simulations per point; computed with bootstrap with 10,000 samples per point); solid lines are the logistic regression lines computed from the simulation results. The three left panels are results of the standard simulations. The three right panels are results of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 in these cases there is no significant difference between the simulation results and our analytic approximations (compare solid and dashed lines; regression slope tests with α=0.05). However, if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can appear on a </w:t>
      </w:r>
      <w:r w:rsidRPr="00457ACF">
        <w:rPr>
          <w:rFonts w:ascii="Palatino Linotype" w:hAnsi="Palatino Linotype"/>
          <w:sz w:val="22"/>
          <w:szCs w:val="22"/>
        </w:rPr>
        <w:lastRenderedPageBreak/>
        <w:t xml:space="preserve">deleterious background (left panels) then its fixation probability is lower </w:t>
      </w:r>
      <w:r w:rsidRPr="00457ACF">
        <w:rPr>
          <w:rFonts w:ascii="Palatino Linotype" w:hAnsi="Palatino Linotype"/>
          <w:sz w:val="22"/>
          <w:szCs w:val="22"/>
        </w:rPr>
        <w:fldChar w:fldCharType="begin" w:fldLock="1"/>
      </w:r>
      <w:r w:rsidR="000D3C99">
        <w:rPr>
          <w:rFonts w:ascii="Palatino Linotype" w:hAnsi="Palatino Linotype"/>
          <w:sz w:val="22"/>
          <w:szCs w:val="22"/>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 "page" : "395-411", "title" : "The effect of deleterious alleles on adaptation in asexual populations.", "type" : "article-journal", "volume" : "162" }, "uris" : [ "http://www.mendeley.com/documents/?uuid=f3941c3a-3bc1-4b60-92ac-7986875fd4c6" ] } ], "mendeley" : { "previouslyFormattedCitation" : "[12]" }, "properties" : { "noteIndex" : 0 }, "schema" : "https://github.com/citation-style-language/schema/raw/master/csl-citation.json" }</w:instrText>
      </w:r>
      <w:r w:rsidRPr="00457ACF">
        <w:rPr>
          <w:rFonts w:ascii="Palatino Linotype" w:hAnsi="Palatino Linotype"/>
          <w:sz w:val="22"/>
          <w:szCs w:val="22"/>
        </w:rPr>
        <w:fldChar w:fldCharType="separate"/>
      </w:r>
      <w:r w:rsidR="000D3C99" w:rsidRPr="000D3C99">
        <w:rPr>
          <w:rFonts w:ascii="Palatino Linotype" w:hAnsi="Palatino Linotype"/>
          <w:noProof/>
          <w:sz w:val="22"/>
          <w:szCs w:val="22"/>
        </w:rPr>
        <w:t>[12]</w:t>
      </w:r>
      <w:r w:rsidRPr="00457ACF">
        <w:rPr>
          <w:rFonts w:ascii="Palatino Linotype" w:hAnsi="Palatino Linotype"/>
          <w:sz w:val="22"/>
          <w:szCs w:val="22"/>
        </w:rPr>
        <w:fldChar w:fldCharType="end"/>
      </w:r>
      <w:r w:rsidRPr="00457ACF">
        <w:rPr>
          <w:rFonts w:ascii="Palatino Linotype" w:hAnsi="Palatino Linotype"/>
          <w:sz w:val="22"/>
          <w:szCs w:val="22"/>
        </w:rPr>
        <w:t xml:space="preserve">. For example, the fixation probability of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with a single deleterious mutation </w:t>
      </w:r>
      <w:proofErr w:type="gramStart"/>
      <w:r w:rsidRPr="00457ACF">
        <w:rPr>
          <w:rFonts w:ascii="Palatino Linotype" w:hAnsi="Palatino Linotype"/>
          <w:sz w:val="22"/>
          <w:szCs w:val="22"/>
        </w:rPr>
        <w:t xml:space="preserve">is </w:t>
      </w:r>
      <w:proofErr w:type="gramEnd"/>
      <m:oMath>
        <m:sSub>
          <m:sSubPr>
            <m:ctrlPr>
              <w:rPr>
                <w:rFonts w:ascii="Cambria Math" w:hAnsi="Cambria Math"/>
                <w:i/>
                <w:sz w:val="22"/>
                <w:szCs w:val="22"/>
              </w:rPr>
            </m:ctrlPr>
          </m:sSubPr>
          <m:e>
            <m:r>
              <w:rPr>
                <w:rFonts w:ascii="Cambria Math" w:hAnsi="Cambria Math"/>
                <w:sz w:val="22"/>
                <w:szCs w:val="22"/>
              </w:rPr>
              <m:t>ρ</m:t>
            </m:r>
          </m:e>
          <m:sub>
            <m:f>
              <m:fPr>
                <m:type m:val="lin"/>
                <m:ctrlPr>
                  <w:rPr>
                    <w:rFonts w:ascii="Cambria Math" w:hAnsi="Cambria Math"/>
                    <w:i/>
                    <w:sz w:val="22"/>
                    <w:szCs w:val="22"/>
                  </w:rPr>
                </m:ctrlPr>
              </m:fPr>
              <m:num>
                <m:r>
                  <w:rPr>
                    <w:rFonts w:ascii="Cambria Math" w:hAnsi="Cambria Math"/>
                    <w:sz w:val="22"/>
                    <w:szCs w:val="22"/>
                  </w:rPr>
                  <m:t>AB</m:t>
                </m:r>
              </m:num>
              <m:den>
                <m:r>
                  <w:rPr>
                    <w:rFonts w:ascii="Cambria Math" w:hAnsi="Cambria Math"/>
                    <w:sz w:val="22"/>
                    <w:szCs w:val="22"/>
                  </w:rPr>
                  <m:t>1</m:t>
                </m:r>
              </m:den>
            </m:f>
          </m:sub>
        </m:sSub>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1-s</m:t>
                    </m:r>
                  </m:e>
                </m:d>
              </m:den>
            </m:f>
          </m:e>
        </m:d>
        <m:r>
          <w:rPr>
            <w:rFonts w:ascii="Cambria Math" w:hAnsi="Cambria Math"/>
            <w:sz w:val="22"/>
            <w:szCs w:val="22"/>
          </w:rPr>
          <m:t>&lt;ρ</m:t>
        </m:r>
      </m:oMath>
      <w:r w:rsidRPr="00457ACF">
        <w:rPr>
          <w:rFonts w:ascii="Palatino Linotype" w:hAnsi="Palatino Linotype"/>
          <w:sz w:val="22"/>
          <w:szCs w:val="22"/>
        </w:rPr>
        <w:t>. In addition, the figure shows that SIM</w:t>
      </w:r>
      <w:r w:rsidRPr="00457ACF">
        <w:rPr>
          <w:rFonts w:ascii="Palatino Linotype" w:hAnsi="Palatino Linotype"/>
          <w:sz w:val="22"/>
          <w:szCs w:val="22"/>
          <w:vertAlign w:val="subscript"/>
        </w:rPr>
        <w:t>e</w:t>
      </w:r>
      <w:r w:rsidRPr="00457ACF">
        <w:rPr>
          <w:rFonts w:ascii="Palatino Linotype" w:hAnsi="Palatino Linotype"/>
          <w:sz w:val="22"/>
          <w:szCs w:val="22"/>
          <w:vertAlign w:val="subscript"/>
        </w:rPr>
        <w:softHyphen/>
        <w:t xml:space="preserve"> </w:t>
      </w:r>
      <w:r w:rsidRPr="00457ACF">
        <w:rPr>
          <w:rFonts w:ascii="Palatino Linotype" w:hAnsi="Palatino Linotype"/>
          <w:sz w:val="22"/>
          <w:szCs w:val="22"/>
        </w:rPr>
        <w:t xml:space="preserve">has a higher fixation probability than CM and SIM: the green lines, representing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are always higher than the red and blue lines representing CM and SIM. Parameters are the same as in Figure 2. </w:t>
      </w:r>
    </w:p>
    <w:p w:rsidR="00244C09" w:rsidRPr="00457ACF" w:rsidRDefault="00244C09">
      <w:pPr>
        <w:rPr>
          <w:rFonts w:ascii="Palatino Linotype" w:hAnsi="Palatino Linotype"/>
          <w:sz w:val="22"/>
          <w:szCs w:val="22"/>
          <w:lang w:bidi="hi-IN"/>
        </w:rPr>
      </w:pPr>
      <w:r w:rsidRPr="00457ACF">
        <w:rPr>
          <w:rFonts w:ascii="Palatino Linotype" w:hAnsi="Palatino Linotype"/>
          <w:sz w:val="22"/>
          <w:szCs w:val="22"/>
          <w:lang w:bidi="hi-IN"/>
        </w:rPr>
        <w:br w:type="page"/>
      </w:r>
    </w:p>
    <w:p w:rsidR="009F7186" w:rsidRPr="00457ACF" w:rsidRDefault="009F7186" w:rsidP="00457ACF">
      <w:pPr>
        <w:pStyle w:val="Heading1"/>
        <w:rPr>
          <w:rFonts w:eastAsiaTheme="minorEastAsia"/>
        </w:rPr>
      </w:pPr>
      <w:r w:rsidRPr="00457ACF">
        <w:rPr>
          <w:rFonts w:eastAsiaTheme="minorEastAsia"/>
        </w:rPr>
        <w:lastRenderedPageBreak/>
        <w:t>References</w:t>
      </w:r>
    </w:p>
    <w:p w:rsidR="000D3C99" w:rsidRPr="000D3C99" w:rsidRDefault="005E1D12">
      <w:pPr>
        <w:pStyle w:val="NormalWeb"/>
        <w:ind w:left="640" w:hanging="640"/>
        <w:divId w:val="1862429546"/>
        <w:rPr>
          <w:rFonts w:ascii="Palatino Linotype" w:hAnsi="Palatino Linotype"/>
          <w:noProof/>
          <w:sz w:val="22"/>
        </w:rPr>
      </w:pPr>
      <w:r w:rsidRPr="00457ACF">
        <w:rPr>
          <w:rFonts w:ascii="Palatino Linotype" w:hAnsi="Palatino Linotype"/>
          <w:sz w:val="22"/>
          <w:szCs w:val="22"/>
          <w:lang w:bidi="hi-IN"/>
        </w:rPr>
        <w:fldChar w:fldCharType="begin" w:fldLock="1"/>
      </w:r>
      <w:r w:rsidR="009F7186" w:rsidRPr="00457ACF">
        <w:rPr>
          <w:rFonts w:ascii="Palatino Linotype" w:hAnsi="Palatino Linotype"/>
          <w:sz w:val="22"/>
          <w:szCs w:val="22"/>
          <w:lang w:bidi="hi-IN"/>
        </w:rPr>
        <w:instrText xml:space="preserve">ADDIN Mendeley Bibliography CSL_BIBLIOGRAPHY </w:instrText>
      </w:r>
      <w:r w:rsidRPr="00457ACF">
        <w:rPr>
          <w:rFonts w:ascii="Palatino Linotype" w:hAnsi="Palatino Linotype"/>
          <w:sz w:val="22"/>
          <w:szCs w:val="22"/>
          <w:lang w:bidi="hi-IN"/>
        </w:rPr>
        <w:fldChar w:fldCharType="separate"/>
      </w:r>
      <w:r w:rsidR="000D3C99" w:rsidRPr="000D3C99">
        <w:rPr>
          <w:rFonts w:ascii="Palatino Linotype" w:hAnsi="Palatino Linotype"/>
          <w:noProof/>
          <w:sz w:val="22"/>
        </w:rPr>
        <w:t>1.</w:t>
      </w:r>
      <w:r w:rsidR="000D3C99" w:rsidRPr="000D3C99">
        <w:rPr>
          <w:rFonts w:ascii="Palatino Linotype" w:hAnsi="Palatino Linotype"/>
          <w:noProof/>
          <w:sz w:val="22"/>
        </w:rPr>
        <w:tab/>
        <w:t xml:space="preserve">Van Rossum, G. &amp; others 2007 Python Programming Language. In </w:t>
      </w:r>
      <w:r w:rsidR="000D3C99" w:rsidRPr="000D3C99">
        <w:rPr>
          <w:rFonts w:ascii="Palatino Linotype" w:hAnsi="Palatino Linotype"/>
          <w:i/>
          <w:iCs/>
          <w:noProof/>
          <w:sz w:val="22"/>
        </w:rPr>
        <w:t>USENIX Annual Technical Conference</w:t>
      </w:r>
      <w:r w:rsidR="000D3C99" w:rsidRPr="000D3C99">
        <w:rPr>
          <w:rFonts w:ascii="Palatino Linotype" w:hAnsi="Palatino Linotype"/>
          <w:noProof/>
          <w:sz w:val="22"/>
        </w:rPr>
        <w:t xml:space="preserve">, </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2.</w:t>
      </w:r>
      <w:r w:rsidRPr="000D3C99">
        <w:rPr>
          <w:rFonts w:ascii="Palatino Linotype" w:hAnsi="Palatino Linotype"/>
          <w:noProof/>
          <w:sz w:val="22"/>
        </w:rPr>
        <w:tab/>
        <w:t xml:space="preserve">Van der Walt, S., Colbert, S. C. &amp; Varoquaux, G. 2011 The NumPy Array: A Structure for Efficient Numerical Computation. </w:t>
      </w:r>
      <w:r w:rsidRPr="000D3C99">
        <w:rPr>
          <w:rFonts w:ascii="Palatino Linotype" w:hAnsi="Palatino Linotype"/>
          <w:i/>
          <w:iCs/>
          <w:noProof/>
          <w:sz w:val="22"/>
        </w:rPr>
        <w:t>Comput. Sci. Eng.</w:t>
      </w:r>
      <w:r w:rsidRPr="000D3C99">
        <w:rPr>
          <w:rFonts w:ascii="Palatino Linotype" w:hAnsi="Palatino Linotype"/>
          <w:noProof/>
          <w:sz w:val="22"/>
        </w:rPr>
        <w:t xml:space="preserve"> </w:t>
      </w:r>
      <w:r w:rsidRPr="000D3C99">
        <w:rPr>
          <w:rFonts w:ascii="Palatino Linotype" w:hAnsi="Palatino Linotype"/>
          <w:b/>
          <w:bCs/>
          <w:noProof/>
          <w:sz w:val="22"/>
        </w:rPr>
        <w:t>13</w:t>
      </w:r>
      <w:r w:rsidRPr="000D3C99">
        <w:rPr>
          <w:rFonts w:ascii="Palatino Linotype" w:hAnsi="Palatino Linotype"/>
          <w:noProof/>
          <w:sz w:val="22"/>
        </w:rPr>
        <w:t>, 22–30. (doi:10.1109/MCSE.2011.37)</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3.</w:t>
      </w:r>
      <w:r w:rsidRPr="000D3C99">
        <w:rPr>
          <w:rFonts w:ascii="Palatino Linotype" w:hAnsi="Palatino Linotype"/>
          <w:noProof/>
          <w:sz w:val="22"/>
        </w:rPr>
        <w:tab/>
        <w:t xml:space="preserve">Jones, E., Oliphant, T., Peterson, P. &amp; others 2001 SciPy: Open source scientific tools for Python. </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4.</w:t>
      </w:r>
      <w:r w:rsidRPr="000D3C99">
        <w:rPr>
          <w:rFonts w:ascii="Palatino Linotype" w:hAnsi="Palatino Linotype"/>
          <w:noProof/>
          <w:sz w:val="22"/>
        </w:rPr>
        <w:tab/>
        <w:t xml:space="preserve">Hunter, J. D. 2007 Matplotlib: A 2D Graphics Environment. </w:t>
      </w:r>
      <w:r w:rsidRPr="000D3C99">
        <w:rPr>
          <w:rFonts w:ascii="Palatino Linotype" w:hAnsi="Palatino Linotype"/>
          <w:i/>
          <w:iCs/>
          <w:noProof/>
          <w:sz w:val="22"/>
        </w:rPr>
        <w:t>Comput. Sci. Eng.</w:t>
      </w:r>
      <w:r w:rsidRPr="000D3C99">
        <w:rPr>
          <w:rFonts w:ascii="Palatino Linotype" w:hAnsi="Palatino Linotype"/>
          <w:noProof/>
          <w:sz w:val="22"/>
        </w:rPr>
        <w:t xml:space="preserve"> </w:t>
      </w:r>
      <w:r w:rsidRPr="000D3C99">
        <w:rPr>
          <w:rFonts w:ascii="Palatino Linotype" w:hAnsi="Palatino Linotype"/>
          <w:b/>
          <w:bCs/>
          <w:noProof/>
          <w:sz w:val="22"/>
        </w:rPr>
        <w:t>9</w:t>
      </w:r>
      <w:r w:rsidRPr="000D3C99">
        <w:rPr>
          <w:rFonts w:ascii="Palatino Linotype" w:hAnsi="Palatino Linotype"/>
          <w:noProof/>
          <w:sz w:val="22"/>
        </w:rPr>
        <w:t>, 90–95. (doi:10.1109/MCSE.2007.55)</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5.</w:t>
      </w:r>
      <w:r w:rsidRPr="000D3C99">
        <w:rPr>
          <w:rFonts w:ascii="Palatino Linotype" w:hAnsi="Palatino Linotype"/>
          <w:noProof/>
          <w:sz w:val="22"/>
        </w:rPr>
        <w:tab/>
        <w:t xml:space="preserve">McKinney, W. 2010 Data Structures for Statistical Computing in Python. In </w:t>
      </w:r>
      <w:r w:rsidRPr="000D3C99">
        <w:rPr>
          <w:rFonts w:ascii="Palatino Linotype" w:hAnsi="Palatino Linotype"/>
          <w:i/>
          <w:iCs/>
          <w:noProof/>
          <w:sz w:val="22"/>
        </w:rPr>
        <w:t>Proceedings of the 9th Python in Science Conference</w:t>
      </w:r>
      <w:r w:rsidRPr="000D3C99">
        <w:rPr>
          <w:rFonts w:ascii="Palatino Linotype" w:hAnsi="Palatino Linotype"/>
          <w:noProof/>
          <w:sz w:val="22"/>
        </w:rPr>
        <w:t xml:space="preserve"> (eds S. van der Walt &amp; J. Millman), pp. 51–56.</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6.</w:t>
      </w:r>
      <w:r w:rsidRPr="000D3C99">
        <w:rPr>
          <w:rFonts w:ascii="Palatino Linotype" w:hAnsi="Palatino Linotype"/>
          <w:noProof/>
          <w:sz w:val="22"/>
        </w:rPr>
        <w:tab/>
        <w:t xml:space="preserve">Perez, F. &amp; Granger, B. E. 2007 IPython: A System for Interactive Scientific Computing. </w:t>
      </w:r>
      <w:r w:rsidRPr="000D3C99">
        <w:rPr>
          <w:rFonts w:ascii="Palatino Linotype" w:hAnsi="Palatino Linotype"/>
          <w:i/>
          <w:iCs/>
          <w:noProof/>
          <w:sz w:val="22"/>
        </w:rPr>
        <w:t>Comput. Sci. Eng.</w:t>
      </w:r>
      <w:r w:rsidRPr="000D3C99">
        <w:rPr>
          <w:rFonts w:ascii="Palatino Linotype" w:hAnsi="Palatino Linotype"/>
          <w:noProof/>
          <w:sz w:val="22"/>
        </w:rPr>
        <w:t xml:space="preserve"> </w:t>
      </w:r>
      <w:r w:rsidRPr="000D3C99">
        <w:rPr>
          <w:rFonts w:ascii="Palatino Linotype" w:hAnsi="Palatino Linotype"/>
          <w:b/>
          <w:bCs/>
          <w:noProof/>
          <w:sz w:val="22"/>
        </w:rPr>
        <w:t>9</w:t>
      </w:r>
      <w:r w:rsidRPr="000D3C99">
        <w:rPr>
          <w:rFonts w:ascii="Palatino Linotype" w:hAnsi="Palatino Linotype"/>
          <w:noProof/>
          <w:sz w:val="22"/>
        </w:rPr>
        <w:t>, 21–29. (doi:10.1109/MCSE.2007.53)</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7.</w:t>
      </w:r>
      <w:r w:rsidRPr="000D3C99">
        <w:rPr>
          <w:rFonts w:ascii="Palatino Linotype" w:hAnsi="Palatino Linotype"/>
          <w:noProof/>
          <w:sz w:val="22"/>
        </w:rPr>
        <w:tab/>
        <w:t xml:space="preserve">Kimura, M. &amp; Maruyama, T. 1966 The mutational load with epistatic gene interactions in fitness. </w:t>
      </w:r>
      <w:r w:rsidRPr="000D3C99">
        <w:rPr>
          <w:rFonts w:ascii="Palatino Linotype" w:hAnsi="Palatino Linotype"/>
          <w:i/>
          <w:iCs/>
          <w:noProof/>
          <w:sz w:val="22"/>
        </w:rPr>
        <w:t>Genetics</w:t>
      </w:r>
      <w:r w:rsidRPr="000D3C99">
        <w:rPr>
          <w:rFonts w:ascii="Palatino Linotype" w:hAnsi="Palatino Linotype"/>
          <w:noProof/>
          <w:sz w:val="22"/>
        </w:rPr>
        <w:t xml:space="preserve"> </w:t>
      </w:r>
      <w:r w:rsidRPr="000D3C99">
        <w:rPr>
          <w:rFonts w:ascii="Palatino Linotype" w:hAnsi="Palatino Linotype"/>
          <w:b/>
          <w:bCs/>
          <w:noProof/>
          <w:sz w:val="22"/>
        </w:rPr>
        <w:t>54</w:t>
      </w:r>
      <w:r w:rsidRPr="000D3C99">
        <w:rPr>
          <w:rFonts w:ascii="Palatino Linotype" w:hAnsi="Palatino Linotype"/>
          <w:noProof/>
          <w:sz w:val="22"/>
        </w:rPr>
        <w:t xml:space="preserve">, 1337–51. </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8.</w:t>
      </w:r>
      <w:r w:rsidRPr="000D3C99">
        <w:rPr>
          <w:rFonts w:ascii="Palatino Linotype" w:hAnsi="Palatino Linotype"/>
          <w:noProof/>
          <w:sz w:val="22"/>
        </w:rPr>
        <w:tab/>
        <w:t xml:space="preserve">Haigh, J. 1978 The accumulation of deleterious genes in a population - Muller’s Ratchet. </w:t>
      </w:r>
      <w:r w:rsidRPr="000D3C99">
        <w:rPr>
          <w:rFonts w:ascii="Palatino Linotype" w:hAnsi="Palatino Linotype"/>
          <w:i/>
          <w:iCs/>
          <w:noProof/>
          <w:sz w:val="22"/>
        </w:rPr>
        <w:t>Theor. Popul. Biol.</w:t>
      </w:r>
      <w:r w:rsidRPr="000D3C99">
        <w:rPr>
          <w:rFonts w:ascii="Palatino Linotype" w:hAnsi="Palatino Linotype"/>
          <w:noProof/>
          <w:sz w:val="22"/>
        </w:rPr>
        <w:t xml:space="preserve"> </w:t>
      </w:r>
      <w:r w:rsidRPr="000D3C99">
        <w:rPr>
          <w:rFonts w:ascii="Palatino Linotype" w:hAnsi="Palatino Linotype"/>
          <w:b/>
          <w:bCs/>
          <w:noProof/>
          <w:sz w:val="22"/>
        </w:rPr>
        <w:t>14</w:t>
      </w:r>
      <w:r w:rsidRPr="000D3C99">
        <w:rPr>
          <w:rFonts w:ascii="Palatino Linotype" w:hAnsi="Palatino Linotype"/>
          <w:noProof/>
          <w:sz w:val="22"/>
        </w:rPr>
        <w:t>, 251–267. (doi:10.1016/0040-5809(78)90027-8)</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9.</w:t>
      </w:r>
      <w:r w:rsidRPr="000D3C99">
        <w:rPr>
          <w:rFonts w:ascii="Palatino Linotype" w:hAnsi="Palatino Linotype"/>
          <w:noProof/>
          <w:sz w:val="22"/>
        </w:rPr>
        <w:tab/>
        <w:t xml:space="preserve">Agrawal, A. F. 2002 Genetic loads under fitness-dependent mutation rates. </w:t>
      </w:r>
      <w:r w:rsidRPr="000D3C99">
        <w:rPr>
          <w:rFonts w:ascii="Palatino Linotype" w:hAnsi="Palatino Linotype"/>
          <w:i/>
          <w:iCs/>
          <w:noProof/>
          <w:sz w:val="22"/>
        </w:rPr>
        <w:t>J. Evol. Biol.</w:t>
      </w:r>
      <w:r w:rsidRPr="000D3C99">
        <w:rPr>
          <w:rFonts w:ascii="Palatino Linotype" w:hAnsi="Palatino Linotype"/>
          <w:noProof/>
          <w:sz w:val="22"/>
        </w:rPr>
        <w:t xml:space="preserve"> </w:t>
      </w:r>
      <w:r w:rsidRPr="000D3C99">
        <w:rPr>
          <w:rFonts w:ascii="Palatino Linotype" w:hAnsi="Palatino Linotype"/>
          <w:b/>
          <w:bCs/>
          <w:noProof/>
          <w:sz w:val="22"/>
        </w:rPr>
        <w:t>15</w:t>
      </w:r>
      <w:r w:rsidRPr="000D3C99">
        <w:rPr>
          <w:rFonts w:ascii="Palatino Linotype" w:hAnsi="Palatino Linotype"/>
          <w:noProof/>
          <w:sz w:val="22"/>
        </w:rPr>
        <w:t>, 1004–1010. (doi:10.1046/j.1420-9101.2002.00464.x)</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10.</w:t>
      </w:r>
      <w:r w:rsidRPr="000D3C99">
        <w:rPr>
          <w:rFonts w:ascii="Palatino Linotype" w:hAnsi="Palatino Linotype"/>
          <w:noProof/>
          <w:sz w:val="22"/>
        </w:rPr>
        <w:tab/>
        <w:t xml:space="preserve">Otto, S. P. &amp; Day, T. 2007 </w:t>
      </w:r>
      <w:r w:rsidRPr="000D3C99">
        <w:rPr>
          <w:rFonts w:ascii="Palatino Linotype" w:hAnsi="Palatino Linotype"/>
          <w:i/>
          <w:iCs/>
          <w:noProof/>
          <w:sz w:val="22"/>
        </w:rPr>
        <w:t>A biologist’s guide to mathematical modeling in ecology and evolution</w:t>
      </w:r>
      <w:r w:rsidRPr="000D3C99">
        <w:rPr>
          <w:rFonts w:ascii="Palatino Linotype" w:hAnsi="Palatino Linotype"/>
          <w:noProof/>
          <w:sz w:val="22"/>
        </w:rPr>
        <w:t>. Princeton University Press.</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11.</w:t>
      </w:r>
      <w:r w:rsidRPr="000D3C99">
        <w:rPr>
          <w:rFonts w:ascii="Palatino Linotype" w:hAnsi="Palatino Linotype"/>
          <w:noProof/>
          <w:sz w:val="22"/>
        </w:rPr>
        <w:tab/>
        <w:t xml:space="preserve">Ram, Y. &amp; Hadany, L. 2012 The evolution of stress-induced hypermutation in asexual populations. </w:t>
      </w:r>
      <w:r w:rsidRPr="000D3C99">
        <w:rPr>
          <w:rFonts w:ascii="Palatino Linotype" w:hAnsi="Palatino Linotype"/>
          <w:i/>
          <w:iCs/>
          <w:noProof/>
          <w:sz w:val="22"/>
        </w:rPr>
        <w:t>Evolution</w:t>
      </w:r>
      <w:r w:rsidRPr="000D3C99">
        <w:rPr>
          <w:rFonts w:ascii="Palatino Linotype" w:hAnsi="Palatino Linotype"/>
          <w:noProof/>
          <w:sz w:val="22"/>
        </w:rPr>
        <w:t xml:space="preserve"> </w:t>
      </w:r>
      <w:r w:rsidRPr="000D3C99">
        <w:rPr>
          <w:rFonts w:ascii="Palatino Linotype" w:hAnsi="Palatino Linotype"/>
          <w:b/>
          <w:bCs/>
          <w:noProof/>
          <w:sz w:val="22"/>
        </w:rPr>
        <w:t>66</w:t>
      </w:r>
      <w:r w:rsidRPr="000D3C99">
        <w:rPr>
          <w:rFonts w:ascii="Palatino Linotype" w:hAnsi="Palatino Linotype"/>
          <w:noProof/>
          <w:sz w:val="22"/>
        </w:rPr>
        <w:t>, 2315–28. (doi:10.1111/j.1558-5646.2012.01576.x)</w:t>
      </w:r>
    </w:p>
    <w:p w:rsidR="000D3C99" w:rsidRPr="000D3C99" w:rsidRDefault="000D3C99">
      <w:pPr>
        <w:pStyle w:val="NormalWeb"/>
        <w:ind w:left="640" w:hanging="640"/>
        <w:divId w:val="1862429546"/>
        <w:rPr>
          <w:rFonts w:ascii="Palatino Linotype" w:hAnsi="Palatino Linotype"/>
          <w:noProof/>
          <w:sz w:val="22"/>
        </w:rPr>
      </w:pPr>
      <w:r w:rsidRPr="000D3C99">
        <w:rPr>
          <w:rFonts w:ascii="Palatino Linotype" w:hAnsi="Palatino Linotype"/>
          <w:noProof/>
          <w:sz w:val="22"/>
        </w:rPr>
        <w:t>12.</w:t>
      </w:r>
      <w:r w:rsidRPr="000D3C99">
        <w:rPr>
          <w:rFonts w:ascii="Palatino Linotype" w:hAnsi="Palatino Linotype"/>
          <w:noProof/>
          <w:sz w:val="22"/>
        </w:rPr>
        <w:tab/>
        <w:t xml:space="preserve">Johnson, T. &amp; Barton, N. H. 2002 The effect of deleterious alleles on adaptation in asexual populations. </w:t>
      </w:r>
      <w:r w:rsidRPr="000D3C99">
        <w:rPr>
          <w:rFonts w:ascii="Palatino Linotype" w:hAnsi="Palatino Linotype"/>
          <w:i/>
          <w:iCs/>
          <w:noProof/>
          <w:sz w:val="22"/>
        </w:rPr>
        <w:t>Genetics</w:t>
      </w:r>
      <w:r w:rsidRPr="000D3C99">
        <w:rPr>
          <w:rFonts w:ascii="Palatino Linotype" w:hAnsi="Palatino Linotype"/>
          <w:noProof/>
          <w:sz w:val="22"/>
        </w:rPr>
        <w:t xml:space="preserve"> </w:t>
      </w:r>
      <w:r w:rsidRPr="000D3C99">
        <w:rPr>
          <w:rFonts w:ascii="Palatino Linotype" w:hAnsi="Palatino Linotype"/>
          <w:b/>
          <w:bCs/>
          <w:noProof/>
          <w:sz w:val="22"/>
        </w:rPr>
        <w:t>162</w:t>
      </w:r>
      <w:r w:rsidRPr="000D3C99">
        <w:rPr>
          <w:rFonts w:ascii="Palatino Linotype" w:hAnsi="Palatino Linotype"/>
          <w:noProof/>
          <w:sz w:val="22"/>
        </w:rPr>
        <w:t xml:space="preserve">, 395–411. </w:t>
      </w:r>
    </w:p>
    <w:p w:rsidR="009F7186" w:rsidRPr="00457ACF" w:rsidRDefault="005E1D12" w:rsidP="000D3C99">
      <w:pPr>
        <w:pStyle w:val="NormalWeb"/>
        <w:ind w:left="640" w:hanging="640"/>
        <w:divId w:val="437603569"/>
        <w:rPr>
          <w:rFonts w:ascii="Palatino Linotype" w:hAnsi="Palatino Linotype"/>
          <w:sz w:val="22"/>
          <w:szCs w:val="22"/>
          <w:lang w:bidi="hi-IN"/>
        </w:rPr>
      </w:pPr>
      <w:r w:rsidRPr="00457ACF">
        <w:rPr>
          <w:rFonts w:ascii="Palatino Linotype" w:hAnsi="Palatino Linotype"/>
          <w:sz w:val="22"/>
          <w:szCs w:val="22"/>
          <w:lang w:bidi="hi-IN"/>
        </w:rPr>
        <w:fldChar w:fldCharType="end"/>
      </w:r>
    </w:p>
    <w:sectPr w:rsidR="009F7186" w:rsidRPr="00457ACF" w:rsidSect="000E71D5">
      <w:headerReference w:type="default" r:id="rId27"/>
      <w:footerReference w:type="default" r:id="rId28"/>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D40" w:rsidRDefault="00066D40">
      <w:r>
        <w:separator/>
      </w:r>
    </w:p>
  </w:endnote>
  <w:endnote w:type="continuationSeparator" w:id="0">
    <w:p w:rsidR="00066D40" w:rsidRDefault="0006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Cambria Math"/>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B67008" w:rsidRDefault="00B67008">
        <w:pPr>
          <w:pStyle w:val="Footer"/>
          <w:jc w:val="center"/>
        </w:pPr>
        <w:r>
          <w:fldChar w:fldCharType="begin"/>
        </w:r>
        <w:r>
          <w:instrText xml:space="preserve"> PAGE   \* MERGEFORMAT </w:instrText>
        </w:r>
        <w:r>
          <w:fldChar w:fldCharType="separate"/>
        </w:r>
        <w:r w:rsidR="000D3C99">
          <w:rPr>
            <w:noProof/>
          </w:rPr>
          <w:t>14</w:t>
        </w:r>
        <w:r>
          <w:rPr>
            <w:noProof/>
          </w:rPr>
          <w:fldChar w:fldCharType="end"/>
        </w:r>
      </w:p>
    </w:sdtContent>
  </w:sdt>
  <w:p w:rsidR="00B67008" w:rsidRDefault="00B67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D40" w:rsidRDefault="00066D40">
      <w:r>
        <w:separator/>
      </w:r>
    </w:p>
  </w:footnote>
  <w:footnote w:type="continuationSeparator" w:id="0">
    <w:p w:rsidR="00066D40" w:rsidRDefault="00066D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08" w:rsidRPr="00002C4C" w:rsidRDefault="00B67008" w:rsidP="00002C4C">
    <w:pPr>
      <w:pStyle w:val="Header"/>
      <w:jc w:val="center"/>
    </w:pPr>
    <w:r w:rsidRPr="00002C4C">
      <w:rPr>
        <w:rFonts w:asciiTheme="majorHAnsi" w:hAnsiTheme="majorHAnsi"/>
        <w:sz w:val="16"/>
        <w:szCs w:val="16"/>
      </w:rPr>
      <w:t>Electronic Supplementary Material for "Stress-Induced Mutagenesis and Complex Adaptation"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02C4C"/>
    <w:rsid w:val="0001727F"/>
    <w:rsid w:val="000317D7"/>
    <w:rsid w:val="00066D40"/>
    <w:rsid w:val="00091183"/>
    <w:rsid w:val="000D3C99"/>
    <w:rsid w:val="000E71D5"/>
    <w:rsid w:val="000F6994"/>
    <w:rsid w:val="0013483B"/>
    <w:rsid w:val="001364E7"/>
    <w:rsid w:val="001547D6"/>
    <w:rsid w:val="001C26FB"/>
    <w:rsid w:val="001D5DB5"/>
    <w:rsid w:val="002175E5"/>
    <w:rsid w:val="00217945"/>
    <w:rsid w:val="00244C09"/>
    <w:rsid w:val="00245A98"/>
    <w:rsid w:val="0028076E"/>
    <w:rsid w:val="002A3FCB"/>
    <w:rsid w:val="002B7010"/>
    <w:rsid w:val="002C0703"/>
    <w:rsid w:val="002D7219"/>
    <w:rsid w:val="002F0F33"/>
    <w:rsid w:val="00302982"/>
    <w:rsid w:val="00311C92"/>
    <w:rsid w:val="00313FB3"/>
    <w:rsid w:val="00322C2A"/>
    <w:rsid w:val="00335C70"/>
    <w:rsid w:val="003453E8"/>
    <w:rsid w:val="0034554A"/>
    <w:rsid w:val="0035041D"/>
    <w:rsid w:val="003531A6"/>
    <w:rsid w:val="00427456"/>
    <w:rsid w:val="00457ACF"/>
    <w:rsid w:val="00501D3E"/>
    <w:rsid w:val="00501F2E"/>
    <w:rsid w:val="00525311"/>
    <w:rsid w:val="00542787"/>
    <w:rsid w:val="00545820"/>
    <w:rsid w:val="005601F8"/>
    <w:rsid w:val="00584A44"/>
    <w:rsid w:val="005E1D12"/>
    <w:rsid w:val="006018D8"/>
    <w:rsid w:val="00636BF6"/>
    <w:rsid w:val="006465C5"/>
    <w:rsid w:val="006F4488"/>
    <w:rsid w:val="00717CFF"/>
    <w:rsid w:val="00727E75"/>
    <w:rsid w:val="00747917"/>
    <w:rsid w:val="00760A38"/>
    <w:rsid w:val="007769E2"/>
    <w:rsid w:val="00787111"/>
    <w:rsid w:val="007A45FD"/>
    <w:rsid w:val="007F319B"/>
    <w:rsid w:val="00845A8D"/>
    <w:rsid w:val="008B12A4"/>
    <w:rsid w:val="008C6F95"/>
    <w:rsid w:val="00901975"/>
    <w:rsid w:val="009130D2"/>
    <w:rsid w:val="00940E9C"/>
    <w:rsid w:val="00983A57"/>
    <w:rsid w:val="009A5F9E"/>
    <w:rsid w:val="009D658E"/>
    <w:rsid w:val="009E7E6D"/>
    <w:rsid w:val="009F7186"/>
    <w:rsid w:val="00A169F4"/>
    <w:rsid w:val="00A32824"/>
    <w:rsid w:val="00A35F90"/>
    <w:rsid w:val="00A54A48"/>
    <w:rsid w:val="00A6780B"/>
    <w:rsid w:val="00A916BD"/>
    <w:rsid w:val="00AA429E"/>
    <w:rsid w:val="00AF0096"/>
    <w:rsid w:val="00B120F8"/>
    <w:rsid w:val="00B408AF"/>
    <w:rsid w:val="00B67008"/>
    <w:rsid w:val="00B90E9A"/>
    <w:rsid w:val="00BB57BB"/>
    <w:rsid w:val="00C06333"/>
    <w:rsid w:val="00C31483"/>
    <w:rsid w:val="00C623FE"/>
    <w:rsid w:val="00CA7771"/>
    <w:rsid w:val="00CF6D3C"/>
    <w:rsid w:val="00D0437D"/>
    <w:rsid w:val="00D07E45"/>
    <w:rsid w:val="00D46380"/>
    <w:rsid w:val="00D62902"/>
    <w:rsid w:val="00D84B1B"/>
    <w:rsid w:val="00D84EDB"/>
    <w:rsid w:val="00D968AE"/>
    <w:rsid w:val="00E74C93"/>
    <w:rsid w:val="00E96118"/>
    <w:rsid w:val="00EC5B83"/>
    <w:rsid w:val="00EC666C"/>
    <w:rsid w:val="00EE1F7D"/>
    <w:rsid w:val="00EF001D"/>
    <w:rsid w:val="00F075B5"/>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sChild>
                                                                                <w:div w:id="861358958">
                                                                                  <w:marLeft w:val="0"/>
                                                                                  <w:marRight w:val="0"/>
                                                                                  <w:marTop w:val="0"/>
                                                                                  <w:marBottom w:val="0"/>
                                                                                  <w:divBdr>
                                                                                    <w:top w:val="none" w:sz="0" w:space="0" w:color="auto"/>
                                                                                    <w:left w:val="none" w:sz="0" w:space="0" w:color="auto"/>
                                                                                    <w:bottom w:val="none" w:sz="0" w:space="0" w:color="auto"/>
                                                                                    <w:right w:val="none" w:sz="0" w:space="0" w:color="auto"/>
                                                                                  </w:divBdr>
                                                                                  <w:divsChild>
                                                                                    <w:div w:id="800348183">
                                                                                      <w:marLeft w:val="0"/>
                                                                                      <w:marRight w:val="0"/>
                                                                                      <w:marTop w:val="0"/>
                                                                                      <w:marBottom w:val="0"/>
                                                                                      <w:divBdr>
                                                                                        <w:top w:val="none" w:sz="0" w:space="0" w:color="auto"/>
                                                                                        <w:left w:val="none" w:sz="0" w:space="0" w:color="auto"/>
                                                                                        <w:bottom w:val="none" w:sz="0" w:space="0" w:color="auto"/>
                                                                                        <w:right w:val="none" w:sz="0" w:space="0" w:color="auto"/>
                                                                                      </w:divBdr>
                                                                                      <w:divsChild>
                                                                                        <w:div w:id="1779524519">
                                                                                          <w:marLeft w:val="0"/>
                                                                                          <w:marRight w:val="0"/>
                                                                                          <w:marTop w:val="0"/>
                                                                                          <w:marBottom w:val="0"/>
                                                                                          <w:divBdr>
                                                                                            <w:top w:val="none" w:sz="0" w:space="0" w:color="auto"/>
                                                                                            <w:left w:val="none" w:sz="0" w:space="0" w:color="auto"/>
                                                                                            <w:bottom w:val="none" w:sz="0" w:space="0" w:color="auto"/>
                                                                                            <w:right w:val="none" w:sz="0" w:space="0" w:color="auto"/>
                                                                                          </w:divBdr>
                                                                                          <w:divsChild>
                                                                                            <w:div w:id="1062680519">
                                                                                              <w:marLeft w:val="0"/>
                                                                                              <w:marRight w:val="0"/>
                                                                                              <w:marTop w:val="0"/>
                                                                                              <w:marBottom w:val="0"/>
                                                                                              <w:divBdr>
                                                                                                <w:top w:val="none" w:sz="0" w:space="0" w:color="auto"/>
                                                                                                <w:left w:val="none" w:sz="0" w:space="0" w:color="auto"/>
                                                                                                <w:bottom w:val="none" w:sz="0" w:space="0" w:color="auto"/>
                                                                                                <w:right w:val="none" w:sz="0" w:space="0" w:color="auto"/>
                                                                                              </w:divBdr>
                                                                                              <w:divsChild>
                                                                                                <w:div w:id="1983844525">
                                                                                                  <w:marLeft w:val="0"/>
                                                                                                  <w:marRight w:val="0"/>
                                                                                                  <w:marTop w:val="0"/>
                                                                                                  <w:marBottom w:val="0"/>
                                                                                                  <w:divBdr>
                                                                                                    <w:top w:val="none" w:sz="0" w:space="0" w:color="auto"/>
                                                                                                    <w:left w:val="none" w:sz="0" w:space="0" w:color="auto"/>
                                                                                                    <w:bottom w:val="none" w:sz="0" w:space="0" w:color="auto"/>
                                                                                                    <w:right w:val="none" w:sz="0" w:space="0" w:color="auto"/>
                                                                                                  </w:divBdr>
                                                                                                  <w:divsChild>
                                                                                                    <w:div w:id="300040843">
                                                                                                      <w:marLeft w:val="0"/>
                                                                                                      <w:marRight w:val="0"/>
                                                                                                      <w:marTop w:val="0"/>
                                                                                                      <w:marBottom w:val="0"/>
                                                                                                      <w:divBdr>
                                                                                                        <w:top w:val="none" w:sz="0" w:space="0" w:color="auto"/>
                                                                                                        <w:left w:val="none" w:sz="0" w:space="0" w:color="auto"/>
                                                                                                        <w:bottom w:val="none" w:sz="0" w:space="0" w:color="auto"/>
                                                                                                        <w:right w:val="none" w:sz="0" w:space="0" w:color="auto"/>
                                                                                                      </w:divBdr>
                                                                                                      <w:divsChild>
                                                                                                        <w:div w:id="516121705">
                                                                                                          <w:marLeft w:val="0"/>
                                                                                                          <w:marRight w:val="0"/>
                                                                                                          <w:marTop w:val="0"/>
                                                                                                          <w:marBottom w:val="0"/>
                                                                                                          <w:divBdr>
                                                                                                            <w:top w:val="none" w:sz="0" w:space="0" w:color="auto"/>
                                                                                                            <w:left w:val="none" w:sz="0" w:space="0" w:color="auto"/>
                                                                                                            <w:bottom w:val="none" w:sz="0" w:space="0" w:color="auto"/>
                                                                                                            <w:right w:val="none" w:sz="0" w:space="0" w:color="auto"/>
                                                                                                          </w:divBdr>
                                                                                                          <w:divsChild>
                                                                                                            <w:div w:id="1176772727">
                                                                                                              <w:marLeft w:val="0"/>
                                                                                                              <w:marRight w:val="0"/>
                                                                                                              <w:marTop w:val="0"/>
                                                                                                              <w:marBottom w:val="0"/>
                                                                                                              <w:divBdr>
                                                                                                                <w:top w:val="none" w:sz="0" w:space="0" w:color="auto"/>
                                                                                                                <w:left w:val="none" w:sz="0" w:space="0" w:color="auto"/>
                                                                                                                <w:bottom w:val="none" w:sz="0" w:space="0" w:color="auto"/>
                                                                                                                <w:right w:val="none" w:sz="0" w:space="0" w:color="auto"/>
                                                                                                              </w:divBdr>
                                                                                                              <w:divsChild>
                                                                                                                <w:div w:id="1559437726">
                                                                                                                  <w:marLeft w:val="0"/>
                                                                                                                  <w:marRight w:val="0"/>
                                                                                                                  <w:marTop w:val="0"/>
                                                                                                                  <w:marBottom w:val="0"/>
                                                                                                                  <w:divBdr>
                                                                                                                    <w:top w:val="none" w:sz="0" w:space="0" w:color="auto"/>
                                                                                                                    <w:left w:val="none" w:sz="0" w:space="0" w:color="auto"/>
                                                                                                                    <w:bottom w:val="none" w:sz="0" w:space="0" w:color="auto"/>
                                                                                                                    <w:right w:val="none" w:sz="0" w:space="0" w:color="auto"/>
                                                                                                                  </w:divBdr>
                                                                                                                  <w:divsChild>
                                                                                                                    <w:div w:id="906384338">
                                                                                                                      <w:marLeft w:val="0"/>
                                                                                                                      <w:marRight w:val="0"/>
                                                                                                                      <w:marTop w:val="0"/>
                                                                                                                      <w:marBottom w:val="0"/>
                                                                                                                      <w:divBdr>
                                                                                                                        <w:top w:val="none" w:sz="0" w:space="0" w:color="auto"/>
                                                                                                                        <w:left w:val="none" w:sz="0" w:space="0" w:color="auto"/>
                                                                                                                        <w:bottom w:val="none" w:sz="0" w:space="0" w:color="auto"/>
                                                                                                                        <w:right w:val="none" w:sz="0" w:space="0" w:color="auto"/>
                                                                                                                      </w:divBdr>
                                                                                                                      <w:divsChild>
                                                                                                                        <w:div w:id="437603569">
                                                                                                                          <w:marLeft w:val="0"/>
                                                                                                                          <w:marRight w:val="0"/>
                                                                                                                          <w:marTop w:val="0"/>
                                                                                                                          <w:marBottom w:val="0"/>
                                                                                                                          <w:divBdr>
                                                                                                                            <w:top w:val="none" w:sz="0" w:space="0" w:color="auto"/>
                                                                                                                            <w:left w:val="none" w:sz="0" w:space="0" w:color="auto"/>
                                                                                                                            <w:bottom w:val="none" w:sz="0" w:space="0" w:color="auto"/>
                                                                                                                            <w:right w:val="none" w:sz="0" w:space="0" w:color="auto"/>
                                                                                                                          </w:divBdr>
                                                                                                                          <w:divsChild>
                                                                                                                            <w:div w:id="1862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ndas.pydata.org/" TargetMode="External"/><Relationship Id="rId18" Type="http://schemas.openxmlformats.org/officeDocument/2006/relationships/hyperlink" Target="http://rspb.royalsocietypublishing.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matplotlib.org/" TargetMode="External"/><Relationship Id="rId17" Type="http://schemas.openxmlformats.org/officeDocument/2006/relationships/hyperlink" Target="http://ipython.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tonysyu.github.io/mpltools/" TargetMode="External"/><Relationship Id="rId20" Type="http://schemas.openxmlformats.org/officeDocument/2006/relationships/hyperlink" Target="http://dx.doi.org/10.5061/dryad.3066j"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py.org/scipylib/index.html"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tatsmodels.sourceforge.net/"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www.numpy.org/" TargetMode="External"/><Relationship Id="rId19" Type="http://schemas.openxmlformats.org/officeDocument/2006/relationships/hyperlink" Target="http://datadryad.org/" TargetMode="External"/><Relationship Id="rId4" Type="http://schemas.microsoft.com/office/2007/relationships/stylesWithEffects" Target="stylesWithEffects.xml"/><Relationship Id="rId9" Type="http://schemas.openxmlformats.org/officeDocument/2006/relationships/hyperlink" Target="https://www.python.org/" TargetMode="External"/><Relationship Id="rId14" Type="http://schemas.openxmlformats.org/officeDocument/2006/relationships/hyperlink" Target="https://github.com/cgevans/scikits-bootstrap"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6E94C-276D-48B7-B4B0-7807F86E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14</Pages>
  <Words>7182</Words>
  <Characters>35914</Characters>
  <Application>Microsoft Office Word</Application>
  <DocSecurity>0</DocSecurity>
  <Lines>299</Lines>
  <Paragraphs>86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43010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27</cp:revision>
  <cp:lastPrinted>2014-03-30T10:10:00Z</cp:lastPrinted>
  <dcterms:created xsi:type="dcterms:W3CDTF">2014-03-30T05:08:00Z</dcterms:created>
  <dcterms:modified xsi:type="dcterms:W3CDTF">2014-07-16T10:00:00Z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http://www.zotero.org/styles/proceedings-of-the-royal-society-b</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