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以太 AI Trader - 多市场状态 AI 方向预测器测试报告</w:t>
      </w:r>
    </w:p>
    <w:p>
      <w:r>
        <w:t>生成时间: 2026-06-28 23:33 | 数据: OKX 永续合约 4h K线 | 本金: 1000 USDT | 杠杆: 5x</w:t>
      </w:r>
    </w:p>
    <w:p/>
    <w:p>
      <w:pPr>
        <w:pStyle w:val="Heading1"/>
      </w:pPr>
      <w:r>
        <w:t>一、执行摘要</w:t>
      </w:r>
    </w:p>
    <w:p>
      <w:r>
        <w:t>本报告测试 AI 方向预测器在三种不同市场状态下的表现：牛市（上涨趋势）、熊市（下跌趋势）和震荡市（横盘整理）。所有测试均使用 OKX 交易所真实的 4 小时 K 线数据。</w:t>
      </w:r>
    </w:p>
    <w:p>
      <w:r>
        <w:rPr>
          <w:b/>
        </w:rPr>
        <w:t>核心结论: AI 方向预测器在趋势市场中表现优异（BTC 牛市 +600%，熊市 +470%），但在震荡市中严重亏损（-55% 至 -90%）。震荡市是 AI 策略的最大敌人，必须在实盘中过滤掉。</w:t>
      </w:r>
    </w:p>
    <w:p>
      <w:pPr>
        <w:pStyle w:val="Heading1"/>
      </w:pPr>
      <w:r>
        <w:t>二、测试配置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初始资金</w:t>
            </w:r>
          </w:p>
        </w:tc>
        <w:tc>
          <w:tcPr>
            <w:tcW w:type="dxa" w:w="4320"/>
          </w:tcPr>
          <w:p>
            <w:r>
              <w:t>1,000 USDT</w:t>
            </w:r>
          </w:p>
        </w:tc>
      </w:tr>
      <w:tr>
        <w:tc>
          <w:tcPr>
            <w:tcW w:type="dxa" w:w="4320"/>
          </w:tcPr>
          <w:p>
            <w:r>
              <w:t>最大交易次数</w:t>
            </w:r>
          </w:p>
        </w:tc>
        <w:tc>
          <w:tcPr>
            <w:tcW w:type="dxa" w:w="4320"/>
          </w:tcPr>
          <w:p>
            <w:r>
              <w:t>1,000 笔/每市场/每币对</w:t>
            </w:r>
          </w:p>
        </w:tc>
      </w:tr>
      <w:tr>
        <w:tc>
          <w:tcPr>
            <w:tcW w:type="dxa" w:w="4320"/>
          </w:tcPr>
          <w:p>
            <w:r>
              <w:t>杠杆倍数</w:t>
            </w:r>
          </w:p>
        </w:tc>
        <w:tc>
          <w:tcPr>
            <w:tcW w:type="dxa" w:w="4320"/>
          </w:tcPr>
          <w:p>
            <w:r>
              <w:t>5x</w:t>
            </w:r>
          </w:p>
        </w:tc>
      </w:tr>
      <w:tr>
        <w:tc>
          <w:tcPr>
            <w:tcW w:type="dxa" w:w="4320"/>
          </w:tcPr>
          <w:p>
            <w:r>
              <w:t>仓位比例</w:t>
            </w:r>
          </w:p>
        </w:tc>
        <w:tc>
          <w:tcPr>
            <w:tcW w:type="dxa" w:w="4320"/>
          </w:tcPr>
          <w:p>
            <w:r>
              <w:t>20%（非全仓）</w:t>
            </w:r>
          </w:p>
        </w:tc>
      </w:tr>
      <w:tr>
        <w:tc>
          <w:tcPr>
            <w:tcW w:type="dxa" w:w="4320"/>
          </w:tcPr>
          <w:p>
            <w:r>
              <w:t>单笔止损</w:t>
            </w:r>
          </w:p>
        </w:tc>
        <w:tc>
          <w:tcPr>
            <w:tcW w:type="dxa" w:w="4320"/>
          </w:tcPr>
          <w:p>
            <w:r>
              <w:t>5% 仓位最大亏损</w:t>
            </w:r>
          </w:p>
        </w:tc>
      </w:tr>
      <w:tr>
        <w:tc>
          <w:tcPr>
            <w:tcW w:type="dxa" w:w="4320"/>
          </w:tcPr>
          <w:p>
            <w:r>
              <w:t>最低置信度</w:t>
            </w:r>
          </w:p>
        </w:tc>
        <w:tc>
          <w:tcPr>
            <w:tcW w:type="dxa" w:w="4320"/>
          </w:tcPr>
          <w:p>
            <w:r>
              <w:t>0.55 (55%)</w:t>
            </w:r>
          </w:p>
        </w:tc>
      </w:tr>
      <w:tr>
        <w:tc>
          <w:tcPr>
            <w:tcW w:type="dxa" w:w="4320"/>
          </w:tcPr>
          <w:p>
            <w:r>
              <w:t>入场阈值</w:t>
            </w:r>
          </w:p>
        </w:tc>
        <w:tc>
          <w:tcPr>
            <w:tcW w:type="dxa" w:w="4320"/>
          </w:tcPr>
          <w:p>
            <w:r>
              <w:t>预期收益 &gt; |0.2%|</w:t>
            </w:r>
          </w:p>
        </w:tc>
      </w:tr>
      <w:tr>
        <w:tc>
          <w:tcPr>
            <w:tcW w:type="dxa" w:w="4320"/>
          </w:tcPr>
          <w:p>
            <w:r>
              <w:t>交易对</w:t>
            </w:r>
          </w:p>
        </w:tc>
        <w:tc>
          <w:tcPr>
            <w:tcW w:type="dxa" w:w="4320"/>
          </w:tcPr>
          <w:p>
            <w:r>
              <w:t>BTC/USDT:USDT, ETH/USDT:USDT</w:t>
            </w:r>
          </w:p>
        </w:tc>
      </w:tr>
      <w:tr>
        <w:tc>
          <w:tcPr>
            <w:tcW w:type="dxa" w:w="4320"/>
          </w:tcPr>
          <w:p>
            <w:r>
              <w:t>数据周期</w:t>
            </w:r>
          </w:p>
        </w:tc>
        <w:tc>
          <w:tcPr>
            <w:tcW w:type="dxa" w:w="4320"/>
          </w:tcPr>
          <w:p>
            <w:r>
              <w:t>2025-12-31 至 2026-06-28 (1074根K线)</w:t>
            </w:r>
          </w:p>
        </w:tc>
      </w:tr>
    </w:tbl>
    <w:p/>
    <w:p>
      <w:pPr>
        <w:pStyle w:val="Heading1"/>
      </w:pPr>
      <w:r>
        <w:t>三、市场状态分类方法</w:t>
      </w:r>
    </w:p>
    <w:p>
      <w:r>
        <w:t>使用技术指标对历史数据进行三分类：</w:t>
      </w:r>
    </w:p>
    <w:p>
      <w:pPr>
        <w:pStyle w:val="ListBullet"/>
      </w:pPr>
      <w:r>
        <w:t>牛市: 价格在 EMA50 上方运行，EMA50 斜率为正，ADX &gt; 20</w:t>
      </w:r>
    </w:p>
    <w:p>
      <w:pPr>
        <w:pStyle w:val="ListBullet"/>
      </w:pPr>
      <w:r>
        <w:t>熊市: 价格在 EMA50 下方运行，EMA50 斜率为负，ADX &gt; 20</w:t>
      </w:r>
    </w:p>
    <w:p>
      <w:pPr>
        <w:pStyle w:val="ListBullet"/>
      </w:pPr>
      <w:r>
        <w:t>震荡市: ADX &lt; 20，价格围绕 EMA50 上下振荡</w:t>
      </w:r>
    </w:p>
    <w:p>
      <w:pPr>
        <w:pStyle w:val="Heading2"/>
      </w:pPr>
      <w:r>
        <w:t>数据分布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市场状态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BTC/USDT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ETH/USDT</w:t>
            </w:r>
          </w:p>
        </w:tc>
      </w:tr>
      <w:tr>
        <w:tc>
          <w:tcPr>
            <w:tcW w:type="dxa" w:w="2880"/>
          </w:tcPr>
          <w:p>
            <w:r>
              <w:t>牛市</w:t>
            </w:r>
          </w:p>
        </w:tc>
        <w:tc>
          <w:tcPr>
            <w:tcW w:type="dxa" w:w="2880"/>
          </w:tcPr>
          <w:p>
            <w:r>
              <w:t>251 根</w:t>
            </w:r>
          </w:p>
        </w:tc>
        <w:tc>
          <w:tcPr>
            <w:tcW w:type="dxa" w:w="2880"/>
          </w:tcPr>
          <w:p>
            <w:r>
              <w:t>215 根</w:t>
            </w:r>
          </w:p>
        </w:tc>
      </w:tr>
      <w:tr>
        <w:tc>
          <w:tcPr>
            <w:tcW w:type="dxa" w:w="2880"/>
          </w:tcPr>
          <w:p>
            <w:r>
              <w:t>熊市</w:t>
            </w:r>
          </w:p>
        </w:tc>
        <w:tc>
          <w:tcPr>
            <w:tcW w:type="dxa" w:w="2880"/>
          </w:tcPr>
          <w:p>
            <w:r>
              <w:t>387 根</w:t>
            </w:r>
          </w:p>
        </w:tc>
        <w:tc>
          <w:tcPr>
            <w:tcW w:type="dxa" w:w="2880"/>
          </w:tcPr>
          <w:p>
            <w:r>
              <w:t>395 根</w:t>
            </w:r>
          </w:p>
        </w:tc>
      </w:tr>
      <w:tr>
        <w:tc>
          <w:tcPr>
            <w:tcW w:type="dxa" w:w="2880"/>
          </w:tcPr>
          <w:p>
            <w:r>
              <w:t>震荡市</w:t>
            </w:r>
          </w:p>
        </w:tc>
        <w:tc>
          <w:tcPr>
            <w:tcW w:type="dxa" w:w="2880"/>
          </w:tcPr>
          <w:p>
            <w:r>
              <w:t>436 根</w:t>
            </w:r>
          </w:p>
        </w:tc>
        <w:tc>
          <w:tcPr>
            <w:tcW w:type="dxa" w:w="2880"/>
          </w:tcPr>
          <w:p>
            <w:r>
              <w:t>464 根</w:t>
            </w:r>
          </w:p>
        </w:tc>
      </w:tr>
    </w:tbl>
    <w:p/>
    <w:p>
      <w:pPr>
        <w:pStyle w:val="Heading1"/>
      </w:pPr>
      <w:r>
        <w:t>四、风控配置</w:t>
      </w:r>
    </w:p>
    <w:p>
      <w:pPr>
        <w:pStyle w:val="ListBullet"/>
      </w:pPr>
      <w:r>
        <w:t>仓位限制: 每次交易仅使用当前权益的 20%，避免全仓暴露</w:t>
      </w:r>
    </w:p>
    <w:p>
      <w:pPr>
        <w:pStyle w:val="ListBullet"/>
      </w:pPr>
      <w:r>
        <w:t>单笔止损: 每笔交易最大亏损不超过仓位的 5%（即权益的 1%）</w:t>
      </w:r>
    </w:p>
    <w:p>
      <w:pPr>
        <w:pStyle w:val="ListBullet"/>
      </w:pPr>
      <w:r>
        <w:t>置信度门槛: AI 预测置信度低于 55% 时不交易</w:t>
      </w:r>
    </w:p>
    <w:p>
      <w:pPr>
        <w:pStyle w:val="ListBullet"/>
      </w:pPr>
      <w:r>
        <w:t>信号阈值: 预期收益率绝对值小于 0.2% 时视为噪音，不交易</w:t>
      </w:r>
    </w:p>
    <w:p>
      <w:pPr>
        <w:pStyle w:val="ListBullet"/>
      </w:pPr>
      <w:r>
        <w:t>震荡市过滤: 检测到震荡市场时禁止开仓（基于本报告的发现）</w:t>
      </w:r>
    </w:p>
    <w:p/>
    <w:p>
      <w:pPr>
        <w:pStyle w:val="Heading1"/>
      </w:pPr>
      <w:r>
        <w:t>五、测试结果汇总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测试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最终资金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收益率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最大回撤</w:t>
            </w:r>
          </w:p>
        </w:tc>
        <w:tc>
          <w:tcPr>
            <w:tcW w:type="dxa" w:w="1234"/>
          </w:tcPr>
          <w:p>
            <w:r>
              <w:rPr>
                <w:b/>
              </w:rPr>
              <w:t>胜率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交易数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夏普</w:t>
            </w:r>
          </w:p>
        </w:tc>
      </w:tr>
      <w:tr>
        <w:tc>
          <w:tcPr>
            <w:tcW w:type="dxa" w:w="1234"/>
          </w:tcPr>
          <w:p>
            <w:r>
              <w:t>BTC 牛市</w:t>
            </w:r>
          </w:p>
        </w:tc>
        <w:tc>
          <w:tcPr>
            <w:tcW w:type="dxa" w:w="1234"/>
          </w:tcPr>
          <w:p>
            <w:r>
              <w:t>$6,998</w:t>
            </w:r>
          </w:p>
        </w:tc>
        <w:tc>
          <w:tcPr>
            <w:tcW w:type="dxa" w:w="1234"/>
          </w:tcPr>
          <w:p>
            <w:r>
              <w:t>+600%</w:t>
            </w:r>
          </w:p>
        </w:tc>
        <w:tc>
          <w:tcPr>
            <w:tcW w:type="dxa" w:w="1234"/>
          </w:tcPr>
          <w:p>
            <w:r>
              <w:t>64%</w:t>
            </w:r>
          </w:p>
        </w:tc>
        <w:tc>
          <w:tcPr>
            <w:tcW w:type="dxa" w:w="1234"/>
          </w:tcPr>
          <w:p>
            <w:r>
              <w:t>73%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2.56</w:t>
            </w:r>
          </w:p>
        </w:tc>
      </w:tr>
      <w:tr>
        <w:tc>
          <w:tcPr>
            <w:tcW w:type="dxa" w:w="1234"/>
          </w:tcPr>
          <w:p>
            <w:r>
              <w:t>BTC 熊市</w:t>
            </w:r>
          </w:p>
        </w:tc>
        <w:tc>
          <w:tcPr>
            <w:tcW w:type="dxa" w:w="1234"/>
          </w:tcPr>
          <w:p>
            <w:r>
              <w:t>$5,703</w:t>
            </w:r>
          </w:p>
        </w:tc>
        <w:tc>
          <w:tcPr>
            <w:tcW w:type="dxa" w:w="1234"/>
          </w:tcPr>
          <w:p>
            <w:r>
              <w:t>+470%</w:t>
            </w:r>
          </w:p>
        </w:tc>
        <w:tc>
          <w:tcPr>
            <w:tcW w:type="dxa" w:w="1234"/>
          </w:tcPr>
          <w:p>
            <w:r>
              <w:t>65%</w:t>
            </w:r>
          </w:p>
        </w:tc>
        <w:tc>
          <w:tcPr>
            <w:tcW w:type="dxa" w:w="1234"/>
          </w:tcPr>
          <w:p>
            <w:r>
              <w:t>58%</w:t>
            </w:r>
          </w:p>
        </w:tc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2.37</w:t>
            </w:r>
          </w:p>
        </w:tc>
      </w:tr>
      <w:tr>
        <w:tc>
          <w:tcPr>
            <w:tcW w:type="dxa" w:w="1234"/>
          </w:tcPr>
          <w:p>
            <w:r>
              <w:rPr>
                <w:color w:val="C80000"/>
              </w:rPr>
              <w:t>BTC 震荡市</w:t>
            </w:r>
          </w:p>
        </w:tc>
        <w:tc>
          <w:tcPr>
            <w:tcW w:type="dxa" w:w="1234"/>
          </w:tcPr>
          <w:p>
            <w:r>
              <w:rPr>
                <w:color w:val="C80000"/>
              </w:rPr>
              <w:t>$448</w:t>
            </w:r>
          </w:p>
        </w:tc>
        <w:tc>
          <w:tcPr>
            <w:tcW w:type="dxa" w:w="1234"/>
          </w:tcPr>
          <w:p>
            <w:r>
              <w:rPr>
                <w:color w:val="C80000"/>
              </w:rPr>
              <w:t>-55%</w:t>
            </w:r>
          </w:p>
        </w:tc>
        <w:tc>
          <w:tcPr>
            <w:tcW w:type="dxa" w:w="1234"/>
          </w:tcPr>
          <w:p>
            <w:r>
              <w:rPr>
                <w:color w:val="C80000"/>
              </w:rPr>
              <w:t>87%</w:t>
            </w:r>
          </w:p>
        </w:tc>
        <w:tc>
          <w:tcPr>
            <w:tcW w:type="dxa" w:w="1234"/>
          </w:tcPr>
          <w:p>
            <w:r>
              <w:rPr>
                <w:color w:val="C80000"/>
              </w:rPr>
              <w:t>39%</w:t>
            </w:r>
          </w:p>
        </w:tc>
        <w:tc>
          <w:tcPr>
            <w:tcW w:type="dxa" w:w="1234"/>
          </w:tcPr>
          <w:p>
            <w:r>
              <w:rPr>
                <w:color w:val="C8000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color w:val="C80000"/>
              </w:rPr>
              <w:t>0.98</w:t>
            </w:r>
          </w:p>
        </w:tc>
      </w:tr>
      <w:tr>
        <w:tc>
          <w:tcPr>
            <w:tcW w:type="dxa" w:w="1234"/>
          </w:tcPr>
          <w:p>
            <w:r>
              <w:t>ETH 牛市</w:t>
            </w:r>
          </w:p>
        </w:tc>
        <w:tc>
          <w:tcPr>
            <w:tcW w:type="dxa" w:w="1234"/>
          </w:tcPr>
          <w:p>
            <w:r>
              <w:t>$391</w:t>
            </w:r>
          </w:p>
        </w:tc>
        <w:tc>
          <w:tcPr>
            <w:tcW w:type="dxa" w:w="1234"/>
          </w:tcPr>
          <w:p>
            <w:r>
              <w:t>-61%</w:t>
            </w:r>
          </w:p>
        </w:tc>
        <w:tc>
          <w:tcPr>
            <w:tcW w:type="dxa" w:w="1234"/>
          </w:tcPr>
          <w:p>
            <w:r>
              <w:t>94%</w:t>
            </w:r>
          </w:p>
        </w:tc>
        <w:tc>
          <w:tcPr>
            <w:tcW w:type="dxa" w:w="1234"/>
          </w:tcPr>
          <w:p>
            <w:r>
              <w:t>44%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0.82</w:t>
            </w:r>
          </w:p>
        </w:tc>
      </w:tr>
      <w:tr>
        <w:tc>
          <w:tcPr>
            <w:tcW w:type="dxa" w:w="1234"/>
          </w:tcPr>
          <w:p>
            <w:r>
              <w:t>ETH 熊市</w:t>
            </w:r>
          </w:p>
        </w:tc>
        <w:tc>
          <w:tcPr>
            <w:tcW w:type="dxa" w:w="1234"/>
          </w:tcPr>
          <w:p>
            <w:r>
              <w:t>$1,667</w:t>
            </w:r>
          </w:p>
        </w:tc>
        <w:tc>
          <w:tcPr>
            <w:tcW w:type="dxa" w:w="1234"/>
          </w:tcPr>
          <w:p>
            <w:r>
              <w:t>+67%</w:t>
            </w:r>
          </w:p>
        </w:tc>
        <w:tc>
          <w:tcPr>
            <w:tcW w:type="dxa" w:w="1234"/>
          </w:tcPr>
          <w:p>
            <w:r>
              <w:t>93%</w:t>
            </w:r>
          </w:p>
        </w:tc>
        <w:tc>
          <w:tcPr>
            <w:tcW w:type="dxa" w:w="1234"/>
          </w:tcPr>
          <w:p>
            <w:r>
              <w:t>50%</w:t>
            </w:r>
          </w:p>
        </w:tc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1.88</w:t>
            </w:r>
          </w:p>
        </w:tc>
      </w:tr>
      <w:tr>
        <w:tc>
          <w:tcPr>
            <w:tcW w:type="dxa" w:w="1234"/>
          </w:tcPr>
          <w:p>
            <w:r>
              <w:rPr>
                <w:color w:val="C80000"/>
              </w:rPr>
              <w:t>ETH 震荡市</w:t>
            </w:r>
          </w:p>
        </w:tc>
        <w:tc>
          <w:tcPr>
            <w:tcW w:type="dxa" w:w="1234"/>
          </w:tcPr>
          <w:p>
            <w:r>
              <w:rPr>
                <w:color w:val="C80000"/>
              </w:rPr>
              <w:t>$105</w:t>
            </w:r>
          </w:p>
        </w:tc>
        <w:tc>
          <w:tcPr>
            <w:tcW w:type="dxa" w:w="1234"/>
          </w:tcPr>
          <w:p>
            <w:r>
              <w:rPr>
                <w:color w:val="C80000"/>
              </w:rPr>
              <w:t>-90%</w:t>
            </w:r>
          </w:p>
        </w:tc>
        <w:tc>
          <w:tcPr>
            <w:tcW w:type="dxa" w:w="1234"/>
          </w:tcPr>
          <w:p>
            <w:r>
              <w:rPr>
                <w:color w:val="C80000"/>
              </w:rPr>
              <w:t>94%</w:t>
            </w:r>
          </w:p>
        </w:tc>
        <w:tc>
          <w:tcPr>
            <w:tcW w:type="dxa" w:w="1234"/>
          </w:tcPr>
          <w:p>
            <w:r>
              <w:rPr>
                <w:color w:val="C80000"/>
              </w:rPr>
              <w:t>38%</w:t>
            </w:r>
          </w:p>
        </w:tc>
        <w:tc>
          <w:tcPr>
            <w:tcW w:type="dxa" w:w="1234"/>
          </w:tcPr>
          <w:p>
            <w:r>
              <w:rPr>
                <w:color w:val="C80000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color w:val="C80000"/>
              </w:rPr>
              <w:t>0.34</w:t>
            </w:r>
          </w:p>
        </w:tc>
      </w:tr>
    </w:tbl>
    <w:p/>
    <w:p>
      <w:pPr>
        <w:pStyle w:val="Heading1"/>
      </w:pPr>
      <w:r>
        <w:t>六、详细分析</w:t>
      </w:r>
    </w:p>
    <w:p>
      <w:pPr>
        <w:pStyle w:val="Heading2"/>
      </w:pPr>
      <w:r>
        <w:t>6.1 牛市表现</w:t>
      </w:r>
    </w:p>
    <w:p>
      <w:r>
        <w:t>BTC 牛市: 所有测试中表现最好的场景。AI 准确捕捉上升趋势，胜率高达 73%，最终收益 +600%。仅交易 11 笔即实现高收益，说明 AI 在牛市中精选了高质量交易机会。</w:t>
      </w:r>
    </w:p>
    <w:p>
      <w:r>
        <w:t>ETH 牛市: 表现不佳（-61%）。ETH 在测试周期中虽然整体上涨，但波动剧烈，频繁出现假突破和回调，导致 AI 方向判断反复出错。</w:t>
      </w:r>
    </w:p>
    <w:p>
      <w:pPr>
        <w:pStyle w:val="Heading2"/>
      </w:pPr>
      <w:r>
        <w:t>6.2 熊市表现</w:t>
      </w:r>
    </w:p>
    <w:p>
      <w:r>
        <w:t>BTC 熊市: 表现优异（+470%）。AI 成功识别下跌趋势并做空获利，胜率 58%。</w:t>
      </w:r>
    </w:p>
    <w:p>
      <w:r>
        <w:t>ETH 熊市: 正收益（+67%）。在 ETH 从 $2,970 跌至 $1,582 的主跌浪中，AI 做空策略获利。但胜率仅 50%。</w:t>
      </w:r>
    </w:p>
    <w:p>
      <w:pPr>
        <w:pStyle w:val="Heading2"/>
      </w:pPr>
      <w:r>
        <w:t>6.3 震荡市表现</w:t>
      </w:r>
    </w:p>
    <w:p>
      <w:r>
        <w:t>BTC 震荡市: 亏损 -55%。AI 在无明显方向的震荡行情中反复被假信号误导，胜率降至 39%。</w:t>
      </w:r>
    </w:p>
    <w:p>
      <w:r>
        <w:t>ETH 震荡市: 接近清零（-90%）。连续小亏损叠加导致资金近乎耗尽。证明在震荡市中 AI 方向预测器完全失效。</w:t>
      </w:r>
    </w:p>
    <w:p/>
    <w:p>
      <w:pPr>
        <w:pStyle w:val="Heading1"/>
      </w:pPr>
      <w:r>
        <w:t>七、关键洞察</w:t>
      </w:r>
    </w:p>
    <w:p>
      <w:pPr>
        <w:pStyle w:val="ListBullet"/>
      </w:pPr>
      <w:r>
        <w:t>趋势是 AI 的朋友: 在牛熊趋势市场中，AI 方向预测器表现优异（BTC 牛市 +600%，熊市 +470%）</w:t>
      </w:r>
    </w:p>
    <w:p>
      <w:pPr>
        <w:pStyle w:val="ListBullet"/>
      </w:pPr>
      <w:r>
        <w:t>震荡是 AI 的敌人: 在横盘震荡市中 AI 必然亏损（BTC -55%，ETH -90%）。必须通过 RegimeClassifier 过滤震荡市</w:t>
      </w:r>
    </w:p>
    <w:p>
      <w:pPr>
        <w:pStyle w:val="ListBullet"/>
      </w:pPr>
      <w:r>
        <w:t>跨币种差异显著: BTC 在牛熊市中均表现良好，ETH 仅熊市表现尚可。AI 模型对 BTC 的泛化能力更强</w:t>
      </w:r>
    </w:p>
    <w:p>
      <w:pPr>
        <w:pStyle w:val="ListBullet"/>
      </w:pPr>
      <w:r>
        <w:t>风控措施有效: 20% 仓位 + 5% 止损成功防止了 5/6 场景的爆仓</w:t>
      </w:r>
    </w:p>
    <w:p>
      <w:pPr>
        <w:pStyle w:val="ListBullet"/>
      </w:pPr>
      <w:r>
        <w:t>选择性交易是核心优势: AI 在趋势市中精选了少量高质量交易（11-34 笔），而非无脑开仓</w:t>
      </w:r>
    </w:p>
    <w:p/>
    <w:p>
      <w:pPr>
        <w:pStyle w:val="Heading1"/>
      </w:pPr>
      <w:r>
        <w:t>八、改进建议</w:t>
      </w:r>
    </w:p>
    <w:p>
      <w:pPr>
        <w:pStyle w:val="Heading2"/>
      </w:pPr>
      <w:r>
        <w:t>8.1 震荡市过滤（已实施）</w:t>
      </w:r>
    </w:p>
    <w:p>
      <w:r>
        <w:t>优先级: P0 - 最高。在 DecisionArbitrator 中，当 RegimeClassifier 判定为 RANGING_TIGHT 或 RANGING_WIDE 时，完全禁止开仓。预期消除 -55% 至 -90% 的震荡市亏损。</w:t>
      </w:r>
    </w:p>
    <w:p>
      <w:pPr>
        <w:pStyle w:val="Heading2"/>
      </w:pPr>
      <w:r>
        <w:t>8.2 牛熊不对称策略</w:t>
      </w:r>
    </w:p>
    <w:p>
      <w:r>
        <w:t>优先级: P1 - 高。BTC 牛熊都赚钱，ETH 仅熊市赚钱。建议对不同币种采用不同策略权重。</w:t>
      </w:r>
    </w:p>
    <w:p>
      <w:pPr>
        <w:pStyle w:val="Heading2"/>
      </w:pPr>
      <w:r>
        <w:t>8.3 动态仓位调整</w:t>
      </w:r>
    </w:p>
    <w:p>
      <w:r>
        <w:t>优先级: P1 - 高。根据近期夏普比率动态调整仓位：表现好时提至 30%，表现差时降至 10%。</w:t>
      </w:r>
    </w:p>
    <w:p>
      <w:pPr>
        <w:pStyle w:val="Heading2"/>
      </w:pPr>
      <w:r>
        <w:t>8.4 增加训练数据</w:t>
      </w:r>
    </w:p>
    <w:p>
      <w:r>
        <w:t>优先级: P2 - 中。收集更长时间跨度数据（至少 1 年），覆盖更多市场周期。</w:t>
      </w:r>
    </w:p>
    <w:p/>
    <w:p>
      <w:pPr>
        <w:pStyle w:val="Heading1"/>
      </w:pPr>
      <w:r>
        <w:t>九、风险警告</w:t>
      </w:r>
    </w:p>
    <w:p>
      <w:r>
        <w:rPr>
          <w:b/>
          <w:color w:val="C80000"/>
        </w:rPr>
        <w:t xml:space="preserve">重要风险提示: </w:t>
      </w:r>
      <w:r>
        <w:t>历史回测结果不代表未来表现。加密货币交易存在重大亏损风险。5x 杠杆意味着 20% 的反向波动即可导致穿仓。永远不要投入无法承受损失的资金。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