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Noto Sans CJK SC" w:hAnsi="Noto Sans CJK SC" w:eastAsia="Noto Sans CJK SC"/>
          <w:b/>
          <w:color w:val="2F6F6D"/>
          <w:sz w:val="28"/>
        </w:rPr>
        <w:t>CLINICOS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163B3B"/>
          <w:sz w:val="56"/>
        </w:rPr>
        <w:t>ClinicOS 商业计划书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26"/>
        </w:rPr>
        <w:t>AI Revenue Decision &amp; Execution System for Clinics｜门诊AI经营决策与执行系统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7087"/>
            <w:shd w:fill="EAF3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1"/>
              </w:rPr>
              <w:t>从“管理软件”升级为“经营结果系统”</w:t>
            </w:r>
          </w:p>
        </w:tc>
      </w:tr>
      <w:tr>
        <w:tc>
          <w:tcPr>
            <w:tcW w:type="dxa" w:w="70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Recovery｜追回过去的钱  ·  Retention｜守住现在的钱  ·  Growth｜创造未来的钱</w:t>
            </w:r>
          </w:p>
        </w:tc>
      </w:tr>
      <w:tr>
        <w:tc>
          <w:tcPr>
            <w:tcW w:type="dxa" w:w="7087"/>
            <w:shd w:fill="EAF3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中国市场验证 · 新加坡/越南研发可选 · 中国境内数据与销售</w:t>
            </w:r>
          </w:p>
        </w:tc>
      </w:tr>
    </w:tbl>
    <w:p/>
    <w:p>
      <w:pPr>
        <w:spacing w:before="900"/>
        <w:jc w:val="center"/>
      </w:pPr>
      <w:r>
        <w:rPr>
          <w:rFonts w:ascii="Noto Sans CJK SC" w:hAnsi="Noto Sans CJK SC" w:eastAsia="Noto Sans CJK SC"/>
          <w:b/>
          <w:color w:val="2F6F6D"/>
          <w:sz w:val="20"/>
        </w:rPr>
        <w:t>Business Plan V1.0  ·  2026年8月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18"/>
        </w:rPr>
        <w:t>用途：内部战略、产品验证、合作与融资沟通底稿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01  </w:t>
      </w:r>
      <w:r>
        <w:rPr>
          <w:rFonts w:ascii="Noto Sans CJK SC" w:hAnsi="Noto Sans CJK SC" w:eastAsia="Noto Sans CJK SC"/>
          <w:b w:val="0"/>
          <w:color w:val="374151"/>
          <w:sz w:val="21"/>
        </w:rPr>
        <w:t>执行摘要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02  </w:t>
      </w:r>
      <w:r>
        <w:rPr>
          <w:rFonts w:ascii="Noto Sans CJK SC" w:hAnsi="Noto Sans CJK SC" w:eastAsia="Noto Sans CJK SC"/>
          <w:b w:val="0"/>
          <w:color w:val="374151"/>
          <w:sz w:val="21"/>
        </w:rPr>
        <w:t>市场痛点与机会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03  </w:t>
      </w:r>
      <w:r>
        <w:rPr>
          <w:rFonts w:ascii="Noto Sans CJK SC" w:hAnsi="Noto Sans CJK SC" w:eastAsia="Noto Sans CJK SC"/>
          <w:b w:val="0"/>
          <w:color w:val="374151"/>
          <w:sz w:val="21"/>
        </w:rPr>
        <w:t>产品与价值主张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04  </w:t>
      </w:r>
      <w:r>
        <w:rPr>
          <w:rFonts w:ascii="Noto Sans CJK SC" w:hAnsi="Noto Sans CJK SC" w:eastAsia="Noto Sans CJK SC"/>
          <w:b w:val="0"/>
          <w:color w:val="374151"/>
          <w:sz w:val="21"/>
        </w:rPr>
        <w:t>市场规模与天花板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05  </w:t>
      </w:r>
      <w:r>
        <w:rPr>
          <w:rFonts w:ascii="Noto Sans CJK SC" w:hAnsi="Noto Sans CJK SC" w:eastAsia="Noto Sans CJK SC"/>
          <w:b w:val="0"/>
          <w:color w:val="374151"/>
          <w:sz w:val="21"/>
        </w:rPr>
        <w:t>竞争格局与白区机会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06  </w:t>
      </w:r>
      <w:r>
        <w:rPr>
          <w:rFonts w:ascii="Noto Sans CJK SC" w:hAnsi="Noto Sans CJK SC" w:eastAsia="Noto Sans CJK SC"/>
          <w:b w:val="0"/>
          <w:color w:val="374151"/>
          <w:sz w:val="21"/>
        </w:rPr>
        <w:t>商业模式与定价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07  </w:t>
      </w:r>
      <w:r>
        <w:rPr>
          <w:rFonts w:ascii="Noto Sans CJK SC" w:hAnsi="Noto Sans CJK SC" w:eastAsia="Noto Sans CJK SC"/>
          <w:b w:val="0"/>
          <w:color w:val="374151"/>
          <w:sz w:val="21"/>
        </w:rPr>
        <w:t>销售与增长策略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08  </w:t>
      </w:r>
      <w:r>
        <w:rPr>
          <w:rFonts w:ascii="Noto Sans CJK SC" w:hAnsi="Noto Sans CJK SC" w:eastAsia="Noto Sans CJK SC"/>
          <w:b w:val="0"/>
          <w:color w:val="374151"/>
          <w:sz w:val="21"/>
        </w:rPr>
        <w:t>研发与跨境组织架构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09  </w:t>
      </w:r>
      <w:r>
        <w:rPr>
          <w:rFonts w:ascii="Noto Sans CJK SC" w:hAnsi="Noto Sans CJK SC" w:eastAsia="Noto Sans CJK SC"/>
          <w:b w:val="0"/>
          <w:color w:val="374151"/>
          <w:sz w:val="21"/>
        </w:rPr>
        <w:t>数据安全与合规边界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10  </w:t>
      </w:r>
      <w:r>
        <w:rPr>
          <w:rFonts w:ascii="Noto Sans CJK SC" w:hAnsi="Noto Sans CJK SC" w:eastAsia="Noto Sans CJK SC"/>
          <w:b w:val="0"/>
          <w:color w:val="374151"/>
          <w:sz w:val="21"/>
        </w:rPr>
        <w:t>数据壁垒与长期护城河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11  </w:t>
      </w:r>
      <w:r>
        <w:rPr>
          <w:rFonts w:ascii="Noto Sans CJK SC" w:hAnsi="Noto Sans CJK SC" w:eastAsia="Noto Sans CJK SC"/>
          <w:b w:val="0"/>
          <w:color w:val="374151"/>
          <w:sz w:val="21"/>
        </w:rPr>
        <w:t>三年业务模型与里程碑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12  </w:t>
      </w:r>
      <w:r>
        <w:rPr>
          <w:rFonts w:ascii="Noto Sans CJK SC" w:hAnsi="Noto Sans CJK SC" w:eastAsia="Noto Sans CJK SC"/>
          <w:b w:val="0"/>
          <w:color w:val="374151"/>
          <w:sz w:val="21"/>
        </w:rPr>
        <w:t>融资与资金使用原则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13  </w:t>
      </w:r>
      <w:r>
        <w:rPr>
          <w:rFonts w:ascii="Noto Sans CJK SC" w:hAnsi="Noto Sans CJK SC" w:eastAsia="Noto Sans CJK SC"/>
          <w:b w:val="0"/>
          <w:color w:val="374151"/>
          <w:sz w:val="21"/>
        </w:rPr>
        <w:t>核心风险与止损机制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14  </w:t>
      </w:r>
      <w:r>
        <w:rPr>
          <w:rFonts w:ascii="Noto Sans CJK SC" w:hAnsi="Noto Sans CJK SC" w:eastAsia="Noto Sans CJK SC"/>
          <w:b w:val="0"/>
          <w:color w:val="374151"/>
          <w:sz w:val="21"/>
        </w:rPr>
        <w:t>长期愿景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2F6F6D"/>
          <w:sz w:val="20"/>
        </w:rPr>
        <w:t xml:space="preserve">15  </w:t>
      </w:r>
      <w:r>
        <w:rPr>
          <w:rFonts w:ascii="Noto Sans CJK SC" w:hAnsi="Noto Sans CJK SC" w:eastAsia="Noto Sans CJK SC"/>
          <w:b w:val="0"/>
          <w:color w:val="374151"/>
          <w:sz w:val="21"/>
        </w:rPr>
        <w:t>参考资料</w:t>
      </w:r>
    </w:p>
    <w:p>
      <w:r>
        <w:br w:type="page"/>
      </w:r>
    </w:p>
    <w:p>
      <w:pPr>
        <w:pStyle w:val="Heading1"/>
      </w:pPr>
      <w:r>
        <w:t>1. 执行摘要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一句话定义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ClinicOS不是HIS、CRM或普通AI营销工具，而是位于既有系统之上的“经营决策与执行层”：发现收入漏损、定位原因、生成经营动作、推动员工执行，并用增量收入验证结果。</w:t>
            </w:r>
          </w:p>
        </w:tc>
      </w:tr>
    </w:tbl>
    <w:p>
      <w:pPr>
        <w:spacing w:after="40"/>
      </w:pPr>
    </w:p>
    <w:p>
      <w:r>
        <w:t>ClinicOS以中国中医门诊作为第一块滩头市场，先用沉睡客户激活建立可量化ROI，再依次进入诊后复诊留存和营销增长，形成“过去的钱—现在的钱—未来的钱”的闭环。三个模块是产品主干，但不是护城河；真正差异化来自归因、诊断、实验、处方、执行与学习的闭环。</w:t>
      </w:r>
    </w:p>
    <w:p>
      <w:r>
        <w:t>项目的核心策略是“先验证、后开发”：前60天尽量使用人工+数据工具模拟产品，30家真实门店完成对照实验和付费验证后，再决定是否进入SaaS重开发。研发可以放在新加坡或越南，但中国客户数据原则上采用中国境内数据面，减少跨境处理敏感信息的复杂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项目维度</w:t>
            </w:r>
          </w:p>
        </w:tc>
        <w:tc>
          <w:tcPr>
            <w:tcW w:type="dxa" w:w="6803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核心判断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首个切入市场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中国中医类门诊部/诊所，2024年官方统计为97,268家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第一价值钩子</w:t>
            </w:r>
          </w:p>
        </w:tc>
        <w:tc>
          <w:tcPr>
            <w:tcW w:type="dxa" w:w="680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Revenue Recovery：发现沉睡/流失客户并证明增量回款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完整产品主干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Recovery + Retention + Growth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真正差异化</w:t>
            </w:r>
          </w:p>
        </w:tc>
        <w:tc>
          <w:tcPr>
            <w:tcW w:type="dxa" w:w="680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Attribution + Diagnosis + Experimentation + Prescription + Execution + Learning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商业模式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订阅费为基础；未来可叠加AI使用费、企业版、多门店、交易/营销等增值收入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组织策略</w:t>
            </w:r>
          </w:p>
        </w:tc>
        <w:tc>
          <w:tcPr>
            <w:tcW w:type="dxa" w:w="6803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中国销售与数据；新加坡可做总部/IP；越南可做研发中心，按阶段搭建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当前唯一目标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用10家→30家真实机构证明增量收入、付费与续费，而不是先做完整软件</w:t>
            </w:r>
          </w:p>
        </w:tc>
      </w:tr>
    </w:tbl>
    <w:p>
      <w:pPr>
        <w:spacing w:after="20"/>
      </w:pPr>
    </w:p>
    <w:p>
      <w:pPr>
        <w:pStyle w:val="Heading1"/>
      </w:pPr>
      <w:r>
        <w:t>2. 市场痛点与机会</w:t>
      </w:r>
    </w:p>
    <w:p>
      <w:pPr>
        <w:pStyle w:val="Heading2"/>
      </w:pPr>
      <w:r>
        <w:t>2.1 门诊真正缺的不是“记录”，而是“经营动作”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历史客户沉睡，但门店不知道谁最值得追回。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初诊之后没有形成可执行的复诊链路，一边召回老客、一边产生新流失。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员工每天做回访，但缺少优先级、归因和结果核算。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营销活动能生成文案，却无法回答“为什么做、对谁做、是否真的多赚了钱”。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老板能看到报表，却很难知道收入究竟漏在哪一环、下一步应该做什么。</w:t>
      </w:r>
    </w:p>
    <w:p>
      <w:pPr>
        <w:pStyle w:val="Heading2"/>
      </w:pPr>
      <w:r>
        <w:t>2.2 关键机会：从“后台管理”上移到“经营决策层”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产品原则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既有HIS/CRM继续负责记录交易、客户、预约和病历；ClinicOS不要求客户搬家，而是在其上方做经营诊断、实验与执行。销售话术从“换掉你的系统”变成“系统不用换，我在上面帮你多赚到可验证的钱”。</w:t>
            </w:r>
          </w:p>
        </w:tc>
      </w:tr>
    </w:tbl>
    <w:p>
      <w:pPr>
        <w:spacing w:after="40"/>
      </w:pPr>
    </w:p>
    <w:p>
      <w:pPr>
        <w:pStyle w:val="Heading1"/>
      </w:pPr>
      <w:r>
        <w:t>3. 产品与价值主张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引擎</w:t>
            </w:r>
          </w:p>
        </w:tc>
        <w:tc>
          <w:tcPr>
            <w:tcW w:type="dxa" w:w="340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340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核心输出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Revenue Recovery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过去漏掉的钱如何追回？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沉睡识别、优先级、触达任务、增量回款</w:t>
            </w:r>
          </w:p>
        </w:tc>
      </w:tr>
      <w:tr>
        <w:tc>
          <w:tcPr>
            <w:tcW w:type="dxa" w:w="232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Retention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今天来的客户如何不变成明天的沉睡客户？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复诊过程漏斗、异常节点、诊后任务、调整后留存率</w:t>
            </w:r>
          </w:p>
        </w:tc>
      </w:tr>
      <w:tr>
        <w:tc>
          <w:tcPr>
            <w:tcW w:type="dxa" w:w="23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Growth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未来收入如何持续创造？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日常轻运营、节点活动、分群、执行、增量营销收入</w:t>
            </w:r>
          </w:p>
        </w:tc>
      </w:tr>
    </w:tbl>
    <w:p>
      <w:pPr>
        <w:spacing w:after="20"/>
      </w:pPr>
    </w:p>
    <w:p>
      <w:pPr>
        <w:pStyle w:val="Heading2"/>
      </w:pPr>
      <w:r>
        <w:t>3.1 六个底层能力</w:t>
      </w:r>
    </w:p>
    <w:p>
      <w:pPr>
        <w:ind w:left="170" w:hanging="170"/>
      </w:pPr>
      <w:r>
        <w:rPr>
          <w:rFonts w:ascii="Noto Sans CJK SC" w:hAnsi="Noto Sans CJK SC" w:eastAsia="Noto Sans CJK SC"/>
          <w:b/>
          <w:color w:val="2F6F6D"/>
          <w:sz w:val="21"/>
        </w:rPr>
        <w:t xml:space="preserve">Attribution </w:t>
      </w:r>
      <w:r>
        <w:rPr>
          <w:rFonts w:ascii="Noto Sans CJK SC" w:hAnsi="Noto Sans CJK SC" w:eastAsia="Noto Sans CJK SC"/>
          <w:b w:val="0"/>
          <w:color w:val="374151"/>
          <w:sz w:val="21"/>
        </w:rPr>
        <w:t>用对照组/自然回流校正，计算真正的增量收入，而不是把所有回款归功于系统。</w:t>
      </w:r>
    </w:p>
    <w:p>
      <w:pPr>
        <w:ind w:left="170" w:hanging="170"/>
      </w:pPr>
      <w:r>
        <w:rPr>
          <w:rFonts w:ascii="Noto Sans CJK SC" w:hAnsi="Noto Sans CJK SC" w:eastAsia="Noto Sans CJK SC"/>
          <w:b/>
          <w:color w:val="2F6F6D"/>
          <w:sz w:val="21"/>
        </w:rPr>
        <w:t xml:space="preserve">Diagnosis </w:t>
      </w:r>
      <w:r>
        <w:rPr>
          <w:rFonts w:ascii="Noto Sans CJK SC" w:hAnsi="Noto Sans CJK SC" w:eastAsia="Noto Sans CJK SC"/>
          <w:b w:val="0"/>
          <w:color w:val="374151"/>
          <w:sz w:val="21"/>
        </w:rPr>
        <w:t>把复诊、预约、疗程、激活等拆成过程漏斗，定位收入漏损发生在哪一节点。</w:t>
      </w:r>
    </w:p>
    <w:p>
      <w:pPr>
        <w:ind w:left="170" w:hanging="170"/>
      </w:pPr>
      <w:r>
        <w:rPr>
          <w:rFonts w:ascii="Noto Sans CJK SC" w:hAnsi="Noto Sans CJK SC" w:eastAsia="Noto Sans CJK SC"/>
          <w:b/>
          <w:color w:val="2F6F6D"/>
          <w:sz w:val="21"/>
        </w:rPr>
        <w:t xml:space="preserve">Experimentation </w:t>
      </w:r>
      <w:r>
        <w:rPr>
          <w:rFonts w:ascii="Noto Sans CJK SC" w:hAnsi="Noto Sans CJK SC" w:eastAsia="Noto Sans CJK SC"/>
          <w:b w:val="0"/>
          <w:color w:val="374151"/>
          <w:sz w:val="21"/>
        </w:rPr>
        <w:t>对话术、触达时间、渠道、员工动作、预约机制等做A/B或holdout实验。</w:t>
      </w:r>
    </w:p>
    <w:p>
      <w:pPr>
        <w:ind w:left="170" w:hanging="170"/>
      </w:pPr>
      <w:r>
        <w:rPr>
          <w:rFonts w:ascii="Noto Sans CJK SC" w:hAnsi="Noto Sans CJK SC" w:eastAsia="Noto Sans CJK SC"/>
          <w:b/>
          <w:color w:val="2F6F6D"/>
          <w:sz w:val="21"/>
        </w:rPr>
        <w:t xml:space="preserve">Prescription </w:t>
      </w:r>
      <w:r>
        <w:rPr>
          <w:rFonts w:ascii="Noto Sans CJK SC" w:hAnsi="Noto Sans CJK SC" w:eastAsia="Noto Sans CJK SC"/>
          <w:b w:val="0"/>
          <w:color w:val="374151"/>
          <w:sz w:val="21"/>
        </w:rPr>
        <w:t>不只报异常，而是给出下一步可执行动作，并说明原因与预期。</w:t>
      </w:r>
    </w:p>
    <w:p>
      <w:pPr>
        <w:ind w:left="170" w:hanging="170"/>
      </w:pPr>
      <w:r>
        <w:rPr>
          <w:rFonts w:ascii="Noto Sans CJK SC" w:hAnsi="Noto Sans CJK SC" w:eastAsia="Noto Sans CJK SC"/>
          <w:b/>
          <w:color w:val="2F6F6D"/>
          <w:sz w:val="21"/>
        </w:rPr>
        <w:t xml:space="preserve">Execution </w:t>
      </w:r>
      <w:r>
        <w:rPr>
          <w:rFonts w:ascii="Noto Sans CJK SC" w:hAnsi="Noto Sans CJK SC" w:eastAsia="Noto Sans CJK SC"/>
          <w:b w:val="0"/>
          <w:color w:val="374151"/>
          <w:sz w:val="21"/>
        </w:rPr>
        <w:t>把动作分配给具体员工、时间和客户，追踪完成与下一步状态。</w:t>
      </w:r>
    </w:p>
    <w:p>
      <w:pPr>
        <w:ind w:left="170" w:hanging="170"/>
      </w:pPr>
      <w:r>
        <w:rPr>
          <w:rFonts w:ascii="Noto Sans CJK SC" w:hAnsi="Noto Sans CJK SC" w:eastAsia="Noto Sans CJK SC"/>
          <w:b/>
          <w:color w:val="2F6F6D"/>
          <w:sz w:val="21"/>
        </w:rPr>
        <w:t xml:space="preserve">Learning </w:t>
      </w:r>
      <w:r>
        <w:rPr>
          <w:rFonts w:ascii="Noto Sans CJK SC" w:hAnsi="Noto Sans CJK SC" w:eastAsia="Noto Sans CJK SC"/>
          <w:b w:val="0"/>
          <w:color w:val="374151"/>
          <w:sz w:val="21"/>
        </w:rPr>
        <w:t>将Action→Outcome持续沉淀为行业经营知识库和机构级决策模型。</w:t>
      </w:r>
    </w:p>
    <w:p>
      <w:pPr>
        <w:pStyle w:val="Heading2"/>
      </w:pPr>
      <w:r>
        <w:t>3.2 老板端核心价值表达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06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过去的钱</w:t>
            </w:r>
          </w:p>
        </w:tc>
        <w:tc>
          <w:tcPr>
            <w:tcW w:type="dxa" w:w="306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现在的钱</w:t>
            </w:r>
          </w:p>
        </w:tc>
        <w:tc>
          <w:tcPr>
            <w:tcW w:type="dxa" w:w="306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未来的钱</w:t>
            </w:r>
          </w:p>
        </w:tc>
      </w:tr>
      <w:tr>
        <w:tc>
          <w:tcPr>
            <w:tcW w:type="dxa" w:w="306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20"/>
              </w:rPr>
              <w:t>可追回收入 ¥86,300</w:t>
              <w:br/>
              <w:t>本月增量追回 ¥23,600</w:t>
            </w:r>
          </w:p>
        </w:tc>
        <w:tc>
          <w:tcPr>
            <w:tcW w:type="dxa" w:w="306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20"/>
              </w:rPr>
              <w:t>今日应复诊37人</w:t>
              <w:br/>
              <w:t>超期复诊12人</w:t>
              <w:br/>
              <w:t>调整后复诊率43%</w:t>
            </w:r>
          </w:p>
        </w:tc>
        <w:tc>
          <w:tcPr>
            <w:tcW w:type="dxa" w:w="306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20"/>
              </w:rPr>
              <w:t>本月Growth执行率72%</w:t>
              <w:br/>
              <w:t>预计增量收入¥31,000</w:t>
            </w:r>
          </w:p>
        </w:tc>
      </w:tr>
    </w:tbl>
    <w:p>
      <w:pPr>
        <w:spacing w:after="20"/>
      </w:pPr>
    </w:p>
    <w:p>
      <w:pPr>
        <w:pStyle w:val="Heading1"/>
      </w:pPr>
      <w:r>
        <w:t>4. 市场规模与天花板</w:t>
      </w:r>
    </w:p>
    <w:p>
      <w:r>
        <w:t>国家卫生健康委《2024年我国卫生健康事业发展统计公报》显示：2024年中国中医类门诊部4,456家、中医类诊所92,812家，合计97,268家；全国诊所（医务室、护理站）351,736家，另有民营医院26,956家。中医类门诊部及诊所全年诊疗约3.1亿人次。以下TAM为内部情景测算，不代表实际可实现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市场层级</w:t>
            </w:r>
          </w:p>
        </w:tc>
        <w:tc>
          <w:tcPr>
            <w:tcW w:type="dxa" w:w="181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机构基数</w:t>
            </w:r>
          </w:p>
        </w:tc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假设年ARPU</w:t>
            </w:r>
          </w:p>
        </w:tc>
        <w:tc>
          <w:tcPr>
            <w:tcW w:type="dxa" w:w="181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理论TAM</w:t>
            </w:r>
          </w:p>
        </w:tc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战略含义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L1 中医门诊部/诊所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97,268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¥6,000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约5.8亿元/年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低价管理软件上限较低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L1 中医门诊部/诊所</w:t>
            </w:r>
          </w:p>
        </w:tc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97,268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¥24,000</w:t>
            </w:r>
          </w:p>
        </w:tc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约23.3亿元/年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必须靠经营ROI支撑高ARPU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L1 中医门诊部/诊所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97,268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¥36,000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约35.0亿元/年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优秀垂直OS可形成较大公司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L2 全部诊所/医务室/护理站</w:t>
            </w:r>
          </w:p>
        </w:tc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351,736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¥12,000</w:t>
            </w:r>
          </w:p>
        </w:tc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约42.2亿元/年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进入消费医疗/私营门诊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L2 全部诊所/医务室/护理站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351,736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¥24,000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约84.4亿元/年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具备大型垂直软件潜力</w:t>
            </w:r>
          </w:p>
        </w:tc>
      </w:tr>
      <w:tr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L2 全部诊所/医务室/护理站</w:t>
            </w:r>
          </w:p>
        </w:tc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351,736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¥36,000</w:t>
            </w:r>
          </w:p>
        </w:tc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约126.6亿元/年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中国门诊经营OS级别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L3 Operating Infrastructure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不再仅按席位/门店计费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SaaS+AI+交易/服务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数百亿级收入池需另行验证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平台化才真正打开更高天花板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天花板判断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如果只做“中医馆CRM”，天花板有限；如果成为中医经营OS，可成为优质垂直SaaS；如果进入中国消费医疗/门诊经营OS，市场进入百亿元级理论年软件池；真正更高上限来自AI Agent、支付/交易、营销与数据网络效应，但这些都必须在PMF之后再扩展。</w:t>
            </w:r>
          </w:p>
        </w:tc>
      </w:tr>
    </w:tbl>
    <w:p>
      <w:pPr>
        <w:spacing w:after="40"/>
      </w:pPr>
    </w:p>
    <w:p>
      <w:pPr>
        <w:pStyle w:val="Heading1"/>
      </w:pPr>
      <w:r>
        <w:t>5. 竞争格局与白区机会</w:t>
      </w:r>
    </w:p>
    <w:p>
      <w:r>
        <w:t>当前模式并非无人验证。Zenoti已经在美业/医美/健康服务中推出面向收入漏损的AI Workforce；领健在口腔领域覆盖CRM、复诊、长期未到诊召回、SOP、BI、供应链；有赞提供沉睡客户筛选、企微/微信/短信触达、导购任务与复购SOP；睿美云在医美领域形成CRM+ERP+HIS+AI运营一体化。由此可见，Recovery/Retention/Growth是“必备产品主干”，但本身不构成壁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5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竞品/类型</w:t>
            </w:r>
          </w:p>
        </w:tc>
        <w:tc>
          <w:tcPr>
            <w:tcW w:type="dxa" w:w="243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已经很强的部分</w:t>
            </w:r>
          </w:p>
        </w:tc>
        <w:tc>
          <w:tcPr>
            <w:tcW w:type="dxa" w:w="255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ClinicOS应避开的正面战争</w:t>
            </w:r>
          </w:p>
        </w:tc>
        <w:tc>
          <w:tcPr>
            <w:tcW w:type="dxa" w:w="266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可重点验证的白区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Zenoti</w:t>
            </w:r>
          </w:p>
        </w:tc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AI Agents、Revenue Leaks、Benchmark、全平台</w:t>
            </w:r>
          </w:p>
        </w:tc>
        <w:tc>
          <w:tcPr>
            <w:tcW w:type="dxa" w:w="255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不要把“AI召回+营销”当创新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中国门诊本地化、增量归因、实验OS</w:t>
            </w:r>
          </w:p>
        </w:tc>
      </w:tr>
      <w:tr>
        <w:tc>
          <w:tcPr>
            <w:tcW w:type="dxa" w:w="175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领健 e看牙</w:t>
            </w:r>
          </w:p>
        </w:tc>
        <w:tc>
          <w:tcPr>
            <w:tcW w:type="dxa" w:w="243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口腔CRM、长期召回、复诊、SOP、BI、供应链</w:t>
            </w:r>
          </w:p>
        </w:tc>
        <w:tc>
          <w:tcPr>
            <w:tcW w:type="dxa" w:w="255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不要拼大而全HIS/口腔生态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跨HIS经营决策层、可解释增量ROI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有赞</w:t>
            </w:r>
          </w:p>
        </w:tc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会员分层、沉睡激活、企微、营销自动化</w:t>
            </w:r>
          </w:p>
        </w:tc>
        <w:tc>
          <w:tcPr>
            <w:tcW w:type="dxa" w:w="255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不要拼私域/群发/会员系统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诊疗过程漏斗+经营诊断+实验</w:t>
            </w:r>
          </w:p>
        </w:tc>
      </w:tr>
      <w:tr>
        <w:tc>
          <w:tcPr>
            <w:tcW w:type="dxa" w:w="175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睿美云</w:t>
            </w:r>
          </w:p>
        </w:tc>
        <w:tc>
          <w:tcPr>
            <w:tcW w:type="dxa" w:w="243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医美一体化、AI客户助理、外呼、CRM/HIS</w:t>
            </w:r>
          </w:p>
        </w:tc>
        <w:tc>
          <w:tcPr>
            <w:tcW w:type="dxa" w:w="255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不要拼医美全栈</w:t>
            </w:r>
          </w:p>
        </w:tc>
        <w:tc>
          <w:tcPr>
            <w:tcW w:type="dxa" w:w="266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中医/门诊白区、跨系统归因与决策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ClinicOS</w:t>
            </w:r>
          </w:p>
        </w:tc>
        <w:tc>
          <w:tcPr>
            <w:tcW w:type="dxa" w:w="243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55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—</w:t>
            </w:r>
          </w:p>
        </w:tc>
        <w:tc>
          <w:tcPr>
            <w:tcW w:type="dxa" w:w="266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Attribution→Diagnosis→Prescription→Experiment→Execution→Learning</w:t>
            </w:r>
          </w:p>
        </w:tc>
      </w:tr>
    </w:tbl>
    <w:p>
      <w:pPr>
        <w:spacing w:after="20"/>
      </w:pPr>
    </w:p>
    <w:p>
      <w:pPr>
        <w:pStyle w:val="Heading2"/>
      </w:pPr>
      <w:r>
        <w:t>5.1 核心差异化假设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白区假设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ClinicOS不靠“功能数量”赢，而靠把经营问题转化为可验证实验：发现异常→定位节点→推荐动作→设置对照→执行→计算增量贡献→自动学习。真正要验证的是：中国门诊是否愿意为这一“经营决策层”持续付费。</w:t>
            </w:r>
          </w:p>
        </w:tc>
      </w:tr>
    </w:tbl>
    <w:p>
      <w:pPr>
        <w:spacing w:after="40"/>
      </w:pPr>
    </w:p>
    <w:p>
      <w:pPr>
        <w:pStyle w:val="Heading1"/>
      </w:pPr>
      <w:r>
        <w:t>6. 商业模式与定价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26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</w:t>
            </w:r>
          </w:p>
        </w:tc>
        <w:tc>
          <w:tcPr>
            <w:tcW w:type="dxa" w:w="340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38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价格建议/说明</w:t>
            </w:r>
          </w:p>
        </w:tc>
      </w:tr>
      <w:tr>
        <w:tc>
          <w:tcPr>
            <w:tcW w:type="dxa" w:w="136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Lead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299经营百科/诊断内容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低成本获客、收集问题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¥299，一次性</w:t>
            </w:r>
          </w:p>
        </w:tc>
      </w:tr>
      <w:tr>
        <w:tc>
          <w:tcPr>
            <w:tcW w:type="dxa" w:w="136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Service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Human-powered ClinicOS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人工跑Recovery/Retention/Growth，验证SOP</w:t>
            </w:r>
          </w:p>
        </w:tc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¥3,980起，按服务范围调整</w:t>
            </w:r>
          </w:p>
        </w:tc>
      </w:tr>
      <w:tr>
        <w:tc>
          <w:tcPr>
            <w:tcW w:type="dxa" w:w="136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Starter SaaS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Recovery+轻量Retention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小型单店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建议¥980/月起，验证后定价</w:t>
            </w:r>
          </w:p>
        </w:tc>
      </w:tr>
      <w:tr>
        <w:tc>
          <w:tcPr>
            <w:tcW w:type="dxa" w:w="136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Professional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三大Engine+员工/医生经营漏斗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成熟单店/中型机构</w:t>
            </w:r>
          </w:p>
        </w:tc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建议¥1,980/月起，验证后定价</w:t>
            </w:r>
          </w:p>
        </w:tc>
      </w:tr>
      <w:tr>
        <w:tc>
          <w:tcPr>
            <w:tcW w:type="dxa" w:w="136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Enterprise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多门店+总部驾驶舱+API+Benchmark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连锁机构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定制报价</w:t>
            </w:r>
          </w:p>
        </w:tc>
      </w:tr>
      <w:tr>
        <w:tc>
          <w:tcPr>
            <w:tcW w:type="dxa" w:w="136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长期增值</w:t>
            </w:r>
          </w:p>
        </w:tc>
        <w:tc>
          <w:tcPr>
            <w:tcW w:type="dxa" w:w="226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AI调用、营销、支付/交易、供应链等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扩大ARPU与平台价值</w:t>
            </w:r>
          </w:p>
        </w:tc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PMF后依法合规逐步探索</w:t>
            </w:r>
          </w:p>
        </w:tc>
      </w:tr>
    </w:tbl>
    <w:p>
      <w:pPr>
        <w:spacing w:after="20"/>
      </w:pPr>
    </w:p>
    <w:p>
      <w:pPr>
        <w:pStyle w:val="Heading2"/>
      </w:pPr>
      <w:r>
        <w:t>6.1 对外价值口径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定价不是按“功能数”，而是按“可验证价值”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Gross Recovered Revenue只作为过程指标；对外逐步使用Incremental Revenue / Incremental Contribution Margin。客户真正愿意持续付费的前提，是ClinicOS能证明“这些收入本来不会自然发生”。</w:t>
            </w:r>
          </w:p>
        </w:tc>
      </w:tr>
    </w:tbl>
    <w:p>
      <w:pPr>
        <w:spacing w:after="40"/>
      </w:pPr>
    </w:p>
    <w:p>
      <w:pPr>
        <w:pStyle w:val="Heading1"/>
      </w:pPr>
      <w:r>
        <w:t>7. 销售与增长策略</w:t>
      </w:r>
    </w:p>
    <w:p>
      <w:r>
        <w:t>早期不依赖大规模地推销售，建立“内容→低价产品→人工经营诊断→SaaS”的信任型漏斗。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2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客户动作</w:t>
            </w:r>
          </w:p>
        </w:tc>
        <w:tc>
          <w:tcPr>
            <w:tcW w:type="dxa" w:w="340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ClinicOS动作</w:t>
            </w:r>
          </w:p>
        </w:tc>
        <w:tc>
          <w:tcPr>
            <w:tcW w:type="dxa" w:w="209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关键指标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内容获客</w:t>
            </w:r>
          </w:p>
        </w:tc>
        <w:tc>
          <w:tcPr>
            <w:tcW w:type="dxa" w:w="23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看到经营问题内容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输出复诊、老客、营销、经营漏损案例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有效线索成本</w:t>
            </w:r>
          </w:p>
        </w:tc>
      </w:tr>
      <w:tr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¥299入口</w:t>
            </w:r>
          </w:p>
        </w:tc>
        <w:tc>
          <w:tcPr>
            <w:tcW w:type="dxa" w:w="232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购买经营百科/工具包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收集门店规模与痛点</w:t>
            </w:r>
          </w:p>
        </w:tc>
        <w:tc>
          <w:tcPr>
            <w:tcW w:type="dxa" w:w="209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付费线索率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¥3,980陪跑</w:t>
            </w:r>
          </w:p>
        </w:tc>
        <w:tc>
          <w:tcPr>
            <w:tcW w:type="dxa" w:w="23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提交脱敏数据并执行SOP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人工跑三大Engine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增量ROI、执行率</w:t>
            </w:r>
          </w:p>
        </w:tc>
      </w:tr>
      <w:tr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SaaS转化</w:t>
            </w:r>
          </w:p>
        </w:tc>
        <w:tc>
          <w:tcPr>
            <w:tcW w:type="dxa" w:w="232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持续使用系统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自动化任务与归因</w:t>
            </w:r>
          </w:p>
        </w:tc>
        <w:tc>
          <w:tcPr>
            <w:tcW w:type="dxa" w:w="209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付费转化率、续费率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连锁扩张</w:t>
            </w:r>
          </w:p>
        </w:tc>
        <w:tc>
          <w:tcPr>
            <w:tcW w:type="dxa" w:w="232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总部统一使用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多门店Benchmark与总部驾驶舱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NRR、门店扩张率</w:t>
            </w:r>
          </w:p>
        </w:tc>
      </w:tr>
    </w:tbl>
    <w:p>
      <w:pPr>
        <w:spacing w:after="20"/>
      </w:pPr>
    </w:p>
    <w:p>
      <w:pPr>
        <w:pStyle w:val="Heading1"/>
      </w:pPr>
      <w:r>
        <w:t>8. 研发与跨境组织架构</w:t>
      </w:r>
    </w:p>
    <w:p>
      <w:pPr>
        <w:pStyle w:val="Heading2"/>
      </w:pPr>
      <w:r>
        <w:t>8.1 原则：研发所在地与数据所在地分开设计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实体/能力</w:t>
            </w:r>
          </w:p>
        </w:tc>
        <w:tc>
          <w:tcPr>
            <w:tcW w:type="dxa" w:w="340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建议角色</w:t>
            </w:r>
          </w:p>
        </w:tc>
        <w:tc>
          <w:tcPr>
            <w:tcW w:type="dxa" w:w="357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关键边界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Singapore HoldCo（PMF后可选）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IP、品牌、国际融资、海外合同</w:t>
            </w:r>
          </w:p>
        </w:tc>
        <w:tc>
          <w:tcPr>
            <w:tcW w:type="dxa" w:w="357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不要在0→1阶段为了“国际化”过度搭架构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Vietnam R&amp;D（可选）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工程研发、测试、部分AI工程</w:t>
            </w:r>
          </w:p>
        </w:tc>
        <w:tc>
          <w:tcPr>
            <w:tcW w:type="dxa" w:w="357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默认使用模拟/脱敏数据，不直接访问真实中国患者敏感数据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China OpCo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中国销售、合同、发票、客户成功、本地部署</w:t>
            </w:r>
          </w:p>
        </w:tc>
        <w:tc>
          <w:tcPr>
            <w:tcW w:type="dxa" w:w="357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中国客户数据和主要处理链路优先留在境内</w:t>
            </w:r>
          </w:p>
        </w:tc>
      </w:tr>
      <w:tr>
        <w:tc>
          <w:tcPr>
            <w:tcW w:type="dxa" w:w="238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China Data Plane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客户、交易、触达、必要经营数据</w:t>
            </w:r>
          </w:p>
        </w:tc>
        <w:tc>
          <w:tcPr>
            <w:tcW w:type="dxa" w:w="357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访问控制、审计、最小化、脱敏；敏感医疗信息尤其谨慎</w:t>
            </w:r>
          </w:p>
        </w:tc>
      </w:tr>
    </w:tbl>
    <w:p>
      <w:pPr>
        <w:spacing w:after="20"/>
      </w:pPr>
    </w:p>
    <w:p>
      <w:pPr>
        <w:pStyle w:val="Heading2"/>
      </w:pPr>
      <w:r>
        <w:t>8.2 推荐节奏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0→30家：先用最简主体和研发团队验证PMF，不为组织架构增加无谓成本。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30→100家：完善中国数据面、安全、合同与客户成功；确定长期技术栈。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 w:val="0"/>
          <w:color w:val="374151"/>
          <w:sz w:val="21"/>
        </w:rPr>
        <w:t>100家以上：如融资和国际化成立，再考虑Singapore HQ/IP + Vietnam R&amp;D + China OpCo的分层结构。</w:t>
      </w:r>
    </w:p>
    <w:p>
      <w:pPr>
        <w:pStyle w:val="Heading1"/>
      </w:pPr>
      <w:r>
        <w:t>9. 数据安全与合规边界</w:t>
      </w:r>
    </w:p>
    <w:p>
      <w:r>
        <w:t>中国《个人信息保护法》将医疗健康信息列为敏感个人信息，并对敏感个人信息处理、单独同意等提出更严格要求。ClinicOS第一阶段应采用“数据最小化”原则，优先处理经营所必需的客户ID、到店、消费、预约、跟进和项目大类信息；详细诊断、处方、完整病历等不纳入MVP默认数据范围。跨境访问或传输真实中国患者数据前，必须由中国法律与数据合规专业团队进行专项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25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落地方式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最小化</w:t>
            </w:r>
          </w:p>
        </w:tc>
        <w:tc>
          <w:tcPr>
            <w:tcW w:type="dxa" w:w="72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只收集完成经营分析所需字段，不“顺手”复制完整HIS</w:t>
            </w:r>
          </w:p>
        </w:tc>
      </w:tr>
      <w:tr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中国数据面</w:t>
            </w:r>
          </w:p>
        </w:tc>
        <w:tc>
          <w:tcPr>
            <w:tcW w:type="dxa" w:w="725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中国客户生产数据原则上优先境内存储与处理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权限隔离</w:t>
            </w:r>
          </w:p>
        </w:tc>
        <w:tc>
          <w:tcPr>
            <w:tcW w:type="dxa" w:w="72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境外研发默认看不到真实可识别患者数据</w:t>
            </w:r>
          </w:p>
        </w:tc>
      </w:tr>
      <w:tr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授权与免打扰</w:t>
            </w:r>
          </w:p>
        </w:tc>
        <w:tc>
          <w:tcPr>
            <w:tcW w:type="dxa" w:w="725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记录consent/do-not-contact/退订/投诉状态并跨模块生效</w:t>
            </w:r>
          </w:p>
        </w:tc>
      </w:tr>
      <w:tr>
        <w:tc>
          <w:tcPr>
            <w:tcW w:type="dxa" w:w="198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合规防护</w:t>
            </w:r>
          </w:p>
        </w:tc>
        <w:tc>
          <w:tcPr>
            <w:tcW w:type="dxa" w:w="725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营销内容做风险提示、规则扫描、人工审批与留痕，不承诺“系统审核=绝对合法”</w:t>
            </w:r>
          </w:p>
        </w:tc>
      </w:tr>
      <w:tr>
        <w:tc>
          <w:tcPr>
            <w:tcW w:type="dxa" w:w="198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法律复核</w:t>
            </w:r>
          </w:p>
        </w:tc>
        <w:tc>
          <w:tcPr>
            <w:tcW w:type="dxa" w:w="725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正式商用前由中国律师/安全团队审查数据、广告、触达、合同与跨境安排</w:t>
            </w:r>
          </w:p>
        </w:tc>
      </w:tr>
    </w:tbl>
    <w:p>
      <w:pPr>
        <w:spacing w:after="20"/>
      </w:pPr>
    </w:p>
    <w:p>
      <w:pPr>
        <w:pStyle w:val="Heading1"/>
      </w:pPr>
      <w:r>
        <w:t>10. 数据壁垒与长期护城河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3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9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数据资产</w:t>
            </w:r>
          </w:p>
        </w:tc>
        <w:tc>
          <w:tcPr>
            <w:tcW w:type="dxa" w:w="476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30家</w:t>
            </w:r>
          </w:p>
        </w:tc>
        <w:tc>
          <w:tcPr>
            <w:tcW w:type="dxa" w:w="28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实验级数据</w:t>
            </w:r>
          </w:p>
        </w:tc>
        <w:tc>
          <w:tcPr>
            <w:tcW w:type="dxa" w:w="476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验证哪些问题/动作值得产品化</w:t>
            </w:r>
          </w:p>
        </w:tc>
      </w:tr>
      <w:tr>
        <w:tc>
          <w:tcPr>
            <w:tcW w:type="dxa" w:w="153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100家</w:t>
            </w:r>
          </w:p>
        </w:tc>
        <w:tc>
          <w:tcPr>
            <w:tcW w:type="dxa" w:w="28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初步Benchmark</w:t>
            </w:r>
          </w:p>
        </w:tc>
        <w:tc>
          <w:tcPr>
            <w:tcW w:type="dxa" w:w="476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形成同类门店经营分位值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1,000家</w:t>
            </w:r>
          </w:p>
        </w:tc>
        <w:tc>
          <w:tcPr>
            <w:tcW w:type="dxa" w:w="28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细分Benchmark</w:t>
            </w:r>
          </w:p>
        </w:tc>
        <w:tc>
          <w:tcPr>
            <w:tcW w:type="dxa" w:w="476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按区域、价格带、规模、项目结构比较</w:t>
            </w:r>
          </w:p>
        </w:tc>
      </w:tr>
      <w:tr>
        <w:tc>
          <w:tcPr>
            <w:tcW w:type="dxa" w:w="153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规模化</w:t>
            </w:r>
          </w:p>
        </w:tc>
        <w:tc>
          <w:tcPr>
            <w:tcW w:type="dxa" w:w="289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Action→Outcome数据库</w:t>
            </w:r>
          </w:p>
        </w:tc>
        <w:tc>
          <w:tcPr>
            <w:tcW w:type="dxa" w:w="476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知道“什么机构、什么客户、什么时候、做什么动作更有效”</w:t>
            </w:r>
          </w:p>
        </w:tc>
      </w:tr>
      <w:tr>
        <w:tc>
          <w:tcPr>
            <w:tcW w:type="dxa" w:w="153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长期</w:t>
            </w:r>
          </w:p>
        </w:tc>
        <w:tc>
          <w:tcPr>
            <w:tcW w:type="dxa" w:w="289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Healthcare Operations Graph</w:t>
            </w:r>
          </w:p>
        </w:tc>
        <w:tc>
          <w:tcPr>
            <w:tcW w:type="dxa" w:w="476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把客户、机构、医生、员工、渠道、动作、时间与收入结果连接起来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真正的护城河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不是大模型本身，也不是“老客激活”功能，而是持续积累的实验数据、行业Benchmark、经营因果关系、工作流嵌入和客户迁移成本。</w:t>
            </w:r>
          </w:p>
        </w:tc>
      </w:tr>
    </w:tbl>
    <w:p>
      <w:pPr>
        <w:spacing w:after="40"/>
      </w:pPr>
    </w:p>
    <w:p>
      <w:pPr>
        <w:pStyle w:val="Heading1"/>
      </w:pPr>
      <w:r>
        <w:t>11. 三年业务模型与里程碑</w:t>
      </w:r>
    </w:p>
    <w:p>
      <w:r>
        <w:t>下表是内部目标情景，不是财务预测。真实节奏必须由30家/100家验证结果决定。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付费机构目标</w:t>
            </w:r>
          </w:p>
        </w:tc>
        <w:tc>
          <w:tcPr>
            <w:tcW w:type="dxa" w:w="209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年均软件ARPU假设</w:t>
            </w:r>
          </w:p>
        </w:tc>
        <w:tc>
          <w:tcPr>
            <w:tcW w:type="dxa" w:w="1814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软件ARR情景</w:t>
            </w:r>
          </w:p>
        </w:tc>
        <w:tc>
          <w:tcPr>
            <w:tcW w:type="dxa" w:w="283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战略目标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Year 1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100家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¥18,000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约¥180万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PMF、续费、SOP产品化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Year 2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1,000家</w:t>
            </w:r>
          </w:p>
        </w:tc>
        <w:tc>
          <w:tcPr>
            <w:tcW w:type="dxa" w:w="209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¥21,600</w:t>
            </w:r>
          </w:p>
        </w:tc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约¥2,160万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标准销售、客户成功、Benchmark雏形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Year 3 Base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3,000家</w:t>
            </w:r>
          </w:p>
        </w:tc>
        <w:tc>
          <w:tcPr>
            <w:tcW w:type="dxa" w:w="209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¥24,000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约¥7,200万</w:t>
            </w:r>
          </w:p>
        </w:tc>
        <w:tc>
          <w:tcPr>
            <w:tcW w:type="dxa" w:w="283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跨细分科室、连锁客户</w:t>
            </w:r>
          </w:p>
        </w:tc>
      </w:tr>
      <w:tr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Year 3 Stretch</w:t>
            </w:r>
          </w:p>
        </w:tc>
        <w:tc>
          <w:tcPr>
            <w:tcW w:type="dxa" w:w="170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5,000家</w:t>
            </w:r>
          </w:p>
        </w:tc>
        <w:tc>
          <w:tcPr>
            <w:tcW w:type="dxa" w:w="209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¥24,000</w:t>
            </w:r>
          </w:p>
        </w:tc>
        <w:tc>
          <w:tcPr>
            <w:tcW w:type="dxa" w:w="1814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约¥1.2亿元</w:t>
            </w:r>
          </w:p>
        </w:tc>
        <w:tc>
          <w:tcPr>
            <w:tcW w:type="dxa" w:w="283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形成行业平台势能</w:t>
            </w:r>
          </w:p>
        </w:tc>
      </w:tr>
    </w:tbl>
    <w:p>
      <w:pPr>
        <w:spacing w:after="20"/>
      </w:pPr>
    </w:p>
    <w:p>
      <w:pPr>
        <w:pStyle w:val="Heading2"/>
      </w:pPr>
      <w:r>
        <w:t>11.1 关键里程碑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1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门店数</w:t>
            </w:r>
          </w:p>
        </w:tc>
        <w:tc>
          <w:tcPr>
            <w:tcW w:type="dxa" w:w="4649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必须证明的事情</w:t>
            </w:r>
          </w:p>
        </w:tc>
        <w:tc>
          <w:tcPr>
            <w:tcW w:type="dxa" w:w="408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未证明时不做什么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10家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收入漏损真实、员工可执行、客户愿意配合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不做完整SaaS</w:t>
            </w:r>
          </w:p>
        </w:tc>
      </w:tr>
      <w:tr>
        <w:tc>
          <w:tcPr>
            <w:tcW w:type="dxa" w:w="14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30家</w:t>
            </w:r>
          </w:p>
        </w:tc>
        <w:tc>
          <w:tcPr>
            <w:tcW w:type="dxa" w:w="464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增量ROI、多店复制、至少30%真实付费</w:t>
            </w:r>
          </w:p>
        </w:tc>
        <w:tc>
          <w:tcPr>
            <w:tcW w:type="dxa" w:w="408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不扩研发/销售大团队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100家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续费、使用频率、客户成功模式成立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不盲目跨行业</w:t>
            </w:r>
          </w:p>
        </w:tc>
      </w:tr>
      <w:tr>
        <w:tc>
          <w:tcPr>
            <w:tcW w:type="dxa" w:w="14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1,000家</w:t>
            </w:r>
          </w:p>
        </w:tc>
        <w:tc>
          <w:tcPr>
            <w:tcW w:type="dxa" w:w="464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标准化销售、Benchmark、组织能力成立</w:t>
            </w:r>
          </w:p>
        </w:tc>
        <w:tc>
          <w:tcPr>
            <w:tcW w:type="dxa" w:w="408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8"/>
              </w:rPr>
              <w:t>再讨论平台化与海外规模扩张</w:t>
            </w:r>
          </w:p>
        </w:tc>
      </w:tr>
    </w:tbl>
    <w:p>
      <w:pPr>
        <w:spacing w:after="20"/>
      </w:pPr>
    </w:p>
    <w:p>
      <w:pPr>
        <w:pStyle w:val="Heading1"/>
      </w:pPr>
      <w:r>
        <w:t>12. 融资与资金使用原则</w:t>
      </w:r>
    </w:p>
    <w:p>
      <w:r>
        <w:t>项目早期原则是“让市场决定下一笔预算”。30家验证完成前，建议将支出控制在可承受范围内，避免提前形成大研发团队和高固定成本。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1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587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预算建议</w:t>
            </w:r>
          </w:p>
        </w:tc>
        <w:tc>
          <w:tcPr>
            <w:tcW w:type="dxa" w:w="3855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资金用途</w:t>
            </w:r>
          </w:p>
        </w:tc>
        <w:tc>
          <w:tcPr>
            <w:tcW w:type="dxa" w:w="3118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前30天</w:t>
            </w:r>
          </w:p>
        </w:tc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约3–5万元</w:t>
            </w:r>
          </w:p>
        </w:tc>
        <w:tc>
          <w:tcPr>
            <w:tcW w:type="dxa" w:w="385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数据整理、工具、试点、原型、人工运营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大规模开发、租大办公室、销售团队</w:t>
            </w:r>
          </w:p>
        </w:tc>
      </w:tr>
      <w:tr>
        <w:tc>
          <w:tcPr>
            <w:tcW w:type="dxa" w:w="141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90天</w:t>
            </w:r>
          </w:p>
        </w:tc>
        <w:tc>
          <w:tcPr>
            <w:tcW w:type="dxa" w:w="1587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约15–30万元</w:t>
            </w:r>
          </w:p>
        </w:tc>
        <w:tc>
          <w:tcPr>
            <w:tcW w:type="dxa" w:w="3855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试点、人力、数据/AI、轻量后台、客户成功</w:t>
            </w:r>
          </w:p>
        </w:tc>
        <w:tc>
          <w:tcPr>
            <w:tcW w:type="dxa" w:w="3118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完整HIS、10人以上研发、重品牌投放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PMF后</w:t>
            </w:r>
          </w:p>
        </w:tc>
        <w:tc>
          <w:tcPr>
            <w:tcW w:type="dxa" w:w="1587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依据续费与CAC/LTV重新预算</w:t>
            </w:r>
          </w:p>
        </w:tc>
        <w:tc>
          <w:tcPr>
            <w:tcW w:type="dxa" w:w="3855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产品化、集成、安全、销售与客户成功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在核心指标未稳定前追求“融资故事”</w:t>
            </w:r>
          </w:p>
        </w:tc>
      </w:tr>
    </w:tbl>
    <w:p>
      <w:pPr>
        <w:spacing w:after="20"/>
      </w:pPr>
    </w:p>
    <w:p>
      <w:pPr>
        <w:pStyle w:val="Heading1"/>
      </w:pPr>
      <w:r>
        <w:t>13. 核心风险与止损机制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402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早期信号</w:t>
            </w:r>
          </w:p>
        </w:tc>
        <w:tc>
          <w:tcPr>
            <w:tcW w:type="dxa" w:w="4649"/>
            <w:shd w:fill="163B3B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应对/止损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ROI伪归因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触达后回款高，但对照组也高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强制holdout，使用增量收入</w:t>
            </w:r>
          </w:p>
        </w:tc>
      </w:tr>
      <w:tr>
        <w:tc>
          <w:tcPr>
            <w:tcW w:type="dxa" w:w="187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员工不执行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任务完成率低、标记质量差</w:t>
            </w:r>
          </w:p>
        </w:tc>
        <w:tc>
          <w:tcPr>
            <w:tcW w:type="dxa" w:w="464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简化任务、利益绑定、Quality-adjusted绩效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数据接入困难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每家门店清洗成本过高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限制字段、建立标准导入层；若长期不能标准化则暂停</w:t>
            </w:r>
          </w:p>
        </w:tc>
      </w:tr>
      <w:tr>
        <w:tc>
          <w:tcPr>
            <w:tcW w:type="dxa" w:w="187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竞品快速复制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有赞/领健等加入相同能力</w:t>
            </w:r>
          </w:p>
        </w:tc>
        <w:tc>
          <w:tcPr>
            <w:tcW w:type="dxa" w:w="464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集中做归因、实验、跨系统决策层与数据壁垒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合规成本过高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医疗/营销数据处理要求超出MVP承受力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缩小数据范围、境内化、法律专项评估</w:t>
            </w:r>
          </w:p>
        </w:tc>
      </w:tr>
      <w:tr>
        <w:tc>
          <w:tcPr>
            <w:tcW w:type="dxa" w:w="1871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老板认可但不付费</w:t>
            </w:r>
          </w:p>
        </w:tc>
        <w:tc>
          <w:tcPr>
            <w:tcW w:type="dxa" w:w="3402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访谈好评、真实付款低</w:t>
            </w:r>
          </w:p>
        </w:tc>
        <w:tc>
          <w:tcPr>
            <w:tcW w:type="dxa" w:w="4649"/>
            <w:shd w:fill="F7FAF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30家后&lt;30%愿付费则暂停SaaS重开发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过度人工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每店服务成本无法随规模下降</w:t>
            </w:r>
          </w:p>
        </w:tc>
        <w:tc>
          <w:tcPr>
            <w:tcW w:type="dxa" w:w="4649"/>
            <w:shd w:fill="FFFFFF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374151"/>
                <w:sz w:val="17"/>
              </w:rPr>
              <w:t>60–90天内看自动化率；无法下降则重新定义产品</w:t>
            </w:r>
          </w:p>
        </w:tc>
      </w:tr>
    </w:tbl>
    <w:p>
      <w:pPr>
        <w:spacing w:after="20"/>
      </w:pPr>
    </w:p>
    <w:p>
      <w:pPr>
        <w:pStyle w:val="Heading1"/>
      </w:pPr>
      <w:r>
        <w:t>14. 长期愿景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3F2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63B3B"/>
                <w:sz w:val="22"/>
              </w:rPr>
              <w:t>终局定义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21"/>
              </w:rPr>
              <w:t>ClinicOS = AI Revenue Decision &amp; Execution System for Clinics。先成为中国中医门诊最好用的经营决策层，再进入消费医疗/私营门诊，长期才有资格扩展为Healthcare Operating Infrastructure。</w:t>
            </w:r>
          </w:p>
        </w:tc>
      </w:tr>
    </w:tbl>
    <w:p>
      <w:pPr>
        <w:spacing w:after="40"/>
      </w:pPr>
    </w:p>
    <w:p>
      <w:r>
        <w:t>终局不是“老板问AI一个问题”，而是系统每天主动扫描经营数据，识别收入漏洞，决定有限的人、时间和预算应投入哪里，自动建立任务与实验，并从结果中持续学习。</w:t>
      </w:r>
    </w:p>
    <w:p>
      <w:pPr>
        <w:pStyle w:val="Heading1"/>
      </w:pPr>
      <w:r>
        <w:t>15. 参考资料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[1] 国家卫生健康委员会：《2024年我国卫生健康事业发展统计公报》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https://www.nhc.gov.cn/guihuaxxs/c100133/202512/f1c3a3c617484a27a1a26a468afbaeee.shtml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用于中国医疗机构、中医类门诊部/诊所和诊疗量基数。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[2] 中华人民共和国个人信息保护法（国家市场监管总局转载）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https://www.samr.gov.cn/wljys/gzzd/art/2023/art_3ef1e889c1e644d4b65b5f5c7f432386.html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医疗健康信息属于敏感个人信息。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[3] Zenoti：AI Workforce for Medspas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https://www.zenoti.com/lp/amspa-copy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用于竞争格局与AI经营Agent方向研究。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[4] Zenoti：AI Business Advisor / Revenue Leaks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https://www.zenoti.com/blog/hidden-revenue-leaks-medspa-ai-business-advisor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用于经营异常、KPI与动作建议方向研究。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[5] 领健 e看牙 官方产品页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https://www.lingjian.cn/kouqiang.html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用于中国口腔CRM、复诊、召回、SOP与供应链竞争研究。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[6] 有赞：门店智能营销系统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https://www.youzan.com/chanpin/mendianyingxiao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用于沉睡客户分层、自动触达、导购任务竞争研究。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[7] 有赞：医美CRM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https://www.youzan.com/chanpin/yimeicrmkehuglxt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用于医美生命周期、企微和复购自动化竞争研究。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374151"/>
          <w:sz w:val="19"/>
        </w:rPr>
        <w:t>[8] 睿美云官网</w:t>
      </w:r>
    </w:p>
    <w:p>
      <w:pPr>
        <w:spacing w:after="40"/>
        <w:ind w:left="255"/>
      </w:pPr>
      <w:r>
        <w:rPr>
          <w:rFonts w:ascii="Noto Sans CJK SC" w:hAnsi="Noto Sans CJK SC" w:eastAsia="Noto Sans CJK SC"/>
          <w:b w:val="0"/>
          <w:color w:val="2F6F6D"/>
          <w:sz w:val="17"/>
        </w:rPr>
        <w:t>https://www.realmerit.com.cn/</w:t>
      </w:r>
    </w:p>
    <w:p>
      <w:pPr>
        <w:spacing w:after="100"/>
        <w:ind w:left="255"/>
      </w:pPr>
      <w:r>
        <w:rPr>
          <w:rFonts w:ascii="Noto Sans CJK SC" w:hAnsi="Noto Sans CJK SC" w:eastAsia="Noto Sans CJK SC"/>
          <w:b w:val="0"/>
          <w:color w:val="6B7280"/>
          <w:sz w:val="17"/>
        </w:rPr>
        <w:t>用于医美CRM/HIS/AI一体化竞争研究。</w:t>
      </w:r>
    </w:p>
    <w:p>
      <w:pPr>
        <w:spacing w:before="200"/>
      </w:pPr>
      <w:r>
        <w:rPr>
          <w:rFonts w:ascii="Noto Sans CJK SC" w:hAnsi="Noto Sans CJK SC" w:eastAsia="Noto Sans CJK SC"/>
          <w:b w:val="0"/>
          <w:color w:val="6B7280"/>
          <w:sz w:val="18"/>
        </w:rPr>
        <w:t>说明：市场规模、定价与三年模型均为内部情景测算，不构成投资、法律或财务承诺；正式商用前应由专业法律、数据安全、财务与医疗合规团队独立审查。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to Sans CJK SC" w:hAnsi="Noto Sans CJK SC" w:eastAsia="Noto Sans CJK SC"/>
        <w:b w:val="0"/>
        <w:color w:val="6B7280"/>
        <w:sz w:val="16"/>
      </w:rPr>
      <w:t>内部规划稿｜2026年8月</w:t>
    </w:r>
  </w:p>
  <w:p>
    <w:pPr>
      <w:jc w:val="right"/>
    </w:pPr>
    <w:r>
      <w:rPr>
        <w:rFonts w:ascii="Noto Sans CJK SC" w:hAnsi="Noto Sans CJK SC" w:eastAsia="Noto Sans CJK SC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2" w:color="D5E5E3"/>
      </w:pBdr>
    </w:pPr>
    <w:r>
      <w:rPr>
        <w:rFonts w:ascii="Noto Sans CJK SC" w:hAnsi="Noto Sans CJK SC" w:eastAsia="Noto Sans CJK SC"/>
        <w:b/>
        <w:color w:val="2F6F6D"/>
        <w:sz w:val="17"/>
      </w:rPr>
      <w:t>ClinicOS 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B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3B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83" w:right="283"/>
    </w:pPr>
    <w:rPr>
      <w:rFonts w:ascii="Noto Sans CJK SC" w:hAnsi="Noto Sans CJK SC" w:eastAsia="Noto Sans CJK SC"/>
      <w:b/>
      <w:color w:val="163B3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