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Noto Sans CJK SC" w:hAnsi="Noto Sans CJK SC" w:eastAsia="Noto Sans CJK SC"/>
          <w:b/>
          <w:color w:val="2F6F6D"/>
          <w:sz w:val="28"/>
        </w:rPr>
        <w:t>CLINICOS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b/>
          <w:color w:val="163B3B"/>
          <w:sz w:val="56"/>
        </w:rPr>
        <w:t>ClinicOS 项目计划书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B7280"/>
          <w:sz w:val="26"/>
        </w:rPr>
        <w:t>90天0→1验证执行总纲｜产品、实验、数据、合规、研发与SOP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7087"/>
            <w:shd w:fill="EAF3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B3B"/>
                <w:sz w:val="21"/>
              </w:rPr>
              <w:t>三大核心模块全部纳入：Recovery · Retention · Growth</w:t>
            </w:r>
          </w:p>
        </w:tc>
      </w:tr>
      <w:tr>
        <w:tc>
          <w:tcPr>
            <w:tcW w:type="dxa" w:w="7087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21"/>
              </w:rPr>
              <w:t>先人工跑闭环，再产品化；先证明增量，再扩研发</w:t>
            </w:r>
          </w:p>
        </w:tc>
      </w:tr>
      <w:tr>
        <w:tc>
          <w:tcPr>
            <w:tcW w:type="dxa" w:w="7087"/>
            <w:shd w:fill="EAF3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21"/>
              </w:rPr>
              <w:t>30家试点 · 对照实验 · 中国数据面 · 新加坡/越南研发可选</w:t>
            </w:r>
          </w:p>
        </w:tc>
      </w:tr>
    </w:tbl>
    <w:p/>
    <w:p>
      <w:pPr>
        <w:spacing w:before="900"/>
        <w:jc w:val="center"/>
      </w:pPr>
      <w:r>
        <w:rPr>
          <w:rFonts w:ascii="Noto Sans CJK SC" w:hAnsi="Noto Sans CJK SC" w:eastAsia="Noto Sans CJK SC"/>
          <w:b/>
          <w:color w:val="2F6F6D"/>
          <w:sz w:val="20"/>
        </w:rPr>
        <w:t>Project Plan V4.1  ·  2026年8月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B7280"/>
          <w:sz w:val="18"/>
        </w:rPr>
        <w:t>用途：内部战略、产品验证、合作与融资沟通底稿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6F6D"/>
          <w:sz w:val="20"/>
        </w:rPr>
        <w:t xml:space="preserve">01  </w:t>
      </w:r>
      <w:r>
        <w:rPr>
          <w:rFonts w:ascii="Noto Sans CJK SC" w:hAnsi="Noto Sans CJK SC" w:eastAsia="Noto Sans CJK SC"/>
          <w:b w:val="0"/>
          <w:color w:val="374151"/>
          <w:sz w:val="21"/>
        </w:rPr>
        <w:t>项目目标与边界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6F6D"/>
          <w:sz w:val="20"/>
        </w:rPr>
        <w:t xml:space="preserve">02  </w:t>
      </w:r>
      <w:r>
        <w:rPr>
          <w:rFonts w:ascii="Noto Sans CJK SC" w:hAnsi="Noto Sans CJK SC" w:eastAsia="Noto Sans CJK SC"/>
          <w:b w:val="0"/>
          <w:color w:val="374151"/>
          <w:sz w:val="21"/>
        </w:rPr>
        <w:t>产品架构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6F6D"/>
          <w:sz w:val="20"/>
        </w:rPr>
        <w:t xml:space="preserve">03  </w:t>
      </w:r>
      <w:r>
        <w:rPr>
          <w:rFonts w:ascii="Noto Sans CJK SC" w:hAnsi="Noto Sans CJK SC" w:eastAsia="Noto Sans CJK SC"/>
          <w:b w:val="0"/>
          <w:color w:val="374151"/>
          <w:sz w:val="21"/>
        </w:rPr>
        <w:t>P0/P1/P2优先级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6F6D"/>
          <w:sz w:val="20"/>
        </w:rPr>
        <w:t xml:space="preserve">04  </w:t>
      </w:r>
      <w:r>
        <w:rPr>
          <w:rFonts w:ascii="Noto Sans CJK SC" w:hAnsi="Noto Sans CJK SC" w:eastAsia="Noto Sans CJK SC"/>
          <w:b w:val="0"/>
          <w:color w:val="374151"/>
          <w:sz w:val="21"/>
        </w:rPr>
        <w:t>30家试点设计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6F6D"/>
          <w:sz w:val="20"/>
        </w:rPr>
        <w:t xml:space="preserve">05  </w:t>
      </w:r>
      <w:r>
        <w:rPr>
          <w:rFonts w:ascii="Noto Sans CJK SC" w:hAnsi="Noto Sans CJK SC" w:eastAsia="Noto Sans CJK SC"/>
          <w:b w:val="0"/>
          <w:color w:val="374151"/>
          <w:sz w:val="21"/>
        </w:rPr>
        <w:t>90天周执行计划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6F6D"/>
          <w:sz w:val="20"/>
        </w:rPr>
        <w:t xml:space="preserve">06  </w:t>
      </w:r>
      <w:r>
        <w:rPr>
          <w:rFonts w:ascii="Noto Sans CJK SC" w:hAnsi="Noto Sans CJK SC" w:eastAsia="Noto Sans CJK SC"/>
          <w:b w:val="0"/>
          <w:color w:val="374151"/>
          <w:sz w:val="21"/>
        </w:rPr>
        <w:t>三大Engine详细需求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6F6D"/>
          <w:sz w:val="20"/>
        </w:rPr>
        <w:t xml:space="preserve">07  </w:t>
      </w:r>
      <w:r>
        <w:rPr>
          <w:rFonts w:ascii="Noto Sans CJK SC" w:hAnsi="Noto Sans CJK SC" w:eastAsia="Noto Sans CJK SC"/>
          <w:b w:val="0"/>
          <w:color w:val="374151"/>
          <w:sz w:val="21"/>
        </w:rPr>
        <w:t>底层公共能力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6F6D"/>
          <w:sz w:val="20"/>
        </w:rPr>
        <w:t xml:space="preserve">08  </w:t>
      </w:r>
      <w:r>
        <w:rPr>
          <w:rFonts w:ascii="Noto Sans CJK SC" w:hAnsi="Noto Sans CJK SC" w:eastAsia="Noto Sans CJK SC"/>
          <w:b w:val="0"/>
          <w:color w:val="374151"/>
          <w:sz w:val="21"/>
        </w:rPr>
        <w:t>数据字典与数据边界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6F6D"/>
          <w:sz w:val="20"/>
        </w:rPr>
        <w:t xml:space="preserve">09  </w:t>
      </w:r>
      <w:r>
        <w:rPr>
          <w:rFonts w:ascii="Noto Sans CJK SC" w:hAnsi="Noto Sans CJK SC" w:eastAsia="Noto Sans CJK SC"/>
          <w:b w:val="0"/>
          <w:color w:val="374151"/>
          <w:sz w:val="21"/>
        </w:rPr>
        <w:t>实验与归因设计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6F6D"/>
          <w:sz w:val="20"/>
        </w:rPr>
        <w:t xml:space="preserve">10  </w:t>
      </w:r>
      <w:r>
        <w:rPr>
          <w:rFonts w:ascii="Noto Sans CJK SC" w:hAnsi="Noto Sans CJK SC" w:eastAsia="Noto Sans CJK SC"/>
          <w:b w:val="0"/>
          <w:color w:val="374151"/>
          <w:sz w:val="21"/>
        </w:rPr>
        <w:t>三套核心SOP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6F6D"/>
          <w:sz w:val="20"/>
        </w:rPr>
        <w:t xml:space="preserve">11  </w:t>
      </w:r>
      <w:r>
        <w:rPr>
          <w:rFonts w:ascii="Noto Sans CJK SC" w:hAnsi="Noto Sans CJK SC" w:eastAsia="Noto Sans CJK SC"/>
          <w:b w:val="0"/>
          <w:color w:val="374151"/>
          <w:sz w:val="21"/>
        </w:rPr>
        <w:t>员工端与老板端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6F6D"/>
          <w:sz w:val="20"/>
        </w:rPr>
        <w:t xml:space="preserve">12  </w:t>
      </w:r>
      <w:r>
        <w:rPr>
          <w:rFonts w:ascii="Noto Sans CJK SC" w:hAnsi="Noto Sans CJK SC" w:eastAsia="Noto Sans CJK SC"/>
          <w:b w:val="0"/>
          <w:color w:val="374151"/>
          <w:sz w:val="21"/>
        </w:rPr>
        <w:t>技术架构与跨境研发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6F6D"/>
          <w:sz w:val="20"/>
        </w:rPr>
        <w:t xml:space="preserve">13  </w:t>
      </w:r>
      <w:r>
        <w:rPr>
          <w:rFonts w:ascii="Noto Sans CJK SC" w:hAnsi="Noto Sans CJK SC" w:eastAsia="Noto Sans CJK SC"/>
          <w:b w:val="0"/>
          <w:color w:val="374151"/>
          <w:sz w:val="21"/>
        </w:rPr>
        <w:t>安全与合规工作流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6F6D"/>
          <w:sz w:val="20"/>
        </w:rPr>
        <w:t xml:space="preserve">14  </w:t>
      </w:r>
      <w:r>
        <w:rPr>
          <w:rFonts w:ascii="Noto Sans CJK SC" w:hAnsi="Noto Sans CJK SC" w:eastAsia="Noto Sans CJK SC"/>
          <w:b w:val="0"/>
          <w:color w:val="374151"/>
          <w:sz w:val="21"/>
        </w:rPr>
        <w:t>团队与RACI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6F6D"/>
          <w:sz w:val="20"/>
        </w:rPr>
        <w:t xml:space="preserve">15  </w:t>
      </w:r>
      <w:r>
        <w:rPr>
          <w:rFonts w:ascii="Noto Sans CJK SC" w:hAnsi="Noto Sans CJK SC" w:eastAsia="Noto Sans CJK SC"/>
          <w:b w:val="0"/>
          <w:color w:val="374151"/>
          <w:sz w:val="21"/>
        </w:rPr>
        <w:t>预算与采购原则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6F6D"/>
          <w:sz w:val="20"/>
        </w:rPr>
        <w:t xml:space="preserve">16  </w:t>
      </w:r>
      <w:r>
        <w:rPr>
          <w:rFonts w:ascii="Noto Sans CJK SC" w:hAnsi="Noto Sans CJK SC" w:eastAsia="Noto Sans CJK SC"/>
          <w:b w:val="0"/>
          <w:color w:val="374151"/>
          <w:sz w:val="21"/>
        </w:rPr>
        <w:t>KPI/验收/止损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6F6D"/>
          <w:sz w:val="20"/>
        </w:rPr>
        <w:t xml:space="preserve">17  </w:t>
      </w:r>
      <w:r>
        <w:rPr>
          <w:rFonts w:ascii="Noto Sans CJK SC" w:hAnsi="Noto Sans CJK SC" w:eastAsia="Noto Sans CJK SC"/>
          <w:b w:val="0"/>
          <w:color w:val="374151"/>
          <w:sz w:val="21"/>
        </w:rPr>
        <w:t>风险登记表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6F6D"/>
          <w:sz w:val="20"/>
        </w:rPr>
        <w:t xml:space="preserve">18  </w:t>
      </w:r>
      <w:r>
        <w:rPr>
          <w:rFonts w:ascii="Noto Sans CJK SC" w:hAnsi="Noto Sans CJK SC" w:eastAsia="Noto Sans CJK SC"/>
          <w:b w:val="0"/>
          <w:color w:val="374151"/>
          <w:sz w:val="21"/>
        </w:rPr>
        <w:t>90天后路线图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6F6D"/>
          <w:sz w:val="20"/>
        </w:rPr>
        <w:t xml:space="preserve">19  </w:t>
      </w:r>
      <w:r>
        <w:rPr>
          <w:rFonts w:ascii="Noto Sans CJK SC" w:hAnsi="Noto Sans CJK SC" w:eastAsia="Noto Sans CJK SC"/>
          <w:b w:val="0"/>
          <w:color w:val="374151"/>
          <w:sz w:val="21"/>
        </w:rPr>
        <w:t>交付物清单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6F6D"/>
          <w:sz w:val="20"/>
        </w:rPr>
        <w:t xml:space="preserve">20  </w:t>
      </w:r>
      <w:r>
        <w:rPr>
          <w:rFonts w:ascii="Noto Sans CJK SC" w:hAnsi="Noto Sans CJK SC" w:eastAsia="Noto Sans CJK SC"/>
          <w:b w:val="0"/>
          <w:color w:val="374151"/>
          <w:sz w:val="21"/>
        </w:rPr>
        <w:t>参考资料</w:t>
      </w:r>
    </w:p>
    <w:p>
      <w:r>
        <w:br w:type="page"/>
      </w:r>
    </w:p>
    <w:p>
      <w:pPr>
        <w:pStyle w:val="Heading1"/>
      </w:pPr>
      <w:r>
        <w:t>1. 项目目标与边界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3F2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63B3B"/>
                <w:sz w:val="22"/>
              </w:rPr>
              <w:t>90天唯一目标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21"/>
              </w:rPr>
              <w:t>用真实门店证明：ClinicOS能够发现经营漏损、推动可执行动作、产生可归因的增量收入，并且客户愿意持续付费。90天不是为了完成“完整ClinicOS”，而是为了决定这个项目值不值得继续。</w:t>
            </w:r>
          </w:p>
        </w:tc>
      </w:tr>
    </w:tbl>
    <w:p>
      <w:pPr>
        <w:spacing w:after="40"/>
      </w:pPr>
    </w:p>
    <w:p>
      <w:pPr>
        <w:pStyle w:val="Heading2"/>
      </w:pPr>
      <w:r>
        <w:t>1.1 项目成功定义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color w:val="374151"/>
          <w:sz w:val="21"/>
        </w:rPr>
        <w:t>至少30家机构进入试点，至少20家形成有效数据与可分析结果。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color w:val="374151"/>
          <w:sz w:val="21"/>
        </w:rPr>
        <w:t>Recovery在多数门店产生可验证正增量，目标增量ROI≥5倍。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color w:val="374151"/>
          <w:sz w:val="21"/>
        </w:rPr>
        <w:t>Retention至少一个关键过程指标出现稳定改善，并能定位问题节点。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color w:val="374151"/>
          <w:sz w:val="21"/>
        </w:rPr>
        <w:t>Growth至少在5–10家门店完成可复现实验，能够计算增量收入。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color w:val="374151"/>
          <w:sz w:val="21"/>
        </w:rPr>
        <w:t>至少30%的有效试点机构愿意真实付款；付费机构第二个月续用意愿目标≥60%。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color w:val="374151"/>
          <w:sz w:val="21"/>
        </w:rPr>
        <w:t>数据导入、任务执行和结果回收能够逐渐标准化，单店人工服务成本呈下降趋势。</w:t>
      </w:r>
    </w:p>
    <w:p>
      <w:pPr>
        <w:pStyle w:val="Heading2"/>
      </w:pPr>
      <w:r>
        <w:t>1.2 明确不做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color w:val="374151"/>
          <w:sz w:val="21"/>
        </w:rPr>
        <w:t>重新开发完整HIS/电子病历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color w:val="374151"/>
          <w:sz w:val="21"/>
        </w:rPr>
        <w:t>AI诊断/开方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color w:val="374151"/>
          <w:sz w:val="21"/>
        </w:rPr>
        <w:t>药房与库存全套ERP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color w:val="374151"/>
          <w:sz w:val="21"/>
        </w:rPr>
        <w:t>大型商城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color w:val="374151"/>
          <w:sz w:val="21"/>
        </w:rPr>
        <w:t>全财务系统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color w:val="374151"/>
          <w:sz w:val="21"/>
        </w:rPr>
        <w:t>复杂排班系统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color w:val="374151"/>
          <w:sz w:val="21"/>
        </w:rPr>
        <w:t>为了展示而做的AI聊天入口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color w:val="374151"/>
          <w:sz w:val="21"/>
        </w:rPr>
        <w:t>没有经营指标对应的“漂亮功能”</w:t>
      </w:r>
    </w:p>
    <w:p>
      <w:pPr>
        <w:pStyle w:val="Heading1"/>
      </w:pPr>
      <w:r>
        <w:t>2. 产品架构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</w:t>
            </w:r>
          </w:p>
        </w:tc>
        <w:tc>
          <w:tcPr>
            <w:tcW w:type="dxa" w:w="2268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5556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三大业务Engine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Recovery</w:t>
            </w:r>
          </w:p>
        </w:tc>
        <w:tc>
          <w:tcPr>
            <w:tcW w:type="dxa" w:w="5556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沉睡/流失识别、优先级、触达任务、增量回款</w:t>
            </w:r>
          </w:p>
        </w:tc>
      </w:tr>
      <w:tr>
        <w:tc>
          <w:tcPr>
            <w:tcW w:type="dxa" w:w="170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三大业务Engine</w:t>
            </w:r>
          </w:p>
        </w:tc>
        <w:tc>
          <w:tcPr>
            <w:tcW w:type="dxa" w:w="226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Retention</w:t>
            </w:r>
          </w:p>
        </w:tc>
        <w:tc>
          <w:tcPr>
            <w:tcW w:type="dxa" w:w="5556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诊后过程漏斗、复诊预警、合理流失剔除、留存提升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三大业务Engine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Growth</w:t>
            </w:r>
          </w:p>
        </w:tc>
        <w:tc>
          <w:tcPr>
            <w:tcW w:type="dxa" w:w="5556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Always-on + Campaign，分群、内容、任务、活动增量ROI</w:t>
            </w:r>
          </w:p>
        </w:tc>
      </w:tr>
      <w:tr>
        <w:tc>
          <w:tcPr>
            <w:tcW w:type="dxa" w:w="170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底层能力</w:t>
            </w:r>
          </w:p>
        </w:tc>
        <w:tc>
          <w:tcPr>
            <w:tcW w:type="dxa" w:w="226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Attribution</w:t>
            </w:r>
          </w:p>
        </w:tc>
        <w:tc>
          <w:tcPr>
            <w:tcW w:type="dxa" w:w="5556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自然回流校正、Holdout、增量收入/毛利归因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底层能力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Diagnosis</w:t>
            </w:r>
          </w:p>
        </w:tc>
        <w:tc>
          <w:tcPr>
            <w:tcW w:type="dxa" w:w="5556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定位收入漏损发生在哪一过程节点</w:t>
            </w:r>
          </w:p>
        </w:tc>
      </w:tr>
      <w:tr>
        <w:tc>
          <w:tcPr>
            <w:tcW w:type="dxa" w:w="170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底层能力</w:t>
            </w:r>
          </w:p>
        </w:tc>
        <w:tc>
          <w:tcPr>
            <w:tcW w:type="dxa" w:w="226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Experimentation</w:t>
            </w:r>
          </w:p>
        </w:tc>
        <w:tc>
          <w:tcPr>
            <w:tcW w:type="dxa" w:w="5556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A/B、对照组、实验周期、统计结果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底层能力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Prescription</w:t>
            </w:r>
          </w:p>
        </w:tc>
        <w:tc>
          <w:tcPr>
            <w:tcW w:type="dxa" w:w="5556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输出可执行动作、原因与优先级</w:t>
            </w:r>
          </w:p>
        </w:tc>
      </w:tr>
      <w:tr>
        <w:tc>
          <w:tcPr>
            <w:tcW w:type="dxa" w:w="170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底层能力</w:t>
            </w:r>
          </w:p>
        </w:tc>
        <w:tc>
          <w:tcPr>
            <w:tcW w:type="dxa" w:w="226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Execution</w:t>
            </w:r>
          </w:p>
        </w:tc>
        <w:tc>
          <w:tcPr>
            <w:tcW w:type="dxa" w:w="5556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谁、何时、对谁、用什么渠道、做什么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底层能力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Learning / Benchmark</w:t>
            </w:r>
          </w:p>
        </w:tc>
        <w:tc>
          <w:tcPr>
            <w:tcW w:type="dxa" w:w="5556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沉淀Action→Outcome和行业分位基准</w:t>
            </w:r>
          </w:p>
        </w:tc>
      </w:tr>
      <w:tr>
        <w:tc>
          <w:tcPr>
            <w:tcW w:type="dxa" w:w="170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防护层</w:t>
            </w:r>
          </w:p>
        </w:tc>
        <w:tc>
          <w:tcPr>
            <w:tcW w:type="dxa" w:w="226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Compliance Guardrail</w:t>
            </w:r>
          </w:p>
        </w:tc>
        <w:tc>
          <w:tcPr>
            <w:tcW w:type="dxa" w:w="5556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授权、免打扰、内容风险提示、审批、留痕</w:t>
            </w:r>
          </w:p>
        </w:tc>
      </w:tr>
    </w:tbl>
    <w:p>
      <w:pPr>
        <w:spacing w:after="20"/>
      </w:pPr>
    </w:p>
    <w:p>
      <w:pPr>
        <w:pStyle w:val="Heading1"/>
      </w:pPr>
      <w:r>
        <w:t>3. P0 / P1 / P2优先级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835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4989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90天要求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P0 生死级</w:t>
            </w:r>
          </w:p>
        </w:tc>
        <w:tc>
          <w:tcPr>
            <w:tcW w:type="dxa" w:w="283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增量收入归因</w:t>
            </w:r>
          </w:p>
        </w:tc>
        <w:tc>
          <w:tcPr>
            <w:tcW w:type="dxa" w:w="4989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必须有holdout/自然回流基线；不得把全部回款算系统功劳</w:t>
            </w:r>
          </w:p>
        </w:tc>
      </w:tr>
      <w:tr>
        <w:tc>
          <w:tcPr>
            <w:tcW w:type="dxa" w:w="170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P0 生死级</w:t>
            </w:r>
          </w:p>
        </w:tc>
        <w:tc>
          <w:tcPr>
            <w:tcW w:type="dxa" w:w="2835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统一数据口径</w:t>
            </w:r>
          </w:p>
        </w:tc>
        <w:tc>
          <w:tcPr>
            <w:tcW w:type="dxa" w:w="4989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六张基础表、字段定义、状态定义必须在第一周确定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P0 生死级</w:t>
            </w:r>
          </w:p>
        </w:tc>
        <w:tc>
          <w:tcPr>
            <w:tcW w:type="dxa" w:w="283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合理流失与免打扰</w:t>
            </w:r>
          </w:p>
        </w:tc>
        <w:tc>
          <w:tcPr>
            <w:tcW w:type="dxa" w:w="4989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痊愈/迁居/主动拒绝/无效号码等剔除；DNC全局生效</w:t>
            </w:r>
          </w:p>
        </w:tc>
      </w:tr>
      <w:tr>
        <w:tc>
          <w:tcPr>
            <w:tcW w:type="dxa" w:w="170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P0 生死级</w:t>
            </w:r>
          </w:p>
        </w:tc>
        <w:tc>
          <w:tcPr>
            <w:tcW w:type="dxa" w:w="2835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三套SOP</w:t>
            </w:r>
          </w:p>
        </w:tc>
        <w:tc>
          <w:tcPr>
            <w:tcW w:type="dxa" w:w="4989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所有门店按相同定义执行，降低试点失真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P0 生死级</w:t>
            </w:r>
          </w:p>
        </w:tc>
        <w:tc>
          <w:tcPr>
            <w:tcW w:type="dxa" w:w="283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医疗/经营数据边界</w:t>
            </w:r>
          </w:p>
        </w:tc>
        <w:tc>
          <w:tcPr>
            <w:tcW w:type="dxa" w:w="4989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MVP尽量不采完整病历、诊断、处方</w:t>
            </w:r>
          </w:p>
        </w:tc>
      </w:tr>
      <w:tr>
        <w:tc>
          <w:tcPr>
            <w:tcW w:type="dxa" w:w="170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P1 验证级</w:t>
            </w:r>
          </w:p>
        </w:tc>
        <w:tc>
          <w:tcPr>
            <w:tcW w:type="dxa" w:w="2835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Recovery渠道适配</w:t>
            </w:r>
          </w:p>
        </w:tc>
        <w:tc>
          <w:tcPr>
            <w:tcW w:type="dxa" w:w="4989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Who×When×Channel×Message×Owner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P1 验证级</w:t>
            </w:r>
          </w:p>
        </w:tc>
        <w:tc>
          <w:tcPr>
            <w:tcW w:type="dxa" w:w="283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Retention过程归因</w:t>
            </w:r>
          </w:p>
        </w:tc>
        <w:tc>
          <w:tcPr>
            <w:tcW w:type="dxa" w:w="4989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建议→交接→预约→提醒→履约→干预→复诊</w:t>
            </w:r>
          </w:p>
        </w:tc>
      </w:tr>
      <w:tr>
        <w:tc>
          <w:tcPr>
            <w:tcW w:type="dxa" w:w="170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P1 验证级</w:t>
            </w:r>
          </w:p>
        </w:tc>
        <w:tc>
          <w:tcPr>
            <w:tcW w:type="dxa" w:w="2835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Growth双节奏</w:t>
            </w:r>
          </w:p>
        </w:tc>
        <w:tc>
          <w:tcPr>
            <w:tcW w:type="dxa" w:w="4989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日常轻运营 + 节点活动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P1 验证级</w:t>
            </w:r>
          </w:p>
        </w:tc>
        <w:tc>
          <w:tcPr>
            <w:tcW w:type="dxa" w:w="283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员工激励</w:t>
            </w:r>
          </w:p>
        </w:tc>
        <w:tc>
          <w:tcPr>
            <w:tcW w:type="dxa" w:w="4989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显示经营结果，但避免只按任务数量排名</w:t>
            </w:r>
          </w:p>
        </w:tc>
      </w:tr>
      <w:tr>
        <w:tc>
          <w:tcPr>
            <w:tcW w:type="dxa" w:w="170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P1 验证级</w:t>
            </w:r>
          </w:p>
        </w:tc>
        <w:tc>
          <w:tcPr>
            <w:tcW w:type="dxa" w:w="2835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合规防护</w:t>
            </w:r>
          </w:p>
        </w:tc>
        <w:tc>
          <w:tcPr>
            <w:tcW w:type="dxa" w:w="4989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营销内容风险扫描、人工审批、发布留痕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P2 规模化级</w:t>
            </w:r>
          </w:p>
        </w:tc>
        <w:tc>
          <w:tcPr>
            <w:tcW w:type="dxa" w:w="283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行业Benchmark</w:t>
            </w:r>
          </w:p>
        </w:tc>
        <w:tc>
          <w:tcPr>
            <w:tcW w:type="dxa" w:w="4989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100家后初步可用，1000家后才可能成核心资产</w:t>
            </w:r>
          </w:p>
        </w:tc>
      </w:tr>
      <w:tr>
        <w:tc>
          <w:tcPr>
            <w:tcW w:type="dxa" w:w="170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P2 规模化级</w:t>
            </w:r>
          </w:p>
        </w:tc>
        <w:tc>
          <w:tcPr>
            <w:tcW w:type="dxa" w:w="2835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AI经营Agent</w:t>
            </w:r>
          </w:p>
        </w:tc>
        <w:tc>
          <w:tcPr>
            <w:tcW w:type="dxa" w:w="4989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PMF后逐步替代人工判断和任务编排</w:t>
            </w:r>
          </w:p>
        </w:tc>
      </w:tr>
    </w:tbl>
    <w:p>
      <w:pPr>
        <w:spacing w:after="20"/>
      </w:pPr>
    </w:p>
    <w:p>
      <w:pPr>
        <w:pStyle w:val="Heading1"/>
      </w:pPr>
      <w:r>
        <w:t>4. 30家试点设计</w:t>
      </w:r>
    </w:p>
    <w:p>
      <w:pPr>
        <w:pStyle w:val="Heading2"/>
      </w:pPr>
      <w:r>
        <w:t>4.1 试点门店准入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438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6917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最低要求</w:t>
            </w:r>
          </w:p>
        </w:tc>
      </w:tr>
      <w:tr>
        <w:tc>
          <w:tcPr>
            <w:tcW w:type="dxa" w:w="243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经营历史</w:t>
            </w:r>
          </w:p>
        </w:tc>
        <w:tc>
          <w:tcPr>
            <w:tcW w:type="dxa" w:w="691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连续经营≥6个月</w:t>
            </w:r>
          </w:p>
        </w:tc>
      </w:tr>
      <w:tr>
        <w:tc>
          <w:tcPr>
            <w:tcW w:type="dxa" w:w="243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历史客户</w:t>
            </w:r>
          </w:p>
        </w:tc>
        <w:tc>
          <w:tcPr>
            <w:tcW w:type="dxa" w:w="6917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建议≥500名可识别历史客户</w:t>
            </w:r>
          </w:p>
        </w:tc>
      </w:tr>
      <w:tr>
        <w:tc>
          <w:tcPr>
            <w:tcW w:type="dxa" w:w="243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数据</w:t>
            </w:r>
          </w:p>
        </w:tc>
        <w:tc>
          <w:tcPr>
            <w:tcW w:type="dxa" w:w="691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能提供6–12个月到店/交易/预约/回访等必要数据</w:t>
            </w:r>
          </w:p>
        </w:tc>
      </w:tr>
      <w:tr>
        <w:tc>
          <w:tcPr>
            <w:tcW w:type="dxa" w:w="243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执行人</w:t>
            </w:r>
          </w:p>
        </w:tc>
        <w:tc>
          <w:tcPr>
            <w:tcW w:type="dxa" w:w="6917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至少1名员工能按SOP执行任务</w:t>
            </w:r>
          </w:p>
        </w:tc>
      </w:tr>
      <w:tr>
        <w:tc>
          <w:tcPr>
            <w:tcW w:type="dxa" w:w="243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老板参与</w:t>
            </w:r>
          </w:p>
        </w:tc>
        <w:tc>
          <w:tcPr>
            <w:tcW w:type="dxa" w:w="691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老板/店长每周参与复盘</w:t>
            </w:r>
          </w:p>
        </w:tc>
      </w:tr>
      <w:tr>
        <w:tc>
          <w:tcPr>
            <w:tcW w:type="dxa" w:w="243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合规</w:t>
            </w:r>
          </w:p>
        </w:tc>
        <w:tc>
          <w:tcPr>
            <w:tcW w:type="dxa" w:w="6917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签署试点/数据处理文件并执行脱敏、授权及免打扰规则</w:t>
            </w:r>
          </w:p>
        </w:tc>
      </w:tr>
    </w:tbl>
    <w:p>
      <w:pPr>
        <w:spacing w:after="20"/>
      </w:pPr>
    </w:p>
    <w:p>
      <w:pPr>
        <w:pStyle w:val="Heading2"/>
      </w:pPr>
      <w:r>
        <w:t>4.2 试点分层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701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批次</w:t>
            </w:r>
          </w:p>
        </w:tc>
        <w:tc>
          <w:tcPr>
            <w:tcW w:type="dxa" w:w="1304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门店数</w:t>
            </w:r>
          </w:p>
        </w:tc>
        <w:tc>
          <w:tcPr>
            <w:tcW w:type="dxa" w:w="4252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268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进入条件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Pilot A</w:t>
            </w:r>
          </w:p>
        </w:tc>
        <w:tc>
          <w:tcPr>
            <w:tcW w:type="dxa" w:w="130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10家</w:t>
            </w:r>
          </w:p>
        </w:tc>
        <w:tc>
          <w:tcPr>
            <w:tcW w:type="dxa" w:w="425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证明问题真实、流程能跑、Recovery有信号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第一周完成数据字典与SOP</w:t>
            </w:r>
          </w:p>
        </w:tc>
      </w:tr>
      <w:tr>
        <w:tc>
          <w:tcPr>
            <w:tcW w:type="dxa" w:w="170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Pilot B</w:t>
            </w:r>
          </w:p>
        </w:tc>
        <w:tc>
          <w:tcPr>
            <w:tcW w:type="dxa" w:w="130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追加20家</w:t>
            </w:r>
          </w:p>
        </w:tc>
        <w:tc>
          <w:tcPr>
            <w:tcW w:type="dxa" w:w="4252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验证跨店复制与多场景稳定性</w:t>
            </w:r>
          </w:p>
        </w:tc>
        <w:tc>
          <w:tcPr>
            <w:tcW w:type="dxa" w:w="226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Pilot A数据可用且执行可控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Growth Subset</w:t>
            </w:r>
          </w:p>
        </w:tc>
        <w:tc>
          <w:tcPr>
            <w:tcW w:type="dxa" w:w="130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5–10家</w:t>
            </w:r>
          </w:p>
        </w:tc>
        <w:tc>
          <w:tcPr>
            <w:tcW w:type="dxa" w:w="425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做Always-on/Campaign实验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Recovery/Retention基础流程已稳定</w:t>
            </w:r>
          </w:p>
        </w:tc>
      </w:tr>
    </w:tbl>
    <w:p>
      <w:pPr>
        <w:spacing w:after="20"/>
      </w:pPr>
    </w:p>
    <w:p>
      <w:pPr>
        <w:pStyle w:val="Heading1"/>
      </w:pPr>
      <w:r>
        <w:t>5. 90天周执行计划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周期</w:t>
            </w:r>
          </w:p>
        </w:tc>
        <w:tc>
          <w:tcPr>
            <w:tcW w:type="dxa" w:w="1984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主题</w:t>
            </w:r>
          </w:p>
        </w:tc>
        <w:tc>
          <w:tcPr>
            <w:tcW w:type="dxa" w:w="5839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必须完成的产出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W1 / Day 1–7</w:t>
            </w:r>
          </w:p>
        </w:tc>
        <w:tc>
          <w:tcPr>
            <w:tcW w:type="dxa" w:w="198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标准化</w:t>
            </w:r>
          </w:p>
        </w:tc>
        <w:tc>
          <w:tcPr>
            <w:tcW w:type="dxa" w:w="5839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数据字典v1、三套SOP v0.9、试点协议/授权流程、状态字典、归因规则、Pilot Kit</w:t>
            </w:r>
          </w:p>
        </w:tc>
      </w:tr>
      <w:tr>
        <w:tc>
          <w:tcPr>
            <w:tcW w:type="dxa" w:w="170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W2 / Day 8–14</w:t>
            </w:r>
          </w:p>
        </w:tc>
        <w:tc>
          <w:tcPr>
            <w:tcW w:type="dxa" w:w="198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首批数据</w:t>
            </w:r>
          </w:p>
        </w:tc>
        <w:tc>
          <w:tcPr>
            <w:tcW w:type="dxa" w:w="5839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锁定10家、导入历史数据、数据质量评分、生成首版Revenue Leakage Report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W3 / Day 15–21</w:t>
            </w:r>
          </w:p>
        </w:tc>
        <w:tc>
          <w:tcPr>
            <w:tcW w:type="dxa" w:w="198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Recovery上线</w:t>
            </w:r>
          </w:p>
        </w:tc>
        <w:tc>
          <w:tcPr>
            <w:tcW w:type="dxa" w:w="5839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客户分类、Recovery Score、Treatment/Holdout分组、每日任务机制</w:t>
            </w:r>
          </w:p>
        </w:tc>
      </w:tr>
      <w:tr>
        <w:tc>
          <w:tcPr>
            <w:tcW w:type="dxa" w:w="170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W4 / Day 22–28</w:t>
            </w:r>
          </w:p>
        </w:tc>
        <w:tc>
          <w:tcPr>
            <w:tcW w:type="dxa" w:w="198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Recovery实验</w:t>
            </w:r>
          </w:p>
        </w:tc>
        <w:tc>
          <w:tcPr>
            <w:tcW w:type="dxa" w:w="5839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运行触达、回收预约/到店/成交、第一轮渠道/话术实验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W5 / Day 29–35</w:t>
            </w:r>
          </w:p>
        </w:tc>
        <w:tc>
          <w:tcPr>
            <w:tcW w:type="dxa" w:w="198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Recovery复盘</w:t>
            </w:r>
          </w:p>
        </w:tc>
        <w:tc>
          <w:tcPr>
            <w:tcW w:type="dxa" w:w="5839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计算增量Lift/Revenue/ROI，更新评分和SOP</w:t>
            </w:r>
          </w:p>
        </w:tc>
      </w:tr>
      <w:tr>
        <w:tc>
          <w:tcPr>
            <w:tcW w:type="dxa" w:w="170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W6 / Day 36–42</w:t>
            </w:r>
          </w:p>
        </w:tc>
        <w:tc>
          <w:tcPr>
            <w:tcW w:type="dxa" w:w="198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Retention上线</w:t>
            </w:r>
          </w:p>
        </w:tc>
        <w:tc>
          <w:tcPr>
            <w:tcW w:type="dxa" w:w="5839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建立诊后Journey和过程漏斗，采集建议/预约/履约/复诊节点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W7 / Day 43–49</w:t>
            </w:r>
          </w:p>
        </w:tc>
        <w:tc>
          <w:tcPr>
            <w:tcW w:type="dxa" w:w="198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Retention实验</w:t>
            </w:r>
          </w:p>
        </w:tc>
        <w:tc>
          <w:tcPr>
            <w:tcW w:type="dxa" w:w="5839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新旧流程对照，观察当场预约与早期复诊指标</w:t>
            </w:r>
          </w:p>
        </w:tc>
      </w:tr>
      <w:tr>
        <w:tc>
          <w:tcPr>
            <w:tcW w:type="dxa" w:w="170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W8 / Day 50–56</w:t>
            </w:r>
          </w:p>
        </w:tc>
        <w:tc>
          <w:tcPr>
            <w:tcW w:type="dxa" w:w="198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扩展30家</w:t>
            </w:r>
          </w:p>
        </w:tc>
        <w:tc>
          <w:tcPr>
            <w:tcW w:type="dxa" w:w="5839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追加20家，复制Recovery+Retention；建立数据清洗模板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W9 / Day 57–63</w:t>
            </w:r>
          </w:p>
        </w:tc>
        <w:tc>
          <w:tcPr>
            <w:tcW w:type="dxa" w:w="198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标准化</w:t>
            </w:r>
          </w:p>
        </w:tc>
        <w:tc>
          <w:tcPr>
            <w:tcW w:type="dxa" w:w="5839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跨店分析，筛选稳定规则，形成Recovery/Retention v1模型</w:t>
            </w:r>
          </w:p>
        </w:tc>
      </w:tr>
      <w:tr>
        <w:tc>
          <w:tcPr>
            <w:tcW w:type="dxa" w:w="170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W10 / Day 64–70</w:t>
            </w:r>
          </w:p>
        </w:tc>
        <w:tc>
          <w:tcPr>
            <w:tcW w:type="dxa" w:w="198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Growth试点</w:t>
            </w:r>
          </w:p>
        </w:tc>
        <w:tc>
          <w:tcPr>
            <w:tcW w:type="dxa" w:w="5839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5–10家跑Always-on或Campaign，设置A/B/Control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W11 / Day 71–77</w:t>
            </w:r>
          </w:p>
        </w:tc>
        <w:tc>
          <w:tcPr>
            <w:tcW w:type="dxa" w:w="198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Growth归因</w:t>
            </w:r>
          </w:p>
        </w:tc>
        <w:tc>
          <w:tcPr>
            <w:tcW w:type="dxa" w:w="5839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计算活动增量预约/到店/收入/毛利，更新合规规则</w:t>
            </w:r>
          </w:p>
        </w:tc>
      </w:tr>
      <w:tr>
        <w:tc>
          <w:tcPr>
            <w:tcW w:type="dxa" w:w="170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W12 / Day 78–84</w:t>
            </w:r>
          </w:p>
        </w:tc>
        <w:tc>
          <w:tcPr>
            <w:tcW w:type="dxa" w:w="198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MVP决策</w:t>
            </w:r>
          </w:p>
        </w:tc>
        <w:tc>
          <w:tcPr>
            <w:tcW w:type="dxa" w:w="5839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评估付费、续费、ROI、人工成本、数据接入成本，冻结MVP范围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W13 / Day 85–90</w:t>
            </w:r>
          </w:p>
        </w:tc>
        <w:tc>
          <w:tcPr>
            <w:tcW w:type="dxa" w:w="198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Gate Review</w:t>
            </w:r>
          </w:p>
        </w:tc>
        <w:tc>
          <w:tcPr>
            <w:tcW w:type="dxa" w:w="5839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Go / Iterate / Stop；输出90天总报告、MVP PRD、后续预算</w:t>
            </w:r>
          </w:p>
        </w:tc>
      </w:tr>
    </w:tbl>
    <w:p>
      <w:pPr>
        <w:spacing w:after="20"/>
      </w:pPr>
    </w:p>
    <w:p>
      <w:pPr>
        <w:pStyle w:val="Heading1"/>
      </w:pPr>
      <w:r>
        <w:t>6. 三大Engine详细需求</w:t>
      </w:r>
    </w:p>
    <w:p>
      <w:pPr>
        <w:pStyle w:val="Heading2"/>
      </w:pPr>
      <w:r>
        <w:t>6.1 Recovery Engine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438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6803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第一阶段规则</w:t>
            </w:r>
          </w:p>
        </w:tc>
      </w:tr>
      <w:tr>
        <w:tc>
          <w:tcPr>
            <w:tcW w:type="dxa" w:w="243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客户类型</w:t>
            </w:r>
          </w:p>
        </w:tc>
        <w:tc>
          <w:tcPr>
            <w:tcW w:type="dxa" w:w="6803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初诊未复诊、疗程中断、30/60/90/180天沉睡、高价值流失、生命周期预警</w:t>
            </w:r>
          </w:p>
        </w:tc>
      </w:tr>
      <w:tr>
        <w:tc>
          <w:tcPr>
            <w:tcW w:type="dxa" w:w="243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Recovery Score正向</w:t>
            </w:r>
          </w:p>
        </w:tc>
        <w:tc>
          <w:tcPr>
            <w:tcW w:type="dxa" w:w="6803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历史消费、到店频率、套餐剩余、历史复购、历史激活成功</w:t>
            </w:r>
          </w:p>
        </w:tc>
      </w:tr>
      <w:tr>
        <w:tc>
          <w:tcPr>
            <w:tcW w:type="dxa" w:w="243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Recovery Score负向</w:t>
            </w:r>
          </w:p>
        </w:tc>
        <w:tc>
          <w:tcPr>
            <w:tcW w:type="dxa" w:w="6803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无效联系方式、明确拒绝、投诉、近期已触达、连续无回应、合理终止</w:t>
            </w:r>
          </w:p>
        </w:tc>
      </w:tr>
      <w:tr>
        <w:tc>
          <w:tcPr>
            <w:tcW w:type="dxa" w:w="243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任务输出</w:t>
            </w:r>
          </w:p>
        </w:tc>
        <w:tc>
          <w:tcPr>
            <w:tcW w:type="dxa" w:w="6803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客户、原因、预计价值、Owner、建议渠道、建议时间、话术、下一动作</w:t>
            </w:r>
          </w:p>
        </w:tc>
      </w:tr>
      <w:tr>
        <w:tc>
          <w:tcPr>
            <w:tcW w:type="dxa" w:w="243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结果状态</w:t>
            </w:r>
          </w:p>
        </w:tc>
        <w:tc>
          <w:tcPr>
            <w:tcW w:type="dxa" w:w="6803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未联系/无回复/已回复/有意向/已预约/已到店/已成交/暂不跟进/免打扰</w:t>
            </w:r>
          </w:p>
        </w:tc>
      </w:tr>
      <w:tr>
        <w:tc>
          <w:tcPr>
            <w:tcW w:type="dxa" w:w="243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核心指标</w:t>
            </w:r>
          </w:p>
        </w:tc>
        <w:tc>
          <w:tcPr>
            <w:tcW w:type="dxa" w:w="6803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Incremental Return Rate、Incremental Revenue、Incremental Contribution Margin、ROI</w:t>
            </w:r>
          </w:p>
        </w:tc>
      </w:tr>
    </w:tbl>
    <w:p>
      <w:pPr>
        <w:spacing w:after="20"/>
      </w:pPr>
    </w:p>
    <w:p>
      <w:pPr>
        <w:pStyle w:val="Heading2"/>
      </w:pPr>
      <w:r>
        <w:t>6.2 Retention Engine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过程节点</w:t>
            </w:r>
          </w:p>
        </w:tc>
        <w:tc>
          <w:tcPr>
            <w:tcW w:type="dxa" w:w="6917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必须记录</w:t>
            </w:r>
          </w:p>
        </w:tc>
      </w:tr>
      <w:tr>
        <w:tc>
          <w:tcPr>
            <w:tcW w:type="dxa" w:w="238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形成后续建议</w:t>
            </w:r>
          </w:p>
        </w:tc>
        <w:tc>
          <w:tcPr>
            <w:tcW w:type="dxa" w:w="691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是否有明确下一步及时间窗口</w:t>
            </w:r>
          </w:p>
        </w:tc>
      </w:tr>
      <w:tr>
        <w:tc>
          <w:tcPr>
            <w:tcW w:type="dxa" w:w="238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诊后交接</w:t>
            </w:r>
          </w:p>
        </w:tc>
        <w:tc>
          <w:tcPr>
            <w:tcW w:type="dxa" w:w="6917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是否完成服务/医生到客服或前台的交接</w:t>
            </w:r>
          </w:p>
        </w:tc>
      </w:tr>
      <w:tr>
        <w:tc>
          <w:tcPr>
            <w:tcW w:type="dxa" w:w="238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当场预约</w:t>
            </w:r>
          </w:p>
        </w:tc>
        <w:tc>
          <w:tcPr>
            <w:tcW w:type="dxa" w:w="691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是否离店前锁定下一次时间</w:t>
            </w:r>
          </w:p>
        </w:tc>
      </w:tr>
      <w:tr>
        <w:tc>
          <w:tcPr>
            <w:tcW w:type="dxa" w:w="238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预约提醒</w:t>
            </w:r>
          </w:p>
        </w:tc>
        <w:tc>
          <w:tcPr>
            <w:tcW w:type="dxa" w:w="6917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是否按规则完成提醒</w:t>
            </w:r>
          </w:p>
        </w:tc>
      </w:tr>
      <w:tr>
        <w:tc>
          <w:tcPr>
            <w:tcW w:type="dxa" w:w="238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履约</w:t>
            </w:r>
          </w:p>
        </w:tc>
        <w:tc>
          <w:tcPr>
            <w:tcW w:type="dxa" w:w="691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是否到店；未到店原因</w:t>
            </w:r>
          </w:p>
        </w:tc>
      </w:tr>
      <w:tr>
        <w:tc>
          <w:tcPr>
            <w:tcW w:type="dxa" w:w="238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二次干预</w:t>
            </w:r>
          </w:p>
        </w:tc>
        <w:tc>
          <w:tcPr>
            <w:tcW w:type="dxa" w:w="6917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No-show/超期是否再次行动</w:t>
            </w:r>
          </w:p>
        </w:tc>
      </w:tr>
      <w:tr>
        <w:tc>
          <w:tcPr>
            <w:tcW w:type="dxa" w:w="238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最终复诊</w:t>
            </w:r>
          </w:p>
        </w:tc>
        <w:tc>
          <w:tcPr>
            <w:tcW w:type="dxa" w:w="691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7/14/30天等指标，按业务类型配置</w:t>
            </w:r>
          </w:p>
        </w:tc>
      </w:tr>
      <w:tr>
        <w:tc>
          <w:tcPr>
            <w:tcW w:type="dxa" w:w="238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合理流失</w:t>
            </w:r>
          </w:p>
        </w:tc>
        <w:tc>
          <w:tcPr>
            <w:tcW w:type="dxa" w:w="6917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需求完成、异地、主动拒绝等不简单算作医生经营失败</w:t>
            </w:r>
          </w:p>
        </w:tc>
      </w:tr>
    </w:tbl>
    <w:p>
      <w:pPr>
        <w:spacing w:after="20"/>
      </w:pPr>
    </w:p>
    <w:p>
      <w:pPr>
        <w:pStyle w:val="Heading2"/>
      </w:pPr>
      <w:r>
        <w:t>6.3 Growth Engine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701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模式</w:t>
            </w:r>
          </w:p>
        </w:tc>
        <w:tc>
          <w:tcPr>
            <w:tcW w:type="dxa" w:w="2551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3005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2268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评价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Always-on</w:t>
            </w:r>
          </w:p>
        </w:tc>
        <w:tc>
          <w:tcPr>
            <w:tcW w:type="dxa" w:w="255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生命周期、活跃度、项目、门店产能</w:t>
            </w:r>
          </w:p>
        </w:tc>
        <w:tc>
          <w:tcPr>
            <w:tcW w:type="dxa" w:w="300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轻触达、到期、内容、老客运营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持续增量收入/退订/投诉</w:t>
            </w:r>
          </w:p>
        </w:tc>
      </w:tr>
      <w:tr>
        <w:tc>
          <w:tcPr>
            <w:tcW w:type="dxa" w:w="170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Campaign</w:t>
            </w:r>
          </w:p>
        </w:tc>
        <w:tc>
          <w:tcPr>
            <w:tcW w:type="dxa" w:w="255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节气/节日/淡旺季/经营目标</w:t>
            </w:r>
          </w:p>
        </w:tc>
        <w:tc>
          <w:tcPr>
            <w:tcW w:type="dxa" w:w="3005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主题、客群、套餐、定价、内容、任务</w:t>
            </w:r>
          </w:p>
        </w:tc>
        <w:tc>
          <w:tcPr>
            <w:tcW w:type="dxa" w:w="226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A/B/Control，增量预约/到店/毛利</w:t>
            </w:r>
          </w:p>
        </w:tc>
      </w:tr>
    </w:tbl>
    <w:p>
      <w:pPr>
        <w:spacing w:after="20"/>
      </w:pPr>
    </w:p>
    <w:p>
      <w:pPr>
        <w:pStyle w:val="Heading1"/>
      </w:pPr>
      <w:r>
        <w:t>7. 底层公共能力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57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3628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90天MVP形态</w:t>
            </w:r>
          </w:p>
        </w:tc>
        <w:tc>
          <w:tcPr>
            <w:tcW w:type="dxa" w:w="4195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后续产品化方向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Attribution</w:t>
            </w:r>
          </w:p>
        </w:tc>
        <w:tc>
          <w:tcPr>
            <w:tcW w:type="dxa" w:w="362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人工/脚本分组、基础增量公式</w:t>
            </w:r>
          </w:p>
        </w:tc>
        <w:tc>
          <w:tcPr>
            <w:tcW w:type="dxa" w:w="419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可配置实验与多触点归因</w:t>
            </w:r>
          </w:p>
        </w:tc>
      </w:tr>
      <w:tr>
        <w:tc>
          <w:tcPr>
            <w:tcW w:type="dxa" w:w="1757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Diagnosis</w:t>
            </w:r>
          </w:p>
        </w:tc>
        <w:tc>
          <w:tcPr>
            <w:tcW w:type="dxa" w:w="362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漏斗节点规则、异常阈值</w:t>
            </w:r>
          </w:p>
        </w:tc>
        <w:tc>
          <w:tcPr>
            <w:tcW w:type="dxa" w:w="4195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动态Benchmark、因果/概率诊断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Experimentation</w:t>
            </w:r>
          </w:p>
        </w:tc>
        <w:tc>
          <w:tcPr>
            <w:tcW w:type="dxa" w:w="362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A/B/Holdout模板</w:t>
            </w:r>
          </w:p>
        </w:tc>
        <w:tc>
          <w:tcPr>
            <w:tcW w:type="dxa" w:w="419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自动实验编排、显著性与长期效果</w:t>
            </w:r>
          </w:p>
        </w:tc>
      </w:tr>
      <w:tr>
        <w:tc>
          <w:tcPr>
            <w:tcW w:type="dxa" w:w="1757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Prescription</w:t>
            </w:r>
          </w:p>
        </w:tc>
        <w:tc>
          <w:tcPr>
            <w:tcW w:type="dxa" w:w="362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规则库+人工审核</w:t>
            </w:r>
          </w:p>
        </w:tc>
        <w:tc>
          <w:tcPr>
            <w:tcW w:type="dxa" w:w="4195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基于相似机构/客户的动作推荐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Execution</w:t>
            </w:r>
          </w:p>
        </w:tc>
        <w:tc>
          <w:tcPr>
            <w:tcW w:type="dxa" w:w="362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今日任务+状态回收</w:t>
            </w:r>
          </w:p>
        </w:tc>
        <w:tc>
          <w:tcPr>
            <w:tcW w:type="dxa" w:w="419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多渠道编排、Agent自动执行</w:t>
            </w:r>
          </w:p>
        </w:tc>
      </w:tr>
      <w:tr>
        <w:tc>
          <w:tcPr>
            <w:tcW w:type="dxa" w:w="1757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Learning</w:t>
            </w:r>
          </w:p>
        </w:tc>
        <w:tc>
          <w:tcPr>
            <w:tcW w:type="dxa" w:w="362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每周人工复盘</w:t>
            </w:r>
          </w:p>
        </w:tc>
        <w:tc>
          <w:tcPr>
            <w:tcW w:type="dxa" w:w="4195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Action→Outcome模型与机构级策略学习</w:t>
            </w:r>
          </w:p>
        </w:tc>
      </w:tr>
    </w:tbl>
    <w:p>
      <w:pPr>
        <w:spacing w:after="20"/>
      </w:pPr>
    </w:p>
    <w:p>
      <w:pPr>
        <w:pStyle w:val="Heading1"/>
      </w:pPr>
      <w:r>
        <w:t>8. 数据字典与数据边界</w:t>
      </w:r>
    </w:p>
    <w:p>
      <w:pPr>
        <w:pStyle w:val="Heading2"/>
      </w:pPr>
      <w:r>
        <w:t>8.1 六张基础表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</w:t>
            </w:r>
          </w:p>
        </w:tc>
        <w:tc>
          <w:tcPr>
            <w:tcW w:type="dxa" w:w="5102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核心字段（示例）</w:t>
            </w:r>
          </w:p>
        </w:tc>
        <w:tc>
          <w:tcPr>
            <w:tcW w:type="dxa" w:w="2665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Customer</w:t>
            </w:r>
          </w:p>
        </w:tc>
        <w:tc>
          <w:tcPr>
            <w:tcW w:type="dxa" w:w="510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customer_id, first_visit, last_visit, total_visits, total_revenue, contact_status, consent_status, dnc, complaint_flag</w:t>
            </w:r>
          </w:p>
        </w:tc>
        <w:tc>
          <w:tcPr>
            <w:tcW w:type="dxa" w:w="266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客户主档/分群</w:t>
            </w:r>
          </w:p>
        </w:tc>
      </w:tr>
      <w:tr>
        <w:tc>
          <w:tcPr>
            <w:tcW w:type="dxa" w:w="170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Visit</w:t>
            </w:r>
          </w:p>
        </w:tc>
        <w:tc>
          <w:tcPr>
            <w:tcW w:type="dxa" w:w="5102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visit_id, customer_id, date, first/revisit, doctor, service_category, completed</w:t>
            </w:r>
          </w:p>
        </w:tc>
        <w:tc>
          <w:tcPr>
            <w:tcW w:type="dxa" w:w="2665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到店与复诊漏斗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Transaction</w:t>
            </w:r>
          </w:p>
        </w:tc>
        <w:tc>
          <w:tcPr>
            <w:tcW w:type="dxa" w:w="510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transaction_id, customer_id, date, amount, service_category, package_id, store, staff</w:t>
            </w:r>
          </w:p>
        </w:tc>
        <w:tc>
          <w:tcPr>
            <w:tcW w:type="dxa" w:w="266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收入与LTV</w:t>
            </w:r>
          </w:p>
        </w:tc>
      </w:tr>
      <w:tr>
        <w:tc>
          <w:tcPr>
            <w:tcW w:type="dxa" w:w="170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Appointment</w:t>
            </w:r>
          </w:p>
        </w:tc>
        <w:tc>
          <w:tcPr>
            <w:tcW w:type="dxa" w:w="5102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appointment_id, created_date, appointment_date, source, completed, cancelled, no_show</w:t>
            </w:r>
          </w:p>
        </w:tc>
        <w:tc>
          <w:tcPr>
            <w:tcW w:type="dxa" w:w="2665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预约与履约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Followup</w:t>
            </w:r>
          </w:p>
        </w:tc>
        <w:tc>
          <w:tcPr>
            <w:tcW w:type="dxa" w:w="510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customer_id, date, staff, channel, reason, result, appointment_created, next_action</w:t>
            </w:r>
          </w:p>
        </w:tc>
        <w:tc>
          <w:tcPr>
            <w:tcW w:type="dxa" w:w="266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执行与触达</w:t>
            </w:r>
          </w:p>
        </w:tc>
      </w:tr>
      <w:tr>
        <w:tc>
          <w:tcPr>
            <w:tcW w:type="dxa" w:w="170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Campaign</w:t>
            </w:r>
          </w:p>
        </w:tc>
        <w:tc>
          <w:tcPr>
            <w:tcW w:type="dxa" w:w="5102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campaign_id, type, target_segment, cost, reached, appointments, visits, revenue</w:t>
            </w:r>
          </w:p>
        </w:tc>
        <w:tc>
          <w:tcPr>
            <w:tcW w:type="dxa" w:w="2665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Growth归因</w:t>
            </w:r>
          </w:p>
        </w:tc>
      </w:tr>
    </w:tbl>
    <w:p>
      <w:pPr>
        <w:spacing w:after="20"/>
      </w:pPr>
    </w:p>
    <w:p>
      <w:pPr>
        <w:pStyle w:val="Heading2"/>
      </w:pPr>
      <w:r>
        <w:t>8.2 数据质量评分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3515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检查</w:t>
            </w:r>
          </w:p>
        </w:tc>
        <w:tc>
          <w:tcPr>
            <w:tcW w:type="dxa" w:w="4252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完整性</w:t>
            </w:r>
          </w:p>
        </w:tc>
        <w:tc>
          <w:tcPr>
            <w:tcW w:type="dxa" w:w="351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关键日期、金额、客户ID是否缺失</w:t>
            </w:r>
          </w:p>
        </w:tc>
        <w:tc>
          <w:tcPr>
            <w:tcW w:type="dxa" w:w="425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缺失率过高的门店不进入主实验</w:t>
            </w:r>
          </w:p>
        </w:tc>
      </w:tr>
      <w:tr>
        <w:tc>
          <w:tcPr>
            <w:tcW w:type="dxa" w:w="170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一致性</w:t>
            </w:r>
          </w:p>
        </w:tc>
        <w:tc>
          <w:tcPr>
            <w:tcW w:type="dxa" w:w="3515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客户ID、交易、到店是否能关联</w:t>
            </w:r>
          </w:p>
        </w:tc>
        <w:tc>
          <w:tcPr>
            <w:tcW w:type="dxa" w:w="4252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建立映射与去重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时效性</w:t>
            </w:r>
          </w:p>
        </w:tc>
        <w:tc>
          <w:tcPr>
            <w:tcW w:type="dxa" w:w="351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数据是否持续更新</w:t>
            </w:r>
          </w:p>
        </w:tc>
        <w:tc>
          <w:tcPr>
            <w:tcW w:type="dxa" w:w="425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试点期间至少日/周级更新</w:t>
            </w:r>
          </w:p>
        </w:tc>
      </w:tr>
      <w:tr>
        <w:tc>
          <w:tcPr>
            <w:tcW w:type="dxa" w:w="170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授权状态</w:t>
            </w:r>
          </w:p>
        </w:tc>
        <w:tc>
          <w:tcPr>
            <w:tcW w:type="dxa" w:w="3515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是否可合法用于相应触达</w:t>
            </w:r>
          </w:p>
        </w:tc>
        <w:tc>
          <w:tcPr>
            <w:tcW w:type="dxa" w:w="4252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未明确允许的客户不得进入营销队列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敏感边界</w:t>
            </w:r>
          </w:p>
        </w:tc>
        <w:tc>
          <w:tcPr>
            <w:tcW w:type="dxa" w:w="351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是否混入病历/诊断/处方</w:t>
            </w:r>
          </w:p>
        </w:tc>
        <w:tc>
          <w:tcPr>
            <w:tcW w:type="dxa" w:w="425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MVP默认剔除非必要诊疗数据</w:t>
            </w:r>
          </w:p>
        </w:tc>
      </w:tr>
    </w:tbl>
    <w:p>
      <w:pPr>
        <w:spacing w:after="20"/>
      </w:pPr>
    </w:p>
    <w:p>
      <w:pPr>
        <w:pStyle w:val="Heading1"/>
      </w:pPr>
      <w:r>
        <w:t>9. 实验与归因设计</w:t>
      </w:r>
    </w:p>
    <w:p>
      <w:pPr>
        <w:pStyle w:val="Heading2"/>
      </w:pPr>
      <w:r>
        <w:t>9.1 Recovery示例</w:t>
      </w:r>
    </w:p>
    <w:p>
      <w:r>
        <w:t>将同层级沉睡客户随机分为Treatment与Holdout。若Treatment回店率18%，Holdout自然回店率7%，则增量Lift约11个百分点；增量收入应基于该差额而不是18%的全部收入。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350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公式/口径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Incremental Lift</w:t>
            </w:r>
          </w:p>
        </w:tc>
        <w:tc>
          <w:tcPr>
            <w:tcW w:type="dxa" w:w="6350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Treatment Rate − Holdout Rate</w:t>
            </w:r>
          </w:p>
        </w:tc>
      </w:tr>
      <w:tr>
        <w:tc>
          <w:tcPr>
            <w:tcW w:type="dxa" w:w="2835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Incremental Customers</w:t>
            </w:r>
          </w:p>
        </w:tc>
        <w:tc>
          <w:tcPr>
            <w:tcW w:type="dxa" w:w="6350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Eligible Customers × Incremental Lift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Incremental Revenue</w:t>
            </w:r>
          </w:p>
        </w:tc>
        <w:tc>
          <w:tcPr>
            <w:tcW w:type="dxa" w:w="6350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Incremental Customers × 平均归因客单（或更严格模型）</w:t>
            </w:r>
          </w:p>
        </w:tc>
      </w:tr>
      <w:tr>
        <w:tc>
          <w:tcPr>
            <w:tcW w:type="dxa" w:w="2835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Incremental Contribution</w:t>
            </w:r>
          </w:p>
        </w:tc>
        <w:tc>
          <w:tcPr>
            <w:tcW w:type="dxa" w:w="6350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增量收入 − 优惠 − 渠道 − 可变人工等直接成本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ClinicOS ROI</w:t>
            </w:r>
          </w:p>
        </w:tc>
        <w:tc>
          <w:tcPr>
            <w:tcW w:type="dxa" w:w="6350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Incremental Contribution ÷ ClinicOS费用（内部和客户口径需固定）</w:t>
            </w:r>
          </w:p>
        </w:tc>
      </w:tr>
    </w:tbl>
    <w:p>
      <w:pPr>
        <w:spacing w:after="20"/>
      </w:pPr>
    </w:p>
    <w:p>
      <w:pPr>
        <w:pStyle w:val="Heading2"/>
      </w:pPr>
      <w:r>
        <w:t>9.2 实验纪律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color w:val="374151"/>
          <w:sz w:val="21"/>
        </w:rPr>
        <w:t>实验前写明假设、样本、动作、对照、观察周期和成功阈值。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color w:val="374151"/>
          <w:sz w:val="21"/>
        </w:rPr>
        <w:t>不得实验后再挑指标“证明成功”。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color w:val="374151"/>
          <w:sz w:val="21"/>
        </w:rPr>
        <w:t>样本不足时明确标记“方向性信号”，不夸大统计结论。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color w:val="374151"/>
          <w:sz w:val="21"/>
        </w:rPr>
        <w:t>客户投诉、退订、拒绝触达属于负向结果，必须进入评估。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color w:val="374151"/>
          <w:sz w:val="21"/>
        </w:rPr>
        <w:t>同一客户避免短期参加多个冲突实验，防止归因污染。</w:t>
      </w:r>
    </w:p>
    <w:p>
      <w:pPr>
        <w:pStyle w:val="Heading1"/>
      </w:pPr>
      <w:r>
        <w:t>10. 三套核心SOP</w:t>
      </w:r>
    </w:p>
    <w:p>
      <w:pPr>
        <w:pStyle w:val="Heading2"/>
      </w:pPr>
      <w:r>
        <w:t>10.1 《沉睡客户激活执行SOP》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191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4082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3969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必须记录</w:t>
            </w:r>
          </w:p>
        </w:tc>
      </w:tr>
      <w:tr>
        <w:tc>
          <w:tcPr>
            <w:tcW w:type="dxa" w:w="119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1 分类</w:t>
            </w:r>
          </w:p>
        </w:tc>
        <w:tc>
          <w:tcPr>
            <w:tcW w:type="dxa" w:w="408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按生命周期/价值/状态分群</w:t>
            </w:r>
          </w:p>
        </w:tc>
        <w:tc>
          <w:tcPr>
            <w:tcW w:type="dxa" w:w="3969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客户类型、Score</w:t>
            </w:r>
          </w:p>
        </w:tc>
      </w:tr>
      <w:tr>
        <w:tc>
          <w:tcPr>
            <w:tcW w:type="dxa" w:w="119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2 排除</w:t>
            </w:r>
          </w:p>
        </w:tc>
        <w:tc>
          <w:tcPr>
            <w:tcW w:type="dxa" w:w="4082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DNC、投诉、无效号码、合理终止</w:t>
            </w:r>
          </w:p>
        </w:tc>
        <w:tc>
          <w:tcPr>
            <w:tcW w:type="dxa" w:w="3969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排除原因</w:t>
            </w:r>
          </w:p>
        </w:tc>
      </w:tr>
      <w:tr>
        <w:tc>
          <w:tcPr>
            <w:tcW w:type="dxa" w:w="119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3 分组</w:t>
            </w:r>
          </w:p>
        </w:tc>
        <w:tc>
          <w:tcPr>
            <w:tcW w:type="dxa" w:w="408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Treatment/Holdout或A/B</w:t>
            </w:r>
          </w:p>
        </w:tc>
        <w:tc>
          <w:tcPr>
            <w:tcW w:type="dxa" w:w="3969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实验组别</w:t>
            </w:r>
          </w:p>
        </w:tc>
      </w:tr>
      <w:tr>
        <w:tc>
          <w:tcPr>
            <w:tcW w:type="dxa" w:w="119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4 下发</w:t>
            </w:r>
          </w:p>
        </w:tc>
        <w:tc>
          <w:tcPr>
            <w:tcW w:type="dxa" w:w="4082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指定Owner、渠道、时间和话术</w:t>
            </w:r>
          </w:p>
        </w:tc>
        <w:tc>
          <w:tcPr>
            <w:tcW w:type="dxa" w:w="3969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task_id</w:t>
            </w:r>
          </w:p>
        </w:tc>
      </w:tr>
      <w:tr>
        <w:tc>
          <w:tcPr>
            <w:tcW w:type="dxa" w:w="119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5 执行</w:t>
            </w:r>
          </w:p>
        </w:tc>
        <w:tc>
          <w:tcPr>
            <w:tcW w:type="dxa" w:w="408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按SOP触达</w:t>
            </w:r>
          </w:p>
        </w:tc>
        <w:tc>
          <w:tcPr>
            <w:tcW w:type="dxa" w:w="3969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触达时间/渠道</w:t>
            </w:r>
          </w:p>
        </w:tc>
      </w:tr>
      <w:tr>
        <w:tc>
          <w:tcPr>
            <w:tcW w:type="dxa" w:w="119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6 状态更新</w:t>
            </w:r>
          </w:p>
        </w:tc>
        <w:tc>
          <w:tcPr>
            <w:tcW w:type="dxa" w:w="4082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回复/预约/到店/成交</w:t>
            </w:r>
          </w:p>
        </w:tc>
        <w:tc>
          <w:tcPr>
            <w:tcW w:type="dxa" w:w="3969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结果状态</w:t>
            </w:r>
          </w:p>
        </w:tc>
      </w:tr>
      <w:tr>
        <w:tc>
          <w:tcPr>
            <w:tcW w:type="dxa" w:w="119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7 归因</w:t>
            </w:r>
          </w:p>
        </w:tc>
        <w:tc>
          <w:tcPr>
            <w:tcW w:type="dxa" w:w="408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与对照比较</w:t>
            </w:r>
          </w:p>
        </w:tc>
        <w:tc>
          <w:tcPr>
            <w:tcW w:type="dxa" w:w="3969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增量Lift/收入</w:t>
            </w:r>
          </w:p>
        </w:tc>
      </w:tr>
      <w:tr>
        <w:tc>
          <w:tcPr>
            <w:tcW w:type="dxa" w:w="119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8 复盘</w:t>
            </w:r>
          </w:p>
        </w:tc>
        <w:tc>
          <w:tcPr>
            <w:tcW w:type="dxa" w:w="4082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每周更新规则</w:t>
            </w:r>
          </w:p>
        </w:tc>
        <w:tc>
          <w:tcPr>
            <w:tcW w:type="dxa" w:w="3969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保留/淘汰动作</w:t>
            </w:r>
          </w:p>
        </w:tc>
      </w:tr>
    </w:tbl>
    <w:p>
      <w:pPr>
        <w:spacing w:after="20"/>
      </w:pPr>
    </w:p>
    <w:p>
      <w:pPr>
        <w:pStyle w:val="Heading2"/>
      </w:pPr>
      <w:r>
        <w:t>10.2 《诊后复诊管理SOP》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7030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标准动作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离店前</w:t>
            </w:r>
          </w:p>
        </w:tc>
        <w:tc>
          <w:tcPr>
            <w:tcW w:type="dxa" w:w="7030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确认后续建议是否明确；可适用时锁定下一次预约</w:t>
            </w:r>
          </w:p>
        </w:tc>
      </w:tr>
      <w:tr>
        <w:tc>
          <w:tcPr>
            <w:tcW w:type="dxa" w:w="226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诊后</w:t>
            </w:r>
          </w:p>
        </w:tc>
        <w:tc>
          <w:tcPr>
            <w:tcW w:type="dxa" w:w="7030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按项目配置关怀/提醒窗口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预约前</w:t>
            </w:r>
          </w:p>
        </w:tc>
        <w:tc>
          <w:tcPr>
            <w:tcW w:type="dxa" w:w="7030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提醒并确认履约</w:t>
            </w:r>
          </w:p>
        </w:tc>
      </w:tr>
      <w:tr>
        <w:tc>
          <w:tcPr>
            <w:tcW w:type="dxa" w:w="226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No-show</w:t>
            </w:r>
          </w:p>
        </w:tc>
        <w:tc>
          <w:tcPr>
            <w:tcW w:type="dxa" w:w="7030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记录原因并按规则二次干预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超期</w:t>
            </w:r>
          </w:p>
        </w:tc>
        <w:tc>
          <w:tcPr>
            <w:tcW w:type="dxa" w:w="7030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进入复诊预警；达到阈值后转Recovery</w:t>
            </w:r>
          </w:p>
        </w:tc>
      </w:tr>
      <w:tr>
        <w:tc>
          <w:tcPr>
            <w:tcW w:type="dxa" w:w="226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合理终止</w:t>
            </w:r>
          </w:p>
        </w:tc>
        <w:tc>
          <w:tcPr>
            <w:tcW w:type="dxa" w:w="7030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记录原因，不直接计入经营性流失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每周复盘</w:t>
            </w:r>
          </w:p>
        </w:tc>
        <w:tc>
          <w:tcPr>
            <w:tcW w:type="dxa" w:w="7030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按医生/员工/节点找漏损，不只看最终复诊率</w:t>
            </w:r>
          </w:p>
        </w:tc>
      </w:tr>
    </w:tbl>
    <w:p>
      <w:pPr>
        <w:spacing w:after="20"/>
      </w:pPr>
    </w:p>
    <w:p>
      <w:pPr>
        <w:pStyle w:val="Heading2"/>
      </w:pPr>
      <w:r>
        <w:t>10.3 《营销活动执行SOP》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814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7427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标准动作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目标</w:t>
            </w:r>
          </w:p>
        </w:tc>
        <w:tc>
          <w:tcPr>
            <w:tcW w:type="dxa" w:w="742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先定义增量预约/到店/收入/毛利，不以“发了多少内容”为目标</w:t>
            </w:r>
          </w:p>
        </w:tc>
      </w:tr>
      <w:tr>
        <w:tc>
          <w:tcPr>
            <w:tcW w:type="dxa" w:w="181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客群</w:t>
            </w:r>
          </w:p>
        </w:tc>
        <w:tc>
          <w:tcPr>
            <w:tcW w:type="dxa" w:w="7427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明确分群、排除DNC和不适宜人群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方案</w:t>
            </w:r>
          </w:p>
        </w:tc>
        <w:tc>
          <w:tcPr>
            <w:tcW w:type="dxa" w:w="742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Always-on或Campaign；设置预算和产能约束</w:t>
            </w:r>
          </w:p>
        </w:tc>
      </w:tr>
      <w:tr>
        <w:tc>
          <w:tcPr>
            <w:tcW w:type="dxa" w:w="181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内容</w:t>
            </w:r>
          </w:p>
        </w:tc>
        <w:tc>
          <w:tcPr>
            <w:tcW w:type="dxa" w:w="7427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生成→风险扫描→人工审批→发布留痕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实验</w:t>
            </w:r>
          </w:p>
        </w:tc>
        <w:tc>
          <w:tcPr>
            <w:tcW w:type="dxa" w:w="742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A/B/Control或阶段性holdout</w:t>
            </w:r>
          </w:p>
        </w:tc>
      </w:tr>
      <w:tr>
        <w:tc>
          <w:tcPr>
            <w:tcW w:type="dxa" w:w="181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执行</w:t>
            </w:r>
          </w:p>
        </w:tc>
        <w:tc>
          <w:tcPr>
            <w:tcW w:type="dxa" w:w="7427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任务到人、时间、渠道；记录结果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归因</w:t>
            </w:r>
          </w:p>
        </w:tc>
        <w:tc>
          <w:tcPr>
            <w:tcW w:type="dxa" w:w="742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计算增量而非总回款</w:t>
            </w:r>
          </w:p>
        </w:tc>
      </w:tr>
      <w:tr>
        <w:tc>
          <w:tcPr>
            <w:tcW w:type="dxa" w:w="181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复盘</w:t>
            </w:r>
          </w:p>
        </w:tc>
        <w:tc>
          <w:tcPr>
            <w:tcW w:type="dxa" w:w="7427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沉淀Action→Outcome并决定是否规模复制</w:t>
            </w:r>
          </w:p>
        </w:tc>
      </w:tr>
    </w:tbl>
    <w:p>
      <w:pPr>
        <w:spacing w:after="20"/>
      </w:pPr>
    </w:p>
    <w:p>
      <w:pPr>
        <w:pStyle w:val="Heading1"/>
      </w:pPr>
      <w:r>
        <w:t>11. 员工端与老板端</w:t>
      </w:r>
    </w:p>
    <w:p>
      <w:pPr>
        <w:pStyle w:val="Heading2"/>
      </w:pPr>
      <w:r>
        <w:t>11.1 员工端：Today Tasks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860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38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今日任务</w:t>
            </w:r>
          </w:p>
        </w:tc>
        <w:tc>
          <w:tcPr>
            <w:tcW w:type="dxa" w:w="6860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36项；Recovery 18 / Retention 12 / Growth 6</w:t>
            </w:r>
          </w:p>
        </w:tc>
      </w:tr>
      <w:tr>
        <w:tc>
          <w:tcPr>
            <w:tcW w:type="dxa" w:w="238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客户原因</w:t>
            </w:r>
          </w:p>
        </w:tc>
        <w:tc>
          <w:tcPr>
            <w:tcW w:type="dxa" w:w="6860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疗程中断12天 / 初诊未复诊 / 高价值沉睡</w:t>
            </w:r>
          </w:p>
        </w:tc>
      </w:tr>
      <w:tr>
        <w:tc>
          <w:tcPr>
            <w:tcW w:type="dxa" w:w="238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预计价值</w:t>
            </w:r>
          </w:p>
        </w:tc>
        <w:tc>
          <w:tcPr>
            <w:tcW w:type="dxa" w:w="6860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¥720（仅作为优先级参考，不承诺）</w:t>
            </w:r>
          </w:p>
        </w:tc>
      </w:tr>
      <w:tr>
        <w:tc>
          <w:tcPr>
            <w:tcW w:type="dxa" w:w="238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建议动作</w:t>
            </w:r>
          </w:p>
        </w:tc>
        <w:tc>
          <w:tcPr>
            <w:tcW w:type="dxa" w:w="6860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原服务人员企微一对一；今天16:00前</w:t>
            </w:r>
          </w:p>
        </w:tc>
      </w:tr>
      <w:tr>
        <w:tc>
          <w:tcPr>
            <w:tcW w:type="dxa" w:w="238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状态</w:t>
            </w:r>
          </w:p>
        </w:tc>
        <w:tc>
          <w:tcPr>
            <w:tcW w:type="dxa" w:w="6860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未联系→已联系→回复→预约→到店→成交/结束</w:t>
            </w:r>
          </w:p>
        </w:tc>
      </w:tr>
      <w:tr>
        <w:tc>
          <w:tcPr>
            <w:tcW w:type="dxa" w:w="238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反馈</w:t>
            </w:r>
          </w:p>
        </w:tc>
        <w:tc>
          <w:tcPr>
            <w:tcW w:type="dxa" w:w="6860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显示有效执行、预约、回店和可归因增量，不鼓励刷任务</w:t>
            </w:r>
          </w:p>
        </w:tc>
      </w:tr>
    </w:tbl>
    <w:p>
      <w:pPr>
        <w:spacing w:after="20"/>
      </w:pPr>
    </w:p>
    <w:p>
      <w:pPr>
        <w:pStyle w:val="Heading2"/>
      </w:pPr>
      <w:r>
        <w:t>11.2 老板端：经营驾驶舱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区块</w:t>
            </w:r>
          </w:p>
        </w:tc>
        <w:tc>
          <w:tcPr>
            <w:tcW w:type="dxa" w:w="7030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核心数字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过去的钱</w:t>
            </w:r>
          </w:p>
        </w:tc>
        <w:tc>
          <w:tcPr>
            <w:tcW w:type="dxa" w:w="7030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可恢复收入、增量追回收入、Recovery ROI</w:t>
            </w:r>
          </w:p>
        </w:tc>
      </w:tr>
      <w:tr>
        <w:tc>
          <w:tcPr>
            <w:tcW w:type="dxa" w:w="226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现在的钱</w:t>
            </w:r>
          </w:p>
        </w:tc>
        <w:tc>
          <w:tcPr>
            <w:tcW w:type="dxa" w:w="7030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应复诊、超期复诊、Adjusted Retention Rate、漏损节点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未来的钱</w:t>
            </w:r>
          </w:p>
        </w:tc>
        <w:tc>
          <w:tcPr>
            <w:tcW w:type="dxa" w:w="7030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Growth计划、执行率、预计/实际增量收入</w:t>
            </w:r>
          </w:p>
        </w:tc>
      </w:tr>
      <w:tr>
        <w:tc>
          <w:tcPr>
            <w:tcW w:type="dxa" w:w="226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异常</w:t>
            </w:r>
          </w:p>
        </w:tc>
        <w:tc>
          <w:tcPr>
            <w:tcW w:type="dxa" w:w="7030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医生过程漏斗异常、员工执行异常、高价值流失、活动ROI下降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本月总结果</w:t>
            </w:r>
          </w:p>
        </w:tc>
        <w:tc>
          <w:tcPr>
            <w:tcW w:type="dxa" w:w="7030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Incremental Recovery + Retention + Growth</w:t>
            </w:r>
          </w:p>
        </w:tc>
      </w:tr>
    </w:tbl>
    <w:p>
      <w:pPr>
        <w:spacing w:after="20"/>
      </w:pPr>
    </w:p>
    <w:p>
      <w:pPr>
        <w:pStyle w:val="Heading1"/>
      </w:pPr>
      <w:r>
        <w:t>12. 技术架构与跨境研发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3F2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63B3B"/>
                <w:sz w:val="22"/>
              </w:rPr>
              <w:t>架构原则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21"/>
              </w:rPr>
              <w:t>研发地点可以在新加坡或越南，但中国真实客户数据的生产处理链路应优先设计为中国境内数据面。境外团队默认使用模拟、脱敏或匿名化数据进行研发与测试。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87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</w:t>
            </w:r>
          </w:p>
        </w:tc>
        <w:tc>
          <w:tcPr>
            <w:tcW w:type="dxa" w:w="2268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2891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90天实现方式</w:t>
            </w:r>
          </w:p>
        </w:tc>
        <w:tc>
          <w:tcPr>
            <w:tcW w:type="dxa" w:w="2835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PMF后方向</w:t>
            </w:r>
          </w:p>
        </w:tc>
      </w:tr>
      <w:tr>
        <w:tc>
          <w:tcPr>
            <w:tcW w:type="dxa" w:w="158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Integration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Excel/CSV/API导入</w:t>
            </w:r>
          </w:p>
        </w:tc>
        <w:tc>
          <w:tcPr>
            <w:tcW w:type="dxa" w:w="289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标准模板+人工清洗工具</w:t>
            </w:r>
          </w:p>
        </w:tc>
        <w:tc>
          <w:tcPr>
            <w:tcW w:type="dxa" w:w="283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连接主流HIS/CRM/企微</w:t>
            </w:r>
          </w:p>
        </w:tc>
      </w:tr>
      <w:tr>
        <w:tc>
          <w:tcPr>
            <w:tcW w:type="dxa" w:w="1587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China Data Plane</w:t>
            </w:r>
          </w:p>
        </w:tc>
        <w:tc>
          <w:tcPr>
            <w:tcW w:type="dxa" w:w="226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数据库、任务、实验、审计</w:t>
            </w:r>
          </w:p>
        </w:tc>
        <w:tc>
          <w:tcPr>
            <w:tcW w:type="dxa" w:w="289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中国境内云/受控环境</w:t>
            </w:r>
          </w:p>
        </w:tc>
        <w:tc>
          <w:tcPr>
            <w:tcW w:type="dxa" w:w="2835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多租户、加密、细粒度权限</w:t>
            </w:r>
          </w:p>
        </w:tc>
      </w:tr>
      <w:tr>
        <w:tc>
          <w:tcPr>
            <w:tcW w:type="dxa" w:w="158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Decision Layer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Score/规则/实验/诊断</w:t>
            </w:r>
          </w:p>
        </w:tc>
        <w:tc>
          <w:tcPr>
            <w:tcW w:type="dxa" w:w="289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Python/SQL/规则库</w:t>
            </w:r>
          </w:p>
        </w:tc>
        <w:tc>
          <w:tcPr>
            <w:tcW w:type="dxa" w:w="283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实时特征、模型与Agent</w:t>
            </w:r>
          </w:p>
        </w:tc>
      </w:tr>
      <w:tr>
        <w:tc>
          <w:tcPr>
            <w:tcW w:type="dxa" w:w="1587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Application</w:t>
            </w:r>
          </w:p>
        </w:tc>
        <w:tc>
          <w:tcPr>
            <w:tcW w:type="dxa" w:w="226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运营后台/任务/老板看板</w:t>
            </w:r>
          </w:p>
        </w:tc>
        <w:tc>
          <w:tcPr>
            <w:tcW w:type="dxa" w:w="289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轻量Web后台</w:t>
            </w:r>
          </w:p>
        </w:tc>
        <w:tc>
          <w:tcPr>
            <w:tcW w:type="dxa" w:w="2835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SaaS正式产品</w:t>
            </w:r>
          </w:p>
        </w:tc>
      </w:tr>
      <w:tr>
        <w:tc>
          <w:tcPr>
            <w:tcW w:type="dxa" w:w="158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Global Control Plane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代码、配置、模型版本</w:t>
            </w:r>
          </w:p>
        </w:tc>
        <w:tc>
          <w:tcPr>
            <w:tcW w:type="dxa" w:w="289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Git/CI/CD，不带真实患者数据</w:t>
            </w:r>
          </w:p>
        </w:tc>
        <w:tc>
          <w:tcPr>
            <w:tcW w:type="dxa" w:w="283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新加坡/越南研发体系</w:t>
            </w:r>
          </w:p>
        </w:tc>
      </w:tr>
      <w:tr>
        <w:tc>
          <w:tcPr>
            <w:tcW w:type="dxa" w:w="1587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Observability</w:t>
            </w:r>
          </w:p>
        </w:tc>
        <w:tc>
          <w:tcPr>
            <w:tcW w:type="dxa" w:w="226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日志、实验、数据质量</w:t>
            </w:r>
          </w:p>
        </w:tc>
        <w:tc>
          <w:tcPr>
            <w:tcW w:type="dxa" w:w="289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基础审计与错误记录</w:t>
            </w:r>
          </w:p>
        </w:tc>
        <w:tc>
          <w:tcPr>
            <w:tcW w:type="dxa" w:w="2835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全链路审计/告警/SLA</w:t>
            </w:r>
          </w:p>
        </w:tc>
      </w:tr>
    </w:tbl>
    <w:p>
      <w:pPr>
        <w:spacing w:after="20"/>
      </w:pPr>
    </w:p>
    <w:p>
      <w:pPr>
        <w:pStyle w:val="Heading2"/>
      </w:pPr>
      <w:r>
        <w:t>12.1 研发组织选择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94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1984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适用阶段</w:t>
            </w:r>
          </w:p>
        </w:tc>
        <w:tc>
          <w:tcPr>
            <w:tcW w:type="dxa" w:w="2608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优点</w:t>
            </w:r>
          </w:p>
        </w:tc>
        <w:tc>
          <w:tcPr>
            <w:tcW w:type="dxa" w:w="2665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主要注意</w:t>
            </w:r>
          </w:p>
        </w:tc>
      </w:tr>
      <w:tr>
        <w:tc>
          <w:tcPr>
            <w:tcW w:type="dxa" w:w="249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中国小团队</w:t>
            </w:r>
          </w:p>
        </w:tc>
        <w:tc>
          <w:tcPr>
            <w:tcW w:type="dxa" w:w="198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0→30家</w:t>
            </w:r>
          </w:p>
        </w:tc>
        <w:tc>
          <w:tcPr>
            <w:tcW w:type="dxa" w:w="260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沟通快、试点近、合规简单</w:t>
            </w:r>
          </w:p>
        </w:tc>
        <w:tc>
          <w:tcPr>
            <w:tcW w:type="dxa" w:w="266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工程成本未必最低</w:t>
            </w:r>
          </w:p>
        </w:tc>
      </w:tr>
      <w:tr>
        <w:tc>
          <w:tcPr>
            <w:tcW w:type="dxa" w:w="249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越南R&amp;D</w:t>
            </w:r>
          </w:p>
        </w:tc>
        <w:tc>
          <w:tcPr>
            <w:tcW w:type="dxa" w:w="198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PMF前后均可评估</w:t>
            </w:r>
          </w:p>
        </w:tc>
        <w:tc>
          <w:tcPr>
            <w:tcW w:type="dxa" w:w="260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成本与扩招弹性</w:t>
            </w:r>
          </w:p>
        </w:tc>
        <w:tc>
          <w:tcPr>
            <w:tcW w:type="dxa" w:w="2665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产品/业务沟通、数据隔离</w:t>
            </w:r>
          </w:p>
        </w:tc>
      </w:tr>
      <w:tr>
        <w:tc>
          <w:tcPr>
            <w:tcW w:type="dxa" w:w="249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新加坡HQ/R&amp;D</w:t>
            </w:r>
          </w:p>
        </w:tc>
        <w:tc>
          <w:tcPr>
            <w:tcW w:type="dxa" w:w="198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融资/国际化后更合适</w:t>
            </w:r>
          </w:p>
        </w:tc>
        <w:tc>
          <w:tcPr>
            <w:tcW w:type="dxa" w:w="260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IP、融资、国际客户</w:t>
            </w:r>
          </w:p>
        </w:tc>
        <w:tc>
          <w:tcPr>
            <w:tcW w:type="dxa" w:w="266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成本高，早期可能过度建设</w:t>
            </w:r>
          </w:p>
        </w:tc>
      </w:tr>
      <w:tr>
        <w:tc>
          <w:tcPr>
            <w:tcW w:type="dxa" w:w="249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SG HQ + VN R&amp;D + China OpCo</w:t>
            </w:r>
          </w:p>
        </w:tc>
        <w:tc>
          <w:tcPr>
            <w:tcW w:type="dxa" w:w="198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规模化后</w:t>
            </w:r>
          </w:p>
        </w:tc>
        <w:tc>
          <w:tcPr>
            <w:tcW w:type="dxa" w:w="260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兼顾资本、成本、中国市场</w:t>
            </w:r>
          </w:p>
        </w:tc>
        <w:tc>
          <w:tcPr>
            <w:tcW w:type="dxa" w:w="2665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组织复杂度高，不建议0→1直接搭满</w:t>
            </w:r>
          </w:p>
        </w:tc>
      </w:tr>
    </w:tbl>
    <w:p>
      <w:pPr>
        <w:spacing w:after="20"/>
      </w:pPr>
    </w:p>
    <w:p>
      <w:pPr>
        <w:pStyle w:val="Heading1"/>
      </w:pPr>
      <w:r>
        <w:t>13. 安全与合规工作流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7087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客户数据导入</w:t>
            </w:r>
          </w:p>
        </w:tc>
        <w:tc>
          <w:tcPr>
            <w:tcW w:type="dxa" w:w="708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最小化、脱敏/伪名化、权限审批、用途记录</w:t>
            </w:r>
          </w:p>
        </w:tc>
      </w:tr>
      <w:tr>
        <w:tc>
          <w:tcPr>
            <w:tcW w:type="dxa" w:w="226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敏感医疗健康信息</w:t>
            </w:r>
          </w:p>
        </w:tc>
        <w:tc>
          <w:tcPr>
            <w:tcW w:type="dxa" w:w="7087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默认不进入MVP；确需处理时做必要性、授权和专项合规评估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营销触达</w:t>
            </w:r>
          </w:p>
        </w:tc>
        <w:tc>
          <w:tcPr>
            <w:tcW w:type="dxa" w:w="708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Consent + DNC + 退订/投诉池；明确拒绝后全局停止</w:t>
            </w:r>
          </w:p>
        </w:tc>
      </w:tr>
      <w:tr>
        <w:tc>
          <w:tcPr>
            <w:tcW w:type="dxa" w:w="226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AI生成内容</w:t>
            </w:r>
          </w:p>
        </w:tc>
        <w:tc>
          <w:tcPr>
            <w:tcW w:type="dxa" w:w="7087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高风险表达检测、渠道规则、必要人工审批、发布留痕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境外研发访问</w:t>
            </w:r>
          </w:p>
        </w:tc>
        <w:tc>
          <w:tcPr>
            <w:tcW w:type="dxa" w:w="708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默认不得查看真实可识别中国患者数据；使用模拟/脱敏数据</w:t>
            </w:r>
          </w:p>
        </w:tc>
      </w:tr>
      <w:tr>
        <w:tc>
          <w:tcPr>
            <w:tcW w:type="dxa" w:w="226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正式商用</w:t>
            </w:r>
          </w:p>
        </w:tc>
        <w:tc>
          <w:tcPr>
            <w:tcW w:type="dxa" w:w="7087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由中国法律/安全团队复核PIPL、数据安全、广告和行业监管要求</w:t>
            </w:r>
          </w:p>
        </w:tc>
      </w:tr>
    </w:tbl>
    <w:p>
      <w:pPr>
        <w:spacing w:after="20"/>
      </w:pPr>
    </w:p>
    <w:p>
      <w:pPr>
        <w:pStyle w:val="Heading1"/>
      </w:pPr>
      <w:r>
        <w:t>14. 团队与RACI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81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4762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核心责任</w:t>
            </w:r>
          </w:p>
        </w:tc>
        <w:tc>
          <w:tcPr>
            <w:tcW w:type="dxa" w:w="2268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90天建议配置</w:t>
            </w:r>
          </w:p>
        </w:tc>
      </w:tr>
      <w:tr>
        <w:tc>
          <w:tcPr>
            <w:tcW w:type="dxa" w:w="238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Founder/Product Owner</w:t>
            </w:r>
          </w:p>
        </w:tc>
        <w:tc>
          <w:tcPr>
            <w:tcW w:type="dxa" w:w="476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客户、产品取舍、商业模式、Gate决策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1</w:t>
            </w:r>
          </w:p>
        </w:tc>
      </w:tr>
      <w:tr>
        <w:tc>
          <w:tcPr>
            <w:tcW w:type="dxa" w:w="238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Operations Lead</w:t>
            </w:r>
          </w:p>
        </w:tc>
        <w:tc>
          <w:tcPr>
            <w:tcW w:type="dxa" w:w="4762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三套SOP、门店培训、执行质量</w:t>
            </w:r>
          </w:p>
        </w:tc>
        <w:tc>
          <w:tcPr>
            <w:tcW w:type="dxa" w:w="226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1</w:t>
            </w:r>
          </w:p>
        </w:tc>
      </w:tr>
      <w:tr>
        <w:tc>
          <w:tcPr>
            <w:tcW w:type="dxa" w:w="238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Data/AI Engineer</w:t>
            </w:r>
          </w:p>
        </w:tc>
        <w:tc>
          <w:tcPr>
            <w:tcW w:type="dxa" w:w="476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清洗、评分、实验、报表、自动化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1</w:t>
            </w:r>
          </w:p>
        </w:tc>
      </w:tr>
      <w:tr>
        <w:tc>
          <w:tcPr>
            <w:tcW w:type="dxa" w:w="238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Customer Success / Pilot Ops</w:t>
            </w:r>
          </w:p>
        </w:tc>
        <w:tc>
          <w:tcPr>
            <w:tcW w:type="dxa" w:w="4762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门店日常、数据回收、问题闭环</w:t>
            </w:r>
          </w:p>
        </w:tc>
        <w:tc>
          <w:tcPr>
            <w:tcW w:type="dxa" w:w="226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1–2</w:t>
            </w:r>
          </w:p>
        </w:tc>
      </w:tr>
      <w:tr>
        <w:tc>
          <w:tcPr>
            <w:tcW w:type="dxa" w:w="238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Product/UX</w:t>
            </w:r>
          </w:p>
        </w:tc>
        <w:tc>
          <w:tcPr>
            <w:tcW w:type="dxa" w:w="476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任务流、老板看板、PRD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0.5–1，可兼职</w:t>
            </w:r>
          </w:p>
        </w:tc>
      </w:tr>
      <w:tr>
        <w:tc>
          <w:tcPr>
            <w:tcW w:type="dxa" w:w="238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Full-stack Engineer</w:t>
            </w:r>
          </w:p>
        </w:tc>
        <w:tc>
          <w:tcPr>
            <w:tcW w:type="dxa" w:w="4762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轻量后台、导入、任务、看板</w:t>
            </w:r>
          </w:p>
        </w:tc>
        <w:tc>
          <w:tcPr>
            <w:tcW w:type="dxa" w:w="226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前60天兼职/外包；Gate后1</w:t>
            </w:r>
          </w:p>
        </w:tc>
      </w:tr>
      <w:tr>
        <w:tc>
          <w:tcPr>
            <w:tcW w:type="dxa" w:w="238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Legal/Security Advisor</w:t>
            </w:r>
          </w:p>
        </w:tc>
        <w:tc>
          <w:tcPr>
            <w:tcW w:type="dxa" w:w="476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合同、PIPL、数据/广告/触达审查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外部顾问按需</w:t>
            </w:r>
          </w:p>
        </w:tc>
      </w:tr>
    </w:tbl>
    <w:p>
      <w:pPr>
        <w:spacing w:after="20"/>
      </w:pPr>
    </w:p>
    <w:p>
      <w:pPr>
        <w:pStyle w:val="Heading1"/>
      </w:pPr>
      <w:r>
        <w:t>15. 预算与采购原则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701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701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预算建议</w:t>
            </w:r>
          </w:p>
        </w:tc>
        <w:tc>
          <w:tcPr>
            <w:tcW w:type="dxa" w:w="3118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优先花钱</w:t>
            </w:r>
          </w:p>
        </w:tc>
        <w:tc>
          <w:tcPr>
            <w:tcW w:type="dxa" w:w="3118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避免花钱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Day 1–30</w:t>
            </w:r>
          </w:p>
        </w:tc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3–5万元</w:t>
            </w:r>
          </w:p>
        </w:tc>
        <w:tc>
          <w:tcPr>
            <w:tcW w:type="dxa" w:w="311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试点、数据、运营、必要工具、合规初审</w:t>
            </w:r>
          </w:p>
        </w:tc>
        <w:tc>
          <w:tcPr>
            <w:tcW w:type="dxa" w:w="311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大团队、完整SaaS、办公室</w:t>
            </w:r>
          </w:p>
        </w:tc>
      </w:tr>
      <w:tr>
        <w:tc>
          <w:tcPr>
            <w:tcW w:type="dxa" w:w="170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Day 31–90</w:t>
            </w:r>
          </w:p>
        </w:tc>
        <w:tc>
          <w:tcPr>
            <w:tcW w:type="dxa" w:w="170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累计15–30万元</w:t>
            </w:r>
          </w:p>
        </w:tc>
        <w:tc>
          <w:tcPr>
            <w:tcW w:type="dxa" w:w="311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30家试点、运营、数据/AI、轻量后台</w:t>
            </w:r>
          </w:p>
        </w:tc>
        <w:tc>
          <w:tcPr>
            <w:tcW w:type="dxa" w:w="311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完整HIS、规模化广告、复杂国际架构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Gate通过后</w:t>
            </w:r>
          </w:p>
        </w:tc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另行预算</w:t>
            </w:r>
          </w:p>
        </w:tc>
        <w:tc>
          <w:tcPr>
            <w:tcW w:type="dxa" w:w="311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产品化、集成、安全、客户成功</w:t>
            </w:r>
          </w:p>
        </w:tc>
        <w:tc>
          <w:tcPr>
            <w:tcW w:type="dxa" w:w="311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在留存未验证前大规模销售</w:t>
            </w:r>
          </w:p>
        </w:tc>
      </w:tr>
    </w:tbl>
    <w:p>
      <w:pPr>
        <w:spacing w:after="20"/>
      </w:pPr>
    </w:p>
    <w:p>
      <w:r>
        <w:t>预算为内部控制范围，不是报价或融资需求；如采用新加坡/越南团队，应重新核算工资、税务、雇佣、云和跨境管理成本。</w:t>
      </w:r>
    </w:p>
    <w:p>
      <w:pPr>
        <w:pStyle w:val="Heading1"/>
      </w:pPr>
      <w:r>
        <w:t>16. KPI / 验收 / 止损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87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2665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Green Light</w:t>
            </w:r>
          </w:p>
        </w:tc>
        <w:tc>
          <w:tcPr>
            <w:tcW w:type="dxa" w:w="2551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Yellow Light</w:t>
            </w:r>
          </w:p>
        </w:tc>
        <w:tc>
          <w:tcPr>
            <w:tcW w:type="dxa" w:w="2665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Red Light</w:t>
            </w:r>
          </w:p>
        </w:tc>
      </w:tr>
      <w:tr>
        <w:tc>
          <w:tcPr>
            <w:tcW w:type="dxa" w:w="158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Recovery</w:t>
            </w:r>
          </w:p>
        </w:tc>
        <w:tc>
          <w:tcPr>
            <w:tcW w:type="dxa" w:w="266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多数门店正增量；增量ROI≥5x</w:t>
            </w:r>
          </w:p>
        </w:tc>
        <w:tc>
          <w:tcPr>
            <w:tcW w:type="dxa" w:w="255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有增量但依赖人工/波动大</w:t>
            </w:r>
          </w:p>
        </w:tc>
        <w:tc>
          <w:tcPr>
            <w:tcW w:type="dxa" w:w="266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多数门店&lt;3x或无法证明增量</w:t>
            </w:r>
          </w:p>
        </w:tc>
      </w:tr>
      <w:tr>
        <w:tc>
          <w:tcPr>
            <w:tcW w:type="dxa" w:w="1587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Retention</w:t>
            </w:r>
          </w:p>
        </w:tc>
        <w:tc>
          <w:tcPr>
            <w:tcW w:type="dxa" w:w="2665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关键节点提升≥10–15%方向性目标</w:t>
            </w:r>
          </w:p>
        </w:tc>
        <w:tc>
          <w:tcPr>
            <w:tcW w:type="dxa" w:w="255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部分门店有效</w:t>
            </w:r>
          </w:p>
        </w:tc>
        <w:tc>
          <w:tcPr>
            <w:tcW w:type="dxa" w:w="2665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无稳定改善或员工强抵触</w:t>
            </w:r>
          </w:p>
        </w:tc>
      </w:tr>
      <w:tr>
        <w:tc>
          <w:tcPr>
            <w:tcW w:type="dxa" w:w="158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Growth</w:t>
            </w:r>
          </w:p>
        </w:tc>
        <w:tc>
          <w:tcPr>
            <w:tcW w:type="dxa" w:w="266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5–10家出现可重复正增量</w:t>
            </w:r>
          </w:p>
        </w:tc>
        <w:tc>
          <w:tcPr>
            <w:tcW w:type="dxa" w:w="255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结果波动、归因弱</w:t>
            </w:r>
          </w:p>
        </w:tc>
        <w:tc>
          <w:tcPr>
            <w:tcW w:type="dxa" w:w="266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活动总回款高但无增量证据</w:t>
            </w:r>
          </w:p>
        </w:tc>
      </w:tr>
      <w:tr>
        <w:tc>
          <w:tcPr>
            <w:tcW w:type="dxa" w:w="1587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付费</w:t>
            </w:r>
          </w:p>
        </w:tc>
        <w:tc>
          <w:tcPr>
            <w:tcW w:type="dxa" w:w="2665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≥30%有效试点真实付款</w:t>
            </w:r>
          </w:p>
        </w:tc>
        <w:tc>
          <w:tcPr>
            <w:tcW w:type="dxa" w:w="255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口头认可但付款弱</w:t>
            </w:r>
          </w:p>
        </w:tc>
        <w:tc>
          <w:tcPr>
            <w:tcW w:type="dxa" w:w="2665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普遍不愿付款</w:t>
            </w:r>
          </w:p>
        </w:tc>
      </w:tr>
      <w:tr>
        <w:tc>
          <w:tcPr>
            <w:tcW w:type="dxa" w:w="158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续用</w:t>
            </w:r>
          </w:p>
        </w:tc>
        <w:tc>
          <w:tcPr>
            <w:tcW w:type="dxa" w:w="266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第二个月续用意愿≥60%</w:t>
            </w:r>
          </w:p>
        </w:tc>
        <w:tc>
          <w:tcPr>
            <w:tcW w:type="dxa" w:w="255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依赖折扣/服务才续</w:t>
            </w:r>
          </w:p>
        </w:tc>
        <w:tc>
          <w:tcPr>
            <w:tcW w:type="dxa" w:w="266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核心价值不足</w:t>
            </w:r>
          </w:p>
        </w:tc>
      </w:tr>
      <w:tr>
        <w:tc>
          <w:tcPr>
            <w:tcW w:type="dxa" w:w="1587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交付成本</w:t>
            </w:r>
          </w:p>
        </w:tc>
        <w:tc>
          <w:tcPr>
            <w:tcW w:type="dxa" w:w="2665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单店人工成本下降</w:t>
            </w:r>
          </w:p>
        </w:tc>
        <w:tc>
          <w:tcPr>
            <w:tcW w:type="dxa" w:w="255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维持不变</w:t>
            </w:r>
          </w:p>
        </w:tc>
        <w:tc>
          <w:tcPr>
            <w:tcW w:type="dxa" w:w="2665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随客户数线性上升且不可自动化</w:t>
            </w:r>
          </w:p>
        </w:tc>
      </w:tr>
      <w:tr>
        <w:tc>
          <w:tcPr>
            <w:tcW w:type="dxa" w:w="158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数据</w:t>
            </w:r>
          </w:p>
        </w:tc>
        <w:tc>
          <w:tcPr>
            <w:tcW w:type="dxa" w:w="266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标准模板可覆盖多数门店</w:t>
            </w:r>
          </w:p>
        </w:tc>
        <w:tc>
          <w:tcPr>
            <w:tcW w:type="dxa" w:w="255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仍需中度清洗</w:t>
            </w:r>
          </w:p>
        </w:tc>
        <w:tc>
          <w:tcPr>
            <w:tcW w:type="dxa" w:w="266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每家都要定制且无法规模化</w:t>
            </w:r>
          </w:p>
        </w:tc>
      </w:tr>
    </w:tbl>
    <w:p>
      <w:pPr>
        <w:spacing w:after="20"/>
      </w:pPr>
    </w:p>
    <w:p>
      <w:pPr>
        <w:pStyle w:val="Heading1"/>
      </w:pPr>
      <w:r>
        <w:t>17. 风险登记表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154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964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概率</w:t>
            </w:r>
          </w:p>
        </w:tc>
        <w:tc>
          <w:tcPr>
            <w:tcW w:type="dxa" w:w="964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1701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3685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触发器/缓解</w:t>
            </w:r>
          </w:p>
        </w:tc>
      </w:tr>
      <w:tr>
        <w:tc>
          <w:tcPr>
            <w:tcW w:type="dxa" w:w="215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数据接入碎片化</w:t>
            </w:r>
          </w:p>
        </w:tc>
        <w:tc>
          <w:tcPr>
            <w:tcW w:type="dxa" w:w="96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高</w:t>
            </w:r>
          </w:p>
        </w:tc>
        <w:tc>
          <w:tcPr>
            <w:tcW w:type="dxa" w:w="96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高</w:t>
            </w:r>
          </w:p>
        </w:tc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Data</w:t>
            </w:r>
          </w:p>
        </w:tc>
        <w:tc>
          <w:tcPr>
            <w:tcW w:type="dxa" w:w="368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第一周即测10家；建立标准导入；无法标准化则缩scope</w:t>
            </w:r>
          </w:p>
        </w:tc>
      </w:tr>
      <w:tr>
        <w:tc>
          <w:tcPr>
            <w:tcW w:type="dxa" w:w="215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员工执行疲劳</w:t>
            </w:r>
          </w:p>
        </w:tc>
        <w:tc>
          <w:tcPr>
            <w:tcW w:type="dxa" w:w="96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高</w:t>
            </w:r>
          </w:p>
        </w:tc>
        <w:tc>
          <w:tcPr>
            <w:tcW w:type="dxa" w:w="96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高</w:t>
            </w:r>
          </w:p>
        </w:tc>
        <w:tc>
          <w:tcPr>
            <w:tcW w:type="dxa" w:w="170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Ops</w:t>
            </w:r>
          </w:p>
        </w:tc>
        <w:tc>
          <w:tcPr>
            <w:tcW w:type="dxa" w:w="3685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任务过多/低完成率；减少任务+按价值排序</w:t>
            </w:r>
          </w:p>
        </w:tc>
      </w:tr>
      <w:tr>
        <w:tc>
          <w:tcPr>
            <w:tcW w:type="dxa" w:w="215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归因污染</w:t>
            </w:r>
          </w:p>
        </w:tc>
        <w:tc>
          <w:tcPr>
            <w:tcW w:type="dxa" w:w="96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中</w:t>
            </w:r>
          </w:p>
        </w:tc>
        <w:tc>
          <w:tcPr>
            <w:tcW w:type="dxa" w:w="96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高</w:t>
            </w:r>
          </w:p>
        </w:tc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Product/Data</w:t>
            </w:r>
          </w:p>
        </w:tc>
        <w:tc>
          <w:tcPr>
            <w:tcW w:type="dxa" w:w="368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多活动叠加；建立实验排他和holdout</w:t>
            </w:r>
          </w:p>
        </w:tc>
      </w:tr>
      <w:tr>
        <w:tc>
          <w:tcPr>
            <w:tcW w:type="dxa" w:w="215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触达投诉</w:t>
            </w:r>
          </w:p>
        </w:tc>
        <w:tc>
          <w:tcPr>
            <w:tcW w:type="dxa" w:w="96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中</w:t>
            </w:r>
          </w:p>
        </w:tc>
        <w:tc>
          <w:tcPr>
            <w:tcW w:type="dxa" w:w="96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高</w:t>
            </w:r>
          </w:p>
        </w:tc>
        <w:tc>
          <w:tcPr>
            <w:tcW w:type="dxa" w:w="170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Ops/Legal</w:t>
            </w:r>
          </w:p>
        </w:tc>
        <w:tc>
          <w:tcPr>
            <w:tcW w:type="dxa" w:w="3685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DNC、频控、渠道规则、审批</w:t>
            </w:r>
          </w:p>
        </w:tc>
      </w:tr>
      <w:tr>
        <w:tc>
          <w:tcPr>
            <w:tcW w:type="dxa" w:w="215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竞品复制</w:t>
            </w:r>
          </w:p>
        </w:tc>
        <w:tc>
          <w:tcPr>
            <w:tcW w:type="dxa" w:w="96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高</w:t>
            </w:r>
          </w:p>
        </w:tc>
        <w:tc>
          <w:tcPr>
            <w:tcW w:type="dxa" w:w="96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中高</w:t>
            </w:r>
          </w:p>
        </w:tc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Founder/Product</w:t>
            </w:r>
          </w:p>
        </w:tc>
        <w:tc>
          <w:tcPr>
            <w:tcW w:type="dxa" w:w="368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聚焦实验/归因/跨系统决策，持续白区审计</w:t>
            </w:r>
          </w:p>
        </w:tc>
      </w:tr>
      <w:tr>
        <w:tc>
          <w:tcPr>
            <w:tcW w:type="dxa" w:w="215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跨境数据风险</w:t>
            </w:r>
          </w:p>
        </w:tc>
        <w:tc>
          <w:tcPr>
            <w:tcW w:type="dxa" w:w="96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中</w:t>
            </w:r>
          </w:p>
        </w:tc>
        <w:tc>
          <w:tcPr>
            <w:tcW w:type="dxa" w:w="96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高</w:t>
            </w:r>
          </w:p>
        </w:tc>
        <w:tc>
          <w:tcPr>
            <w:tcW w:type="dxa" w:w="170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Legal/Security</w:t>
            </w:r>
          </w:p>
        </w:tc>
        <w:tc>
          <w:tcPr>
            <w:tcW w:type="dxa" w:w="3685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中国数据面、默认境外无真实患者访问</w:t>
            </w:r>
          </w:p>
        </w:tc>
      </w:tr>
      <w:tr>
        <w:tc>
          <w:tcPr>
            <w:tcW w:type="dxa" w:w="215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过早扩行业</w:t>
            </w:r>
          </w:p>
        </w:tc>
        <w:tc>
          <w:tcPr>
            <w:tcW w:type="dxa" w:w="96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中</w:t>
            </w:r>
          </w:p>
        </w:tc>
        <w:tc>
          <w:tcPr>
            <w:tcW w:type="dxa" w:w="96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高</w:t>
            </w:r>
          </w:p>
        </w:tc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Founder</w:t>
            </w:r>
          </w:p>
        </w:tc>
        <w:tc>
          <w:tcPr>
            <w:tcW w:type="dxa" w:w="368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100家前不轻易离开中医滩头市场</w:t>
            </w:r>
          </w:p>
        </w:tc>
      </w:tr>
      <w:tr>
        <w:tc>
          <w:tcPr>
            <w:tcW w:type="dxa" w:w="215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过早研发</w:t>
            </w:r>
          </w:p>
        </w:tc>
        <w:tc>
          <w:tcPr>
            <w:tcW w:type="dxa" w:w="96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高</w:t>
            </w:r>
          </w:p>
        </w:tc>
        <w:tc>
          <w:tcPr>
            <w:tcW w:type="dxa" w:w="96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高</w:t>
            </w:r>
          </w:p>
        </w:tc>
        <w:tc>
          <w:tcPr>
            <w:tcW w:type="dxa" w:w="170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Founder</w:t>
            </w:r>
          </w:p>
        </w:tc>
        <w:tc>
          <w:tcPr>
            <w:tcW w:type="dxa" w:w="3685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6"/>
              </w:rPr>
              <w:t>30家Gate前冻结大功能和大团队</w:t>
            </w:r>
          </w:p>
        </w:tc>
      </w:tr>
    </w:tbl>
    <w:p>
      <w:pPr>
        <w:spacing w:after="20"/>
      </w:pPr>
    </w:p>
    <w:p>
      <w:pPr>
        <w:pStyle w:val="Heading1"/>
      </w:pPr>
      <w:r>
        <w:t>18. 90天后路线图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Gate结果</w:t>
            </w:r>
          </w:p>
        </w:tc>
        <w:tc>
          <w:tcPr>
            <w:tcW w:type="dxa" w:w="6973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GO</w:t>
            </w:r>
          </w:p>
        </w:tc>
        <w:tc>
          <w:tcPr>
            <w:tcW w:type="dxa" w:w="6973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冻结MVP范围；开发7–10个核心页面；首批100家付费；完善中国数据面、安全和客户成功</w:t>
            </w:r>
          </w:p>
        </w:tc>
      </w:tr>
      <w:tr>
        <w:tc>
          <w:tcPr>
            <w:tcW w:type="dxa" w:w="226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ITERATE</w:t>
            </w:r>
          </w:p>
        </w:tc>
        <w:tc>
          <w:tcPr>
            <w:tcW w:type="dxa" w:w="6973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保留有效Engine，缩小无效模块；再跑30–60天验证，不扩团队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STOP / PIVOT</w:t>
            </w:r>
          </w:p>
        </w:tc>
        <w:tc>
          <w:tcPr>
            <w:tcW w:type="dxa" w:w="6973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停止完整ClinicOS SaaS；保留有价值的数据/服务能力，寻找更窄的付费切口</w:t>
            </w:r>
          </w:p>
        </w:tc>
      </w:tr>
    </w:tbl>
    <w:p>
      <w:pPr>
        <w:spacing w:after="20"/>
      </w:pPr>
    </w:p>
    <w:p>
      <w:pPr>
        <w:pStyle w:val="Heading2"/>
      </w:pPr>
      <w:r>
        <w:t>18.1 MVP建议页面（Gate通过后）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color w:val="374151"/>
          <w:sz w:val="21"/>
        </w:rPr>
        <w:t>数据导入与质量检查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color w:val="374151"/>
          <w:sz w:val="21"/>
        </w:rPr>
        <w:t>Revenue Leakage / Recovery客户池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color w:val="374151"/>
          <w:sz w:val="21"/>
        </w:rPr>
        <w:t>今日经营任务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color w:val="374151"/>
          <w:sz w:val="21"/>
        </w:rPr>
        <w:t>Retention过程漏斗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color w:val="374151"/>
          <w:sz w:val="21"/>
        </w:rPr>
        <w:t>Growth计划与实验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color w:val="374151"/>
          <w:sz w:val="21"/>
        </w:rPr>
        <w:t>实验/归因中心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color w:val="374151"/>
          <w:sz w:val="21"/>
        </w:rPr>
        <w:t>老板经营驾驶舱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color w:val="374151"/>
          <w:sz w:val="21"/>
        </w:rPr>
        <w:t>员工/医生过程指标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color w:val="374151"/>
          <w:sz w:val="21"/>
        </w:rPr>
        <w:t>授权/免打扰/合规审计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color w:val="374151"/>
          <w:sz w:val="21"/>
        </w:rPr>
        <w:t>基础Benchmark（数据足够时）</w:t>
      </w:r>
    </w:p>
    <w:p>
      <w:pPr>
        <w:pStyle w:val="Heading1"/>
      </w:pPr>
      <w:r>
        <w:t>19. 交付物清单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814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7483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Day 7</w:t>
            </w:r>
          </w:p>
        </w:tc>
        <w:tc>
          <w:tcPr>
            <w:tcW w:type="dxa" w:w="7483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数据字典v1、状态字典、三套SOP v0.9、Pilot Kit、合规检查清单</w:t>
            </w:r>
          </w:p>
        </w:tc>
      </w:tr>
      <w:tr>
        <w:tc>
          <w:tcPr>
            <w:tcW w:type="dxa" w:w="181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Day 14</w:t>
            </w:r>
          </w:p>
        </w:tc>
        <w:tc>
          <w:tcPr>
            <w:tcW w:type="dxa" w:w="7483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10家数据质量报告、Revenue Leakage Report模板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Day 21</w:t>
            </w:r>
          </w:p>
        </w:tc>
        <w:tc>
          <w:tcPr>
            <w:tcW w:type="dxa" w:w="7483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Recovery Score v0.1、Treatment/Holdout分组、每日任务模板</w:t>
            </w:r>
          </w:p>
        </w:tc>
      </w:tr>
      <w:tr>
        <w:tc>
          <w:tcPr>
            <w:tcW w:type="dxa" w:w="181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Day 35</w:t>
            </w:r>
          </w:p>
        </w:tc>
        <w:tc>
          <w:tcPr>
            <w:tcW w:type="dxa" w:w="7483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Recovery实验报告v1、触达/渠道/话术实验结论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Day 49</w:t>
            </w:r>
          </w:p>
        </w:tc>
        <w:tc>
          <w:tcPr>
            <w:tcW w:type="dxa" w:w="7483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Retention Journey v1、过程漏斗报告</w:t>
            </w:r>
          </w:p>
        </w:tc>
      </w:tr>
      <w:tr>
        <w:tc>
          <w:tcPr>
            <w:tcW w:type="dxa" w:w="181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Day 63</w:t>
            </w:r>
          </w:p>
        </w:tc>
        <w:tc>
          <w:tcPr>
            <w:tcW w:type="dxa" w:w="7483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30家跨店分析、Recovery/Retention规则v1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Day 77</w:t>
            </w:r>
          </w:p>
        </w:tc>
        <w:tc>
          <w:tcPr>
            <w:tcW w:type="dxa" w:w="7483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Growth实验报告、合规规则v1</w:t>
            </w:r>
          </w:p>
        </w:tc>
      </w:tr>
      <w:tr>
        <w:tc>
          <w:tcPr>
            <w:tcW w:type="dxa" w:w="181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Day 90</w:t>
            </w:r>
          </w:p>
        </w:tc>
        <w:tc>
          <w:tcPr>
            <w:tcW w:type="dxa" w:w="7483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90天总报告、Go/Iterate/Stop决策、MVP PRD、下一阶段预算与招聘计划</w:t>
            </w:r>
          </w:p>
        </w:tc>
      </w:tr>
    </w:tbl>
    <w:p>
      <w:pPr>
        <w:spacing w:after="20"/>
      </w:pPr>
    </w:p>
    <w:p>
      <w:pPr>
        <w:pStyle w:val="Heading1"/>
      </w:pPr>
      <w:r>
        <w:t>20. 参考资料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374151"/>
          <w:sz w:val="19"/>
        </w:rPr>
        <w:t>[1] 国家卫生健康委员会：《2024年我国卫生健康事业发展统计公报》</w:t>
      </w:r>
    </w:p>
    <w:p>
      <w:pPr>
        <w:spacing w:after="40"/>
        <w:ind w:left="255"/>
      </w:pPr>
      <w:r>
        <w:rPr>
          <w:rFonts w:ascii="Noto Sans CJK SC" w:hAnsi="Noto Sans CJK SC" w:eastAsia="Noto Sans CJK SC"/>
          <w:b w:val="0"/>
          <w:color w:val="2F6F6D"/>
          <w:sz w:val="17"/>
        </w:rPr>
        <w:t>https://www.nhc.gov.cn/guihuaxxs/c100133/202512/f1c3a3c617484a27a1a26a468afbaeee.shtml</w:t>
      </w:r>
    </w:p>
    <w:p>
      <w:pPr>
        <w:spacing w:after="100"/>
        <w:ind w:left="255"/>
      </w:pPr>
      <w:r>
        <w:rPr>
          <w:rFonts w:ascii="Noto Sans CJK SC" w:hAnsi="Noto Sans CJK SC" w:eastAsia="Noto Sans CJK SC"/>
          <w:b w:val="0"/>
          <w:color w:val="6B7280"/>
          <w:sz w:val="17"/>
        </w:rPr>
        <w:t>用于首个市场机构数量和行业基数。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374151"/>
          <w:sz w:val="19"/>
        </w:rPr>
        <w:t>[2] 中华人民共和国个人信息保护法</w:t>
      </w:r>
    </w:p>
    <w:p>
      <w:pPr>
        <w:spacing w:after="40"/>
        <w:ind w:left="255"/>
      </w:pPr>
      <w:r>
        <w:rPr>
          <w:rFonts w:ascii="Noto Sans CJK SC" w:hAnsi="Noto Sans CJK SC" w:eastAsia="Noto Sans CJK SC"/>
          <w:b w:val="0"/>
          <w:color w:val="2F6F6D"/>
          <w:sz w:val="17"/>
        </w:rPr>
        <w:t>https://www.samr.gov.cn/wljys/gzzd/art/2023/art_3ef1e889c1e644d4b65b5f5c7f432386.html</w:t>
      </w:r>
    </w:p>
    <w:p>
      <w:pPr>
        <w:spacing w:after="100"/>
        <w:ind w:left="255"/>
      </w:pPr>
      <w:r>
        <w:rPr>
          <w:rFonts w:ascii="Noto Sans CJK SC" w:hAnsi="Noto Sans CJK SC" w:eastAsia="Noto Sans CJK SC"/>
          <w:b w:val="0"/>
          <w:color w:val="6B7280"/>
          <w:sz w:val="17"/>
        </w:rPr>
        <w:t>用于敏感个人信息/医疗健康信息边界。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374151"/>
          <w:sz w:val="19"/>
        </w:rPr>
        <w:t>[3] Zenoti：AI Workforce for Medspas</w:t>
      </w:r>
    </w:p>
    <w:p>
      <w:pPr>
        <w:spacing w:after="40"/>
        <w:ind w:left="255"/>
      </w:pPr>
      <w:r>
        <w:rPr>
          <w:rFonts w:ascii="Noto Sans CJK SC" w:hAnsi="Noto Sans CJK SC" w:eastAsia="Noto Sans CJK SC"/>
          <w:b w:val="0"/>
          <w:color w:val="2F6F6D"/>
          <w:sz w:val="17"/>
        </w:rPr>
        <w:t>https://www.zenoti.com/lp/amspa-copy</w:t>
      </w:r>
    </w:p>
    <w:p>
      <w:pPr>
        <w:spacing w:after="100"/>
        <w:ind w:left="255"/>
      </w:pPr>
      <w:r>
        <w:rPr>
          <w:rFonts w:ascii="Noto Sans CJK SC" w:hAnsi="Noto Sans CJK SC" w:eastAsia="Noto Sans CJK SC"/>
          <w:b w:val="0"/>
          <w:color w:val="6B7280"/>
          <w:sz w:val="17"/>
        </w:rPr>
        <w:t>用于AI Agent、收入漏洞与经营结果产品参考。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374151"/>
          <w:sz w:val="19"/>
        </w:rPr>
        <w:t>[4] 领健 e看牙 官方产品页</w:t>
      </w:r>
    </w:p>
    <w:p>
      <w:pPr>
        <w:spacing w:after="40"/>
        <w:ind w:left="255"/>
      </w:pPr>
      <w:r>
        <w:rPr>
          <w:rFonts w:ascii="Noto Sans CJK SC" w:hAnsi="Noto Sans CJK SC" w:eastAsia="Noto Sans CJK SC"/>
          <w:b w:val="0"/>
          <w:color w:val="2F6F6D"/>
          <w:sz w:val="17"/>
        </w:rPr>
        <w:t>https://www.lingjian.cn/kouqiang.html</w:t>
      </w:r>
    </w:p>
    <w:p>
      <w:pPr>
        <w:spacing w:after="100"/>
        <w:ind w:left="255"/>
      </w:pPr>
      <w:r>
        <w:rPr>
          <w:rFonts w:ascii="Noto Sans CJK SC" w:hAnsi="Noto Sans CJK SC" w:eastAsia="Noto Sans CJK SC"/>
          <w:b w:val="0"/>
          <w:color w:val="6B7280"/>
          <w:sz w:val="17"/>
        </w:rPr>
        <w:t>用于中国口腔经营、CRM、复诊、召回与SOP竞争研究。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374151"/>
          <w:sz w:val="19"/>
        </w:rPr>
        <w:t>[5] 领健 客户数据平台CDP功能</w:t>
      </w:r>
    </w:p>
    <w:p>
      <w:pPr>
        <w:spacing w:after="40"/>
        <w:ind w:left="255"/>
      </w:pPr>
      <w:r>
        <w:rPr>
          <w:rFonts w:ascii="Noto Sans CJK SC" w:hAnsi="Noto Sans CJK SC" w:eastAsia="Noto Sans CJK SC"/>
          <w:b w:val="0"/>
          <w:color w:val="2F6F6D"/>
          <w:sz w:val="17"/>
        </w:rPr>
        <w:t>https://ekyhelp.linkedcare.cn/docs/ke-hu-shu-ju-ping-tai-CDP-gong-neng-jie-shao</w:t>
      </w:r>
    </w:p>
    <w:p>
      <w:pPr>
        <w:spacing w:after="100"/>
        <w:ind w:left="255"/>
      </w:pPr>
      <w:r>
        <w:rPr>
          <w:rFonts w:ascii="Noto Sans CJK SC" w:hAnsi="Noto Sans CJK SC" w:eastAsia="Noto Sans CJK SC"/>
          <w:b w:val="0"/>
          <w:color w:val="6B7280"/>
          <w:sz w:val="17"/>
        </w:rPr>
        <w:t>用于客户数据与智能标签竞争研究。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374151"/>
          <w:sz w:val="19"/>
        </w:rPr>
        <w:t>[6] 有赞：门店智能营销系统</w:t>
      </w:r>
    </w:p>
    <w:p>
      <w:pPr>
        <w:spacing w:after="40"/>
        <w:ind w:left="255"/>
      </w:pPr>
      <w:r>
        <w:rPr>
          <w:rFonts w:ascii="Noto Sans CJK SC" w:hAnsi="Noto Sans CJK SC" w:eastAsia="Noto Sans CJK SC"/>
          <w:b w:val="0"/>
          <w:color w:val="2F6F6D"/>
          <w:sz w:val="17"/>
        </w:rPr>
        <w:t>https://www.youzan.com/chanpin/mendianyingxiao</w:t>
      </w:r>
    </w:p>
    <w:p>
      <w:pPr>
        <w:spacing w:after="100"/>
        <w:ind w:left="255"/>
      </w:pPr>
      <w:r>
        <w:rPr>
          <w:rFonts w:ascii="Noto Sans CJK SC" w:hAnsi="Noto Sans CJK SC" w:eastAsia="Noto Sans CJK SC"/>
          <w:b w:val="0"/>
          <w:color w:val="6B7280"/>
          <w:sz w:val="17"/>
        </w:rPr>
        <w:t>用于沉睡客户激活、多通道触达和导购任务竞争研究。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374151"/>
          <w:sz w:val="19"/>
        </w:rPr>
        <w:t>[7] 睿美云官网</w:t>
      </w:r>
    </w:p>
    <w:p>
      <w:pPr>
        <w:spacing w:after="40"/>
        <w:ind w:left="255"/>
      </w:pPr>
      <w:r>
        <w:rPr>
          <w:rFonts w:ascii="Noto Sans CJK SC" w:hAnsi="Noto Sans CJK SC" w:eastAsia="Noto Sans CJK SC"/>
          <w:b w:val="0"/>
          <w:color w:val="2F6F6D"/>
          <w:sz w:val="17"/>
        </w:rPr>
        <w:t>https://www.realmerit.com.cn/</w:t>
      </w:r>
    </w:p>
    <w:p>
      <w:pPr>
        <w:spacing w:after="100"/>
        <w:ind w:left="255"/>
      </w:pPr>
      <w:r>
        <w:rPr>
          <w:rFonts w:ascii="Noto Sans CJK SC" w:hAnsi="Noto Sans CJK SC" w:eastAsia="Noto Sans CJK SC"/>
          <w:b w:val="0"/>
          <w:color w:val="6B7280"/>
          <w:sz w:val="17"/>
        </w:rPr>
        <w:t>用于医美AI一体化经营平台竞争研究。</w:t>
      </w:r>
    </w:p>
    <w:p>
      <w:pPr>
        <w:spacing w:before="200"/>
      </w:pPr>
      <w:r>
        <w:rPr>
          <w:rFonts w:ascii="Noto Sans CJK SC" w:hAnsi="Noto Sans CJK SC" w:eastAsia="Noto Sans CJK SC"/>
          <w:b w:val="0"/>
          <w:color w:val="6B7280"/>
          <w:sz w:val="18"/>
        </w:rPr>
        <w:t>说明：本计划书是项目执行底稿。涉及个人信息、医疗数据、广告、营销触达、跨境数据和医疗行业监管的部分，正式上线前必须由对应专业团队进行独立审查。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Noto Sans CJK SC" w:hAnsi="Noto Sans CJK SC" w:eastAsia="Noto Sans CJK SC"/>
        <w:b w:val="0"/>
        <w:color w:val="6B7280"/>
        <w:sz w:val="16"/>
      </w:rPr>
      <w:t>内部规划稿｜2026年8月</w:t>
    </w:r>
  </w:p>
  <w:p>
    <w:pPr>
      <w:jc w:val="right"/>
    </w:pPr>
    <w:r>
      <w:rPr>
        <w:rFonts w:ascii="Noto Sans CJK SC" w:hAnsi="Noto Sans CJK SC" w:eastAsia="Noto Sans CJK SC"/>
        <w:color w:val="6B7280"/>
        <w:sz w:val="16"/>
      </w:rPr>
      <w:t xml:space="preserve">第 </w:t>
      <w:fldChar w:fldCharType="begin"/>
      <w:instrText xml:space="preserve"> PAGE </w:instrText>
      <w:fldChar w:fldCharType="end"/>
    </w:r>
    <w:r>
      <w:rPr>
        <w:color w:val="6B72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2" w:color="D5E5E3"/>
      </w:pBdr>
    </w:pPr>
    <w:r>
      <w:rPr>
        <w:rFonts w:ascii="Noto Sans CJK SC" w:hAnsi="Noto Sans CJK SC" w:eastAsia="Noto Sans CJK SC"/>
        <w:b/>
        <w:color w:val="2F6F6D"/>
        <w:sz w:val="17"/>
      </w:rPr>
      <w:t>ClinicOS 项目计划书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Noto Sans CJK SC" w:hAnsi="Noto Sans CJK SC" w:eastAsia="Noto Sans CJK SC"/>
      <w:color w:val="37415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B3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6F6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63B3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60" w:after="160"/>
      <w:ind w:left="283" w:right="283"/>
    </w:pPr>
    <w:rPr>
      <w:rFonts w:ascii="Noto Sans CJK SC" w:hAnsi="Noto Sans CJK SC" w:eastAsia="Noto Sans CJK SC"/>
      <w:b/>
      <w:color w:val="163B3B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