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Customer Churn Retention Model</w:t>
      </w:r>
    </w:p>
    <w:p>
      <w:pPr>
        <w:spacing w:after="60"/>
        <w:jc w:val="center"/>
      </w:pPr>
      <w:r>
        <w:rPr>
          <w:sz w:val="26"/>
          <w:szCs w:val="26"/>
        </w:rPr>
        <w:t xml:space="preserve">Calibrated Probabilities, SHAP-Based Explainability &amp; Top-K Retention Simulation</w:t>
      </w:r>
    </w:p>
    <w:p>
      <w:pPr>
        <w:spacing w:after="400"/>
        <w:jc w:val="center"/>
      </w:pPr>
      <w:r>
        <w:rPr>
          <w:color w:val="555555"/>
          <w:sz w:val="22"/>
          <w:szCs w:val="22"/>
        </w:rPr>
        <w:t xml:space="preserve">Dataset: IBM Telco Customer Churn (Kaggle)</w:t>
      </w:r>
    </w:p>
    <w:p>
      <w:pPr>
        <w:pStyle w:val="Heading1"/>
        <w:spacing w:after="150" w:before="300"/>
      </w:pPr>
      <w:r>
        <w:t xml:space="preserve">Executive Summary</w:t>
      </w:r>
    </w:p>
    <w:p>
      <w:pPr>
        <w:spacing w:after="120"/>
      </w:pPr>
      <w:r>
        <w:t xml:space="preserve">This project builds a customer churn model whose predicted probabilities are calibrated to be trustworthy enough to drive a real retention budget decision. Rather than optimizing purely for ranking accuracy (AUC), the project explicitly measures and corrects probability calibration using the Brier score, explains model behavior with SHAP, and simulates a top-K targeted retention campaign to produce a concrete, defensible ROI figure.</w:t>
      </w:r>
    </w:p>
    <w:p>
      <w:pPr>
        <w:spacing w:after="120"/>
      </w:pPr>
      <w:r>
        <w:t xml:space="preserve">The final model, after calibration, was used to identify the 200 highest-risk customers in the test set and simulate a $5/month retention discount campaign. This targeted approach produced an estimated 244% ROI, capturing approximately 16.9 times more value than an equivalent campaign that targeted customers at random — directly demonstrating that model-driven targeting, not just model accuracy, is what creates business value.</w:t>
      </w:r>
    </w:p>
    <w:p>
      <w:pPr>
        <w:pStyle w:val="Heading1"/>
        <w:spacing w:after="150" w:before="300"/>
      </w:pPr>
      <w:r>
        <w:t xml:space="preserve">Data &amp; Methodology</w:t>
      </w:r>
    </w:p>
    <w:p>
      <w:pPr>
        <w:pStyle w:val="Heading2"/>
        <w:spacing w:after="120" w:before="250"/>
      </w:pPr>
      <w:r>
        <w:t xml:space="preserve">Dataset</w:t>
      </w:r>
    </w:p>
    <w:p>
      <w:pPr>
        <w:spacing w:after="120"/>
      </w:pPr>
      <w:r>
        <w:t xml:space="preserve">The IBM Telco Customer Churn dataset (Kaggle, ~7,043 customers, 21 columns) was used. The target variable, Churn, is imbalanced: approximately 73% of customers stayed and 27% churned.</w:t>
      </w:r>
    </w:p>
    <w:p>
      <w:pPr>
        <w:pStyle w:val="Heading2"/>
        <w:spacing w:after="120" w:before="250"/>
      </w:pPr>
      <w:r>
        <w:t xml:space="preserve">Data Cleaning &amp; Encoding</w:t>
      </w:r>
    </w:p>
    <w:p>
      <w:pPr>
        <w:pStyle w:val="ListParagraph"/>
        <w:numPr>
          <w:ilvl w:val="0"/>
          <w:numId w:val="1"/>
        </w:numPr>
        <w:spacing w:after="60"/>
      </w:pPr>
      <w:r>
        <w:t xml:space="preserve">TotalCharges was stored as text due to blank values in 11 rows (new customers with zero tenure); these were converted to numeric and filled with 0.</w:t>
      </w:r>
    </w:p>
    <w:p>
      <w:pPr>
        <w:pStyle w:val="ListParagraph"/>
        <w:numPr>
          <w:ilvl w:val="0"/>
          <w:numId w:val="1"/>
        </w:numPr>
        <w:spacing w:after="60"/>
      </w:pPr>
      <w:r>
        <w:t xml:space="preserve">customerID was dropped as a non-predictive identifier.</w:t>
      </w:r>
    </w:p>
    <w:p>
      <w:pPr>
        <w:pStyle w:val="ListParagraph"/>
        <w:numPr>
          <w:ilvl w:val="0"/>
          <w:numId w:val="1"/>
        </w:numPr>
        <w:spacing w:after="60"/>
      </w:pPr>
      <w:r>
        <w:t xml:space="preserve">Churn was mapped to a binary 0/1 target.</w:t>
      </w:r>
    </w:p>
    <w:p>
      <w:pPr>
        <w:pStyle w:val="ListParagraph"/>
        <w:numPr>
          <w:ilvl w:val="0"/>
          <w:numId w:val="1"/>
        </w:numPr>
        <w:spacing w:after="60"/>
      </w:pPr>
      <w:r>
        <w:t xml:space="preserve">All remaining categorical columns (contract type, internet service, payment method, etc.) were one-hot encoded, expanding the dataset to 31 columns.</w:t>
      </w:r>
    </w:p>
    <w:p>
      <w:pPr>
        <w:pStyle w:val="Heading2"/>
        <w:spacing w:after="120" w:before="250"/>
      </w:pPr>
      <w:r>
        <w:t xml:space="preserve">Model Training</w:t>
      </w:r>
    </w:p>
    <w:p>
      <w:pPr>
        <w:spacing w:after="120"/>
      </w:pPr>
      <w:r>
        <w:t xml:space="preserve">An XGBoost classifier was trained on an 80/20 stratified train-test split. Class imbalance was addressed using scale_pos_weight (≈ 2.77), which increases the training penalty for misclassifying churners relative to non-churners.</w:t>
      </w:r>
    </w:p>
    <w:p>
      <w:pPr>
        <w:spacing w:after="60"/>
      </w:pPr>
      <w:r>
        <w:rPr>
          <w:b/>
          <w:bCs/>
        </w:rPr>
        <w:t xml:space="preserve">Test set AUC (raw model): </w:t>
      </w:r>
      <w:r>
        <w:t xml:space="preserve">0.8415</w:t>
      </w:r>
    </w:p>
    <w:p>
      <w:pPr>
        <w:spacing w:after="120"/>
      </w:pPr>
      <w:r>
        <w:t xml:space="preserve">An AUC of 0.84 indicates the model ranks at-risk customers well. However, AUC alone does not confirm that the model's predicted probabilities are numerically trustworthy — this is where calibration becomes essential.</w:t>
      </w:r>
    </w:p>
    <w:p>
      <w:pPr>
        <w:pStyle w:val="Heading1"/>
        <w:spacing w:after="150" w:before="300"/>
      </w:pPr>
      <w:r>
        <w:t xml:space="preserve">Probability Calibration</w:t>
      </w:r>
    </w:p>
    <w:p>
      <w:pPr>
        <w:spacing w:after="120"/>
      </w:pPr>
      <w:r>
        <w:t xml:space="preserve">The raw XGBoost model's predicted probabilities were evaluated using the Brier score (lower is better; a perfect model scores 0) and visualized with a calibration curve, which compares predicted probability bins against actual observed churn rates.</w:t>
      </w:r>
    </w:p>
    <w:p>
      <w:pPr>
        <w:spacing w:after="60"/>
      </w:pPr>
      <w:r>
        <w:rPr>
          <w:b/>
          <w:bCs/>
        </w:rPr>
        <w:t xml:space="preserve">Brier score — raw model: </w:t>
      </w:r>
      <w:r>
        <w:t xml:space="preserve">0.163</w:t>
      </w:r>
    </w:p>
    <w:p>
      <w:pPr>
        <w:spacing w:after="120"/>
      </w:pPr>
      <w:r>
        <w:t xml:space="preserve">The calibration curve showed the raw model's probabilities deviating from the ideal diagonal, particularly underestimating risk in the low-to-mid probability range — a common failure mode for gradient-boosted tree models, whose raw outputs are not naturally well-calibrated probabilities.</w:t>
      </w:r>
    </w:p>
    <w:p>
      <w:pPr>
        <w:spacing w:after="120"/>
      </w:pPr>
      <w:r>
        <w:t xml:space="preserve">Isotonic regression calibration (via scikit-learn's CalibratedClassifierCV, 5-fold cross-validation) was applied on top of the trained model:</w:t>
      </w:r>
    </w:p>
    <w:p>
      <w:pPr>
        <w:spacing w:after="60"/>
      </w:pPr>
      <w:r>
        <w:rPr>
          <w:b/>
          <w:bCs/>
        </w:rPr>
        <w:t xml:space="preserve">Brier score — calibrated model: </w:t>
      </w:r>
      <w:r>
        <w:t xml:space="preserve">0.136 (↓ 0.027 improvement)</w:t>
      </w:r>
    </w:p>
    <w:p>
      <w:pPr>
        <w:spacing w:after="120"/>
      </w:pPr>
      <w:r>
        <w:t xml:space="preserve">The calibrated model's curve tracked the diagonal far more closely across the probability range. This step is the core of the project's central claim: a model can rank customers well (high AUC) while still producing probabilities that would mislead a budget decision if used directly — calibration is what makes the probabilities themselves trustworthy enough to act on.</w:t>
      </w:r>
    </w:p>
    <w:p>
      <w:pPr>
        <w:pStyle w:val="Heading1"/>
        <w:spacing w:after="150" w:before="300"/>
      </w:pPr>
      <w:r>
        <w:t xml:space="preserve">Explainability: Churn Drivers (SHAP)</w:t>
      </w:r>
    </w:p>
    <w:p>
      <w:pPr>
        <w:spacing w:after="120"/>
      </w:pPr>
      <w:r>
        <w:t xml:space="preserve">SHAP TreeExplainer was applied to the underlying XGBoost model (calibration only rescales output probabilities; it does not change which features drive the decision, so the uncalibrated model was explained directly).</w:t>
      </w:r>
    </w:p>
    <w:p>
      <w:pPr>
        <w:pStyle w:val="Heading2"/>
        <w:spacing w:after="120" w:before="250"/>
      </w:pPr>
      <w:r>
        <w:t xml:space="preserve">Top Churn Drivers</w:t>
      </w:r>
    </w:p>
    <w:p>
      <w:pPr>
        <w:pStyle w:val="ListParagraph"/>
        <w:numPr>
          <w:ilvl w:val="0"/>
          <w:numId w:val="1"/>
        </w:numPr>
        <w:spacing w:after="60"/>
      </w:pPr>
      <w:r>
        <w:t xml:space="preserve">Contract type — the single strongest driver. Month-to-month customers (the baseline) carry substantially higher churn risk than those on one- or two-year contracts.</w:t>
      </w:r>
    </w:p>
    <w:p>
      <w:pPr>
        <w:pStyle w:val="ListParagraph"/>
        <w:numPr>
          <w:ilvl w:val="0"/>
          <w:numId w:val="1"/>
        </w:numPr>
        <w:spacing w:after="60"/>
      </w:pPr>
      <w:r>
        <w:t xml:space="preserve">Tenure — new customers churn at much higher rates; long-tenured customers are markedly more stable.</w:t>
      </w:r>
    </w:p>
    <w:p>
      <w:pPr>
        <w:pStyle w:val="ListParagraph"/>
        <w:numPr>
          <w:ilvl w:val="0"/>
          <w:numId w:val="1"/>
        </w:numPr>
        <w:spacing w:after="60"/>
      </w:pPr>
      <w:r>
        <w:t xml:space="preserve">Fiber optic internet service — associated with elevated churn risk, plausibly reflecting cost or reliability complaints.</w:t>
      </w:r>
    </w:p>
    <w:p>
      <w:pPr>
        <w:pStyle w:val="ListParagraph"/>
        <w:numPr>
          <w:ilvl w:val="0"/>
          <w:numId w:val="1"/>
        </w:numPr>
        <w:spacing w:after="60"/>
      </w:pPr>
      <w:r>
        <w:t xml:space="preserve">Monthly charges — higher bills push risk upward.</w:t>
      </w:r>
    </w:p>
    <w:p>
      <w:pPr>
        <w:pStyle w:val="ListParagraph"/>
        <w:numPr>
          <w:ilvl w:val="0"/>
          <w:numId w:val="1"/>
        </w:numPr>
        <w:spacing w:after="60"/>
      </w:pPr>
      <w:r>
        <w:t xml:space="preserve">Electronic check payment — associated with higher churn than automatic payment methods, plausibly a proxy for less "locked-in" customers.</w:t>
      </w:r>
    </w:p>
    <w:p>
      <w:pPr>
        <w:pStyle w:val="ListParagraph"/>
        <w:numPr>
          <w:ilvl w:val="0"/>
          <w:numId w:val="1"/>
        </w:numPr>
        <w:spacing w:after="60"/>
      </w:pPr>
      <w:r>
        <w:t xml:space="preserve">Online security and having no internet service at all both push toward lower churn risk, likely reflecting more engaged or fundamentally lower-risk customer segments.</w:t>
      </w:r>
    </w:p>
    <w:p>
      <w:pPr>
        <w:spacing w:after="120"/>
      </w:pPr>
      <w:r>
        <w:t xml:space="preserve">Business interpretation: the highest-risk segment is newer, higher-paying, less contractually committed customers — an intuitive and actionable retention narrative for a business stakeholder.</w:t>
      </w:r>
    </w:p>
    <w:p>
      <w:pPr>
        <w:pStyle w:val="Heading1"/>
        <w:spacing w:after="150" w:before="300"/>
      </w:pPr>
      <w:r>
        <w:t xml:space="preserve">Top-K Targeting &amp; ROI Simulation</w:t>
      </w:r>
    </w:p>
    <w:p>
      <w:pPr>
        <w:spacing w:after="120"/>
      </w:pPr>
      <w:r>
        <w:t xml:space="preserve">Using the calibrated probabilities, test-set customers were ranked by churn risk. A retention campaign was simulated: offering a $5/month discount to the top-K highest-risk customers, under the assumption that the discount successfully retains 30% of the customers who would otherwise churn.</w:t>
      </w:r>
    </w:p>
    <w:p>
      <w:pPr>
        <w:pStyle w:val="Heading2"/>
        <w:spacing w:after="120" w:before="250"/>
      </w:pPr>
      <w:r>
        <w:t xml:space="preserve">Targeting the Top 200 Highest-Risk Customers</w:t>
      </w:r>
    </w:p>
    <w:p>
      <w:pPr>
        <w:spacing w:after="60"/>
      </w:pPr>
      <w:r>
        <w:rPr>
          <w:b/>
          <w:bCs/>
        </w:rPr>
        <w:t xml:space="preserve">Campaign cost: </w:t>
      </w:r>
      <w:r>
        <w:t xml:space="preserve">$12,000</w:t>
      </w:r>
    </w:p>
    <w:p>
      <w:pPr>
        <w:spacing w:after="60"/>
      </w:pPr>
      <w:r>
        <w:rPr>
          <w:b/>
          <w:bCs/>
        </w:rPr>
        <w:t xml:space="preserve">Expected value retained: </w:t>
      </w:r>
      <w:r>
        <w:t xml:space="preserve">$41,325</w:t>
      </w:r>
    </w:p>
    <w:p>
      <w:pPr>
        <w:spacing w:after="60"/>
      </w:pPr>
      <w:r>
        <w:rPr>
          <w:b/>
          <w:bCs/>
        </w:rPr>
        <w:t xml:space="preserve">Expected net profit: </w:t>
      </w:r>
      <w:r>
        <w:t xml:space="preserve">$29,325</w:t>
      </w:r>
    </w:p>
    <w:p>
      <w:pPr>
        <w:spacing w:after="60"/>
      </w:pPr>
      <w:r>
        <w:rPr>
          <w:b/>
          <w:bCs/>
        </w:rPr>
        <w:t xml:space="preserve">ROI: </w:t>
      </w:r>
      <w:r>
        <w:t xml:space="preserve">244.4%</w:t>
      </w:r>
    </w:p>
    <w:p>
      <w:pPr>
        <w:pStyle w:val="Heading2"/>
        <w:spacing w:after="120" w:before="250"/>
      </w:pPr>
      <w:r>
        <w:t xml:space="preserve">Comparison: Model-Driven vs. Random Targeting</w:t>
      </w:r>
    </w:p>
    <w:p>
      <w:pPr>
        <w:spacing w:after="120"/>
      </w:pPr>
      <w:r>
        <w:t xml:space="preserve">To isolate the value the model itself adds, the same campaign economics were applied to 200 randomly selected customers instead of the model's top-risk list:</w:t>
      </w:r>
    </w:p>
    <w:p>
      <w:pPr>
        <w:spacing w:after="60"/>
      </w:pPr>
      <w:r>
        <w:rPr>
          <w:b/>
          <w:bCs/>
        </w:rPr>
        <w:t xml:space="preserve">Random targeting — net profit: </w:t>
      </w:r>
      <w:r>
        <w:t xml:space="preserve">$1,735 (ROI 14.5%)</w:t>
      </w:r>
    </w:p>
    <w:p>
      <w:pPr>
        <w:spacing w:after="60"/>
      </w:pPr>
      <w:r>
        <w:rPr>
          <w:b/>
          <w:bCs/>
        </w:rPr>
        <w:t xml:space="preserve">Model-driven targeting — net profit: </w:t>
      </w:r>
      <w:r>
        <w:t xml:space="preserve">$29,325 (ROI 244.4%)</w:t>
      </w:r>
    </w:p>
    <w:p>
      <w:pPr>
        <w:spacing w:after="120"/>
      </w:pPr>
      <w:r>
        <w:t xml:space="preserve">Model-driven targeting captured approximately 16.9x more value than random targeting. This gap exists because random targeting wastes budget on "sure things" (customers who would have stayed regardless) and misses genuinely at-risk customers — the exact failure mode that calibrated, risk-ranked targeting is designed to avoid.</w:t>
      </w:r>
    </w:p>
    <w:p>
      <w:pPr>
        <w:pStyle w:val="Heading1"/>
        <w:spacing w:after="150" w:before="300"/>
      </w:pPr>
      <w:r>
        <w:t xml:space="preserve">Interactive Dashboard</w:t>
      </w:r>
    </w:p>
    <w:p>
      <w:pPr>
        <w:spacing w:after="120"/>
      </w:pPr>
      <w:r>
        <w:t xml:space="preserve">A Streamlit dashboard was built and deployed publicly, allowing a business stakeholder to interactively adjust the campaign budget (top-K), discount amount, and assumed retention success rate, and immediately see the resulting ROI alongside the SHAP churn-driver chart.</w:t>
      </w:r>
    </w:p>
    <w:p>
      <w:pPr>
        <w:spacing w:after="120"/>
      </w:pPr>
      <w:r>
        <w:rPr>
          <w:color w:val="1155CC"/>
          <w:u w:val="single"/>
        </w:rPr>
        <w:t xml:space="preserve">Live dashboard: https://yohana-churn-dashboard.streamlit.app</w:t>
      </w:r>
    </w:p>
    <w:p>
      <w:pPr>
        <w:spacing w:after="120"/>
      </w:pPr>
      <w:r>
        <w:t xml:space="preserve">The dashboard uses cached data loading and model training (via Streamlit's @st.cache_data and @st.cache_resource) so that adjusting a slider only recalculates the lightweight ROI math, not the full pipeline — keeping the interaction responsive.</w:t>
      </w:r>
    </w:p>
    <w:p>
      <w:pPr>
        <w:pStyle w:val="Heading1"/>
        <w:spacing w:after="150" w:before="300"/>
      </w:pPr>
      <w:r>
        <w:t xml:space="preserve">Conclusion</w:t>
      </w:r>
    </w:p>
    <w:p>
      <w:pPr>
        <w:spacing w:after="120"/>
      </w:pPr>
      <w:r>
        <w:t xml:space="preserve">This project's central deliverable is a decision, not a metric: which customers to target under a fixed retention budget, and what return that targeting produces. The raw model's AUC of 0.84 alone would not have been sufficient evidence to act on — its probabilities were measurably miscalibrated (Brier 0.163). Calibration corrected this (Brier 0.136), producing probabilities trustworthy enough to rank customers by actual risk. Combined with SHAP-based driver analysis and a top-K ROI simulation, the resulting retention strategy is both explainable and demonstrably more valuable than an untargeted approach — 244% ROI versus 14.5% for random targeting, a 16.9x improvement directly attributable to the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2026-08-19T22:27:07.973Z</dcterms:created>
  <dcterms:modified xsi:type="dcterms:W3CDTF">2026-08-19T22:27:07.973Z</dcterms:modified>
</cp:coreProperties>
</file>

<file path=docProps/custom.xml><?xml version="1.0" encoding="utf-8"?>
<Properties xmlns="http://schemas.openxmlformats.org/officeDocument/2006/custom-properties" xmlns:vt="http://schemas.openxmlformats.org/officeDocument/2006/docPropsVTypes"/>
</file>