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Knowing God Through Torah</w:t>
      </w:r>
    </w:p>
    <w:p w:rsidR="00000000" w:rsidDel="00000000" w:rsidP="00000000" w:rsidRDefault="00000000" w:rsidRPr="00000000" w14:paraId="00000002">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Rangel</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TTBE 519: Survey of Genesis-Malachi</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Ken Way</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August 16, 2021</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Pentateuch, also known as the Torah, refers to the first five books of the Hebrew Old Testament, Genesis, Exodus, Leviticus, Numbers, and Deuteronomy. These texts hold immense significance not only in Judaism alone but also in Christianity, containing narratives of creation, the early history of humanity, the origin of the Israelite people, God’s covenant with his people, religious laws and instructions, and the Israelite's early days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a nation.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 that t</w:t>
      </w:r>
      <w:r w:rsidDel="00000000" w:rsidR="00000000" w:rsidRPr="00000000">
        <w:rPr>
          <w:rFonts w:ascii="Times New Roman" w:cs="Times New Roman" w:eastAsia="Times New Roman" w:hAnsi="Times New Roman"/>
          <w:sz w:val="24"/>
          <w:szCs w:val="24"/>
          <w:rtl w:val="0"/>
        </w:rPr>
        <w:t xml:space="preserve">he Pentateuch is an ancient document, it does not suffice that the reader be aware of its contents only, but also of the context upon which it is built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the words of John Walton, a successful interpreter of the Torah is “A cultural broker [that] helps build bridges between people of different cultural backgrounds in order to facilitate communication”.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Throughout the years scholars have attempted to do just that, which has caused the Torah to undergo various methodologies of interpretation over time.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Interpretive Conventions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Knowing the Genre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very early times methods of interpretation had already been established to aid in the interpretation of the Torah.   The first step in the process of interpretation is to acknowledge that the Pentateuch is the Word of God, but it is also a work of literature written by human beings. Before reading the Torah with the objective of interpretation one must read it by virtue of its canonical significance and the value of its literary genre. Stephen G. Dempster states that “We have been so eager to interpret the Bible that we have forgotten to read the Bible.”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Once familiarized with the literary genres of the text the reader can begin making use of interpretative conventions pertaining to each genre and corpus. In the case of the Pentateuch, the genres to maintain in scope are the Law, Ritual, and Narrative genres.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might be surprised that the Law is considered a literary genre but it is in the narratives of the Law that the Israelites found the way to obedience in order to enjoy God’s blessings. In addition to this, it was the Law the one responsible to set the people of Israel apart from other nations as holy people.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 good principle to follow when attempting to identify the Law genre in the Pentateuch is to differentiate between the texts that are descriptive and those that are prescriptive.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Within the genre of the Law we find two types of legal testament material: the Casuistic Law and the Unconditional Law. The Casuistic Law can be recognized by its “if..then” grammar. It presents specific situations or cases and then provides a corresponding judgment or legal ruling for each case. Casuistic laws deal with specific real-life situations rather than providing general principles and permit a certain degree of flexibility and adaptation to different situations. They provide a framework for applying principles of justice to a variety of specific cases. An example of this kind of Law can be found in  Exodus 21:28-32.</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Unconditional Law, on the other hand, is a series of legal or ethical directives that are presented without specific conditions or stipulations attached to them. These laws are often seen as having a more absolute or universal character, meaning they are not contingent upon certain circumstances or actions; an example of this kind of Law can be found in Exodus 21:12.</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With this in mind when interpreting the Law the reader must keep in mind that the text is best read as a body of guiding principles to live and execute justice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rather than as an explicit and exhaustive list of commands proposed to treat every possible scenario.</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interpreting Narratives, however, the reader will find a broader spectrum of subgenres. Report Narratives are the simplest of the narrative types which is characterized by its third-person narration and typically focuses on a single event in the past. One example of this kind of narrative is the tribal settlements in Canaan (Judg. 1:16-17) or the narratives about construction in 1 Kings 7:2-8.</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The reader must focus on the main subject and deduce their theological theme from the body that surrounds them since they commonly lack devotional content and they make their point indirectly. For example, in the passage of 1 Kings 22 Micah is portrayed as courageous and by implication condemns Israel’s lukewarm faith. In such a case the reader must enter the cultural context and ask how the social pressures of that time make the passage more vivid.</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In a similar way, the Hero Narratives have in focus on the heroic achievements of a specific character with the aim to set an example for the reader. When reading this kind of narrative good questions to ask are, what kind of values is the main character inculcating? After answering these questions the reader can ask how these values support or intensify the theme of the broader body surrounding it.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The instance in Genesis 15 and 21. The emphasis of this narrative is not on the infertility of the characters, Abraham and Sarah, but instead on how God’s power through Abraham’s faith overcame all obstacles in order to fulfill His promise to him. </w:t>
      </w:r>
    </w:p>
    <w:p w:rsidR="00000000" w:rsidDel="00000000" w:rsidP="00000000" w:rsidRDefault="00000000" w:rsidRPr="00000000" w14:paraId="00000017">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context, context</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genre, nonetheless, one thing that cannot escape a successful interpretation of the Torah, or any Biblical text for that matter, is context. The reader must be aware that when reading the Torah he or she is attempting to close cultural, chronological, and linguistic gaps  The reader must also keep in mind the original audience and the motives of the author for addressing them. By asking questions such as: who was this originally addressed to? How did the cultural atmosphere influence the meaning of the text? When was this written? Is there any meaning loss in translation? Etc. The reader will be enabled to better understand the contemporaneous theological application of the text to his or her life today. It is also important to know that every reader approaches the text with presuppositions or biases </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shaped by our culture, spiritual education, and personal experiences, whether we are aware or not. The reader must identify these and dispose of them before approaching the text.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Biblical criticism in interpretation</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addition to these practices for interpretation, the reader would benefit by being aware of modern methods being used since much of the modern interpretation of the Torah has been built upon these. Specifically speaking four main different methods of criticism: source, form, historical, and literary criticism.</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Each of these, of course, has a distinct end goal in mind. </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Source Criticism is to identify literary sources that shaped Genesis to Deuteronomy. Despite being overshadowed by other methods in the 20th century, it remains influential, impacting both pentateuchal interpretation and historical reconstructions of ancient Israel.</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Furthermore, form criticism, which was first pioneered by Hermann Gunkel, aims to categorize pentateuchal material based on distinct life settings for each category. This method seeks to identify the historical context by analyzing the form of passages. Yet, historical criticism’s main focus is to describe the history of the traditions underlying the Pentateuch. It describes the process leading up to the formation of the longer written source documents.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Lastly, literary criticism approaches the biblical text as a work of literature, focusing on narrative techniques, themes, symbols, and rhetorical strategies. Scholars analyze the text's structure, style, and intended effects on readers.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Biblical criticism has not been free of debate among scholars, nonetheless, as some deem some of these methods dishonest to Holy Scripture, fallible, and unacademic, </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thus, the reader must be aware of their defects and shortcomings before proceeding to apply them. </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Pentateuchal hypotheses </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of these four upon the Pentateuch has awakened many different contemporary interpretative approaches, most of which can be traced back to the seventeenth and eighteenth centuries.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Among the contemporaneous interpretation approaches of the Pentateuch is the Documentary Hypothesis. This one proposes that the Pentateuch, traditionally attributed to a single author, Moses, is instead a composite work assembled from various distinct sources. According to the hypothesis, there are four sources: J (Jahwist), E (Elohist), D (Deuteronomist), and P (Priestly) and each is representative of diverse traditions, writing styles, and theological perspectives. Source J, according to this hypothesis, is marked by its use of the divine name "Yahweh" and often presents a vivid and anthropomorphic portrayal of God, while E employs the term "Elohim” and emphasizes a focus on prophetic encounters. Source D, on the other hand, emphasizes legal and ethical concerns, found predominantly in the Book of Deuteronomy. Finally, P places a significant emphasis on ritual, genealogies, and priestly matters. Doubts about the traditional ascription of the Pentatuch to Moses are heavily exerted by eight verses found in the book of Deuteronomy: Deuteronomy 34:5-12.</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Since it is highly unlikely that Moses wrote about its own death, this hypothesis states that the lines probably came from another author.</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only hypothetical approach to the Torah, the reader will encounter various more and it is important that they may be aware since they have influenced much of modern research of Torah. </w:t>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cruciality of prayer in interpretation</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w:t>
      </w:r>
      <w:r w:rsidDel="00000000" w:rsidR="00000000" w:rsidRPr="00000000">
        <w:rPr>
          <w:rFonts w:ascii="Times New Roman" w:cs="Times New Roman" w:eastAsia="Times New Roman" w:hAnsi="Times New Roman"/>
          <w:sz w:val="24"/>
          <w:szCs w:val="24"/>
          <w:rtl w:val="0"/>
        </w:rPr>
        <w:t xml:space="preserve">his list of interpretive approaches is not an exhaustive list of tools, methods, or theories for someone who seeks a disciplined study of the Torah, but they will provide a solid foundation to begin the journey. The last and most important practice that the student of the Holy Scriptures can yield to is the practice of prayer and sensitivity to God’s spirit before, throughout, and after the interpretation process.</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Historical and Cultural Context</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historical and cultural context of the Pentateuch is essential for unpacking its depth and significance. This context provides a lens through which we can explore the religious beliefs, social dynamics, political circumstances, and literary conventions of the ancient Near Eastern world in which these texts were written. The endeavor of the reader of the Torah involves discerning the nuanced interplay between divine revelation and the human contexts that shaped the formation of the text. Understanding the time in which the text was written is also essential because it enables the reader to trace the historical development of foundational narratives and events, fostering a deeper comprehension of the theological themes. The Torah, as mentioned before commences with the creation of the World of the book of Genesis, the entrance of sin into the lives of the first humans, the flood of the earth as a consequence of it, and the confusion at Babel.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none of the books of the Torah explicitly denote their authorship it is generally agreed to be attributed to Moses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a view that does gain support from the Biblical text itself (Ex. 17:14; 24:4; Num.33:1-2; Deut. 31:9).</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Pentateuchal Chronology</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Asserting an accurate period of time in which these events happened has resulted in a grueling task and in some cases impossible, as it is in the case of the creation of the world.</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tl w:val="0"/>
        </w:rPr>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 have had difficulty finding an accurate time period for the first eleven chapters of the Torah, however, some assign a lapse of 1600 years to the first 20 generations recorded.</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for the Pentateuch narrative from Genesis 12 to Deuteronomy 34 rough chronological estimates have been made. This period is often assigned the Middle Bronze and Late Bronze ages of Ancient Near Eastern history. This implies that the period of the Patriarchs covered the lapse of time from 2000 to 1600 B.C. and the Exodus happened from 1500 to 1200.</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These estimates are not without problems, however. Scholars are divided over the dating of the Torah. Scholars with a literal reading of the Torah typically side with earlier dates while those interpreting it figuratively tend to opt for later ones.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 Background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Torah emerged in a complex and diverse context characterized by a mosaic of civilizations, languages, and religious practices. Ancient Mesopotamia, Egypt, Canaan, and other neighboring cultures cast their influence upon the authors of the Torah, shaping their perceptions, narratives, and even theological perspectives. The Torah reflects a world of agrarian societies, kin-based structures, and interactions with other nations—a world in which tribal identity, communal rituals, and land ownership were central. The codes of conduct, religious ceremonies, and historical recollections within the Torah are interwoven with the fabric of this society, providing insights into the challenges, aspirations, and values of the people of that era.</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within this culture and geographical boundaries that the patriarchal families came into existence. Specifically from the land of Mesopotamia, as we are told that Abraham left the land of his fathers, Ur of the Chaldeans (Gen. 11:31). This region was formed of various nations which throughout history came into and fell out of power and dominance. The beginnings of this geographical area was primarily shaped by the Sumerian civilization in the South, the Subratian in the North West</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and the Akkadian in the Middle, which had the most influence under the Kingdom of Sargon and eventually lost control to Babylon in the lower half; subsequently dominated by Assyrian in the North.</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tl w:val="0"/>
        </w:rPr>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true that Mesopotamian and Egyptian cultures played a significant role in the shaping of the Israelite nation and influenced the worldview under which the Torah was written. Nonetheless, the idea that the Torah, specifically the Genesis narrative was derived from Mesopotamian and Egyptian methodologies is irreconcilable when these sources are juxtaposed to the Genesis account. There is no doubt that similarities exist. For example similarities with Mesopoamian flood and creation accounts but when entering the genealogies records or the descriptive records about the nature of the Biblical god and the mythological gods the Genesis account remains unparalleled.</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reader does need to keep in mind the Mesopotamian and Egyptian cultural influence when approaching the Torah. This is especially true when approaching its Law genre since Law, as it is known today, is not quite the same concept the Torah has in mind. Torah does contain legal implications, but it is better understood as “instruction” or “teaching.”</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The idea that the Torah was not a law code of the land but a collection of instructions or teachings that aimed to establish a basis for moral and civil conduct instead was sprung by discoveries of various Ancient Near Eastern documents in which Scholars and Archaeologists commenced to see broad legislative gaps. That is, cases that were most probably common to occur within Ancient Near Eastern society were not covered under the stipulations of these documents.</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Thus, it could be said that the Torah is an instruction book rather than a law (in its modern definition) book.</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Archaeological background: Genesis </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Genesis, society, politics, culture, and commerce is widely supported by the discovery of the Mari tablets. In the socio-political context,  the Mari Tablets reveal details about the political organization, administration, and societal structures of the ancient Near East supporting the narrative of the patriarchs. In addition, the tablets contain a wealth of personal names, many of which are Semitic in origin which are in consistency with the names found in Genesis.</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Other insights provided by the Mari tables are legal and economic matters of property ownership, contracts, disputes, and transactions that parallel Abraham's purchase of the burial cave of Machpelah (Gen. 23:17-18).</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Archaeological background: Exodus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Among the archaeological evidence for Exodus are the presence of slave labor during the Late Bronze Age and the biblical account of the cities of Pithom and Raamses (Exo 1:11) which have been revealed in excavations at Tel el-Maskhuta and Qantir in Egypt.</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In addition to this the "Israel Stele," an ancient Egyptian inscription from the reign of Pharaoh Merneptah (around 1207 BCE) mentions "Israel" as a group of people in Canaan.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Archaeological background: Leviticus</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one of the most significant pieces of archaeological evidence for the book of Leviticus are the religious Ancient Near Eastern documents found which include manuscripts that contain records shedding light on Jewish religious practices and interpretations during the Second Temple period, which aligns with the time of Leviticus.</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These religious rituals and practices have close similarities to those found in Leviticus.</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Archaeological background: Numbers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direct evidence of Israelite encampments in the desert is challenging to pinpoint, research into ancient trade routes, water sources, and settlement patterns provides context for the Israelites' journey described in Numbers. For example, exploration of the Sinai Peninsula offers insights into the landscapes and potential routes described in Numbers. Discoveries such as inscriptions, ancient mining sites, and rock art provide context for the regions traversed by the Israelites.</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Archaeological background: Deuteronomy</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book of Deuteronomy reflects much of the Ancient Near Eastern treaties. The standard treaty was characterized by 6 different points: A preamble introducing the speaker, typically the Suzerain, then a historical prologue followed by stipulations for the vassal, a statement of the treaties terms, a list of witnesses, and finally curses and blessings according to each parties’ participation in the stipulations.</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The study of these ancient Near Eastern treaties and covenant forms, support the authenticity of the book of Deuteronomy and  illuminate the covenant language and structure used in it.</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Theological Themes</w:t>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Genesis</w:t>
      </w:r>
    </w:p>
    <w:p w:rsidR="00000000" w:rsidDel="00000000" w:rsidP="00000000" w:rsidRDefault="00000000" w:rsidRPr="00000000" w14:paraId="0000004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Genesis intricately weaves the tapestry of God's Covenant program, revealing His sovereign plan for humanity's redemption. At the heart of Genesis lies the Abrahamic covenant, a pivotal testament to God's enduring promise (Genesis 12:1-3). Yet, it's vital to recognize that the tapestry of covenants is richly woven throughout its pages. The Almighty enters covenantal relationships with figures such as Noah and his descendants, illuminating His unwavering commitment to His creation (Genesis 9:8-17). These covenants serve as divine tapestries, where God unveils His promises, prescribes sacred parameters, and outlines mutual obligations. In Genesis, the motif of covenant resounds with the symphony of God's faithfulness, His profound longing for intimate communion with humanity (Genesis 17:7), and the sacred reciprocity within the covenant community. Anchored in the genealogical chronicles, or Telodth, this theme pervades the narrative, manifesting itself in eleven instances. Five are elegantly woven through chapters 1-11, with another within 11-25, and a final quintet gracing 25-50, with Abraham's saga occupying the central space, emblematic of God's redemptive nature. In its entirety, Genesis unveils the steadfast fidelity of the Divine, illuminating the resilience of the covenant, irrespective of the imperfections that mark Abraham's lineage (Genesis 11:11), a testament to the enduring promises of our God. </w:t>
      </w:r>
    </w:p>
    <w:p w:rsidR="00000000" w:rsidDel="00000000" w:rsidP="00000000" w:rsidRDefault="00000000" w:rsidRPr="00000000" w14:paraId="0000004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Exodus</w:t>
      </w:r>
    </w:p>
    <w:p w:rsidR="00000000" w:rsidDel="00000000" w:rsidP="00000000" w:rsidRDefault="00000000" w:rsidRPr="00000000" w14:paraId="0000004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Exodus offers us profound insight into God's self-disclosure as an all-sufficient being in both character and nature (Exodus 3:14), who, nonetheless, yearns for a close relationship with His creation. This profound reality finds vivid expression in the theme of the Tabernacle. Through the Tabernacle, God conveys to His people His personal nature and His ardent desire to abide in their midst (Exodus 25:8), foreshadowing the profound truth that John would later convey in his writings (John 1:14). Within the Exodus narrative, we are granted the dual gift of the divine commandments and the blueprint for the Tabernacle's construction. The book naturally unfolds into three distinct sections: Firstly, in chapters 1-18, we bear witness to God's triumphant deliverance. Then, chapters 19-24 vividly capture the establishment of God's covenant. Lastly, in chapters 25-40, we are immersed in the tangible manifestation of God's presence.</w:t>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Leviticus</w:t>
      </w:r>
    </w:p>
    <w:p w:rsidR="00000000" w:rsidDel="00000000" w:rsidP="00000000" w:rsidRDefault="00000000" w:rsidRPr="00000000" w14:paraId="0000004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Leviticus revolves around the concept of holiness and the pathway for humanity to a holy God. This theme is deeply rooted, as evidenced by the repeated call for Israel to be holy because God is holy (Leviticus 11:44-45). Leviticus functions as a divine guidebook, detailing the rituals and ethical behaviors necessary for a holy people to engage with their holy Creator. The theological essence of Leviticus underscores the profound tension between divine holiness and human sinfulness. This tension is encapsulated in the intricate system of sacrifices and offerings, which poignantly symbolize the intersection of God's justice and grace. The shedding of innocent blood within these rituals serves as a visual reminder of the cost of sin and the need for reconciliation (Leviticus 17:11). In the midst of this tension, however,  Leviticus presents the priests as a type of mediators in charge of bridging the gap between God and His people (Leviticus 16:15-16); a practice that pointed to the Lord Jesus Christ . </w:t>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Numbers</w:t>
      </w:r>
    </w:p>
    <w:p w:rsidR="00000000" w:rsidDel="00000000" w:rsidP="00000000" w:rsidRDefault="00000000" w:rsidRPr="00000000" w14:paraId="0000004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Numbers unfolds with the journey of the Israelites through the wilderness, revealing profound insights into God's guidance, provision, and God’s divine calling (Numbers 9:15-23). This narrative is interwoven with the theme of God's sovereignty (Numbers 14:21-23), as the Israelites' experiences exemplify the tension between obedience and disobedience in response to His guidance. The Book of Numbers marks a pivotal transition from the Exodus to the Promised Land (Numbers 10:11-13), highlighting God's faithfulness (Numbers 23:19) and the Israelites' wavering trust (Numbers 14:11-12). Furthermore, the taking of the census reflects God's care for His people and His purpose for them (Numbers 1:1-3), underscoring that God cares for each and every one of his people. </w:t>
      </w:r>
    </w:p>
    <w:p w:rsidR="00000000" w:rsidDel="00000000" w:rsidP="00000000" w:rsidRDefault="00000000" w:rsidRPr="00000000" w14:paraId="0000004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Numbers also portrays the challenges of human rebellion (Numbers 11:1-3), and divine discipline (Numbers 12:1-10). The episodes of complaining (Numbers 11:4-6), the rebellion of Korah (Numbers 16:1-35), and the lack of faith at Kadesh-Barnea (Numbers 14:26-30) highlight the rebellion of the human heart in the midst of divine providence.</w:t>
      </w:r>
    </w:p>
    <w:p w:rsidR="00000000" w:rsidDel="00000000" w:rsidP="00000000" w:rsidRDefault="00000000" w:rsidRPr="00000000" w14:paraId="00000050">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Deuteronomy</w:t>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Deuteronomy weaves a profound theological theme centered on covenant renewal, moral responsibility, and the call to wholehearted devotion to God. This farewell address of Moses to the Israelites before their entry into the Promised Land encapsulates key themes that resonate throughout Scripture. Central to this book is the reiteration and renewal of the covenant between God and Israel. This reaffirmation underscores the enduring commitment of God to His people and their reciprocal responsibility to uphold the covenant's terms (Deuteronomy 7:9). The book emphasizes the importance of imparting God's teachings to successive generations (Deuteronomy 6:4-9), serving as a safeguard against forgetting God's faithfulness and instructions. The theological core of Deuteronomy reveals God's desire for a thriving community defined by justice, compassion, and ethical integrity (Deuteronomy 16:20). More importantly to Deuteronomy is its claim that anticipates the New Covenant and the coming Messiah. The promises of a Prophet like Moses (Deuteronomy 18:15) and the call to love God wholeheartedly foreshadow Christ's fulfillment of these roles.</w:t>
      </w:r>
    </w:p>
    <w:p w:rsidR="00000000" w:rsidDel="00000000" w:rsidP="00000000" w:rsidRDefault="00000000" w:rsidRPr="00000000" w14:paraId="0000005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w:t>
      </w:r>
    </w:p>
    <w:p w:rsidR="00000000" w:rsidDel="00000000" w:rsidP="00000000" w:rsidRDefault="00000000" w:rsidRPr="00000000" w14:paraId="0000005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Genesis </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world full of uncertainty and rapid continuous decay, Genesis encourages us as believers to hold fast to the promises of God because He is faithful (Heb. 10:23). In Genesis God displays His mighty arm by overcoming all odds that oppose His word and its realization just as it was in the case of Abraham and Sarah, who were promised a descendant through a child whose possibility of being born required an exceptional miracle. Today, as followers of Christ we have been entrusted with many promises. He has promised us eternal life (1 Jn. 2:25),  a firm place in Him (Rom. 8:38-39),  and His soon return (Jn. 14:18). Thus, considering the Genesis narrative, we can be sure that He will keep His word in spite of the world’s present agenda.</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Exodus</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light of the book of Exodus we should be encouraged that we serve a perfect being who is all-powerful and self-sufficient, but that yet, desires a close relationship with His creation.  The book of Exodus gives us a perfect balance between the loving nature of God and His unwavering providence for His people (Matt. 6:25) but it also displays, nevertheless, the awful consequences for those who opt to be His enemies (Heb. 10:31). As believers, Exodus motivates us to stand in faith; God will not fail to provide our needs. At the same time, it impulses the believer to approach Him in humbleness and sacred reverence and call others to enter into the same relationship with Him. </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Leviticus </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Leviticus is a call to all believers to be set apart and stand out from our present corrupted culture by being a holy people (Rom 12:2; 1 Pet. 1:15-16; Eph. 1:4; Heb. 12:14). We must be distinguished from the world by our way of living more than for what we proclaim. We no longer depend on religious rituals, blood sacrifices, or adherence to the Law, since we now have an eternal High Priest (Heb 4:14-16) who has paid the debt of sin in full, and it is His Spirit who enables us to live in a higher holy plane. Thus, the emphasis on holiness is more vivid than ever. </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book of Numbers is a reminder for those who love God that there is not a single person that goes unnoticed within His kingdom (Luk. 12:7; Matt. 10:29-31). Regardless of how minuscule our task or influence might seem in the church, God keeps a record of us. Yet, Numbers emphasizes the tarnishing consequences of rebellion against leadership and the unhealthy desire to do more than what we have been entrusted to do by God (Num 16). </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Deuteronomy </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Salvation does not end with us. This is a good principle that we may draw from Deuteronomy’s emphasis on sharing that which has been given to us with the upcoming generations (2 Tim. 2:2; 1 Cor. 2:13). It also reminds us of the many benefits of being obedient to God’s word and the catastrophic ramification of disobedience (Deut. 4:24). Thus, Deuteronomy invigorates us to be faithful to our vocation from God. Specifically those in charge of imparting His word to others.</w:t>
      </w:r>
    </w:p>
    <w:p w:rsidR="00000000" w:rsidDel="00000000" w:rsidP="00000000" w:rsidRDefault="00000000" w:rsidRPr="00000000" w14:paraId="0000006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6B">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Alexander, Thomas. D. From Paradise to the Promised Land: An Introduction to the Pentateuch</w:t>
      </w:r>
      <w:r w:rsidDel="00000000" w:rsidR="00000000" w:rsidRPr="00000000">
        <w:rPr>
          <w:rFonts w:ascii="Times New Roman" w:cs="Times New Roman" w:eastAsia="Times New Roman" w:hAnsi="Times New Roman"/>
          <w:sz w:val="24"/>
          <w:szCs w:val="24"/>
          <w:rtl w:val="0"/>
        </w:rPr>
        <w:t xml:space="preserve">. 3rd ed. Grand Rapids: Baker, 2012.</w:t>
      </w:r>
    </w:p>
    <w:p w:rsidR="00000000" w:rsidDel="00000000" w:rsidP="00000000" w:rsidRDefault="00000000" w:rsidRPr="00000000" w14:paraId="0000006D">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Gleason L. Jr. </w:t>
      </w:r>
      <w:r w:rsidDel="00000000" w:rsidR="00000000" w:rsidRPr="00000000">
        <w:rPr>
          <w:rFonts w:ascii="Times New Roman" w:cs="Times New Roman" w:eastAsia="Times New Roman" w:hAnsi="Times New Roman"/>
          <w:i w:val="1"/>
          <w:sz w:val="24"/>
          <w:szCs w:val="24"/>
          <w:rtl w:val="0"/>
        </w:rPr>
        <w:t xml:space="preserve">A Survey of Old Testament Introduction.</w:t>
      </w:r>
      <w:r w:rsidDel="00000000" w:rsidR="00000000" w:rsidRPr="00000000">
        <w:rPr>
          <w:rFonts w:ascii="Times New Roman" w:cs="Times New Roman" w:eastAsia="Times New Roman" w:hAnsi="Times New Roman"/>
          <w:sz w:val="24"/>
          <w:szCs w:val="24"/>
          <w:rtl w:val="0"/>
        </w:rPr>
        <w:t xml:space="preserve"> Chicago, IL: Moody Press, 1968.</w:t>
      </w:r>
    </w:p>
    <w:p w:rsidR="00000000" w:rsidDel="00000000" w:rsidP="00000000" w:rsidRDefault="00000000" w:rsidRPr="00000000" w14:paraId="0000006F">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Baden, Joel S. “The Documentary Hypothesis.” In </w:t>
      </w:r>
      <w:r w:rsidDel="00000000" w:rsidR="00000000" w:rsidRPr="00000000">
        <w:rPr>
          <w:rFonts w:ascii="Times New Roman" w:cs="Times New Roman" w:eastAsia="Times New Roman" w:hAnsi="Times New Roman"/>
          <w:i w:val="1"/>
          <w:sz w:val="24"/>
          <w:szCs w:val="24"/>
          <w:rtl w:val="0"/>
        </w:rPr>
        <w:t xml:space="preserve">The Composition of the Pentateuch: Renewing the Documentary Hypothesis</w:t>
      </w:r>
      <w:r w:rsidDel="00000000" w:rsidR="00000000" w:rsidRPr="00000000">
        <w:rPr>
          <w:rFonts w:ascii="Times New Roman" w:cs="Times New Roman" w:eastAsia="Times New Roman" w:hAnsi="Times New Roman"/>
          <w:sz w:val="24"/>
          <w:szCs w:val="24"/>
          <w:rtl w:val="0"/>
        </w:rPr>
        <w:t xml:space="preserve">, 13–33. Yale University Press, 2012. </w:t>
      </w:r>
      <w:hyperlink r:id="rId7">
        <w:r w:rsidDel="00000000" w:rsidR="00000000" w:rsidRPr="00000000">
          <w:rPr>
            <w:rFonts w:ascii="Times New Roman" w:cs="Times New Roman" w:eastAsia="Times New Roman" w:hAnsi="Times New Roman"/>
            <w:color w:val="1155cc"/>
            <w:sz w:val="24"/>
            <w:szCs w:val="24"/>
            <w:u w:val="single"/>
            <w:rtl w:val="0"/>
          </w:rPr>
          <w:t xml:space="preserve">http://www.jstor.org/stable/j.ctt5vm6g1.5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Dempster, Stephen G. Dominion and Dynasty: </w:t>
      </w:r>
      <w:r w:rsidDel="00000000" w:rsidR="00000000" w:rsidRPr="00000000">
        <w:rPr>
          <w:rFonts w:ascii="Times New Roman" w:cs="Times New Roman" w:eastAsia="Times New Roman" w:hAnsi="Times New Roman"/>
          <w:i w:val="1"/>
          <w:sz w:val="24"/>
          <w:szCs w:val="24"/>
          <w:rtl w:val="0"/>
        </w:rPr>
        <w:t xml:space="preserve">A Biblical Theology of the Hebrew Bible. United Kingdom:</w:t>
      </w:r>
      <w:r w:rsidDel="00000000" w:rsidR="00000000" w:rsidRPr="00000000">
        <w:rPr>
          <w:rFonts w:ascii="Times New Roman" w:cs="Times New Roman" w:eastAsia="Times New Roman" w:hAnsi="Times New Roman"/>
          <w:sz w:val="24"/>
          <w:szCs w:val="24"/>
          <w:rtl w:val="0"/>
        </w:rPr>
        <w:t xml:space="preserve"> InterVarsity Press, 2013.</w:t>
      </w:r>
    </w:p>
    <w:p w:rsidR="00000000" w:rsidDel="00000000" w:rsidP="00000000" w:rsidRDefault="00000000" w:rsidRPr="00000000" w14:paraId="00000073">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Goldingay, John. An Introduction to the Old Testament: Exploring Text, Approaches &amp; Issues. Downers Grove: IVP Academic, 2015. Accessed August 18, 2023. https://search.ebscohost.com/login.aspx?direct=true&amp;AuthType=sso&amp;db=e000xna&amp;AN=1094093&amp;site=eds-live&amp;scope=site.</w:t>
      </w:r>
    </w:p>
    <w:p w:rsidR="00000000" w:rsidDel="00000000" w:rsidP="00000000" w:rsidRDefault="00000000" w:rsidRPr="00000000" w14:paraId="00000075">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Shai. </w:t>
      </w:r>
      <w:r w:rsidDel="00000000" w:rsidR="00000000" w:rsidRPr="00000000">
        <w:rPr>
          <w:rFonts w:ascii="Times New Roman" w:cs="Times New Roman" w:eastAsia="Times New Roman" w:hAnsi="Times New Roman"/>
          <w:i w:val="1"/>
          <w:sz w:val="24"/>
          <w:szCs w:val="24"/>
          <w:rtl w:val="0"/>
        </w:rPr>
        <w:t xml:space="preserve">The Heart of Torah, Volume 1: Essays on the Weekly Torah Portion: Genesis and Exodus. The Heart of Torah</w:t>
      </w:r>
      <w:r w:rsidDel="00000000" w:rsidR="00000000" w:rsidRPr="00000000">
        <w:rPr>
          <w:rFonts w:ascii="Times New Roman" w:cs="Times New Roman" w:eastAsia="Times New Roman" w:hAnsi="Times New Roman"/>
          <w:sz w:val="24"/>
          <w:szCs w:val="24"/>
          <w:rtl w:val="0"/>
        </w:rPr>
        <w:t xml:space="preserve">. Philadelphia: The Jewish Publication Society, 2017. </w:t>
      </w:r>
      <w:hyperlink r:id="rId8">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https://search.ebscohost.com/login.aspx?direct=true&amp;AuthType=sso&amp;db=e000xna&amp;AN=1576911&amp;site=eds-live&amp;scope=site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Andrew E., and John H. Walton. A Survey of the Old Testament. United States: Zondervan, 2010.</w:t>
      </w:r>
    </w:p>
    <w:p w:rsidR="00000000" w:rsidDel="00000000" w:rsidP="00000000" w:rsidRDefault="00000000" w:rsidRPr="00000000" w14:paraId="0000007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Hoffmeier, James K. Israel in Egypt: The Evidence for the Authenticity of the Exodus Tradition. United Kingdom: Oxford University Press, USA, 1999.</w:t>
      </w:r>
    </w:p>
    <w:p w:rsidR="00000000" w:rsidDel="00000000" w:rsidP="00000000" w:rsidRDefault="00000000" w:rsidRPr="00000000" w14:paraId="0000007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William W., Craig L. Blomberg, and Robert L. Hubbard Jr.</w:t>
      </w:r>
      <w:r w:rsidDel="00000000" w:rsidR="00000000" w:rsidRPr="00000000">
        <w:rPr>
          <w:rFonts w:ascii="Times New Roman" w:cs="Times New Roman" w:eastAsia="Times New Roman" w:hAnsi="Times New Roman"/>
          <w:i w:val="1"/>
          <w:sz w:val="24"/>
          <w:szCs w:val="24"/>
          <w:rtl w:val="0"/>
        </w:rPr>
        <w:t xml:space="preserve"> Introduction to Biblical Interpretation: Revised and Expanded.</w:t>
      </w:r>
      <w:r w:rsidDel="00000000" w:rsidR="00000000" w:rsidRPr="00000000">
        <w:rPr>
          <w:rFonts w:ascii="Times New Roman" w:cs="Times New Roman" w:eastAsia="Times New Roman" w:hAnsi="Times New Roman"/>
          <w:sz w:val="24"/>
          <w:szCs w:val="24"/>
          <w:rtl w:val="0"/>
        </w:rPr>
        <w:t xml:space="preserve"> United States: Thomas Nelson, 2004.</w:t>
      </w:r>
    </w:p>
    <w:p w:rsidR="00000000" w:rsidDel="00000000" w:rsidP="00000000" w:rsidRDefault="00000000" w:rsidRPr="00000000" w14:paraId="0000007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Levine, Baruch A. </w:t>
      </w:r>
      <w:r w:rsidDel="00000000" w:rsidR="00000000" w:rsidRPr="00000000">
        <w:rPr>
          <w:rFonts w:ascii="Times New Roman" w:cs="Times New Roman" w:eastAsia="Times New Roman" w:hAnsi="Times New Roman"/>
          <w:i w:val="1"/>
          <w:sz w:val="24"/>
          <w:szCs w:val="24"/>
          <w:rtl w:val="0"/>
        </w:rPr>
        <w:t xml:space="preserve">Numbers 1-20: A New Translation with Introduction and Commentary.</w:t>
      </w:r>
      <w:r w:rsidDel="00000000" w:rsidR="00000000" w:rsidRPr="00000000">
        <w:rPr>
          <w:rFonts w:ascii="Times New Roman" w:cs="Times New Roman" w:eastAsia="Times New Roman" w:hAnsi="Times New Roman"/>
          <w:sz w:val="24"/>
          <w:szCs w:val="24"/>
          <w:rtl w:val="0"/>
        </w:rPr>
        <w:t xml:space="preserve"> The Anchor Bible: V. 4A. Yale University Press, 2008.</w:t>
      </w:r>
    </w:p>
    <w:p w:rsidR="00000000" w:rsidDel="00000000" w:rsidP="00000000" w:rsidRDefault="00000000" w:rsidRPr="00000000" w14:paraId="0000007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Rogerson, J. W. </w:t>
      </w:r>
      <w:r w:rsidDel="00000000" w:rsidR="00000000" w:rsidRPr="00000000">
        <w:rPr>
          <w:rFonts w:ascii="Times New Roman" w:cs="Times New Roman" w:eastAsia="Times New Roman" w:hAnsi="Times New Roman"/>
          <w:i w:val="1"/>
          <w:sz w:val="24"/>
          <w:szCs w:val="24"/>
          <w:rtl w:val="0"/>
        </w:rPr>
        <w:t xml:space="preserve">Old Testament Criticism in the Nineteenth Century : England and Germany</w:t>
      </w:r>
      <w:r w:rsidDel="00000000" w:rsidR="00000000" w:rsidRPr="00000000">
        <w:rPr>
          <w:rFonts w:ascii="Times New Roman" w:cs="Times New Roman" w:eastAsia="Times New Roman" w:hAnsi="Times New Roman"/>
          <w:sz w:val="24"/>
          <w:szCs w:val="24"/>
          <w:rtl w:val="0"/>
        </w:rPr>
        <w:t xml:space="preserve">. 1St Fortress Press ed. Philadelphia: Fortress Press, 1985.</w:t>
      </w:r>
    </w:p>
    <w:p w:rsidR="00000000" w:rsidDel="00000000" w:rsidP="00000000" w:rsidRDefault="00000000" w:rsidRPr="00000000" w14:paraId="00000080">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Schnittjer, Gary Edward. The Torah Story: An Apprenticeship on the Pentateuch. Vol. Epub edition. Grand Rapids, Michigan: Zondervan Academic, 2010. </w:t>
      </w:r>
      <w:hyperlink r:id="rId9">
        <w:r w:rsidDel="00000000" w:rsidR="00000000" w:rsidRPr="00000000">
          <w:rPr>
            <w:rFonts w:ascii="Times New Roman" w:cs="Times New Roman" w:eastAsia="Times New Roman" w:hAnsi="Times New Roman"/>
            <w:color w:val="1155cc"/>
            <w:sz w:val="24"/>
            <w:szCs w:val="24"/>
            <w:u w:val="single"/>
            <w:rtl w:val="0"/>
          </w:rPr>
          <w:t xml:space="preserve">https://search.ebscohost.com/login.aspx?direct=true&amp;AuthType=sso&amp;db=nlebk&amp;AN=2026277&amp;site=eds-live&amp;scope=site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Steinmann, Andrew E., and Tremper Longman III. Genesis: An Introduction and Commentary. Vol. [CA &amp; US version]. Tyndale Old Testament Commentaries. Downers Grove, IL: IVP Academic, 2019. https://search.ebscohost.com/login.aspx?direct=true&amp;AuthType=sso&amp;db=e000xna&amp;AN=2219470&amp;site=eds-live&amp;scope=site.</w:t>
      </w:r>
    </w:p>
    <w:p w:rsidR="00000000" w:rsidDel="00000000" w:rsidP="00000000" w:rsidRDefault="00000000" w:rsidRPr="00000000" w14:paraId="0000008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Tenney, Merrill C.</w:t>
      </w:r>
      <w:r w:rsidDel="00000000" w:rsidR="00000000" w:rsidRPr="00000000">
        <w:rPr>
          <w:rFonts w:ascii="Times New Roman" w:cs="Times New Roman" w:eastAsia="Times New Roman" w:hAnsi="Times New Roman"/>
          <w:i w:val="1"/>
          <w:sz w:val="24"/>
          <w:szCs w:val="24"/>
          <w:rtl w:val="0"/>
        </w:rPr>
        <w:t xml:space="preserve"> The Zondervan Encyclopedia of the Bible, Volume 4: Revised Full-Color Edition.</w:t>
      </w:r>
      <w:r w:rsidDel="00000000" w:rsidR="00000000" w:rsidRPr="00000000">
        <w:rPr>
          <w:rFonts w:ascii="Times New Roman" w:cs="Times New Roman" w:eastAsia="Times New Roman" w:hAnsi="Times New Roman"/>
          <w:sz w:val="24"/>
          <w:szCs w:val="24"/>
          <w:rtl w:val="0"/>
        </w:rPr>
        <w:t xml:space="preserve"> The Zondervan Encyclopedia of the Bible. Grand Rapids, Mich: Zondervan Academic, 2010. https://search.ebscohost.com/login.aspx?direct=true&amp;AuthType=sso&amp;db=nlebk&amp;AN=1524965&amp;authtype=sso&amp;custid=s6133893&amp;site=ehost-live.</w:t>
      </w:r>
    </w:p>
    <w:p w:rsidR="00000000" w:rsidDel="00000000" w:rsidP="00000000" w:rsidRDefault="00000000" w:rsidRPr="00000000" w14:paraId="0000008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and J. Harvey Walton. </w:t>
      </w:r>
      <w:r w:rsidDel="00000000" w:rsidR="00000000" w:rsidRPr="00000000">
        <w:rPr>
          <w:rFonts w:ascii="Times New Roman" w:cs="Times New Roman" w:eastAsia="Times New Roman" w:hAnsi="Times New Roman"/>
          <w:i w:val="1"/>
          <w:sz w:val="24"/>
          <w:szCs w:val="24"/>
          <w:rtl w:val="0"/>
        </w:rPr>
        <w:t xml:space="preserve">The Lost World of the Torah: Law as Covenant and Wisdom in Ancient Context.</w:t>
      </w:r>
      <w:r w:rsidDel="00000000" w:rsidR="00000000" w:rsidRPr="00000000">
        <w:rPr>
          <w:rFonts w:ascii="Times New Roman" w:cs="Times New Roman" w:eastAsia="Times New Roman" w:hAnsi="Times New Roman"/>
          <w:sz w:val="24"/>
          <w:szCs w:val="24"/>
          <w:rtl w:val="0"/>
        </w:rPr>
        <w:t xml:space="preserve"> United States: InterVarsity Press, 2019.</w:t>
      </w:r>
    </w:p>
    <w:p w:rsidR="00000000" w:rsidDel="00000000" w:rsidP="00000000" w:rsidRDefault="00000000" w:rsidRPr="00000000" w14:paraId="0000008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Matthews, Victor H., and Chavalas, Mark W.. </w:t>
      </w:r>
      <w:r w:rsidDel="00000000" w:rsidR="00000000" w:rsidRPr="00000000">
        <w:rPr>
          <w:rFonts w:ascii="Times New Roman" w:cs="Times New Roman" w:eastAsia="Times New Roman" w:hAnsi="Times New Roman"/>
          <w:i w:val="1"/>
          <w:sz w:val="24"/>
          <w:szCs w:val="24"/>
          <w:rtl w:val="0"/>
        </w:rPr>
        <w:t xml:space="preserve">The IVP Bible Background Commentary: Old Testament</w:t>
      </w:r>
      <w:r w:rsidDel="00000000" w:rsidR="00000000" w:rsidRPr="00000000">
        <w:rPr>
          <w:rFonts w:ascii="Times New Roman" w:cs="Times New Roman" w:eastAsia="Times New Roman" w:hAnsi="Times New Roman"/>
          <w:sz w:val="24"/>
          <w:szCs w:val="24"/>
          <w:rtl w:val="0"/>
        </w:rPr>
        <w:t xml:space="preserve">. Westmont: InterVarsity Press, 2000. Accessed August 19, 2023. ProQuest Ebook Central.</w:t>
      </w:r>
    </w:p>
    <w:p w:rsidR="00000000" w:rsidDel="00000000" w:rsidP="00000000" w:rsidRDefault="00000000" w:rsidRPr="00000000" w14:paraId="00000089">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Bible? </w:t>
      </w:r>
      <w:r w:rsidDel="00000000" w:rsidR="00000000" w:rsidRPr="00000000">
        <w:rPr>
          <w:rFonts w:ascii="Times New Roman" w:cs="Times New Roman" w:eastAsia="Times New Roman" w:hAnsi="Times New Roman"/>
          <w:sz w:val="24"/>
          <w:szCs w:val="24"/>
          <w:rtl w:val="0"/>
        </w:rPr>
        <w:t xml:space="preserve">Edited by David Otis Fuller. United States: Grand Rapids International Publications, 1972.</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9">
    <w:p w:rsidR="00000000" w:rsidDel="00000000" w:rsidP="00000000" w:rsidRDefault="00000000" w:rsidRPr="00000000" w14:paraId="00000091">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Rogerson, J. W. </w:t>
      </w:r>
      <w:r w:rsidDel="00000000" w:rsidR="00000000" w:rsidRPr="00000000">
        <w:rPr>
          <w:i w:val="1"/>
          <w:sz w:val="20"/>
          <w:szCs w:val="20"/>
          <w:rtl w:val="0"/>
        </w:rPr>
        <w:t xml:space="preserve">Old Testament Criticism in the Nineteenth Century : England and Germany</w:t>
      </w:r>
      <w:r w:rsidDel="00000000" w:rsidR="00000000" w:rsidRPr="00000000">
        <w:rPr>
          <w:sz w:val="20"/>
          <w:szCs w:val="20"/>
          <w:rtl w:val="0"/>
        </w:rPr>
        <w:t xml:space="preserve">. 1St Fortress Press ed. (Philadelphia: Fortress Press, 1985), 15.</w:t>
      </w:r>
    </w:p>
    <w:p w:rsidR="00000000" w:rsidDel="00000000" w:rsidP="00000000" w:rsidRDefault="00000000" w:rsidRPr="00000000" w14:paraId="00000092">
      <w:pPr>
        <w:spacing w:line="240" w:lineRule="auto"/>
        <w:rPr>
          <w:sz w:val="20"/>
          <w:szCs w:val="20"/>
        </w:rPr>
      </w:pPr>
      <w:r w:rsidDel="00000000" w:rsidR="00000000" w:rsidRPr="00000000">
        <w:rPr>
          <w:rtl w:val="0"/>
        </w:rPr>
      </w:r>
    </w:p>
  </w:footnote>
  <w:footnote w:id="20">
    <w:p w:rsidR="00000000" w:rsidDel="00000000" w:rsidP="00000000" w:rsidRDefault="00000000" w:rsidRPr="00000000" w14:paraId="00000093">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Joel S. Baden, "The Documentary Hypothesis," </w:t>
      </w:r>
      <w:r w:rsidDel="00000000" w:rsidR="00000000" w:rsidRPr="00000000">
        <w:rPr>
          <w:i w:val="1"/>
          <w:sz w:val="20"/>
          <w:szCs w:val="20"/>
          <w:rtl w:val="0"/>
        </w:rPr>
        <w:t xml:space="preserve">in The Composition of the Pentateuch: Renewing the Documentary Hypothesis </w:t>
      </w:r>
      <w:r w:rsidDel="00000000" w:rsidR="00000000" w:rsidRPr="00000000">
        <w:rPr>
          <w:sz w:val="20"/>
          <w:szCs w:val="20"/>
          <w:rtl w:val="0"/>
        </w:rPr>
        <w:t xml:space="preserve">(Yale University Press, 2012), 13.</w:t>
      </w:r>
    </w:p>
    <w:p w:rsidR="00000000" w:rsidDel="00000000" w:rsidP="00000000" w:rsidRDefault="00000000" w:rsidRPr="00000000" w14:paraId="00000094">
      <w:pPr>
        <w:spacing w:line="240" w:lineRule="auto"/>
        <w:rPr>
          <w:sz w:val="20"/>
          <w:szCs w:val="20"/>
        </w:rPr>
      </w:pPr>
      <w:r w:rsidDel="00000000" w:rsidR="00000000" w:rsidRPr="00000000">
        <w:rPr>
          <w:rtl w:val="0"/>
        </w:rPr>
      </w:r>
    </w:p>
  </w:footnote>
  <w:footnote w:id="15">
    <w:p w:rsidR="00000000" w:rsidDel="00000000" w:rsidP="00000000" w:rsidRDefault="00000000" w:rsidRPr="00000000" w14:paraId="00000095">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p w:rsidR="00000000" w:rsidDel="00000000" w:rsidP="00000000" w:rsidRDefault="00000000" w:rsidRPr="00000000" w14:paraId="00000096">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97">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Alexander., </w:t>
      </w:r>
      <w:r w:rsidDel="00000000" w:rsidR="00000000" w:rsidRPr="00000000">
        <w:rPr>
          <w:i w:val="1"/>
          <w:sz w:val="20"/>
          <w:szCs w:val="20"/>
          <w:rtl w:val="0"/>
        </w:rPr>
        <w:t xml:space="preserve">From Paradise to the Promised Land: An Introduction to the Pentateuch</w:t>
      </w:r>
      <w:r w:rsidDel="00000000" w:rsidR="00000000" w:rsidRPr="00000000">
        <w:rPr>
          <w:sz w:val="20"/>
          <w:szCs w:val="20"/>
          <w:rtl w:val="0"/>
        </w:rPr>
        <w:t xml:space="preserve">, 3. </w:t>
      </w:r>
    </w:p>
    <w:p w:rsidR="00000000" w:rsidDel="00000000" w:rsidP="00000000" w:rsidRDefault="00000000" w:rsidRPr="00000000" w14:paraId="00000098">
      <w:pPr>
        <w:spacing w:line="240" w:lineRule="auto"/>
        <w:rPr>
          <w:sz w:val="20"/>
          <w:szCs w:val="20"/>
        </w:rPr>
      </w:pPr>
      <w:r w:rsidDel="00000000" w:rsidR="00000000" w:rsidRPr="00000000">
        <w:rPr>
          <w:rtl w:val="0"/>
        </w:rPr>
      </w:r>
    </w:p>
  </w:footnote>
  <w:footnote w:id="17">
    <w:p w:rsidR="00000000" w:rsidDel="00000000" w:rsidP="00000000" w:rsidRDefault="00000000" w:rsidRPr="00000000" w14:paraId="00000099">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Alexander., </w:t>
      </w:r>
      <w:r w:rsidDel="00000000" w:rsidR="00000000" w:rsidRPr="00000000">
        <w:rPr>
          <w:i w:val="1"/>
          <w:sz w:val="20"/>
          <w:szCs w:val="20"/>
          <w:rtl w:val="0"/>
        </w:rPr>
        <w:t xml:space="preserve">From Paradise to the Promised Land: An Introduction to the Pentateuch</w:t>
      </w:r>
      <w:r w:rsidDel="00000000" w:rsidR="00000000" w:rsidRPr="00000000">
        <w:rPr>
          <w:sz w:val="20"/>
          <w:szCs w:val="20"/>
          <w:rtl w:val="0"/>
        </w:rPr>
        <w:t xml:space="preserve">, 5. </w:t>
      </w:r>
    </w:p>
    <w:p w:rsidR="00000000" w:rsidDel="00000000" w:rsidP="00000000" w:rsidRDefault="00000000" w:rsidRPr="00000000" w14:paraId="0000009A">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9B">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John H. and J. Harvey Walton, </w:t>
      </w:r>
      <w:r w:rsidDel="00000000" w:rsidR="00000000" w:rsidRPr="00000000">
        <w:rPr>
          <w:i w:val="1"/>
          <w:sz w:val="20"/>
          <w:szCs w:val="20"/>
          <w:rtl w:val="0"/>
        </w:rPr>
        <w:t xml:space="preserve">The Lost World of the Torah: Law as Covenant and Wisdom in Ancient Context </w:t>
      </w:r>
      <w:r w:rsidDel="00000000" w:rsidR="00000000" w:rsidRPr="00000000">
        <w:rPr>
          <w:sz w:val="20"/>
          <w:szCs w:val="20"/>
          <w:rtl w:val="0"/>
        </w:rPr>
        <w:t xml:space="preserve">(United States: InterVarsity Press, 2019), 13.</w:t>
      </w:r>
    </w:p>
    <w:p w:rsidR="00000000" w:rsidDel="00000000" w:rsidP="00000000" w:rsidRDefault="00000000" w:rsidRPr="00000000" w14:paraId="0000009C">
      <w:pPr>
        <w:spacing w:line="240" w:lineRule="auto"/>
        <w:ind w:left="0" w:firstLine="720"/>
        <w:rPr>
          <w:sz w:val="20"/>
          <w:szCs w:val="20"/>
        </w:rPr>
      </w:pPr>
      <w:r w:rsidDel="00000000" w:rsidR="00000000" w:rsidRPr="00000000">
        <w:rPr>
          <w:rtl w:val="0"/>
        </w:rPr>
      </w:r>
    </w:p>
  </w:footnote>
  <w:footnote w:id="0">
    <w:p w:rsidR="00000000" w:rsidDel="00000000" w:rsidP="00000000" w:rsidRDefault="00000000" w:rsidRPr="00000000" w14:paraId="0000009D">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Held, Shai,</w:t>
      </w:r>
      <w:r w:rsidDel="00000000" w:rsidR="00000000" w:rsidRPr="00000000">
        <w:rPr>
          <w:i w:val="1"/>
          <w:sz w:val="20"/>
          <w:szCs w:val="20"/>
          <w:rtl w:val="0"/>
        </w:rPr>
        <w:t xml:space="preserve"> The Heart of Torah, Volume 1: Essays on the Weekly Torah Portion: Genesis and Exodus, The Heart of Torah</w:t>
      </w:r>
      <w:r w:rsidDel="00000000" w:rsidR="00000000" w:rsidRPr="00000000">
        <w:rPr>
          <w:sz w:val="20"/>
          <w:szCs w:val="20"/>
          <w:rtl w:val="0"/>
        </w:rPr>
        <w:t xml:space="preserve"> (Philadelphia: The Jewish Publication Society, 2017), xxii-xxiii.</w:t>
      </w:r>
    </w:p>
    <w:p w:rsidR="00000000" w:rsidDel="00000000" w:rsidP="00000000" w:rsidRDefault="00000000" w:rsidRPr="00000000" w14:paraId="0000009E">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9F">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William. W., Craig L. Blomberg, and Robert L. Hubbard Jr., Introduction to Biblical Interpretation: Revised and Expanded (United States: Thomas Nelson, 2004), 42.</w:t>
      </w:r>
    </w:p>
    <w:p w:rsidR="00000000" w:rsidDel="00000000" w:rsidP="00000000" w:rsidRDefault="00000000" w:rsidRPr="00000000" w14:paraId="000000A0">
      <w:pPr>
        <w:spacing w:line="240" w:lineRule="auto"/>
        <w:rPr>
          <w:sz w:val="20"/>
          <w:szCs w:val="20"/>
        </w:rPr>
      </w:pPr>
      <w:r w:rsidDel="00000000" w:rsidR="00000000" w:rsidRPr="00000000">
        <w:rPr>
          <w:rtl w:val="0"/>
        </w:rPr>
      </w:r>
    </w:p>
  </w:footnote>
  <w:footnote w:id="18">
    <w:p w:rsidR="00000000" w:rsidDel="00000000" w:rsidP="00000000" w:rsidRDefault="00000000" w:rsidRPr="00000000" w14:paraId="000000A1">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Which Bible? </w:t>
      </w:r>
      <w:r w:rsidDel="00000000" w:rsidR="00000000" w:rsidRPr="00000000">
        <w:rPr>
          <w:sz w:val="20"/>
          <w:szCs w:val="20"/>
          <w:rtl w:val="0"/>
        </w:rPr>
        <w:t xml:space="preserve">Edited by David Otis Fuller (United States: Grand Rapids International Publications, 1972), 51.</w:t>
      </w:r>
    </w:p>
    <w:p w:rsidR="00000000" w:rsidDel="00000000" w:rsidP="00000000" w:rsidRDefault="00000000" w:rsidRPr="00000000" w14:paraId="000000A2">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A3">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Dempster, Stephen G., </w:t>
      </w:r>
      <w:r w:rsidDel="00000000" w:rsidR="00000000" w:rsidRPr="00000000">
        <w:rPr>
          <w:i w:val="1"/>
          <w:sz w:val="20"/>
          <w:szCs w:val="20"/>
          <w:rtl w:val="0"/>
        </w:rPr>
        <w:t xml:space="preserve">Dominion and Dynasty: A Biblical Theology of the Hebrew Bible </w:t>
      </w:r>
      <w:r w:rsidDel="00000000" w:rsidR="00000000" w:rsidRPr="00000000">
        <w:rPr>
          <w:sz w:val="20"/>
          <w:szCs w:val="20"/>
          <w:rtl w:val="0"/>
        </w:rPr>
        <w:t xml:space="preserve">(United Kingdom: InterVarsity Press, 2013), 24.</w:t>
      </w:r>
    </w:p>
    <w:p w:rsidR="00000000" w:rsidDel="00000000" w:rsidP="00000000" w:rsidRDefault="00000000" w:rsidRPr="00000000" w14:paraId="000000A4">
      <w:pPr>
        <w:spacing w:line="240" w:lineRule="auto"/>
        <w:ind w:left="0" w:firstLine="720"/>
        <w:rPr>
          <w:sz w:val="20"/>
          <w:szCs w:val="20"/>
        </w:rPr>
      </w:pPr>
      <w:r w:rsidDel="00000000" w:rsidR="00000000" w:rsidRPr="00000000">
        <w:rPr>
          <w:rtl w:val="0"/>
        </w:rPr>
      </w:r>
    </w:p>
  </w:footnote>
  <w:footnote w:id="5">
    <w:p w:rsidR="00000000" w:rsidDel="00000000" w:rsidP="00000000" w:rsidRDefault="00000000" w:rsidRPr="00000000" w14:paraId="000000A6">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w:t>
      </w:r>
      <w:r w:rsidDel="00000000" w:rsidR="00000000" w:rsidRPr="00000000">
        <w:rPr>
          <w:i w:val="1"/>
          <w:sz w:val="20"/>
          <w:szCs w:val="20"/>
          <w:rtl w:val="0"/>
        </w:rPr>
        <w:t xml:space="preserve"> Introduction to Biblical Interpretation</w:t>
      </w:r>
      <w:r w:rsidDel="00000000" w:rsidR="00000000" w:rsidRPr="00000000">
        <w:rPr>
          <w:sz w:val="20"/>
          <w:szCs w:val="20"/>
          <w:rtl w:val="0"/>
        </w:rPr>
        <w:t xml:space="preserve">, 438-439.</w:t>
      </w:r>
    </w:p>
    <w:p w:rsidR="00000000" w:rsidDel="00000000" w:rsidP="00000000" w:rsidRDefault="00000000" w:rsidRPr="00000000" w14:paraId="000000A7">
      <w:pPr>
        <w:spacing w:line="240" w:lineRule="auto"/>
        <w:ind w:left="720" w:firstLine="720"/>
        <w:rPr>
          <w:sz w:val="20"/>
          <w:szCs w:val="20"/>
        </w:rPr>
      </w:pPr>
      <w:r w:rsidDel="00000000" w:rsidR="00000000" w:rsidRPr="00000000">
        <w:rPr>
          <w:rtl w:val="0"/>
        </w:rPr>
      </w:r>
    </w:p>
  </w:footnote>
  <w:footnote w:id="1">
    <w:p w:rsidR="00000000" w:rsidDel="00000000" w:rsidP="00000000" w:rsidRDefault="00000000" w:rsidRPr="00000000" w14:paraId="000000A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Goldingay, </w:t>
      </w:r>
      <w:r w:rsidDel="00000000" w:rsidR="00000000" w:rsidRPr="00000000">
        <w:rPr>
          <w:i w:val="1"/>
          <w:sz w:val="20"/>
          <w:szCs w:val="20"/>
          <w:rtl w:val="0"/>
        </w:rPr>
        <w:t xml:space="preserve">An Introduction to the Old Testament: Exploring Text, Approaches &amp; Issues</w:t>
      </w:r>
      <w:r w:rsidDel="00000000" w:rsidR="00000000" w:rsidRPr="00000000">
        <w:rPr>
          <w:sz w:val="20"/>
          <w:szCs w:val="20"/>
          <w:rtl w:val="0"/>
        </w:rPr>
        <w:t xml:space="preserve"> (Downers Grove: IVP Academic, 2015), 50. </w:t>
      </w:r>
    </w:p>
    <w:p w:rsidR="00000000" w:rsidDel="00000000" w:rsidP="00000000" w:rsidRDefault="00000000" w:rsidRPr="00000000" w14:paraId="000000A9">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AA">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440.</w:t>
      </w:r>
    </w:p>
    <w:p w:rsidR="00000000" w:rsidDel="00000000" w:rsidP="00000000" w:rsidRDefault="00000000" w:rsidRPr="00000000" w14:paraId="000000AB">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AC">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and Walton, </w:t>
      </w:r>
      <w:r w:rsidDel="00000000" w:rsidR="00000000" w:rsidRPr="00000000">
        <w:rPr>
          <w:i w:val="1"/>
          <w:sz w:val="20"/>
          <w:szCs w:val="20"/>
          <w:rtl w:val="0"/>
        </w:rPr>
        <w:t xml:space="preserve">The Lost World of the Torah: Law as Covenant and Wisdom in Ancient Context</w:t>
      </w:r>
      <w:r w:rsidDel="00000000" w:rsidR="00000000" w:rsidRPr="00000000">
        <w:rPr>
          <w:sz w:val="20"/>
          <w:szCs w:val="20"/>
          <w:rtl w:val="0"/>
        </w:rPr>
        <w:t xml:space="preserve">, 18.</w:t>
      </w:r>
    </w:p>
  </w:footnote>
  <w:footnote w:id="9">
    <w:p w:rsidR="00000000" w:rsidDel="00000000" w:rsidP="00000000" w:rsidRDefault="00000000" w:rsidRPr="00000000" w14:paraId="000000AD">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453.</w:t>
      </w:r>
    </w:p>
    <w:p w:rsidR="00000000" w:rsidDel="00000000" w:rsidP="00000000" w:rsidRDefault="00000000" w:rsidRPr="00000000" w14:paraId="000000AE">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AF">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424.</w:t>
      </w:r>
    </w:p>
    <w:p w:rsidR="00000000" w:rsidDel="00000000" w:rsidP="00000000" w:rsidRDefault="00000000" w:rsidRPr="00000000" w14:paraId="000000B0">
      <w:pPr>
        <w:spacing w:line="240" w:lineRule="auto"/>
        <w:ind w:left="0" w:firstLine="720"/>
        <w:rPr>
          <w:sz w:val="20"/>
          <w:szCs w:val="20"/>
        </w:rPr>
      </w:pPr>
      <w:r w:rsidDel="00000000" w:rsidR="00000000" w:rsidRPr="00000000">
        <w:rPr>
          <w:rtl w:val="0"/>
        </w:rPr>
      </w:r>
    </w:p>
  </w:footnote>
  <w:footnote w:id="11">
    <w:p w:rsidR="00000000" w:rsidDel="00000000" w:rsidP="00000000" w:rsidRDefault="00000000" w:rsidRPr="00000000" w14:paraId="000000B1">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425.</w:t>
      </w:r>
    </w:p>
    <w:p w:rsidR="00000000" w:rsidDel="00000000" w:rsidP="00000000" w:rsidRDefault="00000000" w:rsidRPr="00000000" w14:paraId="000000B2">
      <w:pPr>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0B3">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429.</w:t>
      </w:r>
    </w:p>
    <w:p w:rsidR="00000000" w:rsidDel="00000000" w:rsidP="00000000" w:rsidRDefault="00000000" w:rsidRPr="00000000" w14:paraId="000000B4">
      <w:pPr>
        <w:spacing w:line="240" w:lineRule="auto"/>
        <w:rPr>
          <w:sz w:val="20"/>
          <w:szCs w:val="20"/>
        </w:rPr>
      </w:pPr>
      <w:r w:rsidDel="00000000" w:rsidR="00000000" w:rsidRPr="00000000">
        <w:rPr>
          <w:rtl w:val="0"/>
        </w:rPr>
      </w:r>
    </w:p>
  </w:footnote>
  <w:footnote w:id="14">
    <w:p w:rsidR="00000000" w:rsidDel="00000000" w:rsidP="00000000" w:rsidRDefault="00000000" w:rsidRPr="00000000" w14:paraId="000000B5">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Alexander, T. D., </w:t>
      </w:r>
      <w:r w:rsidDel="00000000" w:rsidR="00000000" w:rsidRPr="00000000">
        <w:rPr>
          <w:i w:val="1"/>
          <w:sz w:val="20"/>
          <w:szCs w:val="20"/>
          <w:rtl w:val="0"/>
        </w:rPr>
        <w:t xml:space="preserve">From Paradise to the Promised Land: An Introduction to the Pentateuch</w:t>
      </w:r>
      <w:r w:rsidDel="00000000" w:rsidR="00000000" w:rsidRPr="00000000">
        <w:rPr>
          <w:sz w:val="20"/>
          <w:szCs w:val="20"/>
          <w:rtl w:val="0"/>
        </w:rPr>
        <w:t xml:space="preserve">, 3rd ed. (Grand Rapids: Baker, 2012), 3.</w:t>
      </w:r>
    </w:p>
    <w:p w:rsidR="00000000" w:rsidDel="00000000" w:rsidP="00000000" w:rsidRDefault="00000000" w:rsidRPr="00000000" w14:paraId="000000B6">
      <w:pPr>
        <w:spacing w:line="240" w:lineRule="auto"/>
        <w:rPr>
          <w:sz w:val="20"/>
          <w:szCs w:val="20"/>
        </w:rPr>
      </w:pPr>
      <w:r w:rsidDel="00000000" w:rsidR="00000000" w:rsidRPr="00000000">
        <w:rPr>
          <w:rtl w:val="0"/>
        </w:rPr>
      </w:r>
    </w:p>
    <w:p w:rsidR="00000000" w:rsidDel="00000000" w:rsidP="00000000" w:rsidRDefault="00000000" w:rsidRPr="00000000" w14:paraId="000000B7">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B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and Walton, </w:t>
      </w:r>
      <w:r w:rsidDel="00000000" w:rsidR="00000000" w:rsidRPr="00000000">
        <w:rPr>
          <w:i w:val="1"/>
          <w:sz w:val="20"/>
          <w:szCs w:val="20"/>
          <w:rtl w:val="0"/>
        </w:rPr>
        <w:t xml:space="preserve">The Lost World of the Torah: Law as Covenant and Wisdom in Ancient Context </w:t>
      </w:r>
      <w:r w:rsidDel="00000000" w:rsidR="00000000" w:rsidRPr="00000000">
        <w:rPr>
          <w:sz w:val="20"/>
          <w:szCs w:val="20"/>
          <w:rtl w:val="0"/>
        </w:rPr>
        <w:t xml:space="preserve">21-22</w:t>
      </w:r>
      <w:r w:rsidDel="00000000" w:rsidR="00000000" w:rsidRPr="00000000">
        <w:rPr>
          <w:sz w:val="20"/>
          <w:szCs w:val="20"/>
          <w:rtl w:val="0"/>
        </w:rPr>
        <w:t xml:space="preserve">.</w:t>
      </w:r>
    </w:p>
    <w:p w:rsidR="00000000" w:rsidDel="00000000" w:rsidP="00000000" w:rsidRDefault="00000000" w:rsidRPr="00000000" w14:paraId="000000B9">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BA">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635.</w:t>
      </w:r>
    </w:p>
    <w:p w:rsidR="00000000" w:rsidDel="00000000" w:rsidP="00000000" w:rsidRDefault="00000000" w:rsidRPr="00000000" w14:paraId="000000BB">
      <w:pPr>
        <w:spacing w:line="240" w:lineRule="auto"/>
        <w:ind w:left="0" w:firstLine="720"/>
        <w:rPr>
          <w:sz w:val="20"/>
          <w:szCs w:val="20"/>
        </w:rPr>
      </w:pPr>
      <w:r w:rsidDel="00000000" w:rsidR="00000000" w:rsidRPr="00000000">
        <w:rPr>
          <w:rtl w:val="0"/>
        </w:rPr>
      </w:r>
    </w:p>
  </w:footnote>
  <w:footnote w:id="13">
    <w:p w:rsidR="00000000" w:rsidDel="00000000" w:rsidP="00000000" w:rsidRDefault="00000000" w:rsidRPr="00000000" w14:paraId="000000BC">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Dempster, </w:t>
      </w:r>
      <w:r w:rsidDel="00000000" w:rsidR="00000000" w:rsidRPr="00000000">
        <w:rPr>
          <w:i w:val="1"/>
          <w:sz w:val="20"/>
          <w:szCs w:val="20"/>
          <w:rtl w:val="0"/>
        </w:rPr>
        <w:t xml:space="preserve">Dominion and Dynasty: A Biblical Theology of the Hebrew Bible, </w:t>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0BE">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Andrew E. and Walton, John H.,</w:t>
      </w:r>
      <w:r w:rsidDel="00000000" w:rsidR="00000000" w:rsidRPr="00000000">
        <w:rPr>
          <w:i w:val="1"/>
          <w:sz w:val="20"/>
          <w:szCs w:val="20"/>
          <w:rtl w:val="0"/>
        </w:rPr>
        <w:t xml:space="preserve"> A Survey of the Old Testament</w:t>
      </w:r>
      <w:r w:rsidDel="00000000" w:rsidR="00000000" w:rsidRPr="00000000">
        <w:rPr>
          <w:sz w:val="20"/>
          <w:szCs w:val="20"/>
          <w:rtl w:val="0"/>
        </w:rPr>
        <w:t xml:space="preserve"> (United States: Zondervan, 2010), 64.</w:t>
      </w:r>
    </w:p>
    <w:p w:rsidR="00000000" w:rsidDel="00000000" w:rsidP="00000000" w:rsidRDefault="00000000" w:rsidRPr="00000000" w14:paraId="000000BF">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0C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p w:rsidR="00000000" w:rsidDel="00000000" w:rsidP="00000000" w:rsidRDefault="00000000" w:rsidRPr="00000000" w14:paraId="000000C1">
      <w:pPr>
        <w:spacing w:line="240" w:lineRule="auto"/>
        <w:rPr>
          <w:sz w:val="20"/>
          <w:szCs w:val="20"/>
        </w:rPr>
      </w:pPr>
      <w:r w:rsidDel="00000000" w:rsidR="00000000" w:rsidRPr="00000000">
        <w:rPr>
          <w:rtl w:val="0"/>
        </w:rPr>
      </w:r>
    </w:p>
  </w:footnote>
  <w:footnote w:id="26">
    <w:p w:rsidR="00000000" w:rsidDel="00000000" w:rsidP="00000000" w:rsidRDefault="00000000" w:rsidRPr="00000000" w14:paraId="000000C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and Walton,</w:t>
      </w:r>
      <w:r w:rsidDel="00000000" w:rsidR="00000000" w:rsidRPr="00000000">
        <w:rPr>
          <w:i w:val="1"/>
          <w:sz w:val="20"/>
          <w:szCs w:val="20"/>
          <w:rtl w:val="0"/>
        </w:rPr>
        <w:t xml:space="preserve"> A Survey of the Old Testament, </w:t>
      </w:r>
      <w:r w:rsidDel="00000000" w:rsidR="00000000" w:rsidRPr="00000000">
        <w:rPr>
          <w:sz w:val="20"/>
          <w:szCs w:val="20"/>
          <w:rtl w:val="0"/>
        </w:rPr>
        <w:t xml:space="preserve">67</w:t>
      </w:r>
      <w:r w:rsidDel="00000000" w:rsidR="00000000" w:rsidRPr="00000000">
        <w:rPr>
          <w:sz w:val="20"/>
          <w:szCs w:val="20"/>
          <w:rtl w:val="0"/>
        </w:rPr>
        <w:t xml:space="preserve">.</w:t>
      </w:r>
    </w:p>
    <w:p w:rsidR="00000000" w:rsidDel="00000000" w:rsidP="00000000" w:rsidRDefault="00000000" w:rsidRPr="00000000" w14:paraId="000000C3">
      <w:pPr>
        <w:spacing w:line="240" w:lineRule="auto"/>
        <w:rPr>
          <w:sz w:val="20"/>
          <w:szCs w:val="20"/>
        </w:rPr>
      </w:pPr>
      <w:r w:rsidDel="00000000" w:rsidR="00000000" w:rsidRPr="00000000">
        <w:rPr>
          <w:rtl w:val="0"/>
        </w:rPr>
      </w:r>
    </w:p>
  </w:footnote>
  <w:footnote w:id="24">
    <w:p w:rsidR="00000000" w:rsidDel="00000000" w:rsidP="00000000" w:rsidRDefault="00000000" w:rsidRPr="00000000" w14:paraId="000000C4">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Schnittjer, Gary E., </w:t>
      </w:r>
      <w:r w:rsidDel="00000000" w:rsidR="00000000" w:rsidRPr="00000000">
        <w:rPr>
          <w:i w:val="1"/>
          <w:sz w:val="20"/>
          <w:szCs w:val="20"/>
          <w:rtl w:val="0"/>
        </w:rPr>
        <w:t xml:space="preserve">The Torah Story: An Apprenticeship on the Pentateuch,</w:t>
      </w:r>
      <w:r w:rsidDel="00000000" w:rsidR="00000000" w:rsidRPr="00000000">
        <w:rPr>
          <w:sz w:val="20"/>
          <w:szCs w:val="20"/>
          <w:rtl w:val="0"/>
        </w:rPr>
        <w:t xml:space="preserve"> vol. Epub edition (Grand Rapids, Michigan: Zondervan Academic, 2010).</w:t>
      </w:r>
    </w:p>
    <w:p w:rsidR="00000000" w:rsidDel="00000000" w:rsidP="00000000" w:rsidRDefault="00000000" w:rsidRPr="00000000" w14:paraId="000000C5">
      <w:pPr>
        <w:spacing w:line="240" w:lineRule="auto"/>
        <w:rPr>
          <w:sz w:val="20"/>
          <w:szCs w:val="20"/>
        </w:rPr>
      </w:pPr>
      <w:r w:rsidDel="00000000" w:rsidR="00000000" w:rsidRPr="00000000">
        <w:rPr>
          <w:rtl w:val="0"/>
        </w:rPr>
      </w:r>
    </w:p>
  </w:footnote>
  <w:footnote w:id="30">
    <w:p w:rsidR="00000000" w:rsidDel="00000000" w:rsidP="00000000" w:rsidRDefault="00000000" w:rsidRPr="00000000" w14:paraId="000000C6">
      <w:pPr>
        <w:spacing w:line="240" w:lineRule="auto"/>
        <w:ind w:left="0" w:firstLine="72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Schnittjer, </w:t>
      </w:r>
      <w:r w:rsidDel="00000000" w:rsidR="00000000" w:rsidRPr="00000000">
        <w:rPr>
          <w:i w:val="1"/>
          <w:sz w:val="20"/>
          <w:szCs w:val="20"/>
          <w:rtl w:val="0"/>
        </w:rPr>
        <w:t xml:space="preserve">The Torah Story: An Apprenticeship on the Pentateuch.</w:t>
      </w:r>
    </w:p>
    <w:p w:rsidR="00000000" w:rsidDel="00000000" w:rsidP="00000000" w:rsidRDefault="00000000" w:rsidRPr="00000000" w14:paraId="000000C7">
      <w:pPr>
        <w:spacing w:line="240" w:lineRule="auto"/>
        <w:rPr>
          <w:i w:val="1"/>
          <w:sz w:val="20"/>
          <w:szCs w:val="20"/>
        </w:rPr>
      </w:pPr>
      <w:r w:rsidDel="00000000" w:rsidR="00000000" w:rsidRPr="00000000">
        <w:rPr>
          <w:rtl w:val="0"/>
        </w:rPr>
      </w:r>
    </w:p>
  </w:footnote>
  <w:footnote w:id="22">
    <w:p w:rsidR="00000000" w:rsidDel="00000000" w:rsidP="00000000" w:rsidRDefault="00000000" w:rsidRPr="00000000" w14:paraId="000000C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Gleason L. Archer Jr., </w:t>
      </w:r>
      <w:r w:rsidDel="00000000" w:rsidR="00000000" w:rsidRPr="00000000">
        <w:rPr>
          <w:i w:val="1"/>
          <w:sz w:val="20"/>
          <w:szCs w:val="20"/>
          <w:rtl w:val="0"/>
        </w:rPr>
        <w:t xml:space="preserve">A Survey of Old Testament Introduction</w:t>
      </w:r>
      <w:r w:rsidDel="00000000" w:rsidR="00000000" w:rsidRPr="00000000">
        <w:rPr>
          <w:sz w:val="20"/>
          <w:szCs w:val="20"/>
          <w:rtl w:val="0"/>
        </w:rPr>
        <w:t xml:space="preserve"> (Chicago, IL: Moody Press, 1968), 100.</w:t>
      </w:r>
    </w:p>
    <w:p w:rsidR="00000000" w:rsidDel="00000000" w:rsidP="00000000" w:rsidRDefault="00000000" w:rsidRPr="00000000" w14:paraId="000000C9">
      <w:pPr>
        <w:spacing w:line="240" w:lineRule="auto"/>
        <w:rPr>
          <w:sz w:val="20"/>
          <w:szCs w:val="20"/>
        </w:rPr>
      </w:pPr>
      <w:r w:rsidDel="00000000" w:rsidR="00000000" w:rsidRPr="00000000">
        <w:rPr>
          <w:rtl w:val="0"/>
        </w:rPr>
      </w:r>
    </w:p>
  </w:footnote>
  <w:footnote w:id="31">
    <w:p w:rsidR="00000000" w:rsidDel="00000000" w:rsidP="00000000" w:rsidRDefault="00000000" w:rsidRPr="00000000" w14:paraId="000000CA">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and Walton, </w:t>
      </w:r>
      <w:r w:rsidDel="00000000" w:rsidR="00000000" w:rsidRPr="00000000">
        <w:rPr>
          <w:i w:val="1"/>
          <w:sz w:val="20"/>
          <w:szCs w:val="20"/>
          <w:rtl w:val="0"/>
        </w:rPr>
        <w:t xml:space="preserve">The Lost World of the Torah: Law as Covenant and Wisdom in Ancient Context</w:t>
      </w:r>
      <w:r w:rsidDel="00000000" w:rsidR="00000000" w:rsidRPr="00000000">
        <w:rPr>
          <w:sz w:val="20"/>
          <w:szCs w:val="20"/>
          <w:rtl w:val="0"/>
        </w:rPr>
        <w:t xml:space="preserve">, 28-29.</w:t>
      </w:r>
    </w:p>
    <w:p w:rsidR="00000000" w:rsidDel="00000000" w:rsidP="00000000" w:rsidRDefault="00000000" w:rsidRPr="00000000" w14:paraId="000000CB">
      <w:pPr>
        <w:spacing w:line="240" w:lineRule="auto"/>
        <w:rPr>
          <w:sz w:val="20"/>
          <w:szCs w:val="20"/>
        </w:rPr>
      </w:pPr>
      <w:r w:rsidDel="00000000" w:rsidR="00000000" w:rsidRPr="00000000">
        <w:rPr>
          <w:rtl w:val="0"/>
        </w:rPr>
      </w:r>
    </w:p>
  </w:footnote>
  <w:footnote w:id="28">
    <w:p w:rsidR="00000000" w:rsidDel="00000000" w:rsidP="00000000" w:rsidRDefault="00000000" w:rsidRPr="00000000" w14:paraId="000000CC">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p w:rsidR="00000000" w:rsidDel="00000000" w:rsidP="00000000" w:rsidRDefault="00000000" w:rsidRPr="00000000" w14:paraId="000000CD">
      <w:pPr>
        <w:spacing w:line="240" w:lineRule="auto"/>
        <w:rPr>
          <w:sz w:val="20"/>
          <w:szCs w:val="20"/>
        </w:rPr>
      </w:pPr>
      <w:r w:rsidDel="00000000" w:rsidR="00000000" w:rsidRPr="00000000">
        <w:rPr>
          <w:rtl w:val="0"/>
        </w:rPr>
      </w:r>
    </w:p>
  </w:footnote>
  <w:footnote w:id="27">
    <w:p w:rsidR="00000000" w:rsidDel="00000000" w:rsidP="00000000" w:rsidRDefault="00000000" w:rsidRPr="00000000" w14:paraId="000000CE">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Tenney, Merril C., </w:t>
      </w:r>
      <w:r w:rsidDel="00000000" w:rsidR="00000000" w:rsidRPr="00000000">
        <w:rPr>
          <w:i w:val="1"/>
          <w:sz w:val="20"/>
          <w:szCs w:val="20"/>
          <w:rtl w:val="0"/>
        </w:rPr>
        <w:t xml:space="preserve">The Zondervan Encyclopedia of the Bible, Volume 4: Revised Full-Color Edition</w:t>
      </w:r>
      <w:r w:rsidDel="00000000" w:rsidR="00000000" w:rsidRPr="00000000">
        <w:rPr>
          <w:sz w:val="20"/>
          <w:szCs w:val="20"/>
          <w:rtl w:val="0"/>
        </w:rPr>
        <w:t xml:space="preserve">, The Zondervan Encyclopedia of the Bible (Grand Rapids, Mich: Zondervan Academic, 2010).</w:t>
      </w:r>
    </w:p>
    <w:p w:rsidR="00000000" w:rsidDel="00000000" w:rsidP="00000000" w:rsidRDefault="00000000" w:rsidRPr="00000000" w14:paraId="000000CF">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0D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Schnittjer, Gary E., </w:t>
      </w:r>
      <w:r w:rsidDel="00000000" w:rsidR="00000000" w:rsidRPr="00000000">
        <w:rPr>
          <w:i w:val="1"/>
          <w:sz w:val="20"/>
          <w:szCs w:val="20"/>
          <w:rtl w:val="0"/>
        </w:rPr>
        <w:t xml:space="preserve">The Torah Story: An Apprenticeship on the Pentateuch,</w:t>
      </w:r>
      <w:r w:rsidDel="00000000" w:rsidR="00000000" w:rsidRPr="00000000">
        <w:rPr>
          <w:sz w:val="20"/>
          <w:szCs w:val="20"/>
          <w:rtl w:val="0"/>
        </w:rPr>
        <w:t xml:space="preserve"> vol. Epub edition (Grand Rapids, Michigan: Zondervan Academic, 2010); Walton, John H. , Victor H. Matthews, and Mark W. Chavalas, </w:t>
      </w:r>
      <w:r w:rsidDel="00000000" w:rsidR="00000000" w:rsidRPr="00000000">
        <w:rPr>
          <w:i w:val="1"/>
          <w:sz w:val="20"/>
          <w:szCs w:val="20"/>
          <w:rtl w:val="0"/>
        </w:rPr>
        <w:t xml:space="preserve">The IVP Bible Background Commentary: Old Testament</w:t>
      </w:r>
      <w:r w:rsidDel="00000000" w:rsidR="00000000" w:rsidRPr="00000000">
        <w:rPr>
          <w:sz w:val="20"/>
          <w:szCs w:val="20"/>
          <w:rtl w:val="0"/>
        </w:rPr>
        <w:t xml:space="preserve"> (Westmont: InterVarsity Press, 2000), 22.</w:t>
      </w:r>
    </w:p>
    <w:p w:rsidR="00000000" w:rsidDel="00000000" w:rsidP="00000000" w:rsidRDefault="00000000" w:rsidRPr="00000000" w14:paraId="000000D1">
      <w:pPr>
        <w:spacing w:line="240" w:lineRule="auto"/>
        <w:rPr>
          <w:sz w:val="20"/>
          <w:szCs w:val="20"/>
        </w:rPr>
      </w:pPr>
      <w:r w:rsidDel="00000000" w:rsidR="00000000" w:rsidRPr="00000000">
        <w:rPr>
          <w:rtl w:val="0"/>
        </w:rPr>
      </w:r>
    </w:p>
  </w:footnote>
  <w:footnote w:id="32">
    <w:p w:rsidR="00000000" w:rsidDel="00000000" w:rsidP="00000000" w:rsidRDefault="00000000" w:rsidRPr="00000000" w14:paraId="000000D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Andrew E. Steinmann and Tremper Longman III, Genesis: </w:t>
      </w:r>
      <w:r w:rsidDel="00000000" w:rsidR="00000000" w:rsidRPr="00000000">
        <w:rPr>
          <w:i w:val="1"/>
          <w:sz w:val="20"/>
          <w:szCs w:val="20"/>
          <w:rtl w:val="0"/>
        </w:rPr>
        <w:t xml:space="preserve">An Introduction and Commentary, </w:t>
      </w:r>
      <w:r w:rsidDel="00000000" w:rsidR="00000000" w:rsidRPr="00000000">
        <w:rPr>
          <w:sz w:val="20"/>
          <w:szCs w:val="20"/>
          <w:rtl w:val="0"/>
        </w:rPr>
        <w:t xml:space="preserve">vol. [CA &amp; US version], Tyndale Old Testament Commentaries (Downers Grove, IL: IVP Academic, 2019), 159.</w:t>
      </w:r>
    </w:p>
  </w:footnote>
  <w:footnote w:id="33">
    <w:p w:rsidR="00000000" w:rsidDel="00000000" w:rsidP="00000000" w:rsidRDefault="00000000" w:rsidRPr="00000000" w14:paraId="000000D3">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James K. Hoffmeier,</w:t>
      </w:r>
      <w:r w:rsidDel="00000000" w:rsidR="00000000" w:rsidRPr="00000000">
        <w:rPr>
          <w:i w:val="1"/>
          <w:sz w:val="20"/>
          <w:szCs w:val="20"/>
          <w:rtl w:val="0"/>
        </w:rPr>
        <w:t xml:space="preserve"> Israel in Egypt: The Evidence for the Authenticity of the Exodus Tradition</w:t>
      </w:r>
      <w:r w:rsidDel="00000000" w:rsidR="00000000" w:rsidRPr="00000000">
        <w:rPr>
          <w:sz w:val="20"/>
          <w:szCs w:val="20"/>
          <w:rtl w:val="0"/>
        </w:rPr>
        <w:t xml:space="preserve"> (United Kingdom: Oxford University Press, USA, 1999), 119.</w:t>
      </w:r>
    </w:p>
    <w:p w:rsidR="00000000" w:rsidDel="00000000" w:rsidP="00000000" w:rsidRDefault="00000000" w:rsidRPr="00000000" w14:paraId="000000D4">
      <w:pPr>
        <w:spacing w:line="240" w:lineRule="auto"/>
        <w:rPr>
          <w:sz w:val="20"/>
          <w:szCs w:val="20"/>
        </w:rPr>
      </w:pPr>
      <w:r w:rsidDel="00000000" w:rsidR="00000000" w:rsidRPr="00000000">
        <w:rPr>
          <w:rtl w:val="0"/>
        </w:rPr>
      </w:r>
    </w:p>
  </w:footnote>
  <w:footnote w:id="35">
    <w:p w:rsidR="00000000" w:rsidDel="00000000" w:rsidP="00000000" w:rsidRDefault="00000000" w:rsidRPr="00000000" w14:paraId="000000D5">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et al., </w:t>
      </w:r>
      <w:r w:rsidDel="00000000" w:rsidR="00000000" w:rsidRPr="00000000">
        <w:rPr>
          <w:i w:val="1"/>
          <w:sz w:val="20"/>
          <w:szCs w:val="20"/>
          <w:rtl w:val="0"/>
        </w:rPr>
        <w:t xml:space="preserve">The IVP Bible Background Commentary: Old Testament</w:t>
      </w:r>
      <w:r w:rsidDel="00000000" w:rsidR="00000000" w:rsidRPr="00000000">
        <w:rPr>
          <w:sz w:val="20"/>
          <w:szCs w:val="20"/>
          <w:rtl w:val="0"/>
        </w:rPr>
        <w:t xml:space="preserve"> 120.</w:t>
      </w:r>
    </w:p>
    <w:p w:rsidR="00000000" w:rsidDel="00000000" w:rsidP="00000000" w:rsidRDefault="00000000" w:rsidRPr="00000000" w14:paraId="000000D6">
      <w:pPr>
        <w:spacing w:line="240" w:lineRule="auto"/>
        <w:rPr>
          <w:sz w:val="20"/>
          <w:szCs w:val="20"/>
        </w:rPr>
      </w:pPr>
      <w:r w:rsidDel="00000000" w:rsidR="00000000" w:rsidRPr="00000000">
        <w:rPr>
          <w:rtl w:val="0"/>
        </w:rPr>
      </w:r>
    </w:p>
    <w:p w:rsidR="00000000" w:rsidDel="00000000" w:rsidP="00000000" w:rsidRDefault="00000000" w:rsidRPr="00000000" w14:paraId="000000D7">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0D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et al.,</w:t>
      </w:r>
      <w:r w:rsidDel="00000000" w:rsidR="00000000" w:rsidRPr="00000000">
        <w:rPr>
          <w:i w:val="1"/>
          <w:sz w:val="20"/>
          <w:szCs w:val="20"/>
          <w:rtl w:val="0"/>
        </w:rPr>
        <w:t xml:space="preserve"> A Survey of the Old Testament</w:t>
      </w:r>
      <w:r w:rsidDel="00000000" w:rsidR="00000000" w:rsidRPr="00000000">
        <w:rPr>
          <w:sz w:val="20"/>
          <w:szCs w:val="20"/>
          <w:rtl w:val="0"/>
        </w:rPr>
        <w:t xml:space="preserve"> (United States: Zondervan, 2010), 128-129.</w:t>
      </w:r>
    </w:p>
    <w:p w:rsidR="00000000" w:rsidDel="00000000" w:rsidP="00000000" w:rsidRDefault="00000000" w:rsidRPr="00000000" w14:paraId="000000D9">
      <w:pPr>
        <w:spacing w:line="240" w:lineRule="auto"/>
        <w:rPr>
          <w:sz w:val="20"/>
          <w:szCs w:val="20"/>
        </w:rPr>
      </w:pPr>
      <w:r w:rsidDel="00000000" w:rsidR="00000000" w:rsidRPr="00000000">
        <w:rPr>
          <w:rtl w:val="0"/>
        </w:rPr>
      </w:r>
    </w:p>
    <w:p w:rsidR="00000000" w:rsidDel="00000000" w:rsidP="00000000" w:rsidRDefault="00000000" w:rsidRPr="00000000" w14:paraId="000000DA">
      <w:pPr>
        <w:spacing w:line="240" w:lineRule="auto"/>
        <w:rPr>
          <w:sz w:val="20"/>
          <w:szCs w:val="20"/>
        </w:rPr>
      </w:pPr>
      <w:r w:rsidDel="00000000" w:rsidR="00000000" w:rsidRPr="00000000">
        <w:rPr>
          <w:rtl w:val="0"/>
        </w:rPr>
      </w:r>
    </w:p>
  </w:footnote>
  <w:footnote w:id="36">
    <w:p w:rsidR="00000000" w:rsidDel="00000000" w:rsidP="00000000" w:rsidRDefault="00000000" w:rsidRPr="00000000" w14:paraId="000000DB">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Baruch A. Levine, Numbers 1-20: A New Translation with Introduction and Commentary, The Anchor Bible: V. 4A (Yale University Press, 2008) 55-57,</w:t>
      </w:r>
    </w:p>
    <w:p w:rsidR="00000000" w:rsidDel="00000000" w:rsidP="00000000" w:rsidRDefault="00000000" w:rsidRPr="00000000" w14:paraId="000000DC">
      <w:pPr>
        <w:spacing w:line="240" w:lineRule="auto"/>
        <w:rPr>
          <w:sz w:val="20"/>
          <w:szCs w:val="20"/>
        </w:rPr>
      </w:pPr>
      <w:r w:rsidDel="00000000" w:rsidR="00000000" w:rsidRPr="00000000">
        <w:rPr>
          <w:rtl w:val="0"/>
        </w:rPr>
      </w:r>
    </w:p>
  </w:footnote>
  <w:footnote w:id="37">
    <w:p w:rsidR="00000000" w:rsidDel="00000000" w:rsidP="00000000" w:rsidRDefault="00000000" w:rsidRPr="00000000" w14:paraId="000000DD">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and Walton, 167.</w:t>
      </w:r>
    </w:p>
    <w:p w:rsidR="00000000" w:rsidDel="00000000" w:rsidP="00000000" w:rsidRDefault="00000000" w:rsidRPr="00000000" w14:paraId="000000DE">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ind w:left="8640" w:firstLine="0"/>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search.ebscohost.com/login.aspx?direct=true&amp;AuthType=sso&amp;db=nlebk&amp;AN=2026277&amp;site=eds-live&amp;scope=sit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jstor.org/stable/j.ctt5vm6g1.5" TargetMode="External"/><Relationship Id="rId8" Type="http://schemas.openxmlformats.org/officeDocument/2006/relationships/hyperlink" Target="https://search.ebscohost.com/login.aspx?direct=true&amp;AuthType=sso&amp;db=e000xna&amp;AN=1576911&amp;site=eds-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