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480" w:lineRule="auto"/>
        <w:rPr>
          <w:rFonts w:ascii="Times New Roman" w:cs="Times New Roman" w:eastAsia="Times New Roman" w:hAnsi="Times New Roman"/>
          <w:color w:val="121212"/>
          <w:sz w:val="24"/>
          <w:szCs w:val="24"/>
        </w:rPr>
      </w:pPr>
      <w:r w:rsidDel="00000000" w:rsidR="00000000" w:rsidRPr="00000000">
        <w:rPr>
          <w:rFonts w:ascii="Times New Roman" w:cs="Times New Roman" w:eastAsia="Times New Roman" w:hAnsi="Times New Roman"/>
          <w:color w:val="121212"/>
          <w:sz w:val="24"/>
          <w:szCs w:val="24"/>
          <w:rtl w:val="0"/>
        </w:rPr>
        <w:t xml:space="preserve">The closing of the section, which in tradition has come to us as John's prologue, is found in verses 14 to 18 and is equally rich and beautiful as its introduction. This section gathers the arguments made previously and concludes at least four points: that the Word is God, that there are witnesses to bolster this claim, that He has come to establish a New Covenant, and that He is the only image of God. </w:t>
      </w:r>
    </w:p>
    <w:p w:rsidR="00000000" w:rsidDel="00000000" w:rsidP="00000000" w:rsidRDefault="00000000" w:rsidRPr="00000000" w14:paraId="00000002">
      <w:pPr>
        <w:widowControl w:val="0"/>
        <w:spacing w:line="480" w:lineRule="auto"/>
        <w:rPr>
          <w:rFonts w:ascii="Times New Roman" w:cs="Times New Roman" w:eastAsia="Times New Roman" w:hAnsi="Times New Roman"/>
          <w:color w:val="121212"/>
          <w:sz w:val="24"/>
          <w:szCs w:val="24"/>
        </w:rPr>
      </w:pPr>
      <w:r w:rsidDel="00000000" w:rsidR="00000000" w:rsidRPr="00000000">
        <w:rPr>
          <w:rtl w:val="0"/>
        </w:rPr>
      </w:r>
    </w:p>
    <w:p w:rsidR="00000000" w:rsidDel="00000000" w:rsidP="00000000" w:rsidRDefault="00000000" w:rsidRPr="00000000" w14:paraId="00000003">
      <w:pPr>
        <w:widowControl w:val="0"/>
        <w:spacing w:line="480" w:lineRule="auto"/>
        <w:rPr>
          <w:rFonts w:ascii="Times New Roman" w:cs="Times New Roman" w:eastAsia="Times New Roman" w:hAnsi="Times New Roman"/>
          <w:i w:val="1"/>
          <w:color w:val="121212"/>
          <w:sz w:val="24"/>
          <w:szCs w:val="24"/>
        </w:rPr>
      </w:pPr>
      <w:r w:rsidDel="00000000" w:rsidR="00000000" w:rsidRPr="00000000">
        <w:rPr>
          <w:rFonts w:ascii="Times New Roman" w:cs="Times New Roman" w:eastAsia="Times New Roman" w:hAnsi="Times New Roman"/>
          <w:i w:val="1"/>
          <w:color w:val="121212"/>
          <w:sz w:val="24"/>
          <w:szCs w:val="24"/>
          <w:rtl w:val="0"/>
        </w:rPr>
        <w:t xml:space="preserve">καὶ ὁ λόγος σὰρξ ἐγένετο</w:t>
      </w:r>
    </w:p>
    <w:p w:rsidR="00000000" w:rsidDel="00000000" w:rsidP="00000000" w:rsidRDefault="00000000" w:rsidRPr="00000000" w14:paraId="00000004">
      <w:pPr>
        <w:widowControl w:val="0"/>
        <w:spacing w:line="480" w:lineRule="auto"/>
        <w:rPr>
          <w:rFonts w:ascii="Times New Roman" w:cs="Times New Roman" w:eastAsia="Times New Roman" w:hAnsi="Times New Roman"/>
          <w:color w:val="121212"/>
          <w:sz w:val="24"/>
          <w:szCs w:val="24"/>
        </w:rPr>
      </w:pPr>
      <w:r w:rsidDel="00000000" w:rsidR="00000000" w:rsidRPr="00000000">
        <w:rPr>
          <w:rFonts w:ascii="Times New Roman" w:cs="Times New Roman" w:eastAsia="Times New Roman" w:hAnsi="Times New Roman"/>
          <w:color w:val="121212"/>
          <w:sz w:val="24"/>
          <w:szCs w:val="24"/>
          <w:rtl w:val="0"/>
        </w:rPr>
        <w:t xml:space="preserve">The word was not “attached to” nor did He  “partnered with” the humanity of the man Jesus, as some would claim.</w:t>
      </w:r>
      <w:r w:rsidDel="00000000" w:rsidR="00000000" w:rsidRPr="00000000">
        <w:rPr>
          <w:rFonts w:ascii="Times New Roman" w:cs="Times New Roman" w:eastAsia="Times New Roman" w:hAnsi="Times New Roman"/>
          <w:color w:val="121212"/>
          <w:sz w:val="24"/>
          <w:szCs w:val="24"/>
          <w:vertAlign w:val="superscript"/>
        </w:rPr>
        <w:footnoteReference w:customMarkFollows="0" w:id="0"/>
      </w:r>
      <w:r w:rsidDel="00000000" w:rsidR="00000000" w:rsidRPr="00000000">
        <w:rPr>
          <w:rFonts w:ascii="Times New Roman" w:cs="Times New Roman" w:eastAsia="Times New Roman" w:hAnsi="Times New Roman"/>
          <w:color w:val="121212"/>
          <w:sz w:val="24"/>
          <w:szCs w:val="24"/>
          <w:rtl w:val="0"/>
        </w:rPr>
        <w:t xml:space="preserve"> He became like one of us (Phil. 2:6-7; Heb 2:14) so that, in turn, He could make us like Him</w:t>
      </w:r>
      <w:r w:rsidDel="00000000" w:rsidR="00000000" w:rsidRPr="00000000">
        <w:rPr>
          <w:rFonts w:ascii="Times New Roman" w:cs="Times New Roman" w:eastAsia="Times New Roman" w:hAnsi="Times New Roman"/>
          <w:color w:val="121212"/>
          <w:sz w:val="24"/>
          <w:szCs w:val="24"/>
          <w:vertAlign w:val="superscript"/>
        </w:rPr>
        <w:footnoteReference w:customMarkFollows="0" w:id="1"/>
      </w:r>
      <w:r w:rsidDel="00000000" w:rsidR="00000000" w:rsidRPr="00000000">
        <w:rPr>
          <w:rFonts w:ascii="Times New Roman" w:cs="Times New Roman" w:eastAsia="Times New Roman" w:hAnsi="Times New Roman"/>
          <w:color w:val="121212"/>
          <w:sz w:val="24"/>
          <w:szCs w:val="24"/>
          <w:rtl w:val="0"/>
        </w:rPr>
        <w:t xml:space="preserve"> (Phil. 3:21; Rom. 8:29; 1 Jn. 3:2; 2 Co. 3:18). Otherwise, “...why is it said that ‘He was made like his brethren in all things’ (Heb. 2:17), which means like us? How can we possibly understand Him</w:t>
      </w:r>
      <w:r w:rsidDel="00000000" w:rsidR="00000000" w:rsidRPr="00000000">
        <w:rPr>
          <w:rFonts w:ascii="Times New Roman" w:cs="Times New Roman" w:eastAsia="Times New Roman" w:hAnsi="Times New Roman"/>
          <w:color w:val="121212"/>
          <w:sz w:val="24"/>
          <w:szCs w:val="24"/>
          <w:vertAlign w:val="superscript"/>
        </w:rPr>
        <w:footnoteReference w:customMarkFollows="0" w:id="2"/>
      </w:r>
      <w:r w:rsidDel="00000000" w:rsidR="00000000" w:rsidRPr="00000000">
        <w:rPr>
          <w:rFonts w:ascii="Times New Roman" w:cs="Times New Roman" w:eastAsia="Times New Roman" w:hAnsi="Times New Roman"/>
          <w:color w:val="121212"/>
          <w:sz w:val="24"/>
          <w:szCs w:val="24"/>
          <w:rtl w:val="0"/>
        </w:rPr>
        <w:t xml:space="preserve"> to take up our likeness unless He</w:t>
      </w:r>
      <w:r w:rsidDel="00000000" w:rsidR="00000000" w:rsidRPr="00000000">
        <w:rPr>
          <w:rFonts w:ascii="Times New Roman" w:cs="Times New Roman" w:eastAsia="Times New Roman" w:hAnsi="Times New Roman"/>
          <w:color w:val="121212"/>
          <w:sz w:val="24"/>
          <w:szCs w:val="24"/>
          <w:vertAlign w:val="superscript"/>
        </w:rPr>
        <w:footnoteReference w:customMarkFollows="0" w:id="3"/>
      </w:r>
      <w:r w:rsidDel="00000000" w:rsidR="00000000" w:rsidRPr="00000000">
        <w:rPr>
          <w:rFonts w:ascii="Times New Roman" w:cs="Times New Roman" w:eastAsia="Times New Roman" w:hAnsi="Times New Roman"/>
          <w:color w:val="121212"/>
          <w:sz w:val="24"/>
          <w:szCs w:val="24"/>
          <w:rtl w:val="0"/>
        </w:rPr>
        <w:t xml:space="preserve"> is not of our condition and different from us in nature? For whatever is ‘made like’ certain other things must, of necessity be different from them.”</w:t>
      </w:r>
      <w:r w:rsidDel="00000000" w:rsidR="00000000" w:rsidRPr="00000000">
        <w:rPr>
          <w:rFonts w:ascii="Times New Roman" w:cs="Times New Roman" w:eastAsia="Times New Roman" w:hAnsi="Times New Roman"/>
          <w:color w:val="121212"/>
          <w:sz w:val="24"/>
          <w:szCs w:val="24"/>
          <w:vertAlign w:val="superscript"/>
        </w:rPr>
        <w:footnoteReference w:customMarkFollows="0" w:id="4"/>
      </w:r>
      <w:r w:rsidDel="00000000" w:rsidR="00000000" w:rsidRPr="00000000">
        <w:rPr>
          <w:rtl w:val="0"/>
        </w:rPr>
      </w:r>
    </w:p>
    <w:p w:rsidR="00000000" w:rsidDel="00000000" w:rsidP="00000000" w:rsidRDefault="00000000" w:rsidRPr="00000000" w14:paraId="00000005">
      <w:pPr>
        <w:widowControl w:val="0"/>
        <w:spacing w:line="480" w:lineRule="auto"/>
        <w:rPr>
          <w:rFonts w:ascii="Times New Roman" w:cs="Times New Roman" w:eastAsia="Times New Roman" w:hAnsi="Times New Roman"/>
          <w:color w:val="121212"/>
          <w:sz w:val="24"/>
          <w:szCs w:val="24"/>
        </w:rPr>
      </w:pPr>
      <w:r w:rsidDel="00000000" w:rsidR="00000000" w:rsidRPr="00000000">
        <w:rPr>
          <w:rtl w:val="0"/>
        </w:rPr>
      </w:r>
    </w:p>
    <w:p w:rsidR="00000000" w:rsidDel="00000000" w:rsidP="00000000" w:rsidRDefault="00000000" w:rsidRPr="00000000" w14:paraId="00000006">
      <w:pPr>
        <w:widowControl w:val="0"/>
        <w:spacing w:line="480" w:lineRule="auto"/>
        <w:rPr>
          <w:rFonts w:ascii="Times New Roman" w:cs="Times New Roman" w:eastAsia="Times New Roman" w:hAnsi="Times New Roman"/>
          <w:color w:val="121212"/>
          <w:sz w:val="24"/>
          <w:szCs w:val="24"/>
        </w:rPr>
      </w:pPr>
      <w:r w:rsidDel="00000000" w:rsidR="00000000" w:rsidRPr="00000000">
        <w:rPr>
          <w:rFonts w:ascii="Times New Roman" w:cs="Times New Roman" w:eastAsia="Times New Roman" w:hAnsi="Times New Roman"/>
          <w:color w:val="121212"/>
          <w:sz w:val="24"/>
          <w:szCs w:val="24"/>
          <w:rtl w:val="0"/>
        </w:rPr>
        <w:t xml:space="preserve">καὶ ἐσκήνωσεν ἐν ἡμῖν </w:t>
      </w:r>
    </w:p>
    <w:p w:rsidR="00000000" w:rsidDel="00000000" w:rsidP="00000000" w:rsidRDefault="00000000" w:rsidRPr="00000000" w14:paraId="00000007">
      <w:pPr>
        <w:widowControl w:val="0"/>
        <w:spacing w:line="480" w:lineRule="auto"/>
        <w:rPr>
          <w:rFonts w:ascii="Times New Roman" w:cs="Times New Roman" w:eastAsia="Times New Roman" w:hAnsi="Times New Roman"/>
          <w:color w:val="121212"/>
          <w:sz w:val="24"/>
          <w:szCs w:val="24"/>
        </w:rPr>
      </w:pPr>
      <w:r w:rsidDel="00000000" w:rsidR="00000000" w:rsidRPr="00000000">
        <w:rPr>
          <w:rFonts w:ascii="Times New Roman" w:cs="Times New Roman" w:eastAsia="Times New Roman" w:hAnsi="Times New Roman"/>
          <w:color w:val="121212"/>
          <w:sz w:val="24"/>
          <w:szCs w:val="24"/>
          <w:rtl w:val="0"/>
        </w:rPr>
        <w:t xml:space="preserve">Just as God dwelt among the Israelites through the Tabernacle (Exo. 25:8), so did Christ live in a tent of flesh</w:t>
      </w:r>
      <w:r w:rsidDel="00000000" w:rsidR="00000000" w:rsidRPr="00000000">
        <w:rPr>
          <w:rFonts w:ascii="Times New Roman" w:cs="Times New Roman" w:eastAsia="Times New Roman" w:hAnsi="Times New Roman"/>
          <w:color w:val="121212"/>
          <w:sz w:val="24"/>
          <w:szCs w:val="24"/>
          <w:vertAlign w:val="superscript"/>
        </w:rPr>
        <w:footnoteReference w:customMarkFollows="0" w:id="5"/>
      </w:r>
      <w:r w:rsidDel="00000000" w:rsidR="00000000" w:rsidRPr="00000000">
        <w:rPr>
          <w:rFonts w:ascii="Times New Roman" w:cs="Times New Roman" w:eastAsia="Times New Roman" w:hAnsi="Times New Roman"/>
          <w:color w:val="121212"/>
          <w:sz w:val="24"/>
          <w:szCs w:val="24"/>
          <w:rtl w:val="0"/>
        </w:rPr>
        <w:t xml:space="preserve"> (2 Co. 2:5) among His creation. For this reason, He is said to be Emmanuel, a name that is given “only to the one who was so wondrously born of a woman.”</w:t>
      </w:r>
      <w:r w:rsidDel="00000000" w:rsidR="00000000" w:rsidRPr="00000000">
        <w:rPr>
          <w:rFonts w:ascii="Times New Roman" w:cs="Times New Roman" w:eastAsia="Times New Roman" w:hAnsi="Times New Roman"/>
          <w:color w:val="121212"/>
          <w:sz w:val="24"/>
          <w:szCs w:val="24"/>
          <w:vertAlign w:val="superscript"/>
        </w:rPr>
        <w:footnoteReference w:customMarkFollows="0" w:id="6"/>
      </w:r>
      <w:r w:rsidDel="00000000" w:rsidR="00000000" w:rsidRPr="00000000">
        <w:rPr>
          <w:rFonts w:ascii="Times New Roman" w:cs="Times New Roman" w:eastAsia="Times New Roman" w:hAnsi="Times New Roman"/>
          <w:color w:val="121212"/>
          <w:sz w:val="24"/>
          <w:szCs w:val="24"/>
          <w:rtl w:val="0"/>
        </w:rPr>
        <w:t xml:space="preserve"> One can easily make the connection to Romans 8:11 when</w:t>
      </w:r>
      <w:r w:rsidDel="00000000" w:rsidR="00000000" w:rsidRPr="00000000">
        <w:rPr>
          <w:rFonts w:ascii="Times New Roman" w:cs="Times New Roman" w:eastAsia="Times New Roman" w:hAnsi="Times New Roman"/>
          <w:color w:val="121212"/>
          <w:sz w:val="24"/>
          <w:szCs w:val="24"/>
          <w:rtl w:val="0"/>
        </w:rPr>
        <w:t xml:space="preserve"> looking at the resemblance of the syntax, </w:t>
      </w:r>
      <w:r w:rsidDel="00000000" w:rsidR="00000000" w:rsidRPr="00000000">
        <w:rPr>
          <w:rFonts w:ascii="Times New Roman" w:cs="Times New Roman" w:eastAsia="Times New Roman" w:hAnsi="Times New Roman"/>
          <w:i w:val="1"/>
          <w:color w:val="121212"/>
          <w:sz w:val="24"/>
          <w:szCs w:val="24"/>
          <w:rtl w:val="0"/>
        </w:rPr>
        <w:t xml:space="preserve">οἰκεῖ ἐν ὑμῖν</w:t>
      </w:r>
      <w:r w:rsidDel="00000000" w:rsidR="00000000" w:rsidRPr="00000000">
        <w:rPr>
          <w:rFonts w:ascii="Times New Roman" w:cs="Times New Roman" w:eastAsia="Times New Roman" w:hAnsi="Times New Roman"/>
          <w:color w:val="121212"/>
          <w:sz w:val="24"/>
          <w:szCs w:val="24"/>
          <w:rtl w:val="0"/>
        </w:rPr>
        <w:t xml:space="preserve"> (in talking about Chirst’s Spirit). Hence, it could be stated this way: that Christ pinched His tent among us temporarily, so that He could live with us, at home for eternity. In this way fulfilling the promise that “God will ‘dwell’ with his people, not for a limited time, but forever.”</w:t>
      </w:r>
      <w:r w:rsidDel="00000000" w:rsidR="00000000" w:rsidRPr="00000000">
        <w:rPr>
          <w:rFonts w:ascii="Times New Roman" w:cs="Times New Roman" w:eastAsia="Times New Roman" w:hAnsi="Times New Roman"/>
          <w:color w:val="121212"/>
          <w:sz w:val="24"/>
          <w:szCs w:val="24"/>
          <w:vertAlign w:val="superscript"/>
        </w:rPr>
        <w:footnoteReference w:customMarkFollows="0" w:id="7"/>
      </w:r>
      <w:r w:rsidDel="00000000" w:rsidR="00000000" w:rsidRPr="00000000">
        <w:rPr>
          <w:rtl w:val="0"/>
        </w:rPr>
      </w:r>
    </w:p>
    <w:p w:rsidR="00000000" w:rsidDel="00000000" w:rsidP="00000000" w:rsidRDefault="00000000" w:rsidRPr="00000000" w14:paraId="00000008">
      <w:pPr>
        <w:widowControl w:val="0"/>
        <w:spacing w:line="480" w:lineRule="auto"/>
        <w:rPr>
          <w:rFonts w:ascii="Times New Roman" w:cs="Times New Roman" w:eastAsia="Times New Roman" w:hAnsi="Times New Roman"/>
          <w:color w:val="121212"/>
          <w:sz w:val="24"/>
          <w:szCs w:val="24"/>
        </w:rPr>
      </w:pPr>
      <w:r w:rsidDel="00000000" w:rsidR="00000000" w:rsidRPr="00000000">
        <w:rPr>
          <w:rtl w:val="0"/>
        </w:rPr>
      </w:r>
    </w:p>
    <w:p w:rsidR="00000000" w:rsidDel="00000000" w:rsidP="00000000" w:rsidRDefault="00000000" w:rsidRPr="00000000" w14:paraId="00000009">
      <w:pPr>
        <w:widowControl w:val="0"/>
        <w:spacing w:line="480" w:lineRule="auto"/>
        <w:rPr>
          <w:rFonts w:ascii="Times New Roman" w:cs="Times New Roman" w:eastAsia="Times New Roman" w:hAnsi="Times New Roman"/>
          <w:i w:val="1"/>
          <w:color w:val="121212"/>
          <w:sz w:val="24"/>
          <w:szCs w:val="24"/>
        </w:rPr>
      </w:pPr>
      <w:r w:rsidDel="00000000" w:rsidR="00000000" w:rsidRPr="00000000">
        <w:rPr>
          <w:rFonts w:ascii="Times New Roman" w:cs="Times New Roman" w:eastAsia="Times New Roman" w:hAnsi="Times New Roman"/>
          <w:i w:val="1"/>
          <w:color w:val="121212"/>
          <w:sz w:val="24"/>
          <w:szCs w:val="24"/>
          <w:rtl w:val="0"/>
        </w:rPr>
        <w:t xml:space="preserve">καὶ ἐθεασάμεθα τὴν δόξαν αὐτοῦ δόξαν ὡς μονογενοῦς παρὰ πατρός πλήρης χάριτος καὶ ἀληθείας</w:t>
      </w:r>
    </w:p>
    <w:p w:rsidR="00000000" w:rsidDel="00000000" w:rsidP="00000000" w:rsidRDefault="00000000" w:rsidRPr="00000000" w14:paraId="0000000A">
      <w:pPr>
        <w:widowControl w:val="0"/>
        <w:spacing w:line="480" w:lineRule="auto"/>
        <w:rPr>
          <w:rFonts w:ascii="Times New Roman" w:cs="Times New Roman" w:eastAsia="Times New Roman" w:hAnsi="Times New Roman"/>
          <w:color w:val="121212"/>
          <w:sz w:val="24"/>
          <w:szCs w:val="24"/>
        </w:rPr>
      </w:pPr>
      <w:r w:rsidDel="00000000" w:rsidR="00000000" w:rsidRPr="00000000">
        <w:rPr>
          <w:rFonts w:ascii="Times New Roman" w:cs="Times New Roman" w:eastAsia="Times New Roman" w:hAnsi="Times New Roman"/>
          <w:color w:val="121212"/>
          <w:sz w:val="24"/>
          <w:szCs w:val="24"/>
          <w:rtl w:val="0"/>
        </w:rPr>
        <w:t xml:space="preserve">This phrase maintains the imagery of YHWH in the Exodus introduced in the previous line. When Moses asked the Great I AM to show him His Glory, “He</w:t>
      </w:r>
      <w:r w:rsidDel="00000000" w:rsidR="00000000" w:rsidRPr="00000000">
        <w:rPr>
          <w:rFonts w:ascii="Times New Roman" w:cs="Times New Roman" w:eastAsia="Times New Roman" w:hAnsi="Times New Roman"/>
          <w:color w:val="121212"/>
          <w:sz w:val="24"/>
          <w:szCs w:val="24"/>
          <w:vertAlign w:val="superscript"/>
        </w:rPr>
        <w:footnoteReference w:customMarkFollows="0" w:id="8"/>
      </w:r>
      <w:r w:rsidDel="00000000" w:rsidR="00000000" w:rsidRPr="00000000">
        <w:rPr>
          <w:rFonts w:ascii="Times New Roman" w:cs="Times New Roman" w:eastAsia="Times New Roman" w:hAnsi="Times New Roman"/>
          <w:color w:val="121212"/>
          <w:sz w:val="24"/>
          <w:szCs w:val="24"/>
          <w:rtl w:val="0"/>
        </w:rPr>
        <w:t xml:space="preserve"> placed Moses on a rock and passed by, saying, ‘The Lord, the Lord compassionate and gracious God, slow to anger, great in mercy and truth’...”</w:t>
      </w:r>
      <w:r w:rsidDel="00000000" w:rsidR="00000000" w:rsidRPr="00000000">
        <w:rPr>
          <w:rFonts w:ascii="Times New Roman" w:cs="Times New Roman" w:eastAsia="Times New Roman" w:hAnsi="Times New Roman"/>
          <w:color w:val="121212"/>
          <w:sz w:val="24"/>
          <w:szCs w:val="24"/>
          <w:vertAlign w:val="superscript"/>
        </w:rPr>
        <w:footnoteReference w:customMarkFollows="0" w:id="9"/>
      </w:r>
      <w:r w:rsidDel="00000000" w:rsidR="00000000" w:rsidRPr="00000000">
        <w:rPr>
          <w:rFonts w:ascii="Times New Roman" w:cs="Times New Roman" w:eastAsia="Times New Roman" w:hAnsi="Times New Roman"/>
          <w:color w:val="121212"/>
          <w:sz w:val="24"/>
          <w:szCs w:val="24"/>
          <w:rtl w:val="0"/>
        </w:rPr>
        <w:t xml:space="preserve"> The apostles, in the same manner as Moses, were able to see the invisible God through His grace and truth, namely Jesus Christ. The term grace speaks to humanity about the cross,</w:t>
      </w:r>
      <w:r w:rsidDel="00000000" w:rsidR="00000000" w:rsidRPr="00000000">
        <w:rPr>
          <w:rFonts w:ascii="Times New Roman" w:cs="Times New Roman" w:eastAsia="Times New Roman" w:hAnsi="Times New Roman"/>
          <w:color w:val="121212"/>
          <w:sz w:val="24"/>
          <w:szCs w:val="24"/>
          <w:vertAlign w:val="superscript"/>
        </w:rPr>
        <w:footnoteReference w:customMarkFollows="0" w:id="10"/>
      </w:r>
      <w:r w:rsidDel="00000000" w:rsidR="00000000" w:rsidRPr="00000000">
        <w:rPr>
          <w:rFonts w:ascii="Times New Roman" w:cs="Times New Roman" w:eastAsia="Times New Roman" w:hAnsi="Times New Roman"/>
          <w:color w:val="121212"/>
          <w:sz w:val="24"/>
          <w:szCs w:val="24"/>
          <w:rtl w:val="0"/>
        </w:rPr>
        <w:t xml:space="preserve"> while the word  truth testifies that although He became flesh and partook in our humanity, He did not share in our sin. He was full of Grace and Truth because the fullness of the Deity lived in Him (Col. 2:9). His life demonstrated what is said of men and God: that men are all liars (Psa. 116:11; Rom. 3:4) and cheaters, but of God that He is true (Rom. 3:4; Tit. 1:2) and faithful (2 Tim. 2:13). Then, is accurate to say that “Christ is truth…the Word remained what He</w:t>
      </w:r>
      <w:r w:rsidDel="00000000" w:rsidR="00000000" w:rsidRPr="00000000">
        <w:rPr>
          <w:rFonts w:ascii="Times New Roman" w:cs="Times New Roman" w:eastAsia="Times New Roman" w:hAnsi="Times New Roman"/>
          <w:color w:val="121212"/>
          <w:sz w:val="24"/>
          <w:szCs w:val="24"/>
          <w:vertAlign w:val="superscript"/>
        </w:rPr>
        <w:footnoteReference w:customMarkFollows="0" w:id="11"/>
      </w:r>
      <w:r w:rsidDel="00000000" w:rsidR="00000000" w:rsidRPr="00000000">
        <w:rPr>
          <w:rFonts w:ascii="Times New Roman" w:cs="Times New Roman" w:eastAsia="Times New Roman" w:hAnsi="Times New Roman"/>
          <w:color w:val="121212"/>
          <w:sz w:val="24"/>
          <w:szCs w:val="24"/>
          <w:rtl w:val="0"/>
        </w:rPr>
        <w:t xml:space="preserve"> was even when He</w:t>
      </w:r>
      <w:r w:rsidDel="00000000" w:rsidR="00000000" w:rsidRPr="00000000">
        <w:rPr>
          <w:rFonts w:ascii="Times New Roman" w:cs="Times New Roman" w:eastAsia="Times New Roman" w:hAnsi="Times New Roman"/>
          <w:color w:val="121212"/>
          <w:sz w:val="24"/>
          <w:szCs w:val="24"/>
          <w:vertAlign w:val="superscript"/>
        </w:rPr>
        <w:footnoteReference w:customMarkFollows="0" w:id="12"/>
      </w:r>
      <w:r w:rsidDel="00000000" w:rsidR="00000000" w:rsidRPr="00000000">
        <w:rPr>
          <w:rFonts w:ascii="Times New Roman" w:cs="Times New Roman" w:eastAsia="Times New Roman" w:hAnsi="Times New Roman"/>
          <w:color w:val="121212"/>
          <w:sz w:val="24"/>
          <w:szCs w:val="24"/>
          <w:rtl w:val="0"/>
        </w:rPr>
        <w:t xml:space="preserve"> became flesh.”</w:t>
      </w:r>
      <w:r w:rsidDel="00000000" w:rsidR="00000000" w:rsidRPr="00000000">
        <w:rPr>
          <w:rFonts w:ascii="Times New Roman" w:cs="Times New Roman" w:eastAsia="Times New Roman" w:hAnsi="Times New Roman"/>
          <w:color w:val="121212"/>
          <w:sz w:val="24"/>
          <w:szCs w:val="24"/>
          <w:vertAlign w:val="superscript"/>
        </w:rPr>
        <w:footnoteReference w:customMarkFollows="0" w:id="13"/>
      </w:r>
      <w:r w:rsidDel="00000000" w:rsidR="00000000" w:rsidRPr="00000000">
        <w:rPr>
          <w:rtl w:val="0"/>
        </w:rPr>
      </w:r>
    </w:p>
    <w:p w:rsidR="00000000" w:rsidDel="00000000" w:rsidP="00000000" w:rsidRDefault="00000000" w:rsidRPr="00000000" w14:paraId="0000000B">
      <w:pPr>
        <w:widowControl w:val="0"/>
        <w:spacing w:line="480" w:lineRule="auto"/>
        <w:rPr>
          <w:rFonts w:ascii="Times New Roman" w:cs="Times New Roman" w:eastAsia="Times New Roman" w:hAnsi="Times New Roman"/>
          <w:color w:val="121212"/>
          <w:sz w:val="24"/>
          <w:szCs w:val="24"/>
        </w:rPr>
      </w:pPr>
      <w:r w:rsidDel="00000000" w:rsidR="00000000" w:rsidRPr="00000000">
        <w:rPr>
          <w:rtl w:val="0"/>
        </w:rPr>
      </w:r>
    </w:p>
    <w:p w:rsidR="00000000" w:rsidDel="00000000" w:rsidP="00000000" w:rsidRDefault="00000000" w:rsidRPr="00000000" w14:paraId="0000000C">
      <w:pPr>
        <w:widowControl w:val="0"/>
        <w:spacing w:line="480" w:lineRule="auto"/>
        <w:rPr>
          <w:rFonts w:ascii="Times New Roman" w:cs="Times New Roman" w:eastAsia="Times New Roman" w:hAnsi="Times New Roman"/>
          <w:i w:val="1"/>
          <w:color w:val="121212"/>
          <w:sz w:val="24"/>
          <w:szCs w:val="24"/>
        </w:rPr>
      </w:pPr>
      <w:r w:rsidDel="00000000" w:rsidR="00000000" w:rsidRPr="00000000">
        <w:rPr>
          <w:rFonts w:ascii="Times New Roman" w:cs="Times New Roman" w:eastAsia="Times New Roman" w:hAnsi="Times New Roman"/>
          <w:i w:val="1"/>
          <w:color w:val="121212"/>
          <w:sz w:val="24"/>
          <w:szCs w:val="24"/>
          <w:rtl w:val="0"/>
        </w:rPr>
        <w:t xml:space="preserve">Ἰωάννης μαρτυρεῖ περὶ αὐτοῦ καὶ κέκραγεν λέγων οὗτος ἦν ὃν εἶπον ὁ ὀπίσω μου ἐρχόμενος ἔμπροσθέν μου γέγονεν ὅτι πρῶτός μου ἦν</w:t>
      </w:r>
    </w:p>
    <w:p w:rsidR="00000000" w:rsidDel="00000000" w:rsidP="00000000" w:rsidRDefault="00000000" w:rsidRPr="00000000" w14:paraId="0000000D">
      <w:pPr>
        <w:widowControl w:val="0"/>
        <w:spacing w:line="48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121212"/>
          <w:sz w:val="24"/>
          <w:szCs w:val="24"/>
          <w:rtl w:val="0"/>
        </w:rPr>
        <w:t xml:space="preserve">An interesting aspect to note in the last four verses of the epilogue is John's shift to using the plural form of the first person pronoun. This transition occurs precisely when he begins to recount his witness of Christ (2 Cor. 13:1) in the last verse. In addition, John now reinforces his witness by invoking John the Baptist as another beholder</w:t>
      </w:r>
      <w:r w:rsidDel="00000000" w:rsidR="00000000" w:rsidRPr="00000000">
        <w:rPr>
          <w:rFonts w:ascii="Times New Roman" w:cs="Times New Roman" w:eastAsia="Times New Roman" w:hAnsi="Times New Roman"/>
          <w:color w:val="121212"/>
          <w:sz w:val="24"/>
          <w:szCs w:val="24"/>
          <w:vertAlign w:val="superscript"/>
        </w:rPr>
        <w:footnoteReference w:customMarkFollows="0" w:id="14"/>
      </w:r>
      <w:r w:rsidDel="00000000" w:rsidR="00000000" w:rsidRPr="00000000">
        <w:rPr>
          <w:rFonts w:ascii="Times New Roman" w:cs="Times New Roman" w:eastAsia="Times New Roman" w:hAnsi="Times New Roman"/>
          <w:color w:val="121212"/>
          <w:sz w:val="24"/>
          <w:szCs w:val="24"/>
          <w:rtl w:val="0"/>
        </w:rPr>
        <w:t xml:space="preserve"> to the claim that “the Word exists eternally and before the ages,”</w:t>
      </w:r>
      <w:r w:rsidDel="00000000" w:rsidR="00000000" w:rsidRPr="00000000">
        <w:rPr>
          <w:rFonts w:ascii="Times New Roman" w:cs="Times New Roman" w:eastAsia="Times New Roman" w:hAnsi="Times New Roman"/>
          <w:color w:val="121212"/>
          <w:sz w:val="24"/>
          <w:szCs w:val="24"/>
          <w:vertAlign w:val="superscript"/>
        </w:rPr>
        <w:footnoteReference w:customMarkFollows="0" w:id="15"/>
      </w:r>
      <w:r w:rsidDel="00000000" w:rsidR="00000000" w:rsidRPr="00000000">
        <w:rPr>
          <w:rFonts w:ascii="Times New Roman" w:cs="Times New Roman" w:eastAsia="Times New Roman" w:hAnsi="Times New Roman"/>
          <w:color w:val="121212"/>
          <w:sz w:val="24"/>
          <w:szCs w:val="24"/>
          <w:rtl w:val="0"/>
        </w:rPr>
        <w:t xml:space="preserve"> for he says “He was before me” (verse 30). </w:t>
      </w:r>
      <w:r w:rsidDel="00000000" w:rsidR="00000000" w:rsidRPr="00000000">
        <w:rPr>
          <w:rtl w:val="0"/>
        </w:rPr>
      </w:r>
    </w:p>
    <w:p w:rsidR="00000000" w:rsidDel="00000000" w:rsidP="00000000" w:rsidRDefault="00000000" w:rsidRPr="00000000" w14:paraId="0000000E">
      <w:pPr>
        <w:widowControl w:val="0"/>
        <w:spacing w:line="48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0F">
      <w:pPr>
        <w:widowControl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ὅτι ἐκ τοῦ πληρώματος αὐτοῦ ἡμεῖς πάντες ἐλάβομεν καὶ χάριν ἀντὶ χάριτος</w:t>
      </w:r>
    </w:p>
    <w:p w:rsidR="00000000" w:rsidDel="00000000" w:rsidP="00000000" w:rsidRDefault="00000000" w:rsidRPr="00000000" w14:paraId="00000010">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preposition ἀντὶ is most often used to juxtapose or declare interchangeability between two sides.</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Fonts w:ascii="Times New Roman" w:cs="Times New Roman" w:eastAsia="Times New Roman" w:hAnsi="Times New Roman"/>
          <w:sz w:val="24"/>
          <w:szCs w:val="24"/>
          <w:rtl w:val="0"/>
        </w:rPr>
        <w:t xml:space="preserve"> Taking into account the next verse, which compares the Law of Moses against the Grace that Christ Jesus imparts to us, it is quite possible that John is making the same comparison here. He is alluding to the contrast Jesus made of the Old and New Covenants (Matt. 9:17; Mark. 2:22; Lk. 5:37-38). Through Christ we have received a greater Grace than that which the Law provided, for the Law came to reveal our sin, but Christ came to fulfill the Law, and if Christ is greater than the Law that no man could keep, it follows He must be greater than a mere man.</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He must be God. </w:t>
      </w:r>
    </w:p>
    <w:p w:rsidR="00000000" w:rsidDel="00000000" w:rsidP="00000000" w:rsidRDefault="00000000" w:rsidRPr="00000000" w14:paraId="00000011">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121212"/>
          <w:sz w:val="24"/>
          <w:szCs w:val="24"/>
          <w:rtl w:val="0"/>
        </w:rPr>
        <w:t xml:space="preserve">ὅτι ὁ νόμος διὰ Μωϋσέως ἐδόθη ἡ χάρις καὶ ἡ ἀλήθεια διὰ Ἰησοῦ Χριστοῦ ἐγένετο</w:t>
      </w:r>
      <w:r w:rsidDel="00000000" w:rsidR="00000000" w:rsidRPr="00000000">
        <w:rPr>
          <w:rtl w:val="0"/>
        </w:rPr>
      </w:r>
    </w:p>
    <w:p w:rsidR="00000000" w:rsidDel="00000000" w:rsidP="00000000" w:rsidRDefault="00000000" w:rsidRPr="00000000" w14:paraId="00000013">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verse is made explicit the comparison between the Law and Grace introduced in the last verse. In addition, the juxtaposition between Moses and Jesus Christ is introduced.</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Fonts w:ascii="Times New Roman" w:cs="Times New Roman" w:eastAsia="Times New Roman" w:hAnsi="Times New Roman"/>
          <w:sz w:val="24"/>
          <w:szCs w:val="24"/>
          <w:rtl w:val="0"/>
        </w:rPr>
        <w:t xml:space="preserve"> The Law that was given through Moses “is as much grace as the new [Testament]”</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Fonts w:ascii="Times New Roman" w:cs="Times New Roman" w:eastAsia="Times New Roman" w:hAnsi="Times New Roman"/>
          <w:sz w:val="24"/>
          <w:szCs w:val="24"/>
          <w:rtl w:val="0"/>
        </w:rPr>
        <w:t xml:space="preserve"> and during its time, it provided the necessary guidance and awareness of sin until Christ was revealed (Rom. 7:1-6; Gal. 2:24). But, since Christ has now been revealed, John explains, we have received </w:t>
      </w:r>
      <w:r w:rsidDel="00000000" w:rsidR="00000000" w:rsidRPr="00000000">
        <w:rPr>
          <w:rFonts w:ascii="Times New Roman" w:cs="Times New Roman" w:eastAsia="Times New Roman" w:hAnsi="Times New Roman"/>
          <w:sz w:val="24"/>
          <w:szCs w:val="24"/>
          <w:rtl w:val="0"/>
        </w:rPr>
        <w:t xml:space="preserve">a different grace, one that is founded upon better promises (Heb. 8:6).</w:t>
      </w:r>
      <w:r w:rsidDel="00000000" w:rsidR="00000000" w:rsidRPr="00000000">
        <w:rPr>
          <w:rFonts w:ascii="Times New Roman" w:cs="Times New Roman" w:eastAsia="Times New Roman" w:hAnsi="Times New Roman"/>
          <w:sz w:val="24"/>
          <w:szCs w:val="24"/>
          <w:vertAlign w:val="superscript"/>
        </w:rPr>
        <w:footnoteReference w:customMarkFollows="0" w:id="20"/>
      </w:r>
      <w:r w:rsidDel="00000000" w:rsidR="00000000" w:rsidRPr="00000000">
        <w:rPr>
          <w:rFonts w:ascii="Times New Roman" w:cs="Times New Roman" w:eastAsia="Times New Roman" w:hAnsi="Times New Roman"/>
          <w:sz w:val="24"/>
          <w:szCs w:val="24"/>
          <w:rtl w:val="0"/>
        </w:rPr>
        <w:t xml:space="preserve"> Of special attention should be the two verbs utilized to depict the arrival of the Law and Grace, the Law was given (</w:t>
      </w:r>
      <w:r w:rsidDel="00000000" w:rsidR="00000000" w:rsidRPr="00000000">
        <w:rPr>
          <w:rFonts w:ascii="Times New Roman" w:cs="Times New Roman" w:eastAsia="Times New Roman" w:hAnsi="Times New Roman"/>
          <w:color w:val="121212"/>
          <w:sz w:val="24"/>
          <w:szCs w:val="24"/>
          <w:rtl w:val="0"/>
        </w:rPr>
        <w:t xml:space="preserve">ἐδόθη), but Grace came (ἐγένετο). It is true that Israel’s promised Messiah would be a type of Moses </w:t>
      </w:r>
      <w:r w:rsidDel="00000000" w:rsidR="00000000" w:rsidRPr="00000000">
        <w:rPr>
          <w:rFonts w:ascii="Times New Roman" w:cs="Times New Roman" w:eastAsia="Times New Roman" w:hAnsi="Times New Roman"/>
          <w:sz w:val="24"/>
          <w:szCs w:val="24"/>
          <w:rtl w:val="0"/>
        </w:rPr>
        <w:t xml:space="preserve">(Deut. 18:15; Act. 3:22-23; Jn. 5:46)</w:t>
      </w:r>
      <w:r w:rsidDel="00000000" w:rsidR="00000000" w:rsidRPr="00000000">
        <w:rPr>
          <w:rFonts w:ascii="Times New Roman" w:cs="Times New Roman" w:eastAsia="Times New Roman" w:hAnsi="Times New Roman"/>
          <w:color w:val="121212"/>
          <w:sz w:val="24"/>
          <w:szCs w:val="24"/>
          <w:rtl w:val="0"/>
        </w:rPr>
        <w:t xml:space="preserve">, but He had to be greater than Moses, and any other Israelite leader for that matter. For though God said of Moses to Joshua “‘As I was with Moses I will be with you (Jos. 3:7)...neither of them [are] called Emmanuel.’”</w:t>
      </w:r>
      <w:r w:rsidDel="00000000" w:rsidR="00000000" w:rsidRPr="00000000">
        <w:rPr>
          <w:rFonts w:ascii="Times New Roman" w:cs="Times New Roman" w:eastAsia="Times New Roman" w:hAnsi="Times New Roman"/>
          <w:color w:val="121212"/>
          <w:sz w:val="24"/>
          <w:szCs w:val="24"/>
          <w:vertAlign w:val="superscript"/>
        </w:rPr>
        <w:footnoteReference w:customMarkFollows="0" w:id="21"/>
      </w:r>
      <w:r w:rsidDel="00000000" w:rsidR="00000000" w:rsidRPr="00000000">
        <w:rPr>
          <w:rtl w:val="0"/>
        </w:rPr>
      </w:r>
    </w:p>
    <w:p w:rsidR="00000000" w:rsidDel="00000000" w:rsidP="00000000" w:rsidRDefault="00000000" w:rsidRPr="00000000" w14:paraId="00000014">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line="480" w:lineRule="auto"/>
        <w:rPr>
          <w:rFonts w:ascii="Times New Roman" w:cs="Times New Roman" w:eastAsia="Times New Roman" w:hAnsi="Times New Roman"/>
          <w:i w:val="1"/>
          <w:color w:val="121212"/>
          <w:sz w:val="24"/>
          <w:szCs w:val="24"/>
        </w:rPr>
      </w:pPr>
      <w:r w:rsidDel="00000000" w:rsidR="00000000" w:rsidRPr="00000000">
        <w:rPr>
          <w:rFonts w:ascii="Times New Roman" w:cs="Times New Roman" w:eastAsia="Times New Roman" w:hAnsi="Times New Roman"/>
          <w:i w:val="1"/>
          <w:color w:val="121212"/>
          <w:sz w:val="24"/>
          <w:szCs w:val="24"/>
          <w:rtl w:val="0"/>
        </w:rPr>
        <w:t xml:space="preserve">θεὸν οὐδεὶς ἑώρακεν πώποτε μονογενὴς θεὸς ὁ ὢν εἰς τὸν κόλπον τοῦ πατρὸς ἐκεῖνος ἐξηγήσατο</w:t>
      </w:r>
    </w:p>
    <w:p w:rsidR="00000000" w:rsidDel="00000000" w:rsidP="00000000" w:rsidRDefault="00000000" w:rsidRPr="00000000" w14:paraId="00000016">
      <w:pPr>
        <w:widowControl w:val="0"/>
        <w:spacing w:line="480" w:lineRule="auto"/>
        <w:rPr>
          <w:rFonts w:ascii="Times New Roman" w:cs="Times New Roman" w:eastAsia="Times New Roman" w:hAnsi="Times New Roman"/>
          <w:color w:val="121212"/>
          <w:sz w:val="24"/>
          <w:szCs w:val="24"/>
        </w:rPr>
      </w:pPr>
      <w:r w:rsidDel="00000000" w:rsidR="00000000" w:rsidRPr="00000000">
        <w:rPr>
          <w:rFonts w:ascii="Times New Roman" w:cs="Times New Roman" w:eastAsia="Times New Roman" w:hAnsi="Times New Roman"/>
          <w:color w:val="121212"/>
          <w:sz w:val="24"/>
          <w:szCs w:val="24"/>
          <w:rtl w:val="0"/>
        </w:rPr>
        <w:t xml:space="preserve">Apostle John wraps up his introductory discourse by solidifying the claim that Jesus Christ is the invisible God in visible flesh.</w:t>
      </w:r>
      <w:r w:rsidDel="00000000" w:rsidR="00000000" w:rsidRPr="00000000">
        <w:rPr>
          <w:rFonts w:ascii="Times New Roman" w:cs="Times New Roman" w:eastAsia="Times New Roman" w:hAnsi="Times New Roman"/>
          <w:color w:val="121212"/>
          <w:sz w:val="24"/>
          <w:szCs w:val="24"/>
          <w:vertAlign w:val="superscript"/>
        </w:rPr>
        <w:footnoteReference w:customMarkFollows="0" w:id="22"/>
      </w:r>
      <w:r w:rsidDel="00000000" w:rsidR="00000000" w:rsidRPr="00000000">
        <w:rPr>
          <w:rFonts w:ascii="Times New Roman" w:cs="Times New Roman" w:eastAsia="Times New Roman" w:hAnsi="Times New Roman"/>
          <w:color w:val="121212"/>
          <w:sz w:val="24"/>
          <w:szCs w:val="24"/>
          <w:rtl w:val="0"/>
        </w:rPr>
        <w:t xml:space="preserve"> If humans were ever to see God it had to be in a nature like that of their own, “for he is God by nature, as such invisible and incorporeal, and only in this way, in form like our own, could he be made manifest to earthly creatures.”</w:t>
      </w:r>
      <w:r w:rsidDel="00000000" w:rsidR="00000000" w:rsidRPr="00000000">
        <w:rPr>
          <w:rFonts w:ascii="Times New Roman" w:cs="Times New Roman" w:eastAsia="Times New Roman" w:hAnsi="Times New Roman"/>
          <w:color w:val="121212"/>
          <w:sz w:val="24"/>
          <w:szCs w:val="24"/>
          <w:vertAlign w:val="superscript"/>
        </w:rPr>
        <w:footnoteReference w:customMarkFollows="0" w:id="23"/>
      </w:r>
      <w:r w:rsidDel="00000000" w:rsidR="00000000" w:rsidRPr="00000000">
        <w:rPr>
          <w:rFonts w:ascii="Times New Roman" w:cs="Times New Roman" w:eastAsia="Times New Roman" w:hAnsi="Times New Roman"/>
          <w:color w:val="121212"/>
          <w:sz w:val="24"/>
          <w:szCs w:val="24"/>
          <w:rtl w:val="0"/>
        </w:rPr>
        <w:t xml:space="preserve"> The final deduction is simple, none can see nor reveal God, but God himself. The Man Christ Jesus is the revelation of God. Therefore, He must also be God. </w:t>
      </w:r>
    </w:p>
    <w:p w:rsidR="00000000" w:rsidDel="00000000" w:rsidP="00000000" w:rsidRDefault="00000000" w:rsidRPr="00000000" w14:paraId="00000017">
      <w:pPr>
        <w:widowControl w:val="0"/>
        <w:spacing w:line="480" w:lineRule="auto"/>
        <w:rPr>
          <w:rFonts w:ascii="Times New Roman" w:cs="Times New Roman" w:eastAsia="Times New Roman" w:hAnsi="Times New Roman"/>
          <w:color w:val="121212"/>
          <w:sz w:val="24"/>
          <w:szCs w:val="24"/>
        </w:rPr>
      </w:pPr>
      <w:r w:rsidDel="00000000" w:rsidR="00000000" w:rsidRPr="00000000">
        <w:rPr>
          <w:rtl w:val="0"/>
        </w:rPr>
      </w:r>
    </w:p>
    <w:p w:rsidR="00000000" w:rsidDel="00000000" w:rsidP="00000000" w:rsidRDefault="00000000" w:rsidRPr="00000000" w14:paraId="00000018">
      <w:pPr>
        <w:widowControl w:val="0"/>
        <w:spacing w:line="480" w:lineRule="auto"/>
        <w:rPr>
          <w:rFonts w:ascii="Times New Roman" w:cs="Times New Roman" w:eastAsia="Times New Roman" w:hAnsi="Times New Roman"/>
          <w:color w:val="121212"/>
          <w:sz w:val="24"/>
          <w:szCs w:val="24"/>
        </w:rPr>
      </w:pPr>
      <w:r w:rsidDel="00000000" w:rsidR="00000000" w:rsidRPr="00000000">
        <w:rPr>
          <w:rFonts w:ascii="Times New Roman" w:cs="Times New Roman" w:eastAsia="Times New Roman" w:hAnsi="Times New Roman"/>
          <w:color w:val="121212"/>
          <w:sz w:val="24"/>
          <w:szCs w:val="24"/>
          <w:rtl w:val="0"/>
        </w:rPr>
        <w:t xml:space="preserve">To Jesus Christ be the glory forever, Amen!</w:t>
      </w:r>
    </w:p>
    <w:p w:rsidR="00000000" w:rsidDel="00000000" w:rsidP="00000000" w:rsidRDefault="00000000" w:rsidRPr="00000000" w14:paraId="00000019">
      <w:pPr>
        <w:widowControl w:val="0"/>
        <w:spacing w:line="480" w:lineRule="auto"/>
        <w:rPr>
          <w:rFonts w:ascii="Times New Roman" w:cs="Times New Roman" w:eastAsia="Times New Roman" w:hAnsi="Times New Roman"/>
          <w:color w:val="121212"/>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C">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Cyril of Alexandria. </w:t>
      </w:r>
      <w:r w:rsidDel="00000000" w:rsidR="00000000" w:rsidRPr="00000000">
        <w:rPr>
          <w:rFonts w:ascii="Times New Roman" w:cs="Times New Roman" w:eastAsia="Times New Roman" w:hAnsi="Times New Roman"/>
          <w:i w:val="1"/>
          <w:sz w:val="20"/>
          <w:szCs w:val="20"/>
          <w:rtl w:val="0"/>
        </w:rPr>
        <w:t xml:space="preserve">On the Unity of Christ</w:t>
      </w:r>
      <w:r w:rsidDel="00000000" w:rsidR="00000000" w:rsidRPr="00000000">
        <w:rPr>
          <w:rFonts w:ascii="Times New Roman" w:cs="Times New Roman" w:eastAsia="Times New Roman" w:hAnsi="Times New Roman"/>
          <w:sz w:val="20"/>
          <w:szCs w:val="20"/>
          <w:rtl w:val="0"/>
        </w:rPr>
        <w:t xml:space="preserve">. Edited by John Anthony McGuckin, (Crestwood, NY: St. Vladimir's Seminary Press, 1995), 58.</w:t>
      </w:r>
    </w:p>
    <w:p w:rsidR="00000000" w:rsidDel="00000000" w:rsidP="00000000" w:rsidRDefault="00000000" w:rsidRPr="00000000" w14:paraId="0000001D">
      <w:pPr>
        <w:spacing w:line="240" w:lineRule="auto"/>
        <w:rPr>
          <w:rFonts w:ascii="Times New Roman" w:cs="Times New Roman" w:eastAsia="Times New Roman" w:hAnsi="Times New Roman"/>
          <w:sz w:val="20"/>
          <w:szCs w:val="20"/>
        </w:rPr>
      </w:pPr>
      <w:r w:rsidDel="00000000" w:rsidR="00000000" w:rsidRPr="00000000">
        <w:rPr>
          <w:rtl w:val="0"/>
        </w:rPr>
      </w:r>
    </w:p>
  </w:footnote>
  <w:footnote w:id="2">
    <w:p w:rsidR="00000000" w:rsidDel="00000000" w:rsidP="00000000" w:rsidRDefault="00000000" w:rsidRPr="00000000" w14:paraId="0000001E">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Capitalization mine.</w:t>
      </w:r>
    </w:p>
    <w:p w:rsidR="00000000" w:rsidDel="00000000" w:rsidP="00000000" w:rsidRDefault="00000000" w:rsidRPr="00000000" w14:paraId="0000001F">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3">
    <w:p w:rsidR="00000000" w:rsidDel="00000000" w:rsidP="00000000" w:rsidRDefault="00000000" w:rsidRPr="00000000" w14:paraId="00000020">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Capitalization mine.</w:t>
      </w:r>
    </w:p>
    <w:p w:rsidR="00000000" w:rsidDel="00000000" w:rsidP="00000000" w:rsidRDefault="00000000" w:rsidRPr="00000000" w14:paraId="00000021">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4">
    <w:p w:rsidR="00000000" w:rsidDel="00000000" w:rsidP="00000000" w:rsidRDefault="00000000" w:rsidRPr="00000000" w14:paraId="00000022">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Cyril, </w:t>
      </w:r>
      <w:r w:rsidDel="00000000" w:rsidR="00000000" w:rsidRPr="00000000">
        <w:rPr>
          <w:rFonts w:ascii="Times New Roman" w:cs="Times New Roman" w:eastAsia="Times New Roman" w:hAnsi="Times New Roman"/>
          <w:i w:val="1"/>
          <w:sz w:val="20"/>
          <w:szCs w:val="20"/>
          <w:rtl w:val="0"/>
        </w:rPr>
        <w:t xml:space="preserve">On the Unity of Christ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64.</w:t>
      </w:r>
    </w:p>
    <w:p w:rsidR="00000000" w:rsidDel="00000000" w:rsidP="00000000" w:rsidRDefault="00000000" w:rsidRPr="00000000" w14:paraId="00000023">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1">
    <w:p w:rsidR="00000000" w:rsidDel="00000000" w:rsidP="00000000" w:rsidRDefault="00000000" w:rsidRPr="00000000" w14:paraId="00000024">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Frederick Dale Bruner, </w:t>
      </w:r>
      <w:r w:rsidDel="00000000" w:rsidR="00000000" w:rsidRPr="00000000">
        <w:rPr>
          <w:rFonts w:ascii="Times New Roman" w:cs="Times New Roman" w:eastAsia="Times New Roman" w:hAnsi="Times New Roman"/>
          <w:i w:val="1"/>
          <w:sz w:val="20"/>
          <w:szCs w:val="20"/>
          <w:rtl w:val="0"/>
        </w:rPr>
        <w:t xml:space="preserve">The Gospel of John: A Commentary</w:t>
      </w:r>
      <w:r w:rsidDel="00000000" w:rsidR="00000000" w:rsidRPr="00000000">
        <w:rPr>
          <w:rFonts w:ascii="Times New Roman" w:cs="Times New Roman" w:eastAsia="Times New Roman" w:hAnsi="Times New Roman"/>
          <w:sz w:val="20"/>
          <w:szCs w:val="20"/>
          <w:rtl w:val="0"/>
        </w:rPr>
        <w:t xml:space="preserve">, (Grand Rapids, Michigan: Eerdmans, 2012), 43. </w:t>
      </w:r>
    </w:p>
    <w:p w:rsidR="00000000" w:rsidDel="00000000" w:rsidP="00000000" w:rsidRDefault="00000000" w:rsidRPr="00000000" w14:paraId="00000025">
      <w:pPr>
        <w:spacing w:line="240" w:lineRule="auto"/>
        <w:rPr>
          <w:sz w:val="20"/>
          <w:szCs w:val="20"/>
        </w:rPr>
      </w:pPr>
      <w:r w:rsidDel="00000000" w:rsidR="00000000" w:rsidRPr="00000000">
        <w:rPr>
          <w:rtl w:val="0"/>
        </w:rPr>
      </w:r>
    </w:p>
  </w:footnote>
  <w:footnote w:id="23">
    <w:p w:rsidR="00000000" w:rsidDel="00000000" w:rsidP="00000000" w:rsidRDefault="00000000" w:rsidRPr="00000000" w14:paraId="00000026">
      <w:pPr>
        <w:spacing w:line="240" w:lineRule="auto"/>
        <w:ind w:left="72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Cyril, </w:t>
      </w:r>
      <w:r w:rsidDel="00000000" w:rsidR="00000000" w:rsidRPr="00000000">
        <w:rPr>
          <w:rFonts w:ascii="Times New Roman" w:cs="Times New Roman" w:eastAsia="Times New Roman" w:hAnsi="Times New Roman"/>
          <w:i w:val="1"/>
          <w:sz w:val="20"/>
          <w:szCs w:val="20"/>
          <w:rtl w:val="0"/>
        </w:rPr>
        <w:t xml:space="preserve">On the Unity of Christ</w:t>
      </w:r>
      <w:r w:rsidDel="00000000" w:rsidR="00000000" w:rsidRPr="00000000">
        <w:rPr>
          <w:rFonts w:ascii="Times New Roman" w:cs="Times New Roman" w:eastAsia="Times New Roman" w:hAnsi="Times New Roman"/>
          <w:sz w:val="20"/>
          <w:szCs w:val="20"/>
          <w:rtl w:val="0"/>
        </w:rPr>
        <w:t xml:space="preserve">, 64.</w:t>
      </w:r>
      <w:r w:rsidDel="00000000" w:rsidR="00000000" w:rsidRPr="00000000">
        <w:rPr>
          <w:rtl w:val="0"/>
        </w:rPr>
      </w:r>
    </w:p>
  </w:footnote>
  <w:footnote w:id="6">
    <w:p w:rsidR="00000000" w:rsidDel="00000000" w:rsidP="00000000" w:rsidRDefault="00000000" w:rsidRPr="00000000" w14:paraId="00000027">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Cyril, </w:t>
      </w:r>
      <w:r w:rsidDel="00000000" w:rsidR="00000000" w:rsidRPr="00000000">
        <w:rPr>
          <w:rFonts w:ascii="Times New Roman" w:cs="Times New Roman" w:eastAsia="Times New Roman" w:hAnsi="Times New Roman"/>
          <w:i w:val="1"/>
          <w:sz w:val="20"/>
          <w:szCs w:val="20"/>
          <w:rtl w:val="0"/>
        </w:rPr>
        <w:t xml:space="preserve">On the Unity of Christ</w:t>
      </w:r>
      <w:r w:rsidDel="00000000" w:rsidR="00000000" w:rsidRPr="00000000">
        <w:rPr>
          <w:rFonts w:ascii="Times New Roman" w:cs="Times New Roman" w:eastAsia="Times New Roman" w:hAnsi="Times New Roman"/>
          <w:sz w:val="20"/>
          <w:szCs w:val="20"/>
          <w:rtl w:val="0"/>
        </w:rPr>
        <w:t xml:space="preserve">, 53.</w:t>
      </w:r>
    </w:p>
    <w:p w:rsidR="00000000" w:rsidDel="00000000" w:rsidP="00000000" w:rsidRDefault="00000000" w:rsidRPr="00000000" w14:paraId="00000028">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7">
    <w:p w:rsidR="00000000" w:rsidDel="00000000" w:rsidP="00000000" w:rsidRDefault="00000000" w:rsidRPr="00000000" w14:paraId="00000029">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Michaels, </w:t>
      </w:r>
      <w:r w:rsidDel="00000000" w:rsidR="00000000" w:rsidRPr="00000000">
        <w:rPr>
          <w:rFonts w:ascii="Times New Roman" w:cs="Times New Roman" w:eastAsia="Times New Roman" w:hAnsi="Times New Roman"/>
          <w:i w:val="1"/>
          <w:sz w:val="20"/>
          <w:szCs w:val="20"/>
          <w:rtl w:val="0"/>
        </w:rPr>
        <w:t xml:space="preserve">The Gospel of John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55.</w:t>
      </w:r>
    </w:p>
    <w:p w:rsidR="00000000" w:rsidDel="00000000" w:rsidP="00000000" w:rsidRDefault="00000000" w:rsidRPr="00000000" w14:paraId="0000002A">
      <w:pPr>
        <w:spacing w:line="240" w:lineRule="auto"/>
        <w:ind w:firstLine="720"/>
        <w:rPr>
          <w:sz w:val="20"/>
          <w:szCs w:val="20"/>
        </w:rPr>
      </w:pPr>
      <w:r w:rsidDel="00000000" w:rsidR="00000000" w:rsidRPr="00000000">
        <w:rPr>
          <w:rtl w:val="0"/>
        </w:rPr>
      </w:r>
    </w:p>
  </w:footnote>
  <w:footnote w:id="5">
    <w:p w:rsidR="00000000" w:rsidDel="00000000" w:rsidP="00000000" w:rsidRDefault="00000000" w:rsidRPr="00000000" w14:paraId="0000002B">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J. Ramsey Michaels, </w:t>
      </w:r>
      <w:r w:rsidDel="00000000" w:rsidR="00000000" w:rsidRPr="00000000">
        <w:rPr>
          <w:rFonts w:ascii="Times New Roman" w:cs="Times New Roman" w:eastAsia="Times New Roman" w:hAnsi="Times New Roman"/>
          <w:i w:val="1"/>
          <w:sz w:val="20"/>
          <w:szCs w:val="20"/>
          <w:rtl w:val="0"/>
        </w:rPr>
        <w:t xml:space="preserve">The Gospel of John</w:t>
      </w:r>
      <w:r w:rsidDel="00000000" w:rsidR="00000000" w:rsidRPr="00000000">
        <w:rPr>
          <w:rFonts w:ascii="Times New Roman" w:cs="Times New Roman" w:eastAsia="Times New Roman" w:hAnsi="Times New Roman"/>
          <w:sz w:val="20"/>
          <w:szCs w:val="20"/>
          <w:rtl w:val="0"/>
        </w:rPr>
        <w:t xml:space="preserve">, The New International Commentary on the New Testament, </w:t>
      </w:r>
    </w:p>
    <w:p w:rsidR="00000000" w:rsidDel="00000000" w:rsidP="00000000" w:rsidRDefault="00000000" w:rsidRPr="00000000" w14:paraId="0000002C">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(Grand Rapids, Mich: Eerdmans, 2010), 55.</w:t>
      </w:r>
    </w:p>
    <w:p w:rsidR="00000000" w:rsidDel="00000000" w:rsidP="00000000" w:rsidRDefault="00000000" w:rsidRPr="00000000" w14:paraId="0000002D">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8">
    <w:p w:rsidR="00000000" w:rsidDel="00000000" w:rsidP="00000000" w:rsidRDefault="00000000" w:rsidRPr="00000000" w14:paraId="0000002E">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Capitalization mine</w:t>
      </w:r>
    </w:p>
    <w:p w:rsidR="00000000" w:rsidDel="00000000" w:rsidP="00000000" w:rsidRDefault="00000000" w:rsidRPr="00000000" w14:paraId="0000002F">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9">
    <w:p w:rsidR="00000000" w:rsidDel="00000000" w:rsidP="00000000" w:rsidRDefault="00000000" w:rsidRPr="00000000" w14:paraId="00000030">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Michaels, </w:t>
      </w:r>
      <w:r w:rsidDel="00000000" w:rsidR="00000000" w:rsidRPr="00000000">
        <w:rPr>
          <w:rFonts w:ascii="Times New Roman" w:cs="Times New Roman" w:eastAsia="Times New Roman" w:hAnsi="Times New Roman"/>
          <w:i w:val="1"/>
          <w:sz w:val="20"/>
          <w:szCs w:val="20"/>
          <w:rtl w:val="0"/>
        </w:rPr>
        <w:t xml:space="preserve">The Gospel of John</w:t>
      </w:r>
      <w:r w:rsidDel="00000000" w:rsidR="00000000" w:rsidRPr="00000000">
        <w:rPr>
          <w:rFonts w:ascii="Times New Roman" w:cs="Times New Roman" w:eastAsia="Times New Roman" w:hAnsi="Times New Roman"/>
          <w:sz w:val="20"/>
          <w:szCs w:val="20"/>
          <w:rtl w:val="0"/>
        </w:rPr>
        <w:t xml:space="preserve">, 57.</w:t>
      </w:r>
    </w:p>
    <w:p w:rsidR="00000000" w:rsidDel="00000000" w:rsidP="00000000" w:rsidRDefault="00000000" w:rsidRPr="00000000" w14:paraId="00000031">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10">
    <w:p w:rsidR="00000000" w:rsidDel="00000000" w:rsidP="00000000" w:rsidRDefault="00000000" w:rsidRPr="00000000" w14:paraId="00000032">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Bruner, </w:t>
      </w:r>
      <w:r w:rsidDel="00000000" w:rsidR="00000000" w:rsidRPr="00000000">
        <w:rPr>
          <w:rFonts w:ascii="Times New Roman" w:cs="Times New Roman" w:eastAsia="Times New Roman" w:hAnsi="Times New Roman"/>
          <w:i w:val="1"/>
          <w:sz w:val="20"/>
          <w:szCs w:val="20"/>
          <w:rtl w:val="0"/>
        </w:rPr>
        <w:t xml:space="preserve">The Gospel of John: A Commentary</w:t>
      </w:r>
      <w:r w:rsidDel="00000000" w:rsidR="00000000" w:rsidRPr="00000000">
        <w:rPr>
          <w:rFonts w:ascii="Times New Roman" w:cs="Times New Roman" w:eastAsia="Times New Roman" w:hAnsi="Times New Roman"/>
          <w:sz w:val="20"/>
          <w:szCs w:val="20"/>
          <w:rtl w:val="0"/>
        </w:rPr>
        <w:t xml:space="preserve">, 44. </w:t>
      </w:r>
    </w:p>
    <w:p w:rsidR="00000000" w:rsidDel="00000000" w:rsidP="00000000" w:rsidRDefault="00000000" w:rsidRPr="00000000" w14:paraId="00000033">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13">
    <w:p w:rsidR="00000000" w:rsidDel="00000000" w:rsidP="00000000" w:rsidRDefault="00000000" w:rsidRPr="00000000" w14:paraId="00000034">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Cyril, </w:t>
      </w:r>
      <w:r w:rsidDel="00000000" w:rsidR="00000000" w:rsidRPr="00000000">
        <w:rPr>
          <w:rFonts w:ascii="Times New Roman" w:cs="Times New Roman" w:eastAsia="Times New Roman" w:hAnsi="Times New Roman"/>
          <w:i w:val="1"/>
          <w:sz w:val="20"/>
          <w:szCs w:val="20"/>
          <w:rtl w:val="0"/>
        </w:rPr>
        <w:t xml:space="preserve">On the Unity of Christ</w:t>
      </w:r>
      <w:r w:rsidDel="00000000" w:rsidR="00000000" w:rsidRPr="00000000">
        <w:rPr>
          <w:rFonts w:ascii="Times New Roman" w:cs="Times New Roman" w:eastAsia="Times New Roman" w:hAnsi="Times New Roman"/>
          <w:sz w:val="20"/>
          <w:szCs w:val="20"/>
          <w:rtl w:val="0"/>
        </w:rPr>
        <w:t xml:space="preserve">, 129.</w:t>
      </w:r>
    </w:p>
    <w:p w:rsidR="00000000" w:rsidDel="00000000" w:rsidP="00000000" w:rsidRDefault="00000000" w:rsidRPr="00000000" w14:paraId="00000035">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11">
    <w:p w:rsidR="00000000" w:rsidDel="00000000" w:rsidP="00000000" w:rsidRDefault="00000000" w:rsidRPr="00000000" w14:paraId="00000036">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Capitalization mine.</w:t>
      </w:r>
    </w:p>
    <w:p w:rsidR="00000000" w:rsidDel="00000000" w:rsidP="00000000" w:rsidRDefault="00000000" w:rsidRPr="00000000" w14:paraId="00000037">
      <w:pPr>
        <w:spacing w:line="240" w:lineRule="auto"/>
        <w:rPr>
          <w:sz w:val="20"/>
          <w:szCs w:val="20"/>
        </w:rPr>
      </w:pPr>
      <w:r w:rsidDel="00000000" w:rsidR="00000000" w:rsidRPr="00000000">
        <w:rPr>
          <w:rtl w:val="0"/>
        </w:rPr>
      </w:r>
    </w:p>
  </w:footnote>
  <w:footnote w:id="12">
    <w:p w:rsidR="00000000" w:rsidDel="00000000" w:rsidP="00000000" w:rsidRDefault="00000000" w:rsidRPr="00000000" w14:paraId="00000038">
      <w:pPr>
        <w:spacing w:line="240" w:lineRule="auto"/>
        <w:ind w:left="72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Capitalization mine.</w:t>
      </w:r>
      <w:r w:rsidDel="00000000" w:rsidR="00000000" w:rsidRPr="00000000">
        <w:rPr>
          <w:rtl w:val="0"/>
        </w:rPr>
      </w:r>
    </w:p>
    <w:p w:rsidR="00000000" w:rsidDel="00000000" w:rsidP="00000000" w:rsidRDefault="00000000" w:rsidRPr="00000000" w14:paraId="00000039">
      <w:pPr>
        <w:spacing w:line="240" w:lineRule="auto"/>
        <w:ind w:left="0" w:firstLine="0"/>
        <w:rPr>
          <w:sz w:val="20"/>
          <w:szCs w:val="20"/>
        </w:rPr>
      </w:pPr>
      <w:r w:rsidDel="00000000" w:rsidR="00000000" w:rsidRPr="00000000">
        <w:rPr>
          <w:rtl w:val="0"/>
        </w:rPr>
      </w:r>
    </w:p>
  </w:footnote>
  <w:footnote w:id="14">
    <w:p w:rsidR="00000000" w:rsidDel="00000000" w:rsidP="00000000" w:rsidRDefault="00000000" w:rsidRPr="00000000" w14:paraId="0000003A">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Michaels, </w:t>
      </w:r>
      <w:r w:rsidDel="00000000" w:rsidR="00000000" w:rsidRPr="00000000">
        <w:rPr>
          <w:rFonts w:ascii="Times New Roman" w:cs="Times New Roman" w:eastAsia="Times New Roman" w:hAnsi="Times New Roman"/>
          <w:i w:val="1"/>
          <w:sz w:val="20"/>
          <w:szCs w:val="20"/>
          <w:rtl w:val="0"/>
        </w:rPr>
        <w:t xml:space="preserve">The Gospel of John</w:t>
      </w:r>
      <w:r w:rsidDel="00000000" w:rsidR="00000000" w:rsidRPr="00000000">
        <w:rPr>
          <w:rFonts w:ascii="Times New Roman" w:cs="Times New Roman" w:eastAsia="Times New Roman" w:hAnsi="Times New Roman"/>
          <w:sz w:val="20"/>
          <w:szCs w:val="20"/>
          <w:rtl w:val="0"/>
        </w:rPr>
        <w:t xml:space="preserve">, 57.</w:t>
      </w:r>
    </w:p>
    <w:p w:rsidR="00000000" w:rsidDel="00000000" w:rsidP="00000000" w:rsidRDefault="00000000" w:rsidRPr="00000000" w14:paraId="0000003B">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15">
    <w:p w:rsidR="00000000" w:rsidDel="00000000" w:rsidP="00000000" w:rsidRDefault="00000000" w:rsidRPr="00000000" w14:paraId="0000003C">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Cyril, </w:t>
      </w:r>
      <w:r w:rsidDel="00000000" w:rsidR="00000000" w:rsidRPr="00000000">
        <w:rPr>
          <w:rFonts w:ascii="Times New Roman" w:cs="Times New Roman" w:eastAsia="Times New Roman" w:hAnsi="Times New Roman"/>
          <w:i w:val="1"/>
          <w:sz w:val="20"/>
          <w:szCs w:val="20"/>
          <w:rtl w:val="0"/>
        </w:rPr>
        <w:t xml:space="preserve">On the Unity of Christ</w:t>
      </w:r>
      <w:r w:rsidDel="00000000" w:rsidR="00000000" w:rsidRPr="00000000">
        <w:rPr>
          <w:rFonts w:ascii="Times New Roman" w:cs="Times New Roman" w:eastAsia="Times New Roman" w:hAnsi="Times New Roman"/>
          <w:sz w:val="20"/>
          <w:szCs w:val="20"/>
          <w:rtl w:val="0"/>
        </w:rPr>
        <w:t xml:space="preserve">, 93.</w:t>
      </w:r>
    </w:p>
    <w:p w:rsidR="00000000" w:rsidDel="00000000" w:rsidP="00000000" w:rsidRDefault="00000000" w:rsidRPr="00000000" w14:paraId="0000003D">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16">
    <w:p w:rsidR="00000000" w:rsidDel="00000000" w:rsidP="00000000" w:rsidRDefault="00000000" w:rsidRPr="00000000" w14:paraId="0000003E">
      <w:pPr>
        <w:spacing w:line="240" w:lineRule="auto"/>
        <w:ind w:left="72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Edward W Klink III, </w:t>
      </w:r>
      <w:r w:rsidDel="00000000" w:rsidR="00000000" w:rsidRPr="00000000">
        <w:rPr>
          <w:rFonts w:ascii="Times New Roman" w:cs="Times New Roman" w:eastAsia="Times New Roman" w:hAnsi="Times New Roman"/>
          <w:i w:val="1"/>
          <w:sz w:val="20"/>
          <w:szCs w:val="20"/>
          <w:rtl w:val="0"/>
        </w:rPr>
        <w:t xml:space="preserve">John</w:t>
      </w:r>
      <w:r w:rsidDel="00000000" w:rsidR="00000000" w:rsidRPr="00000000">
        <w:rPr>
          <w:rFonts w:ascii="Times New Roman" w:cs="Times New Roman" w:eastAsia="Times New Roman" w:hAnsi="Times New Roman"/>
          <w:sz w:val="20"/>
          <w:szCs w:val="20"/>
          <w:rtl w:val="0"/>
        </w:rPr>
        <w:t xml:space="preserve">, Zondervan Exegetical Commentary on the New Testament, (Grand Rapids, Michigan: Zondervan Academic, 2016), n.p.. </w:t>
      </w:r>
      <w:r w:rsidDel="00000000" w:rsidR="00000000" w:rsidRPr="00000000">
        <w:rPr>
          <w:rtl w:val="0"/>
        </w:rPr>
      </w:r>
    </w:p>
  </w:footnote>
  <w:footnote w:id="17">
    <w:p w:rsidR="00000000" w:rsidDel="00000000" w:rsidP="00000000" w:rsidRDefault="00000000" w:rsidRPr="00000000" w14:paraId="0000003F">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Cyril, </w:t>
      </w:r>
      <w:r w:rsidDel="00000000" w:rsidR="00000000" w:rsidRPr="00000000">
        <w:rPr>
          <w:rFonts w:ascii="Times New Roman" w:cs="Times New Roman" w:eastAsia="Times New Roman" w:hAnsi="Times New Roman"/>
          <w:i w:val="1"/>
          <w:sz w:val="20"/>
          <w:szCs w:val="20"/>
          <w:rtl w:val="0"/>
        </w:rPr>
        <w:t xml:space="preserve">On the Unity of Christ</w:t>
      </w:r>
      <w:r w:rsidDel="00000000" w:rsidR="00000000" w:rsidRPr="00000000">
        <w:rPr>
          <w:rFonts w:ascii="Times New Roman" w:cs="Times New Roman" w:eastAsia="Times New Roman" w:hAnsi="Times New Roman"/>
          <w:sz w:val="20"/>
          <w:szCs w:val="20"/>
          <w:rtl w:val="0"/>
        </w:rPr>
        <w:t xml:space="preserve">, 60.</w:t>
      </w:r>
    </w:p>
    <w:p w:rsidR="00000000" w:rsidDel="00000000" w:rsidP="00000000" w:rsidRDefault="00000000" w:rsidRPr="00000000" w14:paraId="00000040">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18">
    <w:p w:rsidR="00000000" w:rsidDel="00000000" w:rsidP="00000000" w:rsidRDefault="00000000" w:rsidRPr="00000000" w14:paraId="00000041">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Klink, </w:t>
      </w:r>
      <w:r w:rsidDel="00000000" w:rsidR="00000000" w:rsidRPr="00000000">
        <w:rPr>
          <w:rFonts w:ascii="Times New Roman" w:cs="Times New Roman" w:eastAsia="Times New Roman" w:hAnsi="Times New Roman"/>
          <w:i w:val="1"/>
          <w:sz w:val="20"/>
          <w:szCs w:val="20"/>
          <w:rtl w:val="0"/>
        </w:rPr>
        <w:t xml:space="preserve">John</w:t>
      </w:r>
      <w:r w:rsidDel="00000000" w:rsidR="00000000" w:rsidRPr="00000000">
        <w:rPr>
          <w:rFonts w:ascii="Times New Roman" w:cs="Times New Roman" w:eastAsia="Times New Roman" w:hAnsi="Times New Roman"/>
          <w:sz w:val="20"/>
          <w:szCs w:val="20"/>
          <w:rtl w:val="0"/>
        </w:rPr>
        <w:t xml:space="preserve">, n.p.. </w:t>
      </w:r>
    </w:p>
    <w:p w:rsidR="00000000" w:rsidDel="00000000" w:rsidP="00000000" w:rsidRDefault="00000000" w:rsidRPr="00000000" w14:paraId="00000042">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19">
    <w:p w:rsidR="00000000" w:rsidDel="00000000" w:rsidP="00000000" w:rsidRDefault="00000000" w:rsidRPr="00000000" w14:paraId="00000043">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Klink, </w:t>
      </w:r>
      <w:r w:rsidDel="00000000" w:rsidR="00000000" w:rsidRPr="00000000">
        <w:rPr>
          <w:rFonts w:ascii="Times New Roman" w:cs="Times New Roman" w:eastAsia="Times New Roman" w:hAnsi="Times New Roman"/>
          <w:i w:val="1"/>
          <w:sz w:val="20"/>
          <w:szCs w:val="20"/>
          <w:rtl w:val="0"/>
        </w:rPr>
        <w:t xml:space="preserve">John</w:t>
      </w:r>
      <w:r w:rsidDel="00000000" w:rsidR="00000000" w:rsidRPr="00000000">
        <w:rPr>
          <w:rFonts w:ascii="Times New Roman" w:cs="Times New Roman" w:eastAsia="Times New Roman" w:hAnsi="Times New Roman"/>
          <w:sz w:val="20"/>
          <w:szCs w:val="20"/>
          <w:rtl w:val="0"/>
        </w:rPr>
        <w:t xml:space="preserve">, n.p., [note: brackets mine]</w:t>
      </w:r>
    </w:p>
    <w:p w:rsidR="00000000" w:rsidDel="00000000" w:rsidP="00000000" w:rsidRDefault="00000000" w:rsidRPr="00000000" w14:paraId="00000044">
      <w:pPr>
        <w:spacing w:line="240" w:lineRule="auto"/>
        <w:rPr>
          <w:rFonts w:ascii="Times New Roman" w:cs="Times New Roman" w:eastAsia="Times New Roman" w:hAnsi="Times New Roman"/>
          <w:sz w:val="20"/>
          <w:szCs w:val="20"/>
        </w:rPr>
      </w:pPr>
      <w:r w:rsidDel="00000000" w:rsidR="00000000" w:rsidRPr="00000000">
        <w:rPr>
          <w:rtl w:val="0"/>
        </w:rPr>
      </w:r>
    </w:p>
  </w:footnote>
  <w:footnote w:id="20">
    <w:p w:rsidR="00000000" w:rsidDel="00000000" w:rsidP="00000000" w:rsidRDefault="00000000" w:rsidRPr="00000000" w14:paraId="00000045">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Michaels, </w:t>
      </w:r>
      <w:r w:rsidDel="00000000" w:rsidR="00000000" w:rsidRPr="00000000">
        <w:rPr>
          <w:rFonts w:ascii="Times New Roman" w:cs="Times New Roman" w:eastAsia="Times New Roman" w:hAnsi="Times New Roman"/>
          <w:i w:val="1"/>
          <w:sz w:val="20"/>
          <w:szCs w:val="20"/>
          <w:rtl w:val="0"/>
        </w:rPr>
        <w:t xml:space="preserve">The Gospel of John</w:t>
      </w:r>
      <w:r w:rsidDel="00000000" w:rsidR="00000000" w:rsidRPr="00000000">
        <w:rPr>
          <w:rFonts w:ascii="Times New Roman" w:cs="Times New Roman" w:eastAsia="Times New Roman" w:hAnsi="Times New Roman"/>
          <w:sz w:val="20"/>
          <w:szCs w:val="20"/>
          <w:rtl w:val="0"/>
        </w:rPr>
        <w:t xml:space="preserve">, 57.</w:t>
      </w:r>
    </w:p>
    <w:p w:rsidR="00000000" w:rsidDel="00000000" w:rsidP="00000000" w:rsidRDefault="00000000" w:rsidRPr="00000000" w14:paraId="00000046">
      <w:pPr>
        <w:spacing w:line="240" w:lineRule="auto"/>
        <w:rPr>
          <w:sz w:val="20"/>
          <w:szCs w:val="20"/>
        </w:rPr>
      </w:pPr>
      <w:r w:rsidDel="00000000" w:rsidR="00000000" w:rsidRPr="00000000">
        <w:rPr>
          <w:rtl w:val="0"/>
        </w:rPr>
      </w:r>
    </w:p>
  </w:footnote>
  <w:footnote w:id="21">
    <w:p w:rsidR="00000000" w:rsidDel="00000000" w:rsidP="00000000" w:rsidRDefault="00000000" w:rsidRPr="00000000" w14:paraId="00000047">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Cyril, </w:t>
      </w:r>
      <w:r w:rsidDel="00000000" w:rsidR="00000000" w:rsidRPr="00000000">
        <w:rPr>
          <w:rFonts w:ascii="Times New Roman" w:cs="Times New Roman" w:eastAsia="Times New Roman" w:hAnsi="Times New Roman"/>
          <w:i w:val="1"/>
          <w:sz w:val="20"/>
          <w:szCs w:val="20"/>
          <w:rtl w:val="0"/>
        </w:rPr>
        <w:t xml:space="preserve">On the Unity of Christ</w:t>
      </w:r>
      <w:r w:rsidDel="00000000" w:rsidR="00000000" w:rsidRPr="00000000">
        <w:rPr>
          <w:rFonts w:ascii="Times New Roman" w:cs="Times New Roman" w:eastAsia="Times New Roman" w:hAnsi="Times New Roman"/>
          <w:sz w:val="20"/>
          <w:szCs w:val="20"/>
          <w:rtl w:val="0"/>
        </w:rPr>
        <w:t xml:space="preserve">, 52, [note: brackets mine].</w:t>
      </w:r>
    </w:p>
    <w:p w:rsidR="00000000" w:rsidDel="00000000" w:rsidP="00000000" w:rsidRDefault="00000000" w:rsidRPr="00000000" w14:paraId="00000048">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22">
    <w:p w:rsidR="00000000" w:rsidDel="00000000" w:rsidP="00000000" w:rsidRDefault="00000000" w:rsidRPr="00000000" w14:paraId="00000049">
      <w:pPr>
        <w:spacing w:line="240" w:lineRule="auto"/>
        <w:ind w:left="72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Michaels, </w:t>
      </w:r>
      <w:r w:rsidDel="00000000" w:rsidR="00000000" w:rsidRPr="00000000">
        <w:rPr>
          <w:rFonts w:ascii="Times New Roman" w:cs="Times New Roman" w:eastAsia="Times New Roman" w:hAnsi="Times New Roman"/>
          <w:i w:val="1"/>
          <w:sz w:val="20"/>
          <w:szCs w:val="20"/>
          <w:rtl w:val="0"/>
        </w:rPr>
        <w:t xml:space="preserve">The Gospel of John</w:t>
      </w:r>
      <w:r w:rsidDel="00000000" w:rsidR="00000000" w:rsidRPr="00000000">
        <w:rPr>
          <w:rFonts w:ascii="Times New Roman" w:cs="Times New Roman" w:eastAsia="Times New Roman" w:hAnsi="Times New Roman"/>
          <w:sz w:val="20"/>
          <w:szCs w:val="20"/>
          <w:rtl w:val="0"/>
        </w:rPr>
        <w:t xml:space="preserve">, 59.</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rtl w:val="0"/>
      </w:rPr>
      <w:t xml:space="preserve">Daniel Rangel</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