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 w:after="20"/>
      </w:pPr>
      <w:r>
        <w:t>Rubrik Penilaian Praktik Pembersihan Data</w:t>
      </w:r>
    </w:p>
    <w:p>
      <w:pPr>
        <w:spacing w:before="0" w:after="160"/>
      </w:pPr>
      <w:r>
        <w:rPr>
          <w:rFonts w:ascii="Aptos" w:hAnsi="Aptos"/>
          <w:i/>
          <w:color w:val="0F5135"/>
          <w:sz w:val="21"/>
        </w:rPr>
        <w:t>Instrumen guru • Skor maksimal 100 • Penilaian proses dan produk</w:t>
      </w:r>
    </w:p>
    <w:p>
      <w:pPr>
        <w:spacing w:before="0" w:after="60" w:line="259" w:lineRule="auto"/>
      </w:pPr>
      <w:r>
        <w:rPr>
          <w:rFonts w:ascii="Aptos" w:hAnsi="Aptos"/>
          <w:i w:val="0"/>
          <w:color w:val="111111"/>
          <w:sz w:val="17"/>
        </w:rPr>
        <w:t>Gunakan bukti dari Data_Hasil, Log_Perubahan, LKPD, pengamatan, dan penjelasan lisan. Jawaban boleh berbeda dari kunci jika aturan, alasan, dan buktinya kuat.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Kelompok</w:t>
            </w:r>
          </w:p>
        </w:tc>
        <w:tc>
          <w:tcPr>
            <w:tcW w:type="dxa" w:w="30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....................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Kelas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....................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Tanggal</w:t>
            </w:r>
          </w:p>
        </w:tc>
        <w:tc>
          <w:tcPr>
            <w:tcW w:type="dxa" w:w="504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Anggota</w:t>
            </w:r>
          </w:p>
        </w:tc>
        <w:tc>
          <w:tcPr>
            <w:tcW w:type="dxa" w:w="30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................................................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Penilai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................................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Produk</w:t>
            </w:r>
          </w:p>
        </w:tc>
        <w:tc>
          <w:tcPr>
            <w:tcW w:type="dxa" w:w="504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Excel  ☐ LKPD</w:t>
            </w:r>
          </w:p>
        </w:tc>
      </w:tr>
    </w:tbl>
    <w:p>
      <w:pPr>
        <w:keepNext/>
        <w:spacing w:before="80" w:after="40"/>
      </w:pPr>
      <w:r>
        <w:rPr>
          <w:rFonts w:ascii="Aptos Display" w:hAnsi="Aptos Display"/>
          <w:b/>
          <w:color w:val="111111"/>
          <w:sz w:val="25"/>
        </w:rPr>
        <w:t>Rubrik Analitik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  <w:tblHeader w:val="true"/>
        </w:trPr>
        <w:tc>
          <w:tcPr>
            <w:tcW w:type="dxa" w:w="23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Kriteria</w:t>
            </w:r>
          </w:p>
        </w:tc>
        <w:tc>
          <w:tcPr>
            <w:tcW w:type="dxa" w:w="7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Bobot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4 • Sangat Baik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3 • Baik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2 • Cukup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1 • Perlu Bimbingan</w:t>
            </w:r>
          </w:p>
        </w:tc>
      </w:tr>
      <w:tr>
        <w:trPr>
          <w:trHeight w:val="1106" w:hRule="atLeast"/>
          <w:cantSplit/>
        </w:trPr>
        <w:tc>
          <w:tcPr>
            <w:tcW w:type="dxa" w:w="23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4"/>
              </w:rPr>
              <w:t>Identifikasi masalah kualitas data</w:t>
            </w:r>
          </w:p>
        </w:tc>
        <w:tc>
          <w:tcPr>
            <w:tcW w:type="dxa" w:w="7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25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Menemukan ≥10 masalah dari ≥4 jenis; bukti baris/kolom tepat.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Menemukan 8–9 masalah dari ≥3 jenis; mayoritas bukti tepat.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Menemukan 5–7 masalah; jenis atau bukti masih terbatas.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Menemukan &lt;5 masalah; banyak salah identifikasi atau tanpa bukti.</w:t>
            </w:r>
          </w:p>
        </w:tc>
      </w:tr>
      <w:tr>
        <w:trPr>
          <w:trHeight w:val="1106" w:hRule="atLeast"/>
          <w:cantSplit/>
        </w:trPr>
        <w:tc>
          <w:tcPr>
            <w:tcW w:type="dxa" w:w="23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4"/>
              </w:rPr>
              <w:t>Ketepatan pembersihan dan validasi</w:t>
            </w:r>
          </w:p>
        </w:tc>
        <w:tc>
          <w:tcPr>
            <w:tcW w:type="dxa" w:w="7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35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Format, satuan, kategori, duplikasi, rentang, dan data kosong ditangani konsisten; tidak menebak.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Mayoritas tindakan tepat; ada 1–2 kekeliruan kecil yang tidak mengubah makna.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Sebagian tindakan tepat, tetapi aturan belum konsisten atau kurang verifikasi.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Banyak perubahan tidak tepat; data ditimpa, ditebak, atau belum layak dianalisis.</w:t>
            </w:r>
          </w:p>
        </w:tc>
      </w:tr>
      <w:tr>
        <w:trPr>
          <w:trHeight w:val="1106" w:hRule="atLeast"/>
          <w:cantSplit/>
        </w:trPr>
        <w:tc>
          <w:tcPr>
            <w:tcW w:type="dxa" w:w="23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4"/>
              </w:rPr>
              <w:t>Alasan dan log perubahan</w:t>
            </w:r>
          </w:p>
        </w:tc>
        <w:tc>
          <w:tcPr>
            <w:tcW w:type="dxa" w:w="7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25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Mencatat ≥8 perubahan; nilai awal, tindakan, hasil, alasan, dan status dapat diaudit.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Mencatat 6–7 perubahan; alasan jelas, meski ada detail audit yang kurang.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Mencatat 4–5 perubahan; alasan umum dan keputusan sulit ditelusuri.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Mencatat &lt;4 perubahan; alasan tidak jelas atau log tidak sesuai hasil.</w:t>
            </w:r>
          </w:p>
        </w:tc>
      </w:tr>
      <w:tr>
        <w:trPr>
          <w:trHeight w:val="1106" w:hRule="atLeast"/>
          <w:cantSplit/>
        </w:trPr>
        <w:tc>
          <w:tcPr>
            <w:tcW w:type="dxa" w:w="235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4"/>
              </w:rPr>
              <w:t>Kolaborasi dan komunikasi</w:t>
            </w:r>
          </w:p>
        </w:tc>
        <w:tc>
          <w:tcPr>
            <w:tcW w:type="dxa" w:w="7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15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Peran terbagi, semua terlibat, validasi silang dilakukan, dan penjelasan berbasis bukti.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Mayoritas terlibat; pembagian peran dan penjelasan cukup jelas.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Kerja didominasi sebagian anggota; validasi atau penjelasan terbatas.</w:t>
            </w:r>
          </w:p>
        </w:tc>
        <w:tc>
          <w:tcPr>
            <w:tcW w:type="dxa" w:w="303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4"/>
              </w:rPr>
              <w:t>Tugas tidak terbagi dan kelompok tidak dapat menjelaskan keputusan.</w:t>
            </w:r>
          </w:p>
        </w:tc>
      </w:tr>
    </w:tbl>
    <w:p>
      <w:pPr>
        <w:keepNext/>
        <w:spacing w:before="80" w:after="20"/>
      </w:pPr>
      <w:r>
        <w:rPr>
          <w:rFonts w:ascii="Aptos Display" w:hAnsi="Aptos Display"/>
          <w:b/>
          <w:color w:val="111111"/>
          <w:sz w:val="23"/>
        </w:rPr>
        <w:t>Cara Menghitung</w:t>
      </w:r>
    </w:p>
    <w:p>
      <w:pPr>
        <w:spacing w:before="0" w:after="0" w:line="259" w:lineRule="auto"/>
      </w:pPr>
      <w:r>
        <w:rPr>
          <w:rFonts w:ascii="Aptos" w:hAnsi="Aptos"/>
          <w:i w:val="0"/>
          <w:color w:val="111111"/>
          <w:sz w:val="17"/>
        </w:rPr>
        <w:t>Nilai tertimbang = (level ÷ 4) × bobot. Nilai akhir adalah jumlah seluruh nilai tertimbang. Level antara, misalnya 3,5, hanya diberikan jika bukti mendukung.</w:t>
      </w:r>
    </w:p>
    <w:p>
      <w:r>
        <w:br w:type="page"/>
      </w:r>
    </w:p>
    <w:p>
      <w:pPr>
        <w:keepNext/>
        <w:spacing w:before="40" w:after="60"/>
      </w:pPr>
      <w:r>
        <w:rPr>
          <w:rFonts w:ascii="Aptos Display" w:hAnsi="Aptos Display"/>
          <w:b/>
          <w:color w:val="111111"/>
          <w:sz w:val="30"/>
        </w:rPr>
        <w:t>Lembar Skor Guru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Kriteria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Bobot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Level (1–4)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Nilai tertimbang</w:t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Catatan bukti</w:t>
            </w:r>
          </w:p>
        </w:tc>
      </w:tr>
      <w:tr>
        <w:trPr>
          <w:trHeight w:val="482" w:hRule="atLeast"/>
          <w:cantSplit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Identifikasi masalah kualitas data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25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Ketepatan pembersihan dan validasi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35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3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Alasan dan log perubahan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25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4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Kolaborasi dan komunikasi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56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NILAI AKHIR</w:t>
            </w:r>
          </w:p>
        </w:tc>
        <w:tc>
          <w:tcPr>
            <w:tcW w:type="dxa" w:w="9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100</w:t>
            </w:r>
          </w:p>
        </w:tc>
        <w:tc>
          <w:tcPr>
            <w:tcW w:type="dxa" w:w="136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</w:r>
          </w:p>
        </w:tc>
        <w:tc>
          <w:tcPr>
            <w:tcW w:type="dxa" w:w="697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</w:r>
          </w:p>
        </w:tc>
      </w:tr>
    </w:tbl>
    <w:p>
      <w:pPr>
        <w:keepNext/>
        <w:spacing w:before="80" w:after="40"/>
      </w:pPr>
      <w:r>
        <w:rPr>
          <w:rFonts w:ascii="Aptos Display" w:hAnsi="Aptos Display"/>
          <w:b/>
          <w:color w:val="111111"/>
          <w:sz w:val="24"/>
        </w:rPr>
        <w:t>Bukti Minimum yang Diperiksa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7597"/>
        <w:gridCol w:w="7597"/>
      </w:tblGrid>
      <w:tr>
        <w:trPr>
          <w:cantSplit/>
        </w:trPr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Data_Kotor tetap dipertahankan dan tidak ditimpa.</w:t>
            </w:r>
          </w:p>
        </w:tc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Data_Hasil memuat format baku serta status Siap dianalisis / Perlu konfirmasi / Dikeluarkan.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Log_Perubahan mencantumkan ID/baris, kolom, nilai awal, tindakan, nilai akhir, alasan, dan status.</w:t>
            </w:r>
          </w:p>
        </w:tc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Kelompok tidak mengganti nilai kosong, salah, atau meragukan berdasarkan dugaan.</w:t>
            </w:r>
          </w:p>
        </w:tc>
      </w:tr>
      <w:tr>
        <w:trPr>
          <w:cantSplit/>
        </w:trPr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☐ Hasil validasi silang dan jawaban refleksi selaras dengan pekerjaan pada workbook.</w:t>
            </w:r>
          </w:p>
        </w:tc>
        <w:tc>
          <w:tcPr>
            <w:tcW w:type="dxa" w:w="759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7FAF8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</w:tbl>
    <w:p>
      <w:pPr>
        <w:keepNext/>
        <w:spacing w:before="80" w:after="40"/>
      </w:pPr>
      <w:r>
        <w:rPr>
          <w:rFonts w:ascii="Aptos Display" w:hAnsi="Aptos Display"/>
          <w:b/>
          <w:color w:val="111111"/>
          <w:sz w:val="24"/>
        </w:rPr>
        <w:t>Catatan Umpan Balik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7597"/>
        <w:gridCol w:w="7597"/>
      </w:tblGrid>
      <w:tr>
        <w:trPr>
          <w:trHeight w:val="465" w:hRule="atLeast"/>
          <w:cantSplit/>
        </w:trPr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Kekuatan utama</w:t>
            </w:r>
          </w:p>
        </w:tc>
        <w:tc>
          <w:tcPr>
            <w:tcW w:type="dxa" w:w="1292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465" w:hRule="atLeast"/>
          <w:cantSplit/>
        </w:trPr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5EF"/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/>
                <w:i w:val="0"/>
                <w:color w:val="111111"/>
                <w:sz w:val="17"/>
              </w:rPr>
              <w:t>Perbaikan prioritas / tindak lanjut</w:t>
            </w:r>
          </w:p>
        </w:tc>
        <w:tc>
          <w:tcPr>
            <w:tcW w:type="dxa" w:w="1292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</w:r>
          </w:p>
        </w:tc>
      </w:tr>
    </w:tbl>
    <w:p>
      <w:pPr>
        <w:keepNext/>
        <w:spacing w:before="80" w:after="40"/>
      </w:pPr>
      <w:r>
        <w:rPr>
          <w:rFonts w:ascii="Aptos Display" w:hAnsi="Aptos Display"/>
          <w:b/>
          <w:color w:val="111111"/>
          <w:sz w:val="23"/>
        </w:rPr>
        <w:t>Interpretasi Nilai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8D1"/>
          <w:left w:val="single" w:sz="6" w:space="0" w:color="CCD8D1"/>
          <w:bottom w:val="single" w:sz="6" w:space="0" w:color="CCD8D1"/>
          <w:right w:val="single" w:sz="6" w:space="0" w:color="CCD8D1"/>
          <w:insideH w:val="single" w:sz="6" w:space="0" w:color="CCD8D1"/>
          <w:insideV w:val="single" w:sz="6" w:space="0" w:color="CCD8D1"/>
        </w:tblBorders>
      </w:tblPr>
      <w:tblGrid>
        <w:gridCol w:w="3798"/>
        <w:gridCol w:w="3798"/>
        <w:gridCol w:w="3798"/>
        <w:gridCol w:w="3798"/>
      </w:tblGrid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86–100 • Sangat Baik</w:t>
              <w:br/>
              <w:t>Mandiri dan dapat diaudit</w:t>
            </w:r>
          </w:p>
        </w:tc>
        <w:tc>
          <w:tcPr>
            <w:tcW w:type="dxa" w:w="379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0F5135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76–85 • Baik</w:t>
              <w:br/>
              <w:t>Tujuan tercapai</w:t>
            </w:r>
          </w:p>
        </w:tc>
        <w:tc>
          <w:tcPr>
            <w:tcW w:type="dxa" w:w="379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6B4A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66–75 • Cukup</w:t>
              <w:br/>
              <w:t>Perlu perbaikan terarah</w:t>
            </w:r>
          </w:p>
        </w:tc>
        <w:tc>
          <w:tcPr>
            <w:tcW w:type="dxa" w:w="379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76B4A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≤65 • Perlu Bimbingan</w:t>
              <w:br/>
              <w:t>Perlu pendampingan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822" w:bottom="680" w:left="822" w:header="23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E6A64"/>
        <w:sz w:val="16"/>
      </w:rPr>
      <w:t>Rubrik Penilaian Praktik Pembersihan Data</w:t>
    </w:r>
    <w:r>
      <w:t xml:space="preserve">                                                                      </w:t>
    </w:r>
    <w:r>
      <w:rPr>
        <w:rFonts w:ascii="Aptos" w:hAnsi="Apto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"/>
      <w:gridCol w:w="14230"/>
    </w:tblGrid>
    <w:tr>
      <w:tc>
        <w:tcPr>
          <w:tcW w:type="dxa" w:w="7483"/>
        </w:tcPr>
        <w:p>
          <w:r>
            <w:drawing>
              <wp:inline xmlns:a="http://schemas.openxmlformats.org/drawingml/2006/main" xmlns:pic="http://schemas.openxmlformats.org/drawingml/2006/picture">
                <wp:extent cx="367200" cy="36697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MKN3Yk(4)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200" cy="36697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83"/>
        </w:tcPr>
        <w:p>
          <w:pPr>
            <w:spacing w:before="0" w:after="0"/>
          </w:pPr>
          <w:r>
            <w:rPr>
              <w:rFonts w:ascii="Aptos" w:hAnsi="Aptos"/>
              <w:b/>
              <w:color w:val="0F5135"/>
              <w:sz w:val="18"/>
            </w:rPr>
            <w:t>SMKN 3 YOGYAKARTA</w:t>
            <w:br/>
          </w:r>
          <w:r>
            <w:rPr>
              <w:rFonts w:ascii="Aptos" w:hAnsi="Aptos"/>
              <w:color w:val="5E6A64"/>
              <w:sz w:val="16"/>
            </w:rPr>
            <w:t>Informatika • Kelas X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