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53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49808" cy="5715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Origi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571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49808" cy="7098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09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0F2340"/>
          <w:sz w:val="56"/>
        </w:rPr>
        <w:t>CACREF Salud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5B687C"/>
          <w:sz w:val="28"/>
        </w:rPr>
        <w:t>Censo socioeconómico, salud y bienestar para colaboradores PDVSA/FUTPV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8EEF5"/>
            <w:tcBorders>
              <w:top w:val="single" w:sz="6" w:space="0" w:color="C7D2E2"/>
              <w:left w:val="single" w:sz="6" w:space="0" w:color="C7D2E2"/>
              <w:bottom w:val="single" w:sz="6" w:space="0" w:color="C7D2E2"/>
              <w:right w:val="single" w:sz="6" w:space="0" w:color="C7D2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F2340"/>
                <w:sz w:val="22"/>
              </w:rPr>
              <w:t>Mensaje central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La plataforma permite pasar de una ayuda reactiva y dispersa a una gestión ordenada, auditable y financieramente responsable: ayudar mejor, priorizar con evidencia y construir programas recurrentes sin comprometer el equilibrio económico de CACREF.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86"/>
            <w:shd w:fill="F4F6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85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Registros demo</w:t>
            </w:r>
          </w:p>
        </w:tc>
        <w:tc>
          <w:tcPr>
            <w:tcW w:type="dxa" w:w="2286"/>
            <w:shd w:fill="E8EEF5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30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Medicamentos</w:t>
            </w:r>
          </w:p>
        </w:tc>
        <w:tc>
          <w:tcPr>
            <w:tcW w:type="dxa" w:w="2286"/>
            <w:shd w:fill="FDEEE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Cirugías</w:t>
            </w:r>
          </w:p>
        </w:tc>
        <w:tc>
          <w:tcPr>
            <w:tcW w:type="dxa" w:w="2286"/>
            <w:shd w:fill="FDEEE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53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Riesgo alto</w:t>
            </w:r>
          </w:p>
        </w:tc>
      </w:tr>
    </w:tbl>
    <w:p>
      <w:pPr>
        <w:spacing w:after="80"/>
      </w:pPr>
    </w:p>
    <w:p>
      <w:pPr>
        <w:spacing w:before="0" w:after="40" w:line="264" w:lineRule="auto"/>
        <w:jc w:val="center"/>
      </w:pPr>
      <w:r>
        <w:rPr>
          <w:rFonts w:ascii="Calibri" w:hAnsi="Calibri"/>
          <w:b/>
          <w:i w:val="0"/>
          <w:color w:val="0F2340"/>
          <w:sz w:val="21"/>
        </w:rPr>
        <w:t>Preparado para Junta Directiva / Directivos CACREF</w:t>
      </w:r>
    </w:p>
    <w:p>
      <w:pPr>
        <w:spacing w:before="0" w:after="400" w:line="264" w:lineRule="auto"/>
        <w:jc w:val="center"/>
      </w:pPr>
      <w:r>
        <w:rPr>
          <w:rFonts w:ascii="Calibri" w:hAnsi="Calibri"/>
          <w:b w:val="0"/>
          <w:i w:val="0"/>
          <w:color w:val="5B687C"/>
          <w:sz w:val="19"/>
        </w:rPr>
        <w:t>Fecha: 30/07/2026 | Versión ejecutiva</w:t>
      </w:r>
    </w:p>
    <w:p>
      <w:pPr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Decisión solicitada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Aprobar el uso del censo como herramienta institucional de diagnóstico y priorización.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Autorizar un piloto controlado con responsables, reglas de acceso y tablero directivo.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Ratificar aporte base de 2% para inscritos y definir topes, reserva y cálculos posteriores.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Iniciar negociación con proveedores de medicamentos, laboratorios, clínicas y servicios asociados.</w:t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1. Objetivo y norte institucional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8EEF5"/>
            <w:tcBorders>
              <w:top w:val="single" w:sz="6" w:space="0" w:color="C7D2E2"/>
              <w:left w:val="single" w:sz="6" w:space="0" w:color="C7D2E2"/>
              <w:bottom w:val="single" w:sz="6" w:space="0" w:color="C7D2E2"/>
              <w:right w:val="single" w:sz="6" w:space="0" w:color="C7D2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F2340"/>
                <w:sz w:val="22"/>
              </w:rPr>
              <w:t>Objetivo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Crear una base única y confiable para identificar necesidades reales de trabajadores, afiliados CACREF y familiares, priorizar casos por urgencia administrativa y construir programas sostenibles de apoyo.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El norte no es entregar ayudas sin control. El norte es combinar solidaridad cooperativa con data, aporte base de 2% para inscritos, convenios y trazabilidad. Los préstamos u otros programas se calculan luego según política, capacidad y aprobación.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92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Situación actual</w:t>
            </w:r>
          </w:p>
        </w:tc>
        <w:tc>
          <w:tcPr>
            <w:tcW w:type="dxa" w:w="4752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Con CACREF Salud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Solicitudes dispersas por llamadas, planillas o mensajes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Formulario único con datos comparables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Decisiones caso a caso con información incompleta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Scoring administrativo y cola priorizada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Poca trazabilidad de revisión y aprobación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Workflow, auditoría e historial por caso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Riesgo de prometer más de lo financiable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Topes, reserva técnica y decisión por comité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2. Capacidad ya desplegada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Formulario público de cuatro pasos: identidad, vinculación, economía, salud y calidad de vida.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Dashboard administrativo con KPIs, filtros, detalle de casos, documentos, comentarios y workflow.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Roles diferenciados: capturista, vocal, presidente y director.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Consulta pública por cédula, transparencia agregada y políticas de privacidad.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Backend local y producción: SQLite/Turso, Express/Netlify Functions, autenticación y bitácora.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FDEEEF"/>
            <w:tcBorders>
              <w:top w:val="single" w:sz="6" w:space="0" w:color="C7D2E2"/>
              <w:left w:val="single" w:sz="6" w:space="0" w:color="C7D2E2"/>
              <w:bottom w:val="single" w:sz="6" w:space="0" w:color="C7D2E2"/>
              <w:right w:val="single" w:sz="6" w:space="0" w:color="C7D2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BE123C"/>
                <w:sz w:val="22"/>
              </w:rPr>
              <w:t>Alcance correcto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La plataforma no diagnostica, no sustituye evaluación médica y no aprueba beneficios automáticamente. Ordena información y prepara decisiones para el comité.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3. Datos, score y lógica de priorización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El score es administrativo. Su función es ordenar la cola y transparentar por qué un caso requiere atención antes que otro. La decisión final sigue siendo humana, institucional y documentada.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Componente</w:t>
            </w:r>
          </w:p>
        </w:tc>
        <w:tc>
          <w:tcPr>
            <w:tcW w:type="dxa" w:w="3672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Uso en la decisión</w:t>
            </w:r>
          </w:p>
        </w:tc>
        <w:tc>
          <w:tcPr>
            <w:tcW w:type="dxa" w:w="3168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Resultado esperado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Antigüedad y vinculación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Reconoce trayectoria y pertenencia cooperativa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Prioridad con sentido institucional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Capacidad de aporte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Evita cuotas impagables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Sostenibilidad y menor mora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Medicamento crónico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Identifica necesidad recurrente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Programas de abastecimiento y convenios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Cirugía/procedimiento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Detecta casos de alto impacto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Revisión por comité y topes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Calidad de vida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Mide vulnerabilidad percibida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Semáforo social de bienestar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Salidas del sistema: riesgo bajo/medio/alto, recomendación administrativa, prioridad numérica, cuota máxima sugerida y estado del workflow.</w:t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4. Lectura de la base de demostración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86"/>
            <w:shd w:fill="F4F6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85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Total casos</w:t>
            </w:r>
          </w:p>
        </w:tc>
        <w:tc>
          <w:tcPr>
            <w:tcW w:type="dxa" w:w="2286"/>
            <w:shd w:fill="FDEEE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53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Riesgo alto</w:t>
            </w:r>
          </w:p>
        </w:tc>
        <w:tc>
          <w:tcPr>
            <w:tcW w:type="dxa" w:w="2286"/>
            <w:shd w:fill="E8EEF5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25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Riesgo medio</w:t>
            </w:r>
          </w:p>
        </w:tc>
        <w:tc>
          <w:tcPr>
            <w:tcW w:type="dxa" w:w="2286"/>
            <w:shd w:fill="F4F6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0F2340"/>
                <w:sz w:val="36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87C"/>
                <w:sz w:val="16"/>
              </w:rPr>
              <w:t>Riesgo bajo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Indicador demo</w:t>
            </w:r>
          </w:p>
        </w:tc>
        <w:tc>
          <w:tcPr>
            <w:tcW w:type="dxa" w:w="144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Valor</w:t>
            </w:r>
          </w:p>
        </w:tc>
        <w:tc>
          <w:tcPr>
            <w:tcW w:type="dxa" w:w="4824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Lectura directiva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Medicamentos crónicos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Demanda recurrente que puede negociarse por volumen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Cirugías/procedimientos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Casos de alto impacto que requieren topes y comité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Familiares con asistencia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Carga familiar que afecta calidad de vida y estabilidad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Calidad de vida promedio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3.29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Línea base para medir mejora trimestral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Aporte mensual promedio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517.53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Referencia para calibrar programas sostenibles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5B687C"/>
          <w:sz w:val="19"/>
        </w:rPr>
        <w:t>Nota: los datos son de demostración local para validar capacidad operativa; la campaña real debe iniciar con piloto controlado.</w:t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5. Modelo recurrente sin números rojos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8EEF5"/>
            <w:tcBorders>
              <w:top w:val="single" w:sz="6" w:space="0" w:color="C7D2E2"/>
              <w:left w:val="single" w:sz="6" w:space="0" w:color="C7D2E2"/>
              <w:bottom w:val="single" w:sz="6" w:space="0" w:color="C7D2E2"/>
              <w:right w:val="single" w:sz="6" w:space="0" w:color="C7D2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F2340"/>
                <w:sz w:val="22"/>
              </w:rPr>
              <w:t>Regla financiera de control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2% opera como aporte base de inscritos. Ingresos recurrentes - ayudas directas - costos operativos - reserva técnica &gt;= 0. Préstamos y programas especiales se calculan aparte.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Palanca</w:t>
            </w:r>
          </w:p>
        </w:tc>
        <w:tc>
          <w:tcPr>
            <w:tcW w:type="dxa" w:w="360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Cómo crea valor</w:t>
            </w:r>
          </w:p>
        </w:tc>
        <w:tc>
          <w:tcPr>
            <w:tcW w:type="dxa" w:w="3312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Control de riesgo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Aporte base 2%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Financia operación inicial y reserva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 recurrente para inscritos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Cálculos posteriores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Préstamos y programas especiales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Según capacidad, topes y aprobación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Convenios proveedores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Más casos atendidos con el mismo fondo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Precios negociados y cupos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Fondo solidario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Cubre casos de alto impacto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Reserva mínima obligatoria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Scoring y workflow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Evita asignaciones improvisadas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Comité, SLA y auditoría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6. Ejemplo financiero referencial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2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Variable</w:t>
            </w:r>
          </w:p>
        </w:tc>
        <w:tc>
          <w:tcPr>
            <w:tcW w:type="dxa" w:w="3096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Escenario ilustrativo</w:t>
            </w:r>
          </w:p>
        </w:tc>
        <w:tc>
          <w:tcPr>
            <w:tcW w:type="dxa" w:w="3528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Uso directivo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Participantes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1.500 afiliados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Dimensionar recaudación potencial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Aporte base inscritos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2%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Referencia institucional recurrente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 promedio ilustrativa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300 USD equivalentes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Permite estimar recaudación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Aporte resultante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 USD equivalentes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2% de la base ilustrativa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Recaudación mensual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9.000 USD equivalentes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Techo mensual de gestión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Reserva técnica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 = 1.800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Protección contra picos de demanda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Operación/plataforma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 = 900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Costo de administrar bien</w:t>
            </w:r>
          </w:p>
        </w:tc>
      </w:tr>
      <w:tr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Fondo de ayudas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6.300</w:t>
            </w:r>
          </w:p>
        </w:tc>
        <w:tc>
          <w:tcPr>
            <w:tcW w:type="dxa" w:w="326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Monto disponible antes de convenios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5B687C"/>
          <w:sz w:val="19"/>
        </w:rPr>
        <w:t>El ejemplo no cambia la política: usa 2% como aporte base y deja préstamos o programas especiales para cálculo posterior.</w:t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7. Métricas para dirigir el programa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Categoría</w:t>
            </w:r>
          </w:p>
        </w:tc>
        <w:tc>
          <w:tcPr>
            <w:tcW w:type="dxa" w:w="6696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2340"/>
                <w:sz w:val="18"/>
              </w:rPr>
              <w:t>Indicadores clave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Impacto social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Personas censadas, familias alcanzadas, medicamentos, cirugías, casos resueltos, variación de calidad de vida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Gestión operativa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Tiempo registro-comité, tiempo comité-resolución, SLA vencidos, carga por miembro, documentos completos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Sostenibilidad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Aporte promedio, recaudación mensual, mora, costo por caso, descuento proveedor, reserva, siniestralidad</w:t>
            </w:r>
          </w:p>
        </w:tc>
      </w:tr>
      <w:tr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Transparencia</w:t>
            </w:r>
          </w:p>
        </w:tc>
        <w:tc>
          <w:tcPr>
            <w:tcW w:type="dxa" w:w="489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Casos por estado, auditoría, decisiones documentadas, métricas agregadas sin datos personales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8. Hoja de ruta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Fase 1 - Piloto controlado: validar preguntas, consentimiento, roles y primer tablero directivo.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Fase 2 - Operación del comité: estados, comentarios, archivos, SLA y reportes.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Fase 3 - Convenios y programas: medicamentos crónicos, cirugías, apoyo familiar y bienestar.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Fase 4 - Modelo recurrente: aporte base 2%, reserva técnica, topes y medición trimestral.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Fase 5 - Escala: padrón real, proveedores integrados y reportes comparativos por periodo.</w:t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9. Gobernanza mínima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Responsables con permisos definidos y trazabilidad.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Política de topes por tipo de apoyo.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Reserva técnica mínima antes de comprometer nuevos desembolsos.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Revisión jurídica del tratamiento de datos sensibles.</w:t>
      </w:r>
    </w:p>
    <w:p>
      <w:pPr>
        <w:pStyle w:val="ListBullet"/>
        <w:spacing w:after="80" w:line="276" w:lineRule="auto"/>
        <w:ind w:left="504" w:hanging="259"/>
      </w:pPr>
      <w:r>
        <w:rPr>
          <w:rFonts w:ascii="Calibri" w:hAnsi="Calibri"/>
          <w:b w:val="0"/>
          <w:i w:val="0"/>
          <w:color w:val="161F2E"/>
          <w:sz w:val="21"/>
        </w:rPr>
        <w:t>Reporte directivo mensual durante piloto y trimestral en operación.</w:t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10. Cierre para directivos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CACREF Salud permite pasar de ayuda reactiva a gestión institucional: medir, priorizar, decidir, ejecutar y auditar. Para los colaboradores PDVSA/FUTPV representa una ruta clara para presentar necesidades reales. Para CACREF representa una plataforma para construir programas recurrentes con reglas financieras, reserva, convenios y control de riesgo.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8EEF5"/>
            <w:tcBorders>
              <w:top w:val="single" w:sz="6" w:space="0" w:color="C7D2E2"/>
              <w:left w:val="single" w:sz="6" w:space="0" w:color="C7D2E2"/>
              <w:bottom w:val="single" w:sz="6" w:space="0" w:color="C7D2E2"/>
              <w:right w:val="single" w:sz="6" w:space="0" w:color="C7D2E2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F2340"/>
                <w:sz w:val="22"/>
              </w:rPr>
              <w:t>Mensaje final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Ayudar más no debe significar gastar sin control. Con datos y gestión, CACREF puede ampliar impacto social y proteger la sostenibilidad económica de la cooperativa.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Decisiones inmediatas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Aprobar piloto institucional.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Nombrar comité y perfiles de acceso.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Validar legalmente privacidad y consentimiento.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Ratificar 2% base, topes y reserva inicial.</w:t>
      </w:r>
    </w:p>
    <w:p>
      <w:pPr>
        <w:pStyle w:val="ListNumber"/>
        <w:spacing w:after="80" w:line="276" w:lineRule="auto"/>
        <w:ind w:left="576" w:hanging="259"/>
      </w:pPr>
      <w:r>
        <w:rPr>
          <w:rFonts w:ascii="Calibri" w:hAnsi="Calibri"/>
          <w:b w:val="0"/>
          <w:i w:val="0"/>
          <w:color w:val="161F2E"/>
          <w:sz w:val="21"/>
        </w:rPr>
        <w:t>Autorizar negociación con proveedores de salud.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87C"/>
        <w:sz w:val="17"/>
      </w:rPr>
      <w:t>Documento de trabajo para directivos CACREF -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B687C"/>
        <w:sz w:val="17"/>
      </w:rPr>
      <w:t>CACREF Salud | Propuesta ejecutiva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