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Initial executive summary</w:t>
      </w:r>
    </w:p>
    <w:p/>
    <w:p>
      <w:pPr>
        <w:pStyle w:val="Heading2"/>
      </w:pPr>
      <w:r>
        <w:t>Product Information</w:t>
      </w:r>
    </w:p>
    <w:p>
      <w:r>
        <w:rPr>
          <w:b/>
        </w:rPr>
        <w:t xml:space="preserve">Product Name:</w:t>
      </w:r>
      <w:r>
        <w:t xml:space="preserve"> Smart Tangible Companion Site</w:t>
      </w:r>
    </w:p>
    <w:p>
      <w:r>
        <w:rPr>
          <w:b/>
        </w:rPr>
        <w:t xml:space="preserve">Category:</w:t>
      </w:r>
      <w:r>
        <w:t xml:space="preserve"> Web &amp; Mobile Application</w:t>
      </w:r>
    </w:p>
    <w:p/>
    <w:p>
      <w:pPr>
        <w:pStyle w:val="Heading2"/>
      </w:pPr>
      <w:r>
        <w:t>Executive Summary</w:t>
      </w:r>
    </w:p>
    <w:p/>
    <w:p>
      <w:pPr>
        <w:pStyle w:val="Heading3"/>
      </w:pPr>
      <w:r>
        <w:t>Vision</w:t>
      </w:r>
    </w:p>
    <w:p>
      <w:r>
        <w:t xml:space="preserve">Establish Smart Tangibles as a continuously updated strategic reference that helps product leaders test ideas, surface platform risk early, and adapt decisions as real-world conditions evolve.</w:t>
      </w:r>
    </w:p>
    <w:p/>
    <w:p>
      <w:pPr>
        <w:pStyle w:val="Heading3"/>
      </w:pPr>
      <w:r>
        <w:t>Target Customer</w:t>
      </w:r>
    </w:p>
    <w:p>
      <w:r>
        <w:t xml:space="preserve">Product managers and product leaders building hardware, IoT, smart devices, robotics, mobility, appliances, and medical devices; heads of product and fractional CPOs (including senior PMs moving from software into physical products); and product-strategy consultants serving hardware companies.</w:t>
      </w:r>
    </w:p>
    <w:p/>
    <w:p>
      <w:pPr>
        <w:pStyle w:val="Heading3"/>
      </w:pPr>
      <w:r>
        <w:t>Core Problem</w:t>
      </w:r>
    </w:p>
    <w:p>
      <w:r>
        <w:t xml:space="preserve">Readers grasp the Smart Tangibles concepts but lack a structured way to apply them to their own products, monitor live platform signals, and test assumptions as ecosystems shift. Prospective readers also need a clear onramp to evaluate the book’s relevance before committing.</w:t>
      </w:r>
    </w:p>
    <w:p/>
    <w:p>
      <w:pPr>
        <w:pStyle w:val="Heading3"/>
      </w:pPr>
      <w:r>
        <w:t>Value Proposition</w:t>
      </w:r>
    </w:p>
    <w:p>
      <w:r>
        <w:t xml:space="preserve">Transforms Smart Tangibles from a static book into a living, interactive decision environment where leaders apply frameworks to real scenarios, run diagnostics, and stay aligned with platform shifts through ongoing signals and updates.</w:t>
      </w:r>
    </w:p>
    <w:p/>
    <w:p>
      <w:pPr>
        <w:pStyle w:val="Heading3"/>
      </w:pPr>
      <w:r>
        <w:t>Competitive Advantage</w:t>
      </w:r>
    </w:p>
    <w:p>
      <w:r>
        <w:t xml:space="preserve">A uniquely integrated publication-plus-platform: durable strategic frameworks paired with interactive tools, live signals, and direct cross-linking between book and site. Domain depth in smart physical products, rapid signal capture, and applied diagnostics make the guidance actionable—moving beyond commentary to decision support aligned to evolving platform dynamics.</w:t>
      </w:r>
    </w:p>
    <w:p/>
    <w:p>
      <w:pPr>
        <w:pStyle w:val="Heading3"/>
      </w:pPr>
      <w:r>
        <w:t>Key Features</w:t>
      </w:r>
    </w:p>
    <w:p>
      <w:pPr>
        <w:numPr>
          <w:ilvl w:val="0"/>
          <w:numId w:val="1"/>
        </w:numPr>
      </w:pPr>
      <w:r>
        <w:t>Interactive chapter extensions and deep links: Hands-on versions of frameworks, diagrams, and checklists connected via QR codes and e-book links.</w:t>
      </w:r>
    </w:p>
    <w:p>
      <w:pPr>
        <w:numPr>
          <w:ilvl w:val="0"/>
          <w:numId w:val="1"/>
        </w:numPr>
      </w:pPr>
      <w:r>
        <w:t>Strategic calculators and diagnostics: Assess feature defensibility, marginal cost asymmetry, and platform exposure with guided interpretation.</w:t>
      </w:r>
    </w:p>
    <w:p>
      <w:pPr>
        <w:numPr>
          <w:ilvl w:val="0"/>
          <w:numId w:val="1"/>
        </w:numPr>
      </w:pPr>
      <w:r>
        <w:t>Web app simulations: Lightweight demos illustrating software-defined dynamics and platform absorption risks.</w:t>
      </w:r>
    </w:p>
    <w:p>
      <w:pPr>
        <w:numPr>
          <w:ilvl w:val="0"/>
          <w:numId w:val="1"/>
        </w:numPr>
      </w:pPr>
      <w:r>
        <w:t>Weekly Digest hub and searchable archive: Ongoing analysis, signals, case updates, and curated access to prior issues and references.</w:t>
      </w:r>
    </w:p>
    <w:p>
      <w:pPr>
        <w:numPr>
          <w:ilvl w:val="0"/>
          <w:numId w:val="1"/>
        </w:numPr>
      </w:pPr>
      <w:r>
        <w:t>Progressive depth and personalization: Simple entry points with optional advanced exploration, saved progress, and recommended next steps.</w:t>
      </w:r>
    </w:p>
    <w:p/>
    <w:p>
      <w:pPr>
        <w:pStyle w:val="Heading3"/>
      </w:pPr>
      <w:r>
        <w:t>Market Opportunity</w:t>
      </w:r>
    </w:p>
    <w:p>
      <w:r>
        <w:t xml:space="preserve">Targeting ~300k–400k global hardware/IoT product leaders and adjacent consultants, with ~150k in primary English-speaking markets. Annual professional learning budgets typically range $500–$3,000 per leader. A pragmatic SAM for subscriptions and tools is ~$15–$30M annually in English markets, with a larger services adjacency (workshops, keynotes, advisory) of $1–$3B. Near-term wedge is book-driven audiences and hardware product communities, expanding via digest syndication and partnerships.</w:t>
      </w:r>
    </w:p>
    <w:p/>
    <w:p>
      <w:pPr>
        <w:pStyle w:val="Heading3"/>
      </w:pPr>
      <w:r>
        <w:t>Business Model</w:t>
      </w:r>
    </w:p>
    <w:p>
      <w:r>
        <w:t xml:space="preserve">Value amplifier for the book that converts engagement into higher-value offerings: free/lightly gated tools and digest; paid subscription for advanced diagnostics, deep dives, and early access; services-led revenue from keynotes, workshops, and strategic advisory. Over time, the site becomes the qualification and trust layer that routes readers into services.</w:t>
      </w:r>
    </w:p>
    <w:p/>
    <w:p>
      <w:pPr>
        <w:pStyle w:val="Heading3"/>
      </w:pPr>
      <w:r>
        <w:t>Go-to-Market Strategy</w:t>
      </w:r>
    </w:p>
    <w:p>
      <w:r>
        <w:t xml:space="preserve">Book-anchored acquisition via QR codes and deep links to chapter-specific tools; shareable Weekly Digest as the ongoing discovery engine; LinkedIn thought leadership and targeted newsletters to hardware/IoT audiences; selective syndication to communities and conferences; occasional release of standalone calculators as high-value entry points.</w:t>
      </w:r>
    </w:p>
    <w:p/>
    <w:p>
      <w:pPr>
        <w:pStyle w:val="Heading3"/>
      </w:pPr>
      <w:r>
        <w:t>Current Stage</w:t>
      </w:r>
    </w:p>
    <w:p>
      <w:r>
        <w:t xml:space="preserve">Initiation: content architecture defined, core tools prototyped, early subscriber list forming via pre-launch book interest and pilot digest issues.</w:t>
      </w:r>
    </w:p>
    <w:p/>
    <w:p>
      <w:pPr>
        <w:pStyle w:val="Heading3"/>
      </w:pPr>
      <w:r>
        <w:t>Key Metrics</w:t>
      </w:r>
    </w:p>
    <w:p>
      <w:pPr>
        <w:numPr>
          <w:ilvl w:val="0"/>
          <w:numId w:val="1"/>
        </w:numPr>
      </w:pPr>
      <w:r>
        <w:t>Market penetration: % of book readers activating the site; share of target hardware PM audience reached.</w:t>
      </w:r>
    </w:p>
    <w:p>
      <w:pPr>
        <w:numPr>
          <w:ilvl w:val="0"/>
          <w:numId w:val="1"/>
        </w:numPr>
      </w:pPr>
      <w:r>
        <w:t>Engagement and value: active tool sessions, diagnostic completions, digest subscribers, open rate, repeat readership, return visit rate within 30 days.</w:t>
      </w:r>
    </w:p>
    <w:p>
      <w:pPr>
        <w:numPr>
          <w:ilvl w:val="0"/>
          <w:numId w:val="1"/>
        </w:numPr>
      </w:pPr>
      <w:r>
        <w:t>Outcome metrics: qualified leads (talks, workshops, advisory), conversion to paid subscriptions and services, time-to-qualified-lead.</w:t>
      </w:r>
    </w:p>
    <w:p>
      <w:pPr>
        <w:numPr>
          <w:ilvl w:val="0"/>
          <w:numId w:val="1"/>
        </w:numPr>
      </w:pPr>
      <w:r>
        <w:t>Experience quality: framework usability scores, content relevance rating, NPS.</w:t>
      </w:r>
    </w:p>
    <w:p>
      <w:pPr>
        <w:numPr>
          <w:ilvl w:val="0"/>
          <w:numId w:val="1"/>
        </w:numPr>
      </w:pPr>
      <w:r>
        <w:t>Operating cadence: digest publication consistency and signal coverage breadth.</w:t>
      </w:r>
    </w:p>
    <w:p/>
    <w:p>
      <w:pPr>
        <w:pStyle w:val="Heading3"/>
      </w:pPr>
      <w:r>
        <w:t>Leadership</w:t>
      </w:r>
    </w:p>
    <w:p>
      <w:r>
        <w:t xml:space="preserve">Led by Yoel Frischoff, a product strategist at the intersection of hardware, software, and platform economics. With decades in industrial design, product management, and digital transformation, he advises startups and enterprises on defining, positioning, and future-proofing connected products. Smart Tangibles operationalizes this expertise for leaders navigating software-absorbed product categories.</w:t>
      </w:r>
    </w:p>
    <w:p/>
    <w:p>
      <w:r>
        <w:t xml:space="preserve">---</w:t>
      </w:r>
    </w:p>
    <w:p>
      <w:r>
        <w:t xml:space="preserve">*Generated on 1/11/2026*</w:t>
      </w:r>
    </w:p>
    <w:sectPr>
      <w:pgSz w:w="12240" w:h="15840"/>
      <w:pgMar w:top="1440" w:right="1440" w:bottom="1440" w:left="144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keepNext/>
      <w:keepLines/>
      <w:spacing w:before="480" w:after="0"/>
      <w:outlineLvl w:val="0"/>
    </w:pPr>
    <w:rPr>
      <w:rFonts w:ascii="Calibri Light" w:hAnsi="Calibri Light"/>
      <w:b/>
      <w:color w:val="2E74B5"/>
      <w:sz w:val="32"/>
    </w:rPr>
  </w:style>
  <w:style w:type="paragraph" w:styleId="Heading2">
    <w:name w:val="heading 2"/>
    <w:basedOn w:val="Normal"/>
    <w:next w:val="Normal"/>
    <w:qFormat/>
    <w:pPr>
      <w:keepNext/>
      <w:keepLines/>
      <w:spacing w:before="200" w:after="0"/>
      <w:outlineLvl w:val="1"/>
    </w:pPr>
    <w:rPr>
      <w:rFonts w:ascii="Calibri Light" w:hAnsi="Calibri Light"/>
      <w:b/>
      <w:color w:val="2E74B5"/>
      <w:sz w:val="26"/>
    </w:rPr>
  </w:style>
  <w:style w:type="paragraph" w:styleId="Heading3">
    <w:name w:val="heading 3"/>
    <w:basedOn w:val="Normal"/>
    <w:next w:val="Normal"/>
    <w:qFormat/>
    <w:pPr>
      <w:keepNext/>
      <w:keepLines/>
      <w:spacing w:before="200" w:after="0"/>
      <w:outlineLvl w:val="2"/>
    </w:pPr>
    <w:rPr>
      <w:rFonts w:ascii="Calibri Light" w:hAnsi="Calibri Light"/>
      <w:b/>
      <w:color w:val="1F4D78"/>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