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AI Market Research Response</w:t>
      </w:r>
    </w:p>
    <w:p/>
    <w:p>
      <w:r>
        <w:t xml:space="preserve">Date: 1/13/2026</w:t>
      </w:r>
    </w:p>
    <w:p/>
    <w:p>
      <w:r>
        <w:t xml:space="preserve">Below is a concise market-research brief to assess and articulate the appeal of “Smart Tangibles” based on the provided proposal, current industry dynamics, and adjacent book markets.</w:t>
      </w:r>
    </w:p>
    <w:p/>
    <w:p>
      <w:r>
        <w:t xml:space="preserve">Executive Summary</w:t>
      </w:r>
    </w:p>
    <w:p>
      <w:pPr>
        <w:numPr>
          <w:ilvl w:val="0"/>
          <w:numId w:val="1"/>
        </w:numPr>
      </w:pPr>
      <w:r>
        <w:t>Verdict: Strong niche-to-broad appeal. The book fills a clear gap between traditional hardware guides and software-first product strategy by offering a unified, practice-grounded framework for turning physical products into evolving software/data platforms.</w:t>
      </w:r>
    </w:p>
    <w:p>
      <w:pPr>
        <w:numPr>
          <w:ilvl w:val="0"/>
          <w:numId w:val="1"/>
        </w:numPr>
      </w:pPr>
      <w:r>
        <w:t>Why now: Connected devices, servitization, and AI-at-the-edge are mainstreaming across consumer, industrial, and health categories. Companies need playbooks that connect hardware realities with software, data, cloud, and business models.</w:t>
      </w:r>
    </w:p>
    <w:p>
      <w:pPr>
        <w:numPr>
          <w:ilvl w:val="0"/>
          <w:numId w:val="1"/>
        </w:numPr>
      </w:pPr>
      <w:r>
        <w:t>Differentiator: Strategy-first, cross-functional lens (hardware + software + business model) with durable value and platform economics—not just prototyping or IoT UX. Rich, recognizable cases enhance credibility.</w:t>
      </w:r>
    </w:p>
    <w:p/>
    <w:p>
      <w:r>
        <w:t xml:space="preserve">Target Readers and Use Cases</w:t>
      </w:r>
    </w:p>
    <w:p>
      <w:pPr>
        <w:numPr>
          <w:ilvl w:val="0"/>
          <w:numId w:val="1"/>
        </w:numPr>
      </w:pPr>
      <w:r>
        <w:t>Primary personas</w:t>
      </w:r>
    </w:p>
    <w:p>
      <w:pPr>
        <w:numPr>
          <w:ilvl w:val="0"/>
          <w:numId w:val="1"/>
        </w:numPr>
      </w:pPr>
      <w:r>
        <w:t>Hardware product managers and heads of product at device makers (consumer and industrial)</w:t>
      </w:r>
    </w:p>
    <w:p>
      <w:pPr>
        <w:numPr>
          <w:ilvl w:val="0"/>
          <w:numId w:val="1"/>
        </w:numPr>
      </w:pPr>
      <w:r>
        <w:t>Founders/CTOs at hardware and “smart device” startups</w:t>
      </w:r>
    </w:p>
    <w:p>
      <w:pPr>
        <w:numPr>
          <w:ilvl w:val="0"/>
          <w:numId w:val="1"/>
        </w:numPr>
      </w:pPr>
      <w:r>
        <w:t>Corporate innovation/digital transformation leaders at OEMs and equipment manufacturers</w:t>
      </w:r>
    </w:p>
    <w:p>
      <w:pPr>
        <w:numPr>
          <w:ilvl w:val="0"/>
          <w:numId w:val="1"/>
        </w:numPr>
      </w:pPr>
      <w:r>
        <w:t>Design/engineering leaders moving from products to services/platforms (e.g., after-market, subscriptions)</w:t>
      </w:r>
    </w:p>
    <w:p>
      <w:pPr>
        <w:numPr>
          <w:ilvl w:val="0"/>
          <w:numId w:val="1"/>
        </w:numPr>
      </w:pPr>
      <w:r>
        <w:t>Secondary personas</w:t>
      </w:r>
    </w:p>
    <w:p>
      <w:pPr>
        <w:numPr>
          <w:ilvl w:val="0"/>
          <w:numId w:val="1"/>
        </w:numPr>
      </w:pPr>
      <w:r>
        <w:t>VCs/PE operating partners evaluating hardware+software plays</w:t>
      </w:r>
    </w:p>
    <w:p>
      <w:pPr>
        <w:numPr>
          <w:ilvl w:val="0"/>
          <w:numId w:val="1"/>
        </w:numPr>
      </w:pPr>
      <w:r>
        <w:t>MBA and executive-education programs in product strategy, operations, and digital transformation</w:t>
      </w:r>
    </w:p>
    <w:p>
      <w:pPr>
        <w:numPr>
          <w:ilvl w:val="0"/>
          <w:numId w:val="1"/>
        </w:numPr>
      </w:pPr>
      <w:r>
        <w:t>Cloud/semiconductor/platform partner managers (AWS/Azure/GCP IoT, embedded vendors) seeking customer education resources</w:t>
      </w:r>
    </w:p>
    <w:p>
      <w:pPr>
        <w:numPr>
          <w:ilvl w:val="0"/>
          <w:numId w:val="1"/>
        </w:numPr>
      </w:pPr>
      <w:r>
        <w:t>Jobs-to-be-done</w:t>
      </w:r>
    </w:p>
    <w:p>
      <w:pPr>
        <w:numPr>
          <w:ilvl w:val="0"/>
          <w:numId w:val="1"/>
        </w:numPr>
      </w:pPr>
      <w:r>
        <w:t>De-risk hardware development cycles and validation</w:t>
      </w:r>
    </w:p>
    <w:p>
      <w:pPr>
        <w:numPr>
          <w:ilvl w:val="0"/>
          <w:numId w:val="1"/>
        </w:numPr>
      </w:pPr>
      <w:r>
        <w:t>Translate IoT/connected-product buzzwords into measurable business outcomes</w:t>
      </w:r>
    </w:p>
    <w:p>
      <w:pPr>
        <w:numPr>
          <w:ilvl w:val="0"/>
          <w:numId w:val="1"/>
        </w:numPr>
      </w:pPr>
      <w:r>
        <w:t>Build platform thinking (lifecycle, services, data loops, marketplaces)</w:t>
      </w:r>
    </w:p>
    <w:p>
      <w:pPr>
        <w:numPr>
          <w:ilvl w:val="0"/>
          <w:numId w:val="1"/>
        </w:numPr>
      </w:pPr>
      <w:r>
        <w:t>Align product, engineering, and finance on durable revenue models</w:t>
      </w:r>
    </w:p>
    <w:p/>
    <w:p>
      <w:r>
        <w:t xml:space="preserve">Market Size and Growth Signals (macro demand for connected-product strategy)</w:t>
      </w:r>
    </w:p>
    <w:p>
      <w:pPr>
        <w:numPr>
          <w:ilvl w:val="0"/>
          <w:numId w:val="1"/>
        </w:numPr>
      </w:pPr>
      <w:r>
        <w:t>IoT/Connected devices</w:t>
      </w:r>
    </w:p>
    <w:p>
      <w:pPr>
        <w:numPr>
          <w:ilvl w:val="0"/>
          <w:numId w:val="1"/>
        </w:numPr>
      </w:pPr>
      <w:r>
        <w:t>Worldwide IoT spending crossed the hundreds of billions (IDC’s recent guides projected &gt;$1T by mid-decade), with sustained double-digit CAGR through the late 2020s.</w:t>
      </w:r>
    </w:p>
    <w:p>
      <w:pPr>
        <w:numPr>
          <w:ilvl w:val="0"/>
          <w:numId w:val="1"/>
        </w:numPr>
      </w:pPr>
      <w:r>
        <w:t>Connected devices continue to grow into the tens of billions by 2030 (Ericsson/IoT Analytics trendlines), spanning consumer, industrial, mobility, and health.</w:t>
      </w:r>
    </w:p>
    <w:p>
      <w:pPr>
        <w:numPr>
          <w:ilvl w:val="0"/>
          <w:numId w:val="1"/>
        </w:numPr>
      </w:pPr>
      <w:r>
        <w:t>Industrial/OEM servitization</w:t>
      </w:r>
    </w:p>
    <w:p>
      <w:pPr>
        <w:numPr>
          <w:ilvl w:val="0"/>
          <w:numId w:val="1"/>
        </w:numPr>
      </w:pPr>
      <w:r>
        <w:t>Industrial OEMs increasingly shift to “product-as-a-service,” with after-sales/services comprising a large share of profit pools (commonly cited as 40–60%+ of profits in McKinsey/industry analyses).</w:t>
      </w:r>
    </w:p>
    <w:p>
      <w:pPr>
        <w:numPr>
          <w:ilvl w:val="0"/>
          <w:numId w:val="1"/>
        </w:numPr>
      </w:pPr>
      <w:r>
        <w:t>Consumer categories</w:t>
      </w:r>
    </w:p>
    <w:p>
      <w:pPr>
        <w:numPr>
          <w:ilvl w:val="0"/>
          <w:numId w:val="1"/>
        </w:numPr>
      </w:pPr>
      <w:r>
        <w:t>Wearables, smart home devices, and connected appliances maintain large unit volumes and recurring service attachments (ex: Apple Watch, robot vacuums, coffee ecosystems), normalizing the “hardware + software + services” model for consumers.</w:t>
      </w:r>
    </w:p>
    <w:p>
      <w:pPr>
        <w:numPr>
          <w:ilvl w:val="0"/>
          <w:numId w:val="1"/>
        </w:numPr>
      </w:pPr>
      <w:r>
        <w:t>Edge AI and device-cloud stacks</w:t>
      </w:r>
    </w:p>
    <w:p>
      <w:pPr>
        <w:numPr>
          <w:ilvl w:val="0"/>
          <w:numId w:val="1"/>
        </w:numPr>
      </w:pPr>
      <w:r>
        <w:t>On-device inference, OTA updates, digital twins, and telemetry pipelines create ongoing product evolution and operational data loops—exactly the capabilities the book addresses.</w:t>
      </w:r>
    </w:p>
    <w:p/>
    <w:p>
      <w:r>
        <w:t xml:space="preserve">Competitive Landscape and White Space</w:t>
      </w:r>
    </w:p>
    <w:p>
      <w:pPr>
        <w:numPr>
          <w:ilvl w:val="0"/>
          <w:numId w:val="1"/>
        </w:numPr>
      </w:pPr>
      <w:r>
        <w:t>Close comparables (and gaps they leave)</w:t>
      </w:r>
    </w:p>
    <w:p>
      <w:pPr>
        <w:numPr>
          <w:ilvl w:val="0"/>
          <w:numId w:val="1"/>
        </w:numPr>
      </w:pPr>
      <w:r>
        <w:t>Elaine Chen, Bringing a Hardware Product to Market (2015): build/scale focus; less on platform economics and service durability.</w:t>
      </w:r>
    </w:p>
    <w:p>
      <w:pPr>
        <w:numPr>
          <w:ilvl w:val="0"/>
          <w:numId w:val="1"/>
        </w:numPr>
      </w:pPr>
      <w:r>
        <w:t>The Lean Hardware Startup (2022): emphasizes lean methods; limited coverage of long-term monetization via software/data/cloud.</w:t>
      </w:r>
    </w:p>
    <w:p>
      <w:pPr>
        <w:numPr>
          <w:ilvl w:val="0"/>
          <w:numId w:val="1"/>
        </w:numPr>
      </w:pPr>
      <w:r>
        <w:t>Designing Connected Products (2017): strong on UX/IoT design; less executive/strategy and business-model durability focus.</w:t>
      </w:r>
    </w:p>
    <w:p>
      <w:pPr>
        <w:numPr>
          <w:ilvl w:val="0"/>
          <w:numId w:val="1"/>
        </w:numPr>
      </w:pPr>
      <w:r>
        <w:t>The Hardware Startup (O’Reilly, 2015) and IoT Inc (2017): aging examples; pre-AI/edge/servitization maturity.</w:t>
      </w:r>
    </w:p>
    <w:p>
      <w:pPr>
        <w:numPr>
          <w:ilvl w:val="0"/>
          <w:numId w:val="1"/>
        </w:numPr>
      </w:pPr>
      <w:r>
        <w:t>Connected Strategy (2019): strong on customer relationship paradigms; not hardware-execution-specific.</w:t>
      </w:r>
    </w:p>
    <w:p>
      <w:pPr>
        <w:numPr>
          <w:ilvl w:val="0"/>
          <w:numId w:val="1"/>
        </w:numPr>
      </w:pPr>
      <w:r>
        <w:t>White space Smart Tangibles fills</w:t>
      </w:r>
    </w:p>
    <w:p>
      <w:pPr>
        <w:numPr>
          <w:ilvl w:val="0"/>
          <w:numId w:val="1"/>
        </w:numPr>
      </w:pPr>
      <w:r>
        <w:t>A unified framework across hardware realities, software flexibility, cloud/data, and business model durability.</w:t>
      </w:r>
    </w:p>
    <w:p>
      <w:pPr>
        <w:numPr>
          <w:ilvl w:val="0"/>
          <w:numId w:val="1"/>
        </w:numPr>
      </w:pPr>
      <w:r>
        <w:t>Case-led narratives with mainstream brands (Swatch/Apple Watch, Nespresso, iRobot, John Deere, Tesla) grounded in strategy trade-offs, not just tech/UX.</w:t>
      </w:r>
    </w:p>
    <w:p>
      <w:pPr>
        <w:numPr>
          <w:ilvl w:val="0"/>
          <w:numId w:val="1"/>
        </w:numPr>
      </w:pPr>
      <w:r>
        <w:t>Practical anti-patterns and validation traps specific to physical goods and supply chains.</w:t>
      </w:r>
    </w:p>
    <w:p/>
    <w:p>
      <w:r>
        <w:t xml:space="preserve">Estimated Reader TAM/SAM (directional)</w:t>
      </w:r>
    </w:p>
    <w:p>
      <w:pPr>
        <w:numPr>
          <w:ilvl w:val="0"/>
          <w:numId w:val="1"/>
        </w:numPr>
      </w:pPr>
      <w:r>
        <w:t>TAM (global professionals touching connected products): PMs, founders, engineering/design leaders, and transformation execs across consumer electronics, industrial equipment, healthcare devices, mobility—likely in the low millions worldwide.</w:t>
      </w:r>
    </w:p>
    <w:p>
      <w:pPr>
        <w:numPr>
          <w:ilvl w:val="0"/>
          <w:numId w:val="1"/>
        </w:numPr>
      </w:pPr>
      <w:r>
        <w:t>SAM (English-reading decision-makers likely to buy a professional book): conservative 200k–500k globally across PMs, product leaders, innovation execs, and advanced practitioners in IoT/hardware. Adjacent buyers include VCs, consultants, and MBA programs.</w:t>
      </w:r>
    </w:p>
    <w:p/>
    <w:p>
      <w:r>
        <w:t xml:space="preserve">Signals of Demand (proxy indicators)</w:t>
      </w:r>
    </w:p>
    <w:p>
      <w:pPr>
        <w:numPr>
          <w:ilvl w:val="0"/>
          <w:numId w:val="1"/>
        </w:numPr>
      </w:pPr>
      <w:r>
        <w:t>Ongoing community sizes and event attendance: CES, Hannover Messe, industrial IoT/SaaS events, and product management communities remain large and active.</w:t>
      </w:r>
    </w:p>
    <w:p>
      <w:pPr>
        <w:numPr>
          <w:ilvl w:val="0"/>
          <w:numId w:val="1"/>
        </w:numPr>
      </w:pPr>
      <w:r>
        <w:t>Corporate need: OEMs and device brands are under pressure to add services/subscriptions, mine device data responsibly, and comply with emerging security/repair regulations—driving demand for playbooks bridging tech and business.</w:t>
      </w:r>
    </w:p>
    <w:p>
      <w:pPr>
        <w:numPr>
          <w:ilvl w:val="0"/>
          <w:numId w:val="1"/>
        </w:numPr>
      </w:pPr>
      <w:r>
        <w:t>Content gaps: Frequent blog/podcast threads on hardware-to-services transitions, OTA/business strategy, and platform thinking suggest continued hunger for structured guidance.</w:t>
      </w:r>
    </w:p>
    <w:p/>
    <w:p>
      <w:r>
        <w:t xml:space="preserve">Positioning and Messaging</w:t>
      </w:r>
    </w:p>
    <w:p>
      <w:pPr>
        <w:numPr>
          <w:ilvl w:val="0"/>
          <w:numId w:val="1"/>
        </w:numPr>
      </w:pPr>
      <w:r>
        <w:t>Elevator pitch: “Inspired for Hardware”—a strategy book for turning physical products into evolving platforms powered by software, data, and cloud services.</w:t>
      </w:r>
    </w:p>
    <w:p>
      <w:pPr>
        <w:numPr>
          <w:ilvl w:val="0"/>
          <w:numId w:val="1"/>
        </w:numPr>
      </w:pPr>
      <w:r>
        <w:t>Title/subtitle options to test</w:t>
      </w:r>
    </w:p>
    <w:p>
      <w:pPr>
        <w:numPr>
          <w:ilvl w:val="0"/>
          <w:numId w:val="1"/>
        </w:numPr>
      </w:pPr>
      <w:r>
        <w:t>Smart Tangibles: How Connected Products Become Platforms</w:t>
      </w:r>
    </w:p>
    <w:p>
      <w:pPr>
        <w:numPr>
          <w:ilvl w:val="0"/>
          <w:numId w:val="1"/>
        </w:numPr>
      </w:pPr>
      <w:r>
        <w:t>Smart Tangibles: Strategy for Hardware That Learns, Updates, and Scales</w:t>
      </w:r>
    </w:p>
    <w:p>
      <w:pPr>
        <w:numPr>
          <w:ilvl w:val="0"/>
          <w:numId w:val="1"/>
        </w:numPr>
      </w:pPr>
      <w:r>
        <w:t>Smart Tangibles: Building Durable Business Models for Connected Devices</w:t>
      </w:r>
    </w:p>
    <w:p>
      <w:pPr>
        <w:numPr>
          <w:ilvl w:val="0"/>
          <w:numId w:val="1"/>
        </w:numPr>
      </w:pPr>
      <w:r>
        <w:t>Key promises</w:t>
      </w:r>
    </w:p>
    <w:p>
      <w:pPr>
        <w:numPr>
          <w:ilvl w:val="0"/>
          <w:numId w:val="1"/>
        </w:numPr>
      </w:pPr>
      <w:r>
        <w:t>Avoid hardware validation traps and capital waste</w:t>
      </w:r>
    </w:p>
    <w:p>
      <w:pPr>
        <w:numPr>
          <w:ilvl w:val="0"/>
          <w:numId w:val="1"/>
        </w:numPr>
      </w:pPr>
      <w:r>
        <w:t>Turn device telemetry and software into recurring value</w:t>
      </w:r>
    </w:p>
    <w:p>
      <w:pPr>
        <w:numPr>
          <w:ilvl w:val="0"/>
          <w:numId w:val="1"/>
        </w:numPr>
      </w:pPr>
      <w:r>
        <w:t>Bridge product, engineering, and finance with a shared framework</w:t>
      </w:r>
    </w:p>
    <w:p>
      <w:pPr>
        <w:numPr>
          <w:ilvl w:val="0"/>
          <w:numId w:val="1"/>
        </w:numPr>
      </w:pPr>
      <w:r>
        <w:t>Learn from wins and stumbles (Apple Watch vs. Swatch, Nespresso, iRobot, John Deere)</w:t>
      </w:r>
    </w:p>
    <w:p>
      <w:pPr>
        <w:numPr>
          <w:ilvl w:val="0"/>
          <w:numId w:val="1"/>
        </w:numPr>
      </w:pPr>
      <w:r>
        <w:t>Proof assets</w:t>
      </w:r>
    </w:p>
    <w:p>
      <w:pPr>
        <w:numPr>
          <w:ilvl w:val="0"/>
          <w:numId w:val="1"/>
        </w:numPr>
      </w:pPr>
      <w:r>
        <w:t>Author’s 30+ years across design/engineering/tech management</w:t>
      </w:r>
    </w:p>
    <w:p>
      <w:pPr>
        <w:numPr>
          <w:ilvl w:val="0"/>
          <w:numId w:val="1"/>
        </w:numPr>
      </w:pPr>
      <w:r>
        <w:t>Case studies demonstrating both sides of outcomes</w:t>
      </w:r>
    </w:p>
    <w:p/>
    <w:p>
      <w:r>
        <w:t xml:space="preserve">Content Recommendations to Maximize Appeal</w:t>
      </w:r>
    </w:p>
    <w:p>
      <w:pPr>
        <w:numPr>
          <w:ilvl w:val="0"/>
          <w:numId w:val="1"/>
        </w:numPr>
      </w:pPr>
      <w:r>
        <w:t>Add hands-on artifacts: maturity model, scorecards, unit-economics templates (CAPEX-&gt;OPEX transitions, attach rates, LTV/CAC for devices-with-services), OTA risk checklists, governance/privacy/security guidelines.</w:t>
      </w:r>
    </w:p>
    <w:p>
      <w:pPr>
        <w:numPr>
          <w:ilvl w:val="0"/>
          <w:numId w:val="1"/>
        </w:numPr>
      </w:pPr>
      <w:r>
        <w:t>Expand on:</w:t>
      </w:r>
    </w:p>
    <w:p>
      <w:pPr>
        <w:numPr>
          <w:ilvl w:val="0"/>
          <w:numId w:val="1"/>
        </w:numPr>
      </w:pPr>
      <w:r>
        <w:t>Platform/service attach strategies (tiers, bundles, marketplaces)</w:t>
      </w:r>
    </w:p>
    <w:p>
      <w:pPr>
        <w:numPr>
          <w:ilvl w:val="0"/>
          <w:numId w:val="1"/>
        </w:numPr>
      </w:pPr>
      <w:r>
        <w:t>Telemetry-to-value loops and product ops for hardware</w:t>
      </w:r>
    </w:p>
    <w:p>
      <w:pPr>
        <w:numPr>
          <w:ilvl w:val="0"/>
          <w:numId w:val="1"/>
        </w:numPr>
      </w:pPr>
      <w:r>
        <w:t>Edge AI practicalities (model updates, drift, power/latency trade-offs)</w:t>
      </w:r>
    </w:p>
    <w:p>
      <w:pPr>
        <w:numPr>
          <w:ilvl w:val="0"/>
          <w:numId w:val="1"/>
        </w:numPr>
      </w:pPr>
      <w:r>
        <w:t>Regulatory realities: cybersecurity-by-design, SBOM, right-to-repair and how to align with durable business models</w:t>
      </w:r>
    </w:p>
    <w:p>
      <w:pPr>
        <w:numPr>
          <w:ilvl w:val="0"/>
          <w:numId w:val="1"/>
        </w:numPr>
      </w:pPr>
      <w:r>
        <w:t>Include a “Field Guide” appendix: procurement/manufacturing checklists, validation cadences, firmware update policies, incident response.</w:t>
      </w:r>
    </w:p>
    <w:p/>
    <w:p>
      <w:r>
        <w:t xml:space="preserve">Go-to-Market Strategy (high-ROI, low-friction)</w:t>
      </w:r>
    </w:p>
    <w:p>
      <w:pPr>
        <w:numPr>
          <w:ilvl w:val="0"/>
          <w:numId w:val="1"/>
        </w:numPr>
      </w:pPr>
      <w:r>
        <w:t>Prelaunch validation</w:t>
      </w:r>
    </w:p>
    <w:p>
      <w:pPr>
        <w:numPr>
          <w:ilvl w:val="0"/>
          <w:numId w:val="1"/>
        </w:numPr>
      </w:pPr>
      <w:r>
        <w:t>Landing page with 2–3 subtitle variants; run targeted ads to PMs/IoT/hardware audiences; measure CTR and email capture.</w:t>
      </w:r>
    </w:p>
    <w:p>
      <w:pPr>
        <w:numPr>
          <w:ilvl w:val="0"/>
          <w:numId w:val="1"/>
        </w:numPr>
      </w:pPr>
      <w:r>
        <w:t>Publish 2 “keystone” chapters as long-form essays on Medium/LinkedIn; track engagement and inbound.</w:t>
      </w:r>
    </w:p>
    <w:p>
      <w:pPr>
        <w:numPr>
          <w:ilvl w:val="0"/>
          <w:numId w:val="1"/>
        </w:numPr>
      </w:pPr>
      <w:r>
        <w:t>Webinars with AWS IoT/Azure IoT/Google Cloud partner programs and embedded vendors (Espressif, Nordic, NXP) on “devices that become platforms.”</w:t>
      </w:r>
    </w:p>
    <w:p>
      <w:pPr>
        <w:numPr>
          <w:ilvl w:val="0"/>
          <w:numId w:val="1"/>
        </w:numPr>
      </w:pPr>
      <w:r>
        <w:t>Partnerships and channels</w:t>
      </w:r>
    </w:p>
    <w:p>
      <w:pPr>
        <w:numPr>
          <w:ilvl w:val="0"/>
          <w:numId w:val="1"/>
        </w:numPr>
      </w:pPr>
      <w:r>
        <w:t>Accelerators and communities: HAX, SOSV, Techstars, MassRobotics, IndieBio (hardware/robotics/health), Mind the Product, Product School, Pragmatic Institute.</w:t>
      </w:r>
    </w:p>
    <w:p>
      <w:pPr>
        <w:numPr>
          <w:ilvl w:val="0"/>
          <w:numId w:val="1"/>
        </w:numPr>
      </w:pPr>
      <w:r>
        <w:t>Conferences: CES, Hannover Messe/Industrial Transformation, IoT World, Embedded World, ProductCon, industry-specific (AgTech for John Deere case angle).</w:t>
      </w:r>
    </w:p>
    <w:p>
      <w:pPr>
        <w:numPr>
          <w:ilvl w:val="0"/>
          <w:numId w:val="1"/>
        </w:numPr>
      </w:pPr>
      <w:r>
        <w:t>Corporate bulk buys: OEMs/device companies, cloud platform alliances, design/manufacturing firms (Jabil, Flex).</w:t>
      </w:r>
    </w:p>
    <w:p>
      <w:pPr>
        <w:numPr>
          <w:ilvl w:val="0"/>
          <w:numId w:val="1"/>
        </w:numPr>
      </w:pPr>
      <w:r>
        <w:t>Media and thought leadership</w:t>
      </w:r>
    </w:p>
    <w:p>
      <w:pPr>
        <w:numPr>
          <w:ilvl w:val="0"/>
          <w:numId w:val="1"/>
        </w:numPr>
      </w:pPr>
      <w:r>
        <w:t>Targeted podcasts: IoT, product leadership, industrial digital transformation, hardware startup shows.</w:t>
      </w:r>
    </w:p>
    <w:p>
      <w:pPr>
        <w:numPr>
          <w:ilvl w:val="0"/>
          <w:numId w:val="1"/>
        </w:numPr>
      </w:pPr>
      <w:r>
        <w:t>Case-study op-eds aligned to current news cycles (e.g., right-to-repair milestones, major OTA mishaps, new subscription pivots).</w:t>
      </w:r>
    </w:p>
    <w:p>
      <w:pPr>
        <w:numPr>
          <w:ilvl w:val="0"/>
          <w:numId w:val="1"/>
        </w:numPr>
      </w:pPr>
      <w:r>
        <w:t>Education/adoption</w:t>
      </w:r>
    </w:p>
    <w:p>
      <w:pPr>
        <w:numPr>
          <w:ilvl w:val="0"/>
          <w:numId w:val="1"/>
        </w:numPr>
      </w:pPr>
      <w:r>
        <w:t>Instructor resources for MBA/executive programs (slides, case notes).</w:t>
      </w:r>
    </w:p>
    <w:p>
      <w:pPr>
        <w:numPr>
          <w:ilvl w:val="0"/>
          <w:numId w:val="1"/>
        </w:numPr>
      </w:pPr>
      <w:r>
        <w:t>Workshop kit for corporate training (half-day playbook linked to chapters).</w:t>
      </w:r>
    </w:p>
    <w:p>
      <w:pPr>
        <w:numPr>
          <w:ilvl w:val="0"/>
          <w:numId w:val="1"/>
        </w:numPr>
      </w:pPr>
      <w:r>
        <w:t>Formats and pricing</w:t>
      </w:r>
    </w:p>
    <w:p>
      <w:pPr>
        <w:numPr>
          <w:ilvl w:val="0"/>
          <w:numId w:val="1"/>
        </w:numPr>
      </w:pPr>
      <w:r>
        <w:t>Hardcover + eBook + audiobook bundle; corporate bulk pricing.</w:t>
      </w:r>
    </w:p>
    <w:p>
      <w:pPr>
        <w:numPr>
          <w:ilvl w:val="0"/>
          <w:numId w:val="1"/>
        </w:numPr>
      </w:pPr>
      <w:r>
        <w:t>Companion site with worksheets/templates; optional paid toolkit.</w:t>
      </w:r>
    </w:p>
    <w:p/>
    <w:p>
      <w:r>
        <w:t xml:space="preserve">Sales Potential (directional, assuming focused GTM)</w:t>
      </w:r>
    </w:p>
    <w:p>
      <w:pPr>
        <w:numPr>
          <w:ilvl w:val="0"/>
          <w:numId w:val="1"/>
        </w:numPr>
      </w:pPr>
      <w:r>
        <w:t>Conservative: 5k–10</w:t>
      </w:r>
    </w:p>
    <w:p/>
    <w:p/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libri Light" w:hAnsi="Calibri Light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libri Light" w:hAnsi="Calibri Light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libri Light" w:hAnsi="Calibri Light"/>
      <w:b/>
      <w:color w:val="1F4D78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
</Relationships>
</file>