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Default="004E48EF" w:rsidP="004E48EF">
      <w:pPr>
        <w:pStyle w:val="InfoBlue"/>
        <w:ind w:right="-376"/>
        <w:jc w:val="center"/>
        <w:rPr>
          <w:rFonts w:ascii="Comic Sans MS" w:hAnsi="Comic Sans MS"/>
        </w:rPr>
      </w:pPr>
      <w:r w:rsidRPr="00872C04">
        <w:rPr>
          <w:rFonts w:ascii="Comic Sans MS" w:hAnsi="Comic Sans MS"/>
        </w:rPr>
        <w:t>Acta de Solicitud de Cambios a Requerimientos</w:t>
      </w:r>
      <w:r w:rsidRPr="00872C0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-</w:t>
      </w:r>
      <w:r w:rsidRPr="00872C04">
        <w:rPr>
          <w:rFonts w:ascii="Comic Sans MS" w:hAnsi="Comic Sans MS"/>
        </w:rPr>
        <w:t>ASCR_</w:t>
      </w:r>
      <w:r>
        <w:rPr>
          <w:rFonts w:ascii="Comic Sans MS" w:hAnsi="Comic Sans MS"/>
        </w:rPr>
        <w:t>19</w:t>
      </w:r>
      <w:r w:rsidRPr="00872C04">
        <w:rPr>
          <w:rFonts w:ascii="Comic Sans MS" w:hAnsi="Comic Sans MS"/>
        </w:rPr>
        <w:t>_</w:t>
      </w:r>
      <w:r>
        <w:rPr>
          <w:rFonts w:ascii="Comic Sans MS" w:hAnsi="Comic Sans MS"/>
        </w:rPr>
        <w:t>06</w:t>
      </w:r>
      <w:r w:rsidRPr="00872C04">
        <w:rPr>
          <w:rFonts w:ascii="Comic Sans MS" w:hAnsi="Comic Sans MS"/>
        </w:rPr>
        <w:t>_2016</w:t>
      </w:r>
    </w:p>
    <w:p w:rsidR="004E48EF" w:rsidRPr="004E48EF" w:rsidRDefault="004E48EF" w:rsidP="004E48EF">
      <w:pPr>
        <w:pStyle w:val="Textoindependiente"/>
        <w:rPr>
          <w:lang w:eastAsia="en-US"/>
        </w:rPr>
      </w:pPr>
    </w:p>
    <w:p w:rsidR="00F91FA6" w:rsidRPr="004E48EF" w:rsidRDefault="00F91FA6" w:rsidP="007D2D0C">
      <w:pPr>
        <w:pStyle w:val="InfoBlue"/>
        <w:ind w:right="-34"/>
        <w:rPr>
          <w:b/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</w:t>
      </w:r>
      <w:r w:rsidRPr="004E48EF">
        <w:rPr>
          <w:b/>
          <w:color w:val="000000" w:themeColor="text1"/>
          <w:sz w:val="20"/>
          <w:szCs w:val="20"/>
        </w:rPr>
        <w:t xml:space="preserve">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El texto encerrado entre </w:t>
      </w:r>
      <w:proofErr w:type="gramStart"/>
      <w:r w:rsidRPr="007D7011">
        <w:rPr>
          <w:color w:val="000000" w:themeColor="text1"/>
          <w:sz w:val="20"/>
          <w:szCs w:val="20"/>
        </w:rPr>
        <w:t>[ ]</w:t>
      </w:r>
      <w:proofErr w:type="gramEnd"/>
      <w:r w:rsidRPr="007D7011">
        <w:rPr>
          <w:color w:val="000000" w:themeColor="text1"/>
          <w:sz w:val="20"/>
          <w:szCs w:val="20"/>
        </w:rPr>
        <w:t xml:space="preserve">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 xml:space="preserve">El texto encerrado entre </w:t>
      </w:r>
      <w:proofErr w:type="gramStart"/>
      <w:r w:rsidRPr="007D7011">
        <w:rPr>
          <w:rFonts w:cs="Arial"/>
          <w:b w:val="0"/>
          <w:color w:val="000000" w:themeColor="text1"/>
          <w:sz w:val="20"/>
        </w:rPr>
        <w:t>{ }</w:t>
      </w:r>
      <w:proofErr w:type="gramEnd"/>
      <w:r w:rsidRPr="007D7011">
        <w:rPr>
          <w:rFonts w:cs="Arial"/>
          <w:b w:val="0"/>
          <w:color w:val="000000" w:themeColor="text1"/>
          <w:sz w:val="20"/>
        </w:rPr>
        <w:t xml:space="preserve">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10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4E48EF" w:rsidRPr="00872C04">
        <w:rPr>
          <w:rFonts w:ascii="Comic Sans MS" w:hAnsi="Comic Sans MS"/>
        </w:rPr>
        <w:lastRenderedPageBreak/>
        <w:t>ASCR_</w:t>
      </w:r>
      <w:r w:rsidR="004E48EF">
        <w:rPr>
          <w:rFonts w:ascii="Comic Sans MS" w:hAnsi="Comic Sans MS"/>
        </w:rPr>
        <w:t>19</w:t>
      </w:r>
      <w:r w:rsidR="004E48EF" w:rsidRPr="00872C04">
        <w:rPr>
          <w:rFonts w:ascii="Comic Sans MS" w:hAnsi="Comic Sans MS"/>
        </w:rPr>
        <w:t>_</w:t>
      </w:r>
      <w:r w:rsidR="004E48EF">
        <w:rPr>
          <w:rFonts w:ascii="Comic Sans MS" w:hAnsi="Comic Sans MS"/>
        </w:rPr>
        <w:t>06</w:t>
      </w:r>
      <w:r w:rsidR="004E48EF" w:rsidRPr="00872C04">
        <w:rPr>
          <w:rFonts w:ascii="Comic Sans MS" w:hAnsi="Comic Sans MS"/>
        </w:rPr>
        <w:t>_2016</w:t>
      </w:r>
    </w:p>
    <w:p w:rsidR="000C5BB7" w:rsidRPr="007D7011" w:rsidRDefault="000C5BB7" w:rsidP="0019527F">
      <w:pPr>
        <w:pStyle w:val="Ttulo10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 w:rsidTr="004E48EF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1F4E79" w:themeFill="accent1" w:themeFillShade="80"/>
          </w:tcPr>
          <w:p w:rsidR="00FB0DED" w:rsidRPr="007D7011" w:rsidRDefault="004E48EF" w:rsidP="004E48EF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4E48EF">
              <w:rPr>
                <w:bCs/>
                <w:color w:val="FFFFFF" w:themeColor="background1"/>
                <w:lang w:val="pt-BR" w:eastAsia="es-ES"/>
              </w:rPr>
              <w:t>Acta-001-2016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="007D7011" w:rsidRPr="004E48EF">
              <w:rPr>
                <w:bCs/>
                <w:color w:val="FFFFFF" w:themeColor="background1"/>
                <w:lang w:val="pt-BR" w:eastAsia="es-ES"/>
              </w:rPr>
              <w:t>OPT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Pr="004E48EF">
              <w:rPr>
                <w:bCs/>
                <w:color w:val="FFFFFF" w:themeColor="background1"/>
                <w:lang w:val="pt-BR" w:eastAsia="es-ES"/>
              </w:rPr>
              <w:t>BARRIOKING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4E48EF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4E48EF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4E48EF">
              <w:rPr>
                <w:color w:val="000000" w:themeColor="text1"/>
                <w:sz w:val="20"/>
                <w:szCs w:val="20"/>
              </w:rPr>
              <w:t>Arequipa(Nueva Torre)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4E48EF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4E48EF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4E48EF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7B5937" w:rsidRPr="004E48EF" w:rsidRDefault="00EE0534" w:rsidP="00891F98">
            <w:pPr>
              <w:spacing w:before="120" w:after="60"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PARTICIPANTES</w:t>
            </w:r>
          </w:p>
        </w:tc>
      </w:tr>
      <w:tr w:rsidR="007D7011" w:rsidRPr="007D7011" w:rsidTr="004E48EF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0E1583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Empresa/</w:t>
            </w:r>
            <w:r w:rsidR="00EE0534" w:rsidRPr="004E48EF">
              <w:rPr>
                <w:rFonts w:cs="Arial"/>
                <w:color w:val="FFFFFF" w:themeColor="background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Barrio King /SIS-REV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4E48EF" w:rsidRPr="007D7011" w:rsidRDefault="004E48EF" w:rsidP="004E48EF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Manuel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Sanez</w:t>
            </w:r>
            <w:proofErr w:type="spellEnd"/>
          </w:p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 w:rsidR="004E48EF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4E48EF">
              <w:rPr>
                <w:rFonts w:cs="Arial"/>
                <w:color w:val="000000" w:themeColor="text1"/>
                <w:sz w:val="20"/>
                <w:szCs w:val="20"/>
              </w:rPr>
              <w:t>SIS-REV</w:t>
            </w:r>
            <w:r w:rsidR="004E48EF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/Cliente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4E48EF" w:rsidRDefault="004E48EF" w:rsidP="004E48EF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 w:rsidTr="004E48EF">
        <w:tc>
          <w:tcPr>
            <w:tcW w:w="9670" w:type="dxa"/>
            <w:shd w:val="clear" w:color="auto" w:fill="1F4E79" w:themeFill="accent1" w:themeFillShade="80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4E48EF">
        <w:tc>
          <w:tcPr>
            <w:tcW w:w="9790" w:type="dxa"/>
            <w:gridSpan w:val="7"/>
            <w:shd w:val="clear" w:color="auto" w:fill="1F4E79" w:themeFill="accent1" w:themeFillShade="80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 w:rsidRPr="004E48EF">
              <w:rPr>
                <w:rFonts w:cs="Arial"/>
                <w:b/>
                <w:color w:val="FFFFFF" w:themeColor="background1"/>
                <w:sz w:val="22"/>
                <w:szCs w:val="22"/>
                <w:shd w:val="clear" w:color="auto" w:fill="1F4E79" w:themeFill="accent1" w:themeFillShade="80"/>
              </w:rPr>
              <w:t>RESULTADOS DE LA REUNIÓN</w:t>
            </w:r>
          </w:p>
        </w:tc>
      </w:tr>
      <w:tr w:rsidR="00681991" w:rsidRPr="00D35944" w:rsidTr="004E48EF">
        <w:trPr>
          <w:trHeight w:val="525"/>
          <w:tblHeader/>
        </w:trPr>
        <w:tc>
          <w:tcPr>
            <w:tcW w:w="9790" w:type="dxa"/>
            <w:gridSpan w:val="7"/>
            <w:shd w:val="clear" w:color="auto" w:fill="FFFFFF" w:themeFill="background1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4E48EF">
        <w:trPr>
          <w:trHeight w:val="525"/>
          <w:tblHeader/>
        </w:trPr>
        <w:tc>
          <w:tcPr>
            <w:tcW w:w="430" w:type="dxa"/>
            <w:shd w:val="clear" w:color="auto" w:fill="FFFFFF" w:themeFill="background1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4E48EF">
        <w:trPr>
          <w:trHeight w:val="335"/>
        </w:trPr>
        <w:tc>
          <w:tcPr>
            <w:tcW w:w="430" w:type="dxa"/>
            <w:shd w:val="clear" w:color="auto" w:fill="FFFFFF" w:themeFill="background1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0A096D" w:rsidRPr="007D7011" w:rsidRDefault="004E48EF" w:rsidP="004E48EF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295B39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Reducir el número de Módulos de 4 (inicialmente) a 3 (nuevo) para optimización del software a desarrollar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0A096D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 w:rsidTr="004E48EF">
        <w:tc>
          <w:tcPr>
            <w:tcW w:w="9670" w:type="dxa"/>
            <w:gridSpan w:val="6"/>
            <w:shd w:val="clear" w:color="auto" w:fill="1F4E79" w:themeFill="accent1" w:themeFillShade="80"/>
          </w:tcPr>
          <w:p w:rsidR="00681991" w:rsidRPr="005B3F59" w:rsidRDefault="004E48EF" w:rsidP="004E48EF">
            <w:pPr>
              <w:tabs>
                <w:tab w:val="left" w:pos="285"/>
                <w:tab w:val="center" w:pos="4793"/>
              </w:tabs>
              <w:spacing w:before="120" w:after="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ab/>
            </w:r>
            <w:r>
              <w:rPr>
                <w:rFonts w:cs="Arial"/>
                <w:b/>
                <w:sz w:val="22"/>
                <w:szCs w:val="22"/>
              </w:rPr>
              <w:tab/>
            </w:r>
            <w:r w:rsidR="008644BC">
              <w:rPr>
                <w:rFonts w:cs="Arial"/>
                <w:b/>
                <w:sz w:val="22"/>
                <w:szCs w:val="22"/>
              </w:rPr>
              <w:t>MEJORAS</w:t>
            </w:r>
            <w:r w:rsidR="008644BC"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Reducción de Tiempo de desarrollo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Al reducir el número de módulos a desarrollar (sin perder funcionalidad) se evita el exceso de tiempo en desarrollo y cumplimiento con los tiempos de entrega acordados</w:t>
            </w:r>
          </w:p>
        </w:tc>
        <w:tc>
          <w:tcPr>
            <w:tcW w:w="204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13/10/2015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AC6D57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regularizar el número de módulos se evita dos riesgos importantes en el proyecto: Que no se cumplan las fechas establecidas en el Cronograma y no terminar el desarrollo del producto a tiempo, generando indicadores de alertas negativos.</w:t>
            </w:r>
          </w:p>
        </w:tc>
        <w:tc>
          <w:tcPr>
            <w:tcW w:w="204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  <w:tc>
          <w:tcPr>
            <w:tcW w:w="16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17/11/2015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 w:rsidTr="004E48EF">
        <w:tc>
          <w:tcPr>
            <w:tcW w:w="9670" w:type="dxa"/>
            <w:gridSpan w:val="3"/>
            <w:shd w:val="clear" w:color="auto" w:fill="1F4E79" w:themeFill="accent1" w:themeFillShade="80"/>
          </w:tcPr>
          <w:p w:rsidR="00DA5742" w:rsidRPr="007D7011" w:rsidRDefault="004E48EF" w:rsidP="004E48EF">
            <w:pPr>
              <w:tabs>
                <w:tab w:val="center" w:pos="4793"/>
              </w:tabs>
              <w:spacing w:before="120" w:after="6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ab/>
            </w:r>
            <w:r w:rsidR="00DA5742"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D7011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Roger Apaéstegui Ortega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7D7011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20/10/2015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E48EF">
        <w:rPr>
          <w:rFonts w:cs="Arial"/>
          <w:color w:val="000000" w:themeColor="text1"/>
          <w:sz w:val="20"/>
          <w:szCs w:val="20"/>
        </w:rPr>
        <w:t>Jeral Benites</w:t>
      </w:r>
      <w:bookmarkStart w:id="0" w:name="_GoBack"/>
      <w:bookmarkEnd w:id="0"/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3BC" w:rsidRDefault="00D753BC">
      <w:r>
        <w:separator/>
      </w:r>
    </w:p>
  </w:endnote>
  <w:endnote w:type="continuationSeparator" w:id="0">
    <w:p w:rsidR="00D753BC" w:rsidRDefault="00D7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4D43" w:rsidRPr="00696FB8" w:rsidRDefault="00891F98" w:rsidP="00891F98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>
            <w:rPr>
              <w:rFonts w:cs="Arial"/>
              <w:sz w:val="20"/>
              <w:szCs w:val="20"/>
            </w:rPr>
            <w:t xml:space="preserve">               13-10-2015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E48E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4E48EF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3BC" w:rsidRDefault="00D753BC">
      <w:r>
        <w:separator/>
      </w:r>
    </w:p>
  </w:footnote>
  <w:footnote w:type="continuationSeparator" w:id="0">
    <w:p w:rsidR="00D753BC" w:rsidRDefault="00D75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7FC7C821E1D34091B4C422D0272BEA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E48EF" w:rsidRDefault="004E48EF" w:rsidP="004E48EF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</w:rPr>
          <w:t>Desarrolladores de Software.</w:t>
        </w:r>
      </w:p>
    </w:sdtContent>
  </w:sdt>
  <w:p w:rsidR="004E48EF" w:rsidRPr="00E13B5C" w:rsidRDefault="004E48EF" w:rsidP="004E48EF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</w:rPr>
      <w:t>Barrio</w:t>
    </w:r>
    <w:r w:rsidRPr="00E13B5C">
      <w:rPr>
        <w:caps/>
        <w:color w:val="5B9BD5" w:themeColor="accent1"/>
      </w:rPr>
      <w:t xml:space="preserve"> </w:t>
    </w:r>
    <w:r w:rsidRPr="00E13B5C">
      <w:rPr>
        <w:caps/>
        <w:color w:val="C45911" w:themeColor="accent2" w:themeShade="BF"/>
      </w:rPr>
      <w:t>King</w:t>
    </w:r>
  </w:p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1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8E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53BC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2A4D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9F21FE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aliases w:val="encabezado,Header Char,h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4E48E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C7C821E1D34091B4C422D0272B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818D9-4138-431E-86E4-3DC1D2281F6F}"/>
      </w:docPartPr>
      <w:docPartBody>
        <w:p w:rsidR="00000000" w:rsidRDefault="009D2574" w:rsidP="009D2574">
          <w:pPr>
            <w:pStyle w:val="7FC7C821E1D34091B4C422D0272BEA1E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74"/>
    <w:rsid w:val="009D2574"/>
    <w:rsid w:val="00E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C7C821E1D34091B4C422D0272BEA1E">
    <w:name w:val="7FC7C821E1D34091B4C422D0272BEA1E"/>
    <w:rsid w:val="009D2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Desarrolladores de Software.</dc:creator>
  <cp:keywords/>
  <dc:description/>
  <cp:lastModifiedBy>JERAMEEL NEBAIOT, BENITES GONZALES</cp:lastModifiedBy>
  <cp:revision>3</cp:revision>
  <cp:lastPrinted>2008-03-27T20:29:00Z</cp:lastPrinted>
  <dcterms:created xsi:type="dcterms:W3CDTF">2016-06-20T09:16:00Z</dcterms:created>
  <dcterms:modified xsi:type="dcterms:W3CDTF">2016-06-20T09:26:00Z</dcterms:modified>
</cp:coreProperties>
</file>