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695"/>
        <w:gridCol w:w="1979"/>
        <w:gridCol w:w="2338"/>
        <w:gridCol w:w="2338"/>
      </w:tblGrid>
      <w:tr w:rsidR="00FE59B1" w:rsidRPr="00FE59B1" w14:paraId="23F942A5" w14:textId="77777777" w:rsidTr="00706134">
        <w:trPr>
          <w:trHeight w:val="755"/>
        </w:trPr>
        <w:tc>
          <w:tcPr>
            <w:tcW w:w="9350" w:type="dxa"/>
            <w:gridSpan w:val="4"/>
          </w:tcPr>
          <w:p w14:paraId="6C35DA82" w14:textId="77777777" w:rsidR="000178F0" w:rsidRPr="00FE59B1" w:rsidRDefault="000178F0" w:rsidP="000178F0">
            <w:pPr>
              <w:jc w:val="center"/>
              <w:rPr>
                <w:rFonts w:cs="Arial"/>
                <w:b/>
                <w:szCs w:val="22"/>
              </w:rPr>
            </w:pPr>
          </w:p>
          <w:p w14:paraId="690C9D3E" w14:textId="77777777" w:rsidR="000178F0" w:rsidRPr="00FE59B1" w:rsidRDefault="000178F0" w:rsidP="000178F0">
            <w:pPr>
              <w:jc w:val="center"/>
              <w:rPr>
                <w:rFonts w:cs="Arial"/>
                <w:b/>
                <w:szCs w:val="22"/>
              </w:rPr>
            </w:pPr>
            <w:r w:rsidRPr="00FE59B1">
              <w:rPr>
                <w:rFonts w:cs="Arial"/>
                <w:b/>
                <w:szCs w:val="22"/>
              </w:rPr>
              <w:t>BIOGRAPHICAL SKETCH</w:t>
            </w:r>
          </w:p>
        </w:tc>
      </w:tr>
      <w:tr w:rsidR="00FE59B1" w:rsidRPr="00FE59B1" w14:paraId="0A774CD8" w14:textId="77777777" w:rsidTr="00706134">
        <w:trPr>
          <w:trHeight w:val="350"/>
        </w:trPr>
        <w:tc>
          <w:tcPr>
            <w:tcW w:w="9350" w:type="dxa"/>
            <w:gridSpan w:val="4"/>
          </w:tcPr>
          <w:p w14:paraId="2C7E75BB" w14:textId="42E62AFE" w:rsidR="000178F0" w:rsidRPr="00FE59B1" w:rsidRDefault="00706134">
            <w:pPr>
              <w:rPr>
                <w:rFonts w:cs="Arial"/>
                <w:szCs w:val="22"/>
                <w:lang w:val="nl-NL"/>
              </w:rPr>
            </w:pPr>
            <w:proofErr w:type="gramStart"/>
            <w:r w:rsidRPr="00FE59B1">
              <w:rPr>
                <w:rFonts w:cs="Arial"/>
                <w:szCs w:val="22"/>
                <w:lang w:val="nl-NL"/>
              </w:rPr>
              <w:t xml:space="preserve">NAME:   </w:t>
            </w:r>
            <w:proofErr w:type="gramEnd"/>
            <w:r w:rsidRPr="00FE59B1">
              <w:rPr>
                <w:rFonts w:cs="Arial"/>
                <w:szCs w:val="22"/>
                <w:lang w:val="nl-NL"/>
              </w:rPr>
              <w:t xml:space="preserve">                                          </w:t>
            </w:r>
            <w:proofErr w:type="spellStart"/>
            <w:r w:rsidR="00566FC3" w:rsidRPr="00FE59B1">
              <w:rPr>
                <w:rFonts w:cs="Arial"/>
                <w:szCs w:val="22"/>
                <w:lang w:val="nl-NL"/>
              </w:rPr>
              <w:t>Yoëlle</w:t>
            </w:r>
            <w:proofErr w:type="spellEnd"/>
            <w:r w:rsidR="00566FC3" w:rsidRPr="00FE59B1">
              <w:rPr>
                <w:rFonts w:cs="Arial"/>
                <w:szCs w:val="22"/>
                <w:lang w:val="nl-NL"/>
              </w:rPr>
              <w:t xml:space="preserve"> </w:t>
            </w:r>
            <w:proofErr w:type="spellStart"/>
            <w:r w:rsidR="00566FC3" w:rsidRPr="00FE59B1">
              <w:rPr>
                <w:rFonts w:cs="Arial"/>
                <w:szCs w:val="22"/>
                <w:lang w:val="nl-NL"/>
              </w:rPr>
              <w:t>Kilsdonk</w:t>
            </w:r>
            <w:proofErr w:type="spellEnd"/>
          </w:p>
        </w:tc>
      </w:tr>
      <w:tr w:rsidR="00FE59B1" w:rsidRPr="00FE59B1" w14:paraId="2C91AF6B" w14:textId="77777777" w:rsidTr="00706134">
        <w:trPr>
          <w:trHeight w:val="350"/>
        </w:trPr>
        <w:tc>
          <w:tcPr>
            <w:tcW w:w="9350" w:type="dxa"/>
            <w:gridSpan w:val="4"/>
          </w:tcPr>
          <w:p w14:paraId="1DCBC001" w14:textId="08AD332A" w:rsidR="000178F0" w:rsidRPr="00FE59B1" w:rsidRDefault="00706134">
            <w:pPr>
              <w:rPr>
                <w:rFonts w:cs="Arial"/>
                <w:szCs w:val="22"/>
              </w:rPr>
            </w:pPr>
            <w:proofErr w:type="spellStart"/>
            <w:r w:rsidRPr="00FE59B1">
              <w:rPr>
                <w:rFonts w:cs="Arial"/>
                <w:szCs w:val="22"/>
              </w:rPr>
              <w:t>eRA</w:t>
            </w:r>
            <w:proofErr w:type="spellEnd"/>
            <w:r w:rsidRPr="00FE59B1">
              <w:rPr>
                <w:rFonts w:cs="Arial"/>
                <w:szCs w:val="22"/>
              </w:rPr>
              <w:t xml:space="preserve"> COMMON USER NAME:    </w:t>
            </w:r>
            <w:r w:rsidR="00480AE7">
              <w:rPr>
                <w:rFonts w:cs="Arial"/>
                <w:szCs w:val="22"/>
              </w:rPr>
              <w:t xml:space="preserve">    </w:t>
            </w:r>
            <w:proofErr w:type="spellStart"/>
            <w:proofErr w:type="gramStart"/>
            <w:r w:rsidR="00C023D2">
              <w:rPr>
                <w:rFonts w:cs="Arial"/>
                <w:szCs w:val="22"/>
              </w:rPr>
              <w:t>n.kilsdonk</w:t>
            </w:r>
            <w:proofErr w:type="spellEnd"/>
            <w:proofErr w:type="gramEnd"/>
            <w:r w:rsidR="00480AE7">
              <w:rPr>
                <w:rFonts w:cs="Arial"/>
                <w:szCs w:val="22"/>
              </w:rPr>
              <w:t xml:space="preserve"> </w:t>
            </w:r>
          </w:p>
        </w:tc>
      </w:tr>
      <w:tr w:rsidR="00FE59B1" w:rsidRPr="00FE59B1" w14:paraId="5C5A3231" w14:textId="77777777" w:rsidTr="00706134">
        <w:trPr>
          <w:trHeight w:val="350"/>
        </w:trPr>
        <w:tc>
          <w:tcPr>
            <w:tcW w:w="9350" w:type="dxa"/>
            <w:gridSpan w:val="4"/>
          </w:tcPr>
          <w:p w14:paraId="6C037987" w14:textId="53918B36" w:rsidR="000178F0" w:rsidRPr="00FE59B1" w:rsidRDefault="00706134">
            <w:pPr>
              <w:rPr>
                <w:rFonts w:cs="Arial"/>
                <w:szCs w:val="22"/>
              </w:rPr>
            </w:pPr>
            <w:r w:rsidRPr="00FE59B1">
              <w:rPr>
                <w:rFonts w:cs="Arial"/>
                <w:szCs w:val="22"/>
              </w:rPr>
              <w:t xml:space="preserve">POSITION TITLE:                           </w:t>
            </w:r>
            <w:r w:rsidR="00566FC3" w:rsidRPr="00FE59B1">
              <w:rPr>
                <w:rFonts w:cs="Arial"/>
                <w:szCs w:val="22"/>
              </w:rPr>
              <w:t>MSc</w:t>
            </w:r>
            <w:r w:rsidRPr="00FE59B1">
              <w:rPr>
                <w:rFonts w:cs="Arial"/>
                <w:szCs w:val="22"/>
              </w:rPr>
              <w:t xml:space="preserve"> student</w:t>
            </w:r>
          </w:p>
        </w:tc>
      </w:tr>
      <w:tr w:rsidR="00FE59B1" w:rsidRPr="00FE59B1" w14:paraId="5B6D925E" w14:textId="77777777" w:rsidTr="00706134">
        <w:trPr>
          <w:trHeight w:val="350"/>
        </w:trPr>
        <w:tc>
          <w:tcPr>
            <w:tcW w:w="9350" w:type="dxa"/>
            <w:gridSpan w:val="4"/>
          </w:tcPr>
          <w:p w14:paraId="0B446F46" w14:textId="77777777" w:rsidR="000178F0" w:rsidRPr="00FE59B1" w:rsidRDefault="00706134">
            <w:pPr>
              <w:rPr>
                <w:rFonts w:cs="Arial"/>
                <w:szCs w:val="22"/>
              </w:rPr>
            </w:pPr>
            <w:r w:rsidRPr="00FE59B1">
              <w:rPr>
                <w:rFonts w:cs="Arial"/>
                <w:szCs w:val="22"/>
              </w:rPr>
              <w:t>EDUCATION/TRAINING</w:t>
            </w:r>
          </w:p>
        </w:tc>
      </w:tr>
      <w:tr w:rsidR="00FE59B1" w:rsidRPr="00FE59B1" w14:paraId="1365E3BB" w14:textId="77777777" w:rsidTr="00706134">
        <w:trPr>
          <w:trHeight w:val="350"/>
        </w:trPr>
        <w:tc>
          <w:tcPr>
            <w:tcW w:w="2695" w:type="dxa"/>
          </w:tcPr>
          <w:p w14:paraId="1594F3FF" w14:textId="77777777" w:rsidR="000178F0" w:rsidRPr="00FE59B1" w:rsidRDefault="00706134">
            <w:pPr>
              <w:rPr>
                <w:rFonts w:cs="Arial"/>
                <w:szCs w:val="22"/>
              </w:rPr>
            </w:pPr>
            <w:r w:rsidRPr="00FE59B1">
              <w:rPr>
                <w:rFonts w:cs="Arial"/>
                <w:szCs w:val="22"/>
              </w:rPr>
              <w:t>INSTITUTION</w:t>
            </w:r>
          </w:p>
        </w:tc>
        <w:tc>
          <w:tcPr>
            <w:tcW w:w="1979" w:type="dxa"/>
          </w:tcPr>
          <w:p w14:paraId="0E613AEE" w14:textId="77777777" w:rsidR="000178F0" w:rsidRPr="00FE59B1" w:rsidRDefault="00706134" w:rsidP="00706134">
            <w:pPr>
              <w:jc w:val="center"/>
              <w:rPr>
                <w:rFonts w:cs="Arial"/>
                <w:szCs w:val="22"/>
              </w:rPr>
            </w:pPr>
            <w:r w:rsidRPr="00FE59B1">
              <w:rPr>
                <w:rFonts w:cs="Arial"/>
                <w:szCs w:val="22"/>
              </w:rPr>
              <w:t>DEGREE</w:t>
            </w:r>
          </w:p>
        </w:tc>
        <w:tc>
          <w:tcPr>
            <w:tcW w:w="2338" w:type="dxa"/>
          </w:tcPr>
          <w:p w14:paraId="431E8644" w14:textId="77777777" w:rsidR="000178F0" w:rsidRPr="00FE59B1" w:rsidRDefault="00706134" w:rsidP="00706134">
            <w:pPr>
              <w:jc w:val="center"/>
              <w:rPr>
                <w:rFonts w:cs="Arial"/>
                <w:szCs w:val="22"/>
              </w:rPr>
            </w:pPr>
            <w:r w:rsidRPr="00FE59B1">
              <w:rPr>
                <w:rFonts w:cs="Arial"/>
                <w:szCs w:val="22"/>
              </w:rPr>
              <w:t>COMPLETION DATE</w:t>
            </w:r>
          </w:p>
        </w:tc>
        <w:tc>
          <w:tcPr>
            <w:tcW w:w="2338" w:type="dxa"/>
          </w:tcPr>
          <w:p w14:paraId="0511B553" w14:textId="77777777" w:rsidR="000178F0" w:rsidRPr="00FE59B1" w:rsidRDefault="00706134" w:rsidP="00706134">
            <w:pPr>
              <w:jc w:val="center"/>
              <w:rPr>
                <w:rFonts w:cs="Arial"/>
                <w:szCs w:val="22"/>
              </w:rPr>
            </w:pPr>
            <w:r w:rsidRPr="00FE59B1">
              <w:rPr>
                <w:rFonts w:cs="Arial"/>
                <w:szCs w:val="22"/>
              </w:rPr>
              <w:t>FIELD OF STUDY</w:t>
            </w:r>
          </w:p>
        </w:tc>
      </w:tr>
      <w:tr w:rsidR="000178F0" w:rsidRPr="00FE59B1" w14:paraId="0839B72F" w14:textId="77777777" w:rsidTr="00706134">
        <w:trPr>
          <w:trHeight w:val="620"/>
        </w:trPr>
        <w:tc>
          <w:tcPr>
            <w:tcW w:w="2695" w:type="dxa"/>
          </w:tcPr>
          <w:p w14:paraId="46DE47B6" w14:textId="77777777" w:rsidR="000178F0" w:rsidRPr="00FE59B1" w:rsidRDefault="00706134">
            <w:pPr>
              <w:rPr>
                <w:rFonts w:cs="Arial"/>
                <w:szCs w:val="22"/>
              </w:rPr>
            </w:pPr>
            <w:r w:rsidRPr="00FE59B1">
              <w:rPr>
                <w:rFonts w:cs="Arial"/>
                <w:szCs w:val="22"/>
              </w:rPr>
              <w:t>Erasmus University, Rotterdam, Netherlands</w:t>
            </w:r>
          </w:p>
        </w:tc>
        <w:tc>
          <w:tcPr>
            <w:tcW w:w="1979" w:type="dxa"/>
          </w:tcPr>
          <w:p w14:paraId="5871F598" w14:textId="3370027A" w:rsidR="000178F0" w:rsidRPr="00FE59B1" w:rsidRDefault="00566FC3" w:rsidP="00706134">
            <w:pPr>
              <w:jc w:val="center"/>
              <w:rPr>
                <w:rFonts w:cs="Arial"/>
                <w:szCs w:val="22"/>
              </w:rPr>
            </w:pPr>
            <w:r w:rsidRPr="00FE59B1">
              <w:rPr>
                <w:rFonts w:cs="Arial"/>
                <w:szCs w:val="22"/>
              </w:rPr>
              <w:t>BS</w:t>
            </w:r>
            <w:r w:rsidR="00706134" w:rsidRPr="00FE59B1">
              <w:rPr>
                <w:rFonts w:cs="Arial"/>
                <w:szCs w:val="22"/>
              </w:rPr>
              <w:t>c</w:t>
            </w:r>
          </w:p>
        </w:tc>
        <w:tc>
          <w:tcPr>
            <w:tcW w:w="2338" w:type="dxa"/>
          </w:tcPr>
          <w:p w14:paraId="26E7B850" w14:textId="0720A009" w:rsidR="000178F0" w:rsidRPr="00FE59B1" w:rsidRDefault="00706134" w:rsidP="00706134">
            <w:pPr>
              <w:jc w:val="center"/>
              <w:rPr>
                <w:rFonts w:cs="Arial"/>
                <w:szCs w:val="22"/>
              </w:rPr>
            </w:pPr>
            <w:r w:rsidRPr="00FE59B1">
              <w:rPr>
                <w:rFonts w:cs="Arial"/>
                <w:szCs w:val="22"/>
              </w:rPr>
              <w:t>0</w:t>
            </w:r>
            <w:r w:rsidR="00566FC3" w:rsidRPr="00FE59B1">
              <w:rPr>
                <w:rFonts w:cs="Arial"/>
                <w:szCs w:val="22"/>
              </w:rPr>
              <w:t>7</w:t>
            </w:r>
            <w:r w:rsidRPr="00FE59B1">
              <w:rPr>
                <w:rFonts w:cs="Arial"/>
                <w:szCs w:val="22"/>
              </w:rPr>
              <w:t>/202</w:t>
            </w:r>
            <w:r w:rsidR="00566FC3" w:rsidRPr="00FE59B1">
              <w:rPr>
                <w:rFonts w:cs="Arial"/>
                <w:szCs w:val="22"/>
              </w:rPr>
              <w:t>1</w:t>
            </w:r>
          </w:p>
        </w:tc>
        <w:tc>
          <w:tcPr>
            <w:tcW w:w="2338" w:type="dxa"/>
          </w:tcPr>
          <w:p w14:paraId="2296A4B7" w14:textId="77777777" w:rsidR="000178F0" w:rsidRPr="00FE59B1" w:rsidRDefault="00706134" w:rsidP="00706134">
            <w:pPr>
              <w:jc w:val="center"/>
              <w:rPr>
                <w:rFonts w:cs="Arial"/>
                <w:szCs w:val="22"/>
              </w:rPr>
            </w:pPr>
            <w:r w:rsidRPr="00FE59B1">
              <w:rPr>
                <w:rFonts w:cs="Arial"/>
                <w:szCs w:val="22"/>
              </w:rPr>
              <w:t>Econometrics</w:t>
            </w:r>
          </w:p>
        </w:tc>
      </w:tr>
    </w:tbl>
    <w:p w14:paraId="29352A1E" w14:textId="77777777" w:rsidR="000178F0" w:rsidRPr="00FE59B1" w:rsidRDefault="000178F0">
      <w:pPr>
        <w:rPr>
          <w:rFonts w:cs="Arial"/>
          <w:szCs w:val="22"/>
        </w:rPr>
      </w:pPr>
    </w:p>
    <w:p w14:paraId="779D8288" w14:textId="77777777" w:rsidR="00706134" w:rsidRPr="00FE59B1" w:rsidRDefault="00706134">
      <w:pPr>
        <w:rPr>
          <w:rFonts w:cs="Arial"/>
          <w:szCs w:val="22"/>
        </w:rPr>
      </w:pPr>
    </w:p>
    <w:p w14:paraId="70A5A01A" w14:textId="77777777" w:rsidR="00706134" w:rsidRPr="00FE59B1" w:rsidRDefault="00C70782" w:rsidP="00C70782">
      <w:pPr>
        <w:rPr>
          <w:rFonts w:cs="Arial"/>
          <w:b/>
          <w:szCs w:val="22"/>
        </w:rPr>
      </w:pPr>
      <w:r w:rsidRPr="00FE59B1">
        <w:rPr>
          <w:rFonts w:cs="Arial"/>
          <w:b/>
          <w:szCs w:val="22"/>
        </w:rPr>
        <w:t xml:space="preserve">A. </w:t>
      </w:r>
      <w:r w:rsidR="00706134" w:rsidRPr="00FE59B1">
        <w:rPr>
          <w:rFonts w:cs="Arial"/>
          <w:b/>
          <w:szCs w:val="22"/>
        </w:rPr>
        <w:t>Personal Statement</w:t>
      </w:r>
    </w:p>
    <w:p w14:paraId="1CFBF9A9" w14:textId="7B98D70B" w:rsidR="00C70782" w:rsidRPr="00480AE7" w:rsidRDefault="00480AE7" w:rsidP="00C70782">
      <w:r>
        <w:t xml:space="preserve">In </w:t>
      </w:r>
      <w:r>
        <w:t>2022</w:t>
      </w:r>
      <w:r>
        <w:t xml:space="preserve">, I started a </w:t>
      </w:r>
      <w:r>
        <w:t>MSc in Econometrics and Management Science at the Erasmus University in Rotterdam. I am currently employed as a thesis intern at</w:t>
      </w:r>
      <w:r>
        <w:t xml:space="preserve"> the Dept. of Public Health of Erasmus Medical Center (MC). As </w:t>
      </w:r>
      <w:r>
        <w:t>MSc thesis</w:t>
      </w:r>
      <w:r>
        <w:t xml:space="preserve"> </w:t>
      </w:r>
      <w:r>
        <w:t>intern</w:t>
      </w:r>
      <w:r>
        <w:t xml:space="preserve">, I will develop the Microsimulation Screening Analysis (MISCAN) model for colorectal cancer under the supervision of Iris </w:t>
      </w:r>
      <w:proofErr w:type="spellStart"/>
      <w:r>
        <w:t>Lansdorp-Vogelaar</w:t>
      </w:r>
      <w:proofErr w:type="spellEnd"/>
      <w:r>
        <w:t xml:space="preserve">, </w:t>
      </w:r>
      <w:r w:rsidRPr="00480AE7">
        <w:t xml:space="preserve">Rosita van den </w:t>
      </w:r>
      <w:proofErr w:type="spellStart"/>
      <w:r w:rsidRPr="00480AE7">
        <w:t>Puttelaar</w:t>
      </w:r>
      <w:proofErr w:type="spellEnd"/>
      <w:r>
        <w:t xml:space="preserve"> and Danica van den Berg,</w:t>
      </w:r>
      <w:r>
        <w:t xml:space="preserve"> and use the updated model to address questions of personalized screening and surveillance. </w:t>
      </w:r>
    </w:p>
    <w:p w14:paraId="30BB3B93" w14:textId="77777777" w:rsidR="00AE6B7C" w:rsidRPr="00FE59B1" w:rsidRDefault="00AE6B7C" w:rsidP="00AE6B7C">
      <w:pPr>
        <w:pStyle w:val="ListParagraph"/>
        <w:rPr>
          <w:rFonts w:cs="Arial"/>
          <w:b/>
          <w:szCs w:val="22"/>
        </w:rPr>
      </w:pPr>
    </w:p>
    <w:p w14:paraId="19E9514B" w14:textId="77777777" w:rsidR="00706134" w:rsidRPr="00FE59B1" w:rsidRDefault="00C70782" w:rsidP="00C70782">
      <w:pPr>
        <w:rPr>
          <w:rFonts w:cs="Arial"/>
          <w:b/>
          <w:szCs w:val="22"/>
        </w:rPr>
      </w:pPr>
      <w:r w:rsidRPr="00FE59B1">
        <w:rPr>
          <w:rFonts w:cs="Arial"/>
          <w:b/>
          <w:szCs w:val="22"/>
        </w:rPr>
        <w:t xml:space="preserve">B. </w:t>
      </w:r>
      <w:r w:rsidR="00706134" w:rsidRPr="00FE59B1">
        <w:rPr>
          <w:rFonts w:cs="Arial"/>
          <w:b/>
          <w:szCs w:val="22"/>
        </w:rPr>
        <w:t>Positions</w:t>
      </w:r>
      <w:r w:rsidR="00B67C87" w:rsidRPr="00FE59B1">
        <w:rPr>
          <w:rFonts w:cs="Arial"/>
          <w:b/>
          <w:szCs w:val="22"/>
        </w:rPr>
        <w:t xml:space="preserve"> and Employments</w:t>
      </w:r>
    </w:p>
    <w:tbl>
      <w:tblPr>
        <w:tblStyle w:val="TableGrid"/>
        <w:tblW w:w="0" w:type="auto"/>
        <w:tblLook w:val="04A0" w:firstRow="1" w:lastRow="0" w:firstColumn="1" w:lastColumn="0" w:noHBand="0" w:noVBand="1"/>
      </w:tblPr>
      <w:tblGrid>
        <w:gridCol w:w="1696"/>
        <w:gridCol w:w="7654"/>
      </w:tblGrid>
      <w:tr w:rsidR="000C7564" w:rsidRPr="000C7564" w14:paraId="3AA42ED1" w14:textId="2C2F3E75" w:rsidTr="000C7564">
        <w:tc>
          <w:tcPr>
            <w:tcW w:w="1696" w:type="dxa"/>
          </w:tcPr>
          <w:p w14:paraId="170BCC2A" w14:textId="684CD233" w:rsidR="000C7564" w:rsidRPr="000C7564" w:rsidRDefault="000C7564" w:rsidP="000C7564">
            <w:pPr>
              <w:rPr>
                <w:rFonts w:eastAsiaTheme="minorHAnsi"/>
                <w:sz w:val="22"/>
                <w:szCs w:val="22"/>
                <w:lang w:val="en-GB"/>
              </w:rPr>
            </w:pPr>
            <w:r w:rsidRPr="000C7564">
              <w:rPr>
                <w:rFonts w:eastAsiaTheme="minorHAnsi"/>
                <w:sz w:val="22"/>
                <w:szCs w:val="22"/>
                <w:lang w:val="en-GB"/>
              </w:rPr>
              <w:t>2021 – present</w:t>
            </w:r>
          </w:p>
        </w:tc>
        <w:tc>
          <w:tcPr>
            <w:tcW w:w="7654" w:type="dxa"/>
          </w:tcPr>
          <w:p w14:paraId="7ABC9C6F" w14:textId="3E811FCF" w:rsidR="000C7564" w:rsidRDefault="000C7564" w:rsidP="000C7564">
            <w:pPr>
              <w:rPr>
                <w:rFonts w:eastAsiaTheme="minorHAnsi"/>
                <w:i/>
                <w:iCs/>
                <w:sz w:val="22"/>
                <w:szCs w:val="22"/>
                <w:lang w:val="en-GB"/>
              </w:rPr>
            </w:pPr>
            <w:r w:rsidRPr="000C7564">
              <w:rPr>
                <w:rFonts w:eastAsiaTheme="minorHAnsi"/>
                <w:i/>
                <w:iCs/>
                <w:sz w:val="22"/>
                <w:szCs w:val="22"/>
                <w:lang w:val="en-GB"/>
              </w:rPr>
              <w:t>Administrative employee &amp; research assistant | ERASMUS MC</w:t>
            </w:r>
          </w:p>
          <w:p w14:paraId="7AAE3105" w14:textId="77777777" w:rsidR="000C7564" w:rsidRPr="000C7564" w:rsidRDefault="000C7564" w:rsidP="000C7564">
            <w:pPr>
              <w:rPr>
                <w:rFonts w:eastAsiaTheme="minorHAnsi"/>
                <w:i/>
                <w:iCs/>
                <w:sz w:val="22"/>
                <w:szCs w:val="22"/>
                <w:lang w:val="en-GB"/>
              </w:rPr>
            </w:pPr>
          </w:p>
          <w:p w14:paraId="2B7BD649" w14:textId="1858F1ED" w:rsidR="000C7564" w:rsidRPr="000C7564" w:rsidRDefault="000C7564" w:rsidP="000C7564">
            <w:pPr>
              <w:rPr>
                <w:rFonts w:eastAsiaTheme="minorHAnsi"/>
                <w:sz w:val="22"/>
                <w:szCs w:val="22"/>
                <w:lang w:val="en-GB"/>
              </w:rPr>
            </w:pPr>
            <w:r w:rsidRPr="000C7564">
              <w:rPr>
                <w:rFonts w:eastAsiaTheme="minorHAnsi"/>
                <w:sz w:val="22"/>
                <w:szCs w:val="22"/>
                <w:lang w:val="en-GB"/>
              </w:rPr>
              <w:t xml:space="preserve">A healthcare professional can submit a request to have radiological images reassessed by our department's radiologists or nuclear physicians. </w:t>
            </w:r>
            <w:r>
              <w:rPr>
                <w:rFonts w:eastAsiaTheme="minorHAnsi"/>
                <w:sz w:val="22"/>
                <w:szCs w:val="22"/>
                <w:lang w:val="en-GB"/>
              </w:rPr>
              <w:t>We then</w:t>
            </w:r>
            <w:r w:rsidRPr="000C7564">
              <w:rPr>
                <w:rFonts w:eastAsiaTheme="minorHAnsi"/>
                <w:sz w:val="22"/>
                <w:szCs w:val="22"/>
                <w:lang w:val="en-GB"/>
              </w:rPr>
              <w:t xml:space="preserve"> handle all kinds of administrative work regarding the incoming applications for reassessments, which must be discussed in the multidisciplinary consultation</w:t>
            </w:r>
            <w:r>
              <w:rPr>
                <w:rFonts w:eastAsiaTheme="minorHAnsi"/>
                <w:sz w:val="22"/>
                <w:szCs w:val="22"/>
                <w:lang w:val="en-GB"/>
              </w:rPr>
              <w:t>.</w:t>
            </w:r>
          </w:p>
        </w:tc>
      </w:tr>
      <w:tr w:rsidR="000C7564" w:rsidRPr="000C7564" w14:paraId="1865312F" w14:textId="48D888CF" w:rsidTr="000C7564">
        <w:tc>
          <w:tcPr>
            <w:tcW w:w="1696" w:type="dxa"/>
          </w:tcPr>
          <w:p w14:paraId="47A4CD4F" w14:textId="1A78E82C" w:rsidR="000C7564" w:rsidRPr="000C7564" w:rsidRDefault="000C7564" w:rsidP="000C7564">
            <w:pPr>
              <w:rPr>
                <w:rFonts w:eastAsiaTheme="minorHAnsi"/>
                <w:sz w:val="22"/>
                <w:szCs w:val="22"/>
                <w:lang w:val="en-GB"/>
              </w:rPr>
            </w:pPr>
            <w:r w:rsidRPr="000C7564">
              <w:rPr>
                <w:rFonts w:eastAsiaTheme="minorHAnsi"/>
                <w:sz w:val="22"/>
                <w:szCs w:val="22"/>
                <w:lang w:val="en-GB"/>
              </w:rPr>
              <w:t>2019 – 2020</w:t>
            </w:r>
          </w:p>
        </w:tc>
        <w:tc>
          <w:tcPr>
            <w:tcW w:w="7654" w:type="dxa"/>
          </w:tcPr>
          <w:p w14:paraId="4C6AACD6" w14:textId="77777777" w:rsidR="000C7564" w:rsidRPr="00811C37" w:rsidRDefault="000C7564" w:rsidP="000C7564">
            <w:pPr>
              <w:rPr>
                <w:rFonts w:eastAsiaTheme="minorHAnsi"/>
                <w:i/>
                <w:iCs/>
                <w:sz w:val="22"/>
                <w:szCs w:val="22"/>
                <w:lang w:val="en-GB"/>
              </w:rPr>
            </w:pPr>
            <w:r w:rsidRPr="00811C37">
              <w:rPr>
                <w:rFonts w:eastAsiaTheme="minorHAnsi"/>
                <w:i/>
                <w:iCs/>
                <w:sz w:val="22"/>
                <w:szCs w:val="22"/>
                <w:lang w:val="en-GB"/>
              </w:rPr>
              <w:t>Product Specialist | Apple Store</w:t>
            </w:r>
          </w:p>
          <w:p w14:paraId="39E872BE" w14:textId="77777777" w:rsidR="00510276" w:rsidRDefault="00510276" w:rsidP="000C7564">
            <w:pPr>
              <w:rPr>
                <w:rFonts w:eastAsiaTheme="minorHAnsi"/>
                <w:sz w:val="22"/>
                <w:szCs w:val="22"/>
                <w:lang w:val="en-GB"/>
              </w:rPr>
            </w:pPr>
          </w:p>
          <w:p w14:paraId="36054252" w14:textId="4DE78CDB" w:rsidR="00510276" w:rsidRPr="000C7564" w:rsidRDefault="00510276" w:rsidP="00510276">
            <w:pPr>
              <w:rPr>
                <w:rFonts w:eastAsiaTheme="minorHAnsi"/>
                <w:sz w:val="22"/>
                <w:szCs w:val="22"/>
                <w:lang w:val="en-GB"/>
              </w:rPr>
            </w:pPr>
            <w:r w:rsidRPr="00510276">
              <w:rPr>
                <w:rFonts w:eastAsiaTheme="minorHAnsi"/>
                <w:sz w:val="22"/>
                <w:szCs w:val="22"/>
                <w:lang w:val="en-GB"/>
              </w:rPr>
              <w:t>Specialist</w:t>
            </w:r>
            <w:r>
              <w:rPr>
                <w:rFonts w:eastAsiaTheme="minorHAnsi"/>
                <w:sz w:val="22"/>
                <w:szCs w:val="22"/>
                <w:lang w:val="en-GB"/>
              </w:rPr>
              <w:t>s</w:t>
            </w:r>
            <w:r w:rsidRPr="00510276">
              <w:rPr>
                <w:rFonts w:eastAsiaTheme="minorHAnsi"/>
                <w:sz w:val="22"/>
                <w:szCs w:val="22"/>
                <w:lang w:val="en-GB"/>
              </w:rPr>
              <w:t xml:space="preserve"> are the first employee who meets the customers upon arrival, </w:t>
            </w:r>
            <w:r>
              <w:rPr>
                <w:rFonts w:eastAsiaTheme="minorHAnsi"/>
                <w:sz w:val="22"/>
                <w:szCs w:val="22"/>
                <w:lang w:val="en-GB"/>
              </w:rPr>
              <w:t>and the one</w:t>
            </w:r>
            <w:r w:rsidRPr="00510276">
              <w:rPr>
                <w:rFonts w:eastAsiaTheme="minorHAnsi"/>
                <w:sz w:val="22"/>
                <w:szCs w:val="22"/>
                <w:lang w:val="en-GB"/>
              </w:rPr>
              <w:t xml:space="preserve"> who guides them: </w:t>
            </w:r>
            <w:r>
              <w:rPr>
                <w:rFonts w:eastAsiaTheme="minorHAnsi"/>
                <w:sz w:val="22"/>
                <w:szCs w:val="22"/>
                <w:lang w:val="en-GB"/>
              </w:rPr>
              <w:t>we</w:t>
            </w:r>
            <w:r w:rsidRPr="00510276">
              <w:rPr>
                <w:rFonts w:eastAsiaTheme="minorHAnsi"/>
                <w:sz w:val="22"/>
                <w:szCs w:val="22"/>
                <w:lang w:val="en-GB"/>
              </w:rPr>
              <w:t xml:space="preserve"> give advice, sell products and, if necessary, help them on their way with their purchase. </w:t>
            </w:r>
            <w:r>
              <w:rPr>
                <w:rFonts w:eastAsiaTheme="minorHAnsi"/>
                <w:sz w:val="22"/>
                <w:szCs w:val="22"/>
                <w:lang w:val="en-GB"/>
              </w:rPr>
              <w:t>We</w:t>
            </w:r>
            <w:r w:rsidRPr="00510276">
              <w:rPr>
                <w:rFonts w:eastAsiaTheme="minorHAnsi"/>
                <w:sz w:val="22"/>
                <w:szCs w:val="22"/>
                <w:lang w:val="en-GB"/>
              </w:rPr>
              <w:t xml:space="preserve"> also </w:t>
            </w:r>
            <w:proofErr w:type="spellStart"/>
            <w:r w:rsidRPr="00510276">
              <w:rPr>
                <w:rFonts w:eastAsiaTheme="minorHAnsi"/>
                <w:sz w:val="22"/>
                <w:szCs w:val="22"/>
                <w:lang w:val="en-GB"/>
              </w:rPr>
              <w:t>fulfill</w:t>
            </w:r>
            <w:proofErr w:type="spellEnd"/>
            <w:r w:rsidRPr="00510276">
              <w:rPr>
                <w:rFonts w:eastAsiaTheme="minorHAnsi"/>
                <w:sz w:val="22"/>
                <w:szCs w:val="22"/>
                <w:lang w:val="en-GB"/>
              </w:rPr>
              <w:t xml:space="preserve"> other tasks, such as attractively presenting the products in the store and assisting other team members.</w:t>
            </w:r>
          </w:p>
        </w:tc>
      </w:tr>
      <w:tr w:rsidR="000C7564" w:rsidRPr="00811C37" w14:paraId="4CF13D13" w14:textId="02CE0475" w:rsidTr="000C7564">
        <w:tc>
          <w:tcPr>
            <w:tcW w:w="1696" w:type="dxa"/>
          </w:tcPr>
          <w:p w14:paraId="7D1C979C" w14:textId="2B6FB255" w:rsidR="000C7564" w:rsidRPr="000C7564" w:rsidRDefault="000C7564" w:rsidP="000C7564">
            <w:pPr>
              <w:rPr>
                <w:rFonts w:eastAsiaTheme="minorHAnsi"/>
                <w:sz w:val="22"/>
                <w:szCs w:val="22"/>
                <w:lang w:val="nl-NL"/>
              </w:rPr>
            </w:pPr>
            <w:r w:rsidRPr="000C7564">
              <w:rPr>
                <w:rFonts w:eastAsiaTheme="minorHAnsi"/>
                <w:sz w:val="22"/>
                <w:szCs w:val="22"/>
                <w:lang w:val="nl-NL"/>
              </w:rPr>
              <w:t xml:space="preserve">2017 – 2019 </w:t>
            </w:r>
          </w:p>
        </w:tc>
        <w:tc>
          <w:tcPr>
            <w:tcW w:w="7654" w:type="dxa"/>
          </w:tcPr>
          <w:p w14:paraId="1B469A04" w14:textId="77777777" w:rsidR="00510276" w:rsidRPr="00811C37" w:rsidRDefault="000C7564" w:rsidP="000C7564">
            <w:pPr>
              <w:rPr>
                <w:rFonts w:eastAsiaTheme="minorHAnsi"/>
                <w:i/>
                <w:iCs/>
                <w:sz w:val="22"/>
                <w:szCs w:val="22"/>
                <w:lang w:val="nl-NL"/>
              </w:rPr>
            </w:pPr>
            <w:proofErr w:type="spellStart"/>
            <w:r w:rsidRPr="00811C37">
              <w:rPr>
                <w:rFonts w:eastAsiaTheme="minorHAnsi"/>
                <w:i/>
                <w:iCs/>
                <w:sz w:val="22"/>
                <w:szCs w:val="22"/>
                <w:lang w:val="nl-NL"/>
              </w:rPr>
              <w:t>Pharmacy</w:t>
            </w:r>
            <w:proofErr w:type="spellEnd"/>
            <w:r w:rsidRPr="00811C37">
              <w:rPr>
                <w:rFonts w:eastAsiaTheme="minorHAnsi"/>
                <w:i/>
                <w:iCs/>
                <w:sz w:val="22"/>
                <w:szCs w:val="22"/>
                <w:lang w:val="nl-NL"/>
              </w:rPr>
              <w:t xml:space="preserve"> </w:t>
            </w:r>
            <w:proofErr w:type="spellStart"/>
            <w:r w:rsidRPr="00811C37">
              <w:rPr>
                <w:rFonts w:eastAsiaTheme="minorHAnsi"/>
                <w:i/>
                <w:iCs/>
                <w:sz w:val="22"/>
                <w:szCs w:val="22"/>
                <w:lang w:val="nl-NL"/>
              </w:rPr>
              <w:t>assistant</w:t>
            </w:r>
            <w:proofErr w:type="spellEnd"/>
            <w:r w:rsidRPr="00811C37">
              <w:rPr>
                <w:rFonts w:eastAsiaTheme="minorHAnsi"/>
                <w:i/>
                <w:iCs/>
                <w:sz w:val="22"/>
                <w:szCs w:val="22"/>
                <w:lang w:val="nl-NL"/>
              </w:rPr>
              <w:t xml:space="preserve"> | </w:t>
            </w:r>
            <w:proofErr w:type="spellStart"/>
            <w:r w:rsidRPr="00811C37">
              <w:rPr>
                <w:rFonts w:eastAsiaTheme="minorHAnsi"/>
                <w:i/>
                <w:iCs/>
                <w:sz w:val="22"/>
                <w:szCs w:val="22"/>
                <w:lang w:val="nl-NL"/>
              </w:rPr>
              <w:t>Kennemerbax</w:t>
            </w:r>
            <w:proofErr w:type="spellEnd"/>
            <w:r w:rsidRPr="00811C37">
              <w:rPr>
                <w:rFonts w:eastAsiaTheme="minorHAnsi"/>
                <w:i/>
                <w:iCs/>
                <w:sz w:val="22"/>
                <w:szCs w:val="22"/>
                <w:lang w:val="nl-NL"/>
              </w:rPr>
              <w:t xml:space="preserve"> geneesmiddelen distributiecentrum</w:t>
            </w:r>
          </w:p>
          <w:p w14:paraId="7781F28F" w14:textId="77777777" w:rsidR="00811C37" w:rsidRDefault="00811C37" w:rsidP="000C7564">
            <w:pPr>
              <w:rPr>
                <w:rFonts w:eastAsiaTheme="minorHAnsi"/>
                <w:sz w:val="22"/>
                <w:szCs w:val="22"/>
                <w:lang w:val="nl-NL"/>
              </w:rPr>
            </w:pPr>
          </w:p>
          <w:p w14:paraId="348DA69D" w14:textId="16AC9EF6" w:rsidR="00811C37" w:rsidRPr="00811C37" w:rsidRDefault="00811C37" w:rsidP="00811C37">
            <w:pPr>
              <w:rPr>
                <w:rFonts w:eastAsiaTheme="minorHAnsi"/>
                <w:sz w:val="22"/>
                <w:szCs w:val="22"/>
              </w:rPr>
            </w:pPr>
            <w:r w:rsidRPr="00811C37">
              <w:rPr>
                <w:rFonts w:eastAsiaTheme="minorHAnsi"/>
                <w:sz w:val="22"/>
                <w:szCs w:val="22"/>
              </w:rPr>
              <w:t xml:space="preserve">As a pharmacy assistant, we </w:t>
            </w:r>
            <w:r>
              <w:rPr>
                <w:rFonts w:eastAsiaTheme="minorHAnsi"/>
                <w:sz w:val="22"/>
                <w:szCs w:val="22"/>
              </w:rPr>
              <w:t xml:space="preserve">operated the machines who prepack </w:t>
            </w:r>
            <w:r w:rsidRPr="00811C37">
              <w:rPr>
                <w:rFonts w:eastAsiaTheme="minorHAnsi"/>
                <w:sz w:val="22"/>
                <w:szCs w:val="22"/>
              </w:rPr>
              <w:t>medicines for one whole week in a roll</w:t>
            </w:r>
            <w:r>
              <w:rPr>
                <w:rFonts w:eastAsiaTheme="minorHAnsi"/>
                <w:sz w:val="22"/>
                <w:szCs w:val="22"/>
              </w:rPr>
              <w:t xml:space="preserve"> for other pharmacies (</w:t>
            </w:r>
            <w:proofErr w:type="spellStart"/>
            <w:r>
              <w:rPr>
                <w:rFonts w:eastAsiaTheme="minorHAnsi"/>
                <w:sz w:val="22"/>
                <w:szCs w:val="22"/>
              </w:rPr>
              <w:t>b</w:t>
            </w:r>
            <w:r w:rsidRPr="00811C37">
              <w:rPr>
                <w:rFonts w:eastAsiaTheme="minorHAnsi"/>
                <w:sz w:val="22"/>
                <w:szCs w:val="22"/>
              </w:rPr>
              <w:t>axter</w:t>
            </w:r>
            <w:r>
              <w:rPr>
                <w:rFonts w:eastAsiaTheme="minorHAnsi"/>
                <w:sz w:val="22"/>
                <w:szCs w:val="22"/>
              </w:rPr>
              <w:t>ing</w:t>
            </w:r>
            <w:proofErr w:type="spellEnd"/>
            <w:r>
              <w:rPr>
                <w:rFonts w:eastAsiaTheme="minorHAnsi"/>
                <w:sz w:val="22"/>
                <w:szCs w:val="22"/>
              </w:rPr>
              <w:t>).</w:t>
            </w:r>
          </w:p>
        </w:tc>
      </w:tr>
      <w:tr w:rsidR="000C7564" w:rsidRPr="000C7564" w14:paraId="48FA6DDF" w14:textId="393DB206" w:rsidTr="000C7564">
        <w:tc>
          <w:tcPr>
            <w:tcW w:w="1696" w:type="dxa"/>
          </w:tcPr>
          <w:p w14:paraId="5DC0D00D" w14:textId="6F90293F" w:rsidR="000C7564" w:rsidRPr="000C7564" w:rsidRDefault="000C7564" w:rsidP="000C7564">
            <w:pPr>
              <w:rPr>
                <w:rFonts w:eastAsiaTheme="minorHAnsi"/>
                <w:sz w:val="22"/>
                <w:szCs w:val="22"/>
              </w:rPr>
            </w:pPr>
            <w:r w:rsidRPr="000C7564">
              <w:rPr>
                <w:rFonts w:eastAsiaTheme="minorHAnsi"/>
                <w:sz w:val="22"/>
                <w:szCs w:val="22"/>
              </w:rPr>
              <w:t>2019</w:t>
            </w:r>
          </w:p>
        </w:tc>
        <w:tc>
          <w:tcPr>
            <w:tcW w:w="7654" w:type="dxa"/>
          </w:tcPr>
          <w:p w14:paraId="541291BD" w14:textId="25BB2A84" w:rsidR="000C7564" w:rsidRDefault="000C7564" w:rsidP="000C7564">
            <w:pPr>
              <w:rPr>
                <w:rFonts w:eastAsiaTheme="minorHAnsi"/>
                <w:i/>
                <w:iCs/>
                <w:sz w:val="22"/>
                <w:szCs w:val="22"/>
              </w:rPr>
            </w:pPr>
            <w:r w:rsidRPr="00811C37">
              <w:rPr>
                <w:rFonts w:eastAsiaTheme="minorHAnsi"/>
                <w:i/>
                <w:iCs/>
                <w:sz w:val="22"/>
                <w:szCs w:val="22"/>
              </w:rPr>
              <w:t>Tutor</w:t>
            </w:r>
            <w:r w:rsidR="00811C37">
              <w:rPr>
                <w:rFonts w:eastAsiaTheme="minorHAnsi"/>
                <w:i/>
                <w:iCs/>
                <w:sz w:val="22"/>
                <w:szCs w:val="22"/>
              </w:rPr>
              <w:t xml:space="preserve"> | Universiteit van Amsterdam</w:t>
            </w:r>
          </w:p>
          <w:p w14:paraId="185ACAEB" w14:textId="77777777" w:rsidR="00811C37" w:rsidRPr="00811C37" w:rsidRDefault="00811C37" w:rsidP="000C7564">
            <w:pPr>
              <w:rPr>
                <w:rFonts w:eastAsiaTheme="minorHAnsi"/>
                <w:sz w:val="22"/>
                <w:szCs w:val="22"/>
              </w:rPr>
            </w:pPr>
          </w:p>
          <w:p w14:paraId="0EE36A9F" w14:textId="47A8AC19" w:rsidR="000C7564" w:rsidRPr="000C7564" w:rsidRDefault="00811C37" w:rsidP="000C7564">
            <w:pPr>
              <w:rPr>
                <w:rFonts w:eastAsiaTheme="minorHAnsi"/>
                <w:sz w:val="22"/>
                <w:szCs w:val="22"/>
              </w:rPr>
            </w:pPr>
            <w:r>
              <w:rPr>
                <w:rFonts w:eastAsiaTheme="minorHAnsi"/>
                <w:sz w:val="22"/>
                <w:szCs w:val="22"/>
                <w:lang w:val="en-GB"/>
              </w:rPr>
              <w:t xml:space="preserve">I tutored in </w:t>
            </w:r>
            <w:r w:rsidR="000C7564" w:rsidRPr="000C7564">
              <w:rPr>
                <w:rFonts w:eastAsiaTheme="minorHAnsi"/>
                <w:sz w:val="22"/>
                <w:szCs w:val="22"/>
                <w:lang w:val="en-GB"/>
              </w:rPr>
              <w:t>Mathematics and Business Mathematics Quantitative Research Methods I</w:t>
            </w:r>
          </w:p>
        </w:tc>
      </w:tr>
    </w:tbl>
    <w:p w14:paraId="26E06A63" w14:textId="77777777" w:rsidR="00B67C87" w:rsidRPr="00FE59B1" w:rsidRDefault="00B67C87" w:rsidP="00B67C87">
      <w:pPr>
        <w:pStyle w:val="ListParagraph"/>
        <w:rPr>
          <w:rFonts w:cs="Arial"/>
          <w:b/>
          <w:szCs w:val="22"/>
          <w:lang w:val="en-GB"/>
        </w:rPr>
      </w:pPr>
    </w:p>
    <w:p w14:paraId="136B3C8F" w14:textId="77777777" w:rsidR="00B67C87" w:rsidRPr="00FE59B1" w:rsidRDefault="00B67C87" w:rsidP="00B67C87">
      <w:pPr>
        <w:pStyle w:val="ListParagraph"/>
        <w:rPr>
          <w:rFonts w:cs="Arial"/>
          <w:b/>
          <w:szCs w:val="22"/>
        </w:rPr>
      </w:pPr>
    </w:p>
    <w:p w14:paraId="13FEF020" w14:textId="686CAB1A" w:rsidR="00706134" w:rsidRPr="00FE59B1" w:rsidRDefault="00C70782" w:rsidP="00C70782">
      <w:pPr>
        <w:rPr>
          <w:rFonts w:cs="Arial"/>
          <w:b/>
          <w:szCs w:val="22"/>
        </w:rPr>
      </w:pPr>
      <w:r w:rsidRPr="00FE59B1">
        <w:rPr>
          <w:rFonts w:cs="Arial"/>
          <w:b/>
          <w:szCs w:val="22"/>
        </w:rPr>
        <w:t xml:space="preserve">C. </w:t>
      </w:r>
      <w:r w:rsidR="00706134" w:rsidRPr="00FE59B1">
        <w:rPr>
          <w:rFonts w:cs="Arial"/>
          <w:b/>
          <w:szCs w:val="22"/>
        </w:rPr>
        <w:t>Contribution to Science</w:t>
      </w:r>
    </w:p>
    <w:p w14:paraId="3D039B0F" w14:textId="61CCDF98" w:rsidR="00765C8D" w:rsidRPr="00FE59B1" w:rsidRDefault="00765C8D" w:rsidP="00FE59B1">
      <w:pPr>
        <w:rPr>
          <w:rFonts w:cs="Arial"/>
          <w:szCs w:val="22"/>
          <w:u w:val="single"/>
          <w:shd w:val="clear" w:color="auto" w:fill="FFFFFF"/>
          <w:lang w:eastAsia="en-GB"/>
        </w:rPr>
      </w:pPr>
      <w:r w:rsidRPr="00FE59B1">
        <w:rPr>
          <w:rFonts w:cs="Arial"/>
          <w:szCs w:val="22"/>
          <w:u w:val="single"/>
          <w:shd w:val="clear" w:color="auto" w:fill="FFFFFF"/>
          <w:lang w:eastAsia="en-GB"/>
        </w:rPr>
        <w:t>Bachelor seminar:</w:t>
      </w:r>
      <w:r w:rsidR="00480AE7">
        <w:rPr>
          <w:rFonts w:cs="Arial"/>
          <w:szCs w:val="22"/>
          <w:u w:val="single"/>
          <w:shd w:val="clear" w:color="auto" w:fill="FFFFFF"/>
          <w:lang w:eastAsia="en-GB"/>
        </w:rPr>
        <w:t xml:space="preserve"> </w:t>
      </w:r>
      <w:r w:rsidR="00480AE7">
        <w:rPr>
          <w:rFonts w:cs="Arial"/>
          <w:bCs/>
          <w:szCs w:val="22"/>
          <w:u w:val="single"/>
        </w:rPr>
        <w:t>(co-author)</w:t>
      </w:r>
    </w:p>
    <w:p w14:paraId="4E605508" w14:textId="1E67E7CD" w:rsidR="00765C8D" w:rsidRPr="00FE59B1" w:rsidRDefault="00FE59B1" w:rsidP="00FE59B1">
      <w:pPr>
        <w:rPr>
          <w:rFonts w:cs="Arial"/>
          <w:b/>
          <w:bCs/>
          <w:szCs w:val="22"/>
          <w:lang w:eastAsia="en-GB"/>
        </w:rPr>
      </w:pPr>
      <w:r w:rsidRPr="00FE59B1">
        <w:rPr>
          <w:rFonts w:cs="Arial"/>
          <w:b/>
          <w:bCs/>
          <w:szCs w:val="22"/>
          <w:lang w:eastAsia="en-GB"/>
        </w:rPr>
        <w:lastRenderedPageBreak/>
        <w:t>“</w:t>
      </w:r>
      <w:r w:rsidR="00765C8D" w:rsidRPr="00FE59B1">
        <w:rPr>
          <w:rFonts w:cs="Arial"/>
          <w:b/>
          <w:bCs/>
          <w:szCs w:val="22"/>
          <w:lang w:val="en-NL" w:eastAsia="en-GB"/>
        </w:rPr>
        <w:t>A regression discontinuity design study:</w:t>
      </w:r>
      <w:r w:rsidRPr="00FE59B1">
        <w:rPr>
          <w:rFonts w:cs="Arial"/>
          <w:b/>
          <w:bCs/>
          <w:szCs w:val="22"/>
          <w:lang w:eastAsia="en-GB"/>
        </w:rPr>
        <w:t xml:space="preserve"> </w:t>
      </w:r>
      <w:r w:rsidR="00765C8D" w:rsidRPr="00FE59B1">
        <w:rPr>
          <w:rFonts w:cs="Arial"/>
          <w:b/>
          <w:bCs/>
          <w:szCs w:val="22"/>
          <w:lang w:val="en-NL" w:eastAsia="en-GB"/>
        </w:rPr>
        <w:t>How perceived corruption affects foreign direct</w:t>
      </w:r>
      <w:r w:rsidRPr="00FE59B1">
        <w:rPr>
          <w:rFonts w:cs="Arial"/>
          <w:b/>
          <w:bCs/>
          <w:szCs w:val="22"/>
          <w:lang w:eastAsia="en-GB"/>
        </w:rPr>
        <w:t xml:space="preserve"> </w:t>
      </w:r>
      <w:r w:rsidR="00765C8D" w:rsidRPr="00FE59B1">
        <w:rPr>
          <w:rFonts w:cs="Arial"/>
          <w:b/>
          <w:bCs/>
          <w:szCs w:val="22"/>
          <w:lang w:val="en-NL" w:eastAsia="en-GB"/>
        </w:rPr>
        <w:t>investments</w:t>
      </w:r>
      <w:r w:rsidRPr="00FE59B1">
        <w:rPr>
          <w:rFonts w:cs="Arial"/>
          <w:b/>
          <w:bCs/>
          <w:szCs w:val="22"/>
          <w:lang w:eastAsia="en-GB"/>
        </w:rPr>
        <w:t>”</w:t>
      </w:r>
    </w:p>
    <w:p w14:paraId="2BECF870" w14:textId="190AC314" w:rsidR="00765C8D" w:rsidRPr="00FE59B1" w:rsidRDefault="00765C8D" w:rsidP="00FE59B1">
      <w:pPr>
        <w:rPr>
          <w:rFonts w:cs="Arial"/>
          <w:szCs w:val="22"/>
          <w:shd w:val="clear" w:color="auto" w:fill="FFFFFF"/>
          <w:lang w:eastAsia="en-GB"/>
        </w:rPr>
      </w:pPr>
      <w:r w:rsidRPr="00FE59B1">
        <w:rPr>
          <w:rFonts w:cs="Arial"/>
          <w:szCs w:val="22"/>
          <w:shd w:val="clear" w:color="auto" w:fill="FFFFFF"/>
          <w:lang w:eastAsia="en-GB"/>
        </w:rPr>
        <w:t xml:space="preserve">In this paper, we measure the effect of the binary classification of being perceived as either more or less corrupt on foreign direct investments (FDI). This research uses Transparency International's Corruption Perceptions Index (CPI) as measure of perceived corruption. This report is the first that analyses the effect of perceived corruption by means of regression discontinuity design (RDD). We </w:t>
      </w:r>
      <w:proofErr w:type="spellStart"/>
      <w:r w:rsidRPr="00FE59B1">
        <w:rPr>
          <w:rFonts w:cs="Arial"/>
          <w:szCs w:val="22"/>
          <w:shd w:val="clear" w:color="auto" w:fill="FFFFFF"/>
          <w:lang w:eastAsia="en-GB"/>
        </w:rPr>
        <w:t>analyse</w:t>
      </w:r>
      <w:proofErr w:type="spellEnd"/>
      <w:r w:rsidRPr="00FE59B1">
        <w:rPr>
          <w:rFonts w:cs="Arial"/>
          <w:szCs w:val="22"/>
          <w:shd w:val="clear" w:color="auto" w:fill="FFFFFF"/>
          <w:lang w:eastAsia="en-GB"/>
        </w:rPr>
        <w:t xml:space="preserve"> the data of FDI, CPI, gross domestic product, and population size for 152 countries over the period of 2012 to 2019 using RDD. We find no discontinuous effects of perceived corruption around the predetermined threshold of 50 on the CPI on both FDI scaled by population and FDI attractiveness. Therefore, these results suggest that companies generally do not base their investments on a country's perceived corruption classification.</w:t>
      </w:r>
    </w:p>
    <w:p w14:paraId="364EBB9D" w14:textId="77777777" w:rsidR="00C70782" w:rsidRPr="00FE59B1" w:rsidRDefault="00C70782" w:rsidP="00FE59B1">
      <w:pPr>
        <w:rPr>
          <w:rFonts w:cs="Arial"/>
          <w:b/>
          <w:szCs w:val="22"/>
        </w:rPr>
      </w:pPr>
    </w:p>
    <w:p w14:paraId="05805486" w14:textId="77777777" w:rsidR="0029247A" w:rsidRPr="00FE59B1" w:rsidRDefault="0029247A" w:rsidP="00FE59B1">
      <w:pPr>
        <w:rPr>
          <w:rFonts w:cs="Arial"/>
          <w:szCs w:val="22"/>
          <w:u w:val="single"/>
        </w:rPr>
      </w:pPr>
      <w:r w:rsidRPr="00FE59B1">
        <w:rPr>
          <w:rFonts w:cs="Arial"/>
          <w:szCs w:val="22"/>
          <w:u w:val="single"/>
        </w:rPr>
        <w:t>Bachelor thesis:</w:t>
      </w:r>
    </w:p>
    <w:p w14:paraId="63215A32" w14:textId="77D93E59" w:rsidR="00566FC3" w:rsidRPr="00FE59B1" w:rsidRDefault="00FE59B1" w:rsidP="00FE59B1">
      <w:pPr>
        <w:rPr>
          <w:rFonts w:cs="Arial"/>
          <w:b/>
          <w:bCs/>
          <w:szCs w:val="22"/>
          <w:lang w:eastAsia="en-GB"/>
        </w:rPr>
      </w:pPr>
      <w:r w:rsidRPr="00FE59B1">
        <w:rPr>
          <w:rFonts w:cs="Arial"/>
          <w:b/>
          <w:bCs/>
          <w:szCs w:val="22"/>
          <w:lang w:eastAsia="en-GB"/>
        </w:rPr>
        <w:t>“</w:t>
      </w:r>
      <w:r w:rsidR="00566FC3" w:rsidRPr="00FE59B1">
        <w:rPr>
          <w:rFonts w:cs="Arial"/>
          <w:b/>
          <w:bCs/>
          <w:szCs w:val="22"/>
          <w:lang w:val="en-NL" w:eastAsia="en-GB"/>
        </w:rPr>
        <w:t>Child Penalties in the United States:</w:t>
      </w:r>
      <w:r w:rsidR="00566FC3" w:rsidRPr="00FE59B1">
        <w:rPr>
          <w:rFonts w:cs="Arial"/>
          <w:b/>
          <w:bCs/>
          <w:szCs w:val="22"/>
          <w:lang w:eastAsia="en-GB"/>
        </w:rPr>
        <w:t xml:space="preserve"> </w:t>
      </w:r>
      <w:r w:rsidR="00566FC3" w:rsidRPr="00FE59B1">
        <w:rPr>
          <w:rFonts w:cs="Arial"/>
          <w:b/>
          <w:bCs/>
          <w:szCs w:val="22"/>
          <w:lang w:val="en-NL" w:eastAsia="en-GB"/>
        </w:rPr>
        <w:t>A difference-in-differences extension</w:t>
      </w:r>
      <w:r w:rsidRPr="00FE59B1">
        <w:rPr>
          <w:rFonts w:cs="Arial"/>
          <w:b/>
          <w:bCs/>
          <w:szCs w:val="22"/>
          <w:lang w:eastAsia="en-GB"/>
        </w:rPr>
        <w:t>”</w:t>
      </w:r>
    </w:p>
    <w:p w14:paraId="03DC207A" w14:textId="0079748A" w:rsidR="00566FC3" w:rsidRPr="00FE59B1" w:rsidRDefault="001B5DF5" w:rsidP="00FE59B1">
      <w:pPr>
        <w:rPr>
          <w:rFonts w:cs="Arial"/>
          <w:bCs/>
          <w:szCs w:val="22"/>
          <w:shd w:val="clear" w:color="auto" w:fill="FFFFFF"/>
          <w:lang w:eastAsia="en-GB"/>
        </w:rPr>
      </w:pPr>
      <w:r w:rsidRPr="00FE59B1">
        <w:rPr>
          <w:rFonts w:cs="Arial"/>
          <w:bCs/>
          <w:szCs w:val="22"/>
        </w:rPr>
        <w:t>In my bachelor thesis, I</w:t>
      </w:r>
      <w:r w:rsidRPr="00FE59B1">
        <w:rPr>
          <w:rFonts w:cs="Arial"/>
          <w:bCs/>
          <w:szCs w:val="22"/>
          <w:lang w:val="en-NL"/>
        </w:rPr>
        <w:t xml:space="preserve"> </w:t>
      </w:r>
      <w:r w:rsidRPr="00FE59B1">
        <w:rPr>
          <w:rFonts w:cs="Arial"/>
          <w:bCs/>
          <w:szCs w:val="22"/>
        </w:rPr>
        <w:t xml:space="preserve">first </w:t>
      </w:r>
      <w:r w:rsidRPr="00FE59B1">
        <w:rPr>
          <w:rFonts w:cs="Arial"/>
          <w:bCs/>
          <w:szCs w:val="22"/>
          <w:lang w:val="en-NL"/>
        </w:rPr>
        <w:t xml:space="preserve">reproduce the child penalty estimates </w:t>
      </w:r>
      <w:r w:rsidRPr="00FE59B1">
        <w:rPr>
          <w:rFonts w:cs="Arial"/>
          <w:bCs/>
          <w:szCs w:val="22"/>
        </w:rPr>
        <w:t xml:space="preserve">of </w:t>
      </w:r>
      <w:r w:rsidRPr="00FE59B1">
        <w:rPr>
          <w:rFonts w:cs="Arial"/>
          <w:bCs/>
          <w:szCs w:val="22"/>
          <w:shd w:val="clear" w:color="auto" w:fill="FFFFFF"/>
          <w:lang w:val="en-NL" w:eastAsia="en-GB"/>
        </w:rPr>
        <w:t>Kleven et al. (2019</w:t>
      </w:r>
      <w:r w:rsidRPr="00FE59B1">
        <w:rPr>
          <w:rFonts w:cs="Arial"/>
          <w:bCs/>
          <w:szCs w:val="22"/>
          <w:shd w:val="clear" w:color="auto" w:fill="FFFFFF"/>
          <w:lang w:eastAsia="en-GB"/>
        </w:rPr>
        <w:t>)</w:t>
      </w:r>
      <w:r w:rsidR="00FE59B1">
        <w:rPr>
          <w:rStyle w:val="FootnoteReference"/>
          <w:rFonts w:cs="Arial"/>
          <w:bCs/>
          <w:szCs w:val="22"/>
          <w:shd w:val="clear" w:color="auto" w:fill="FFFFFF"/>
          <w:lang w:eastAsia="en-GB"/>
        </w:rPr>
        <w:footnoteReference w:id="1"/>
      </w:r>
      <w:r w:rsidRPr="00FE59B1">
        <w:rPr>
          <w:rFonts w:cs="Arial"/>
          <w:bCs/>
          <w:szCs w:val="22"/>
          <w:lang w:val="en-NL"/>
        </w:rPr>
        <w:t xml:space="preserve"> in female and male earnings in the United States. The estimates are based on event studies around the birth of the first child. I find that women's earnings sharply diverge after birth, while male earnings seem unaffected. Moreover, I find a long-run child penalty in earnings of 36%. Furthermore, as a robustness check, I provide a difference-in-differences event study that uses childless individuals as controls over multiple treatment periods combined with </w:t>
      </w:r>
      <w:r w:rsidRPr="00FE59B1">
        <w:rPr>
          <w:rFonts w:cs="Arial"/>
          <w:bCs/>
          <w:szCs w:val="22"/>
        </w:rPr>
        <w:t>c</w:t>
      </w:r>
      <w:r w:rsidRPr="00FE59B1">
        <w:rPr>
          <w:rFonts w:cs="Arial"/>
          <w:bCs/>
          <w:szCs w:val="22"/>
          <w:lang w:val="en-NL"/>
        </w:rPr>
        <w:t xml:space="preserve">oarsened </w:t>
      </w:r>
      <w:r w:rsidRPr="00FE59B1">
        <w:rPr>
          <w:rFonts w:cs="Arial"/>
          <w:bCs/>
          <w:szCs w:val="22"/>
        </w:rPr>
        <w:t>e</w:t>
      </w:r>
      <w:r w:rsidRPr="00FE59B1">
        <w:rPr>
          <w:rFonts w:cs="Arial"/>
          <w:bCs/>
          <w:szCs w:val="22"/>
          <w:lang w:val="en-NL"/>
        </w:rPr>
        <w:t xml:space="preserve">xact </w:t>
      </w:r>
      <w:r w:rsidRPr="00FE59B1">
        <w:rPr>
          <w:rFonts w:cs="Arial"/>
          <w:bCs/>
          <w:szCs w:val="22"/>
        </w:rPr>
        <w:t>m</w:t>
      </w:r>
      <w:r w:rsidRPr="00FE59B1">
        <w:rPr>
          <w:rFonts w:cs="Arial"/>
          <w:bCs/>
          <w:szCs w:val="22"/>
          <w:lang w:val="en-NL"/>
        </w:rPr>
        <w:t>atching. The analysis confirms the key qualitative findings from the event study for women. However, it alludes to new insights in which fathers might be adversely affected by childbirth, contradicting the findings of</w:t>
      </w:r>
      <w:r w:rsidRPr="00FE59B1">
        <w:rPr>
          <w:rFonts w:cs="Arial"/>
          <w:bCs/>
          <w:szCs w:val="22"/>
          <w:shd w:val="clear" w:color="auto" w:fill="FFFFFF"/>
          <w:lang w:val="en-NL" w:eastAsia="en-GB"/>
        </w:rPr>
        <w:t xml:space="preserve"> Kleven et al. (2019</w:t>
      </w:r>
      <w:r w:rsidRPr="00FE59B1">
        <w:rPr>
          <w:rFonts w:cs="Arial"/>
          <w:bCs/>
          <w:szCs w:val="22"/>
          <w:shd w:val="clear" w:color="auto" w:fill="FFFFFF"/>
          <w:lang w:eastAsia="en-GB"/>
        </w:rPr>
        <w:t>).</w:t>
      </w:r>
    </w:p>
    <w:p w14:paraId="128C1170" w14:textId="2285B8E6" w:rsidR="00765C8D" w:rsidRPr="00FE59B1" w:rsidRDefault="00765C8D" w:rsidP="00FE59B1">
      <w:pPr>
        <w:rPr>
          <w:rFonts w:cs="Arial"/>
          <w:szCs w:val="22"/>
          <w:shd w:val="clear" w:color="auto" w:fill="FFFFFF"/>
          <w:lang w:eastAsia="en-GB"/>
        </w:rPr>
      </w:pPr>
    </w:p>
    <w:p w14:paraId="7C76B802" w14:textId="5C22ED54" w:rsidR="00566FC3" w:rsidRPr="00480AE7" w:rsidRDefault="00765C8D" w:rsidP="00FE59B1">
      <w:pPr>
        <w:rPr>
          <w:rFonts w:cs="Arial"/>
          <w:bCs/>
          <w:szCs w:val="22"/>
          <w:u w:val="single"/>
        </w:rPr>
      </w:pPr>
      <w:r w:rsidRPr="00480AE7">
        <w:rPr>
          <w:rFonts w:cs="Arial"/>
          <w:bCs/>
          <w:szCs w:val="22"/>
          <w:u w:val="single"/>
        </w:rPr>
        <w:t>Master seminar</w:t>
      </w:r>
      <w:r w:rsidR="00480AE7" w:rsidRPr="00480AE7">
        <w:rPr>
          <w:rFonts w:cs="Arial"/>
          <w:bCs/>
          <w:szCs w:val="22"/>
          <w:u w:val="single"/>
        </w:rPr>
        <w:t>:</w:t>
      </w:r>
      <w:r w:rsidR="00480AE7">
        <w:rPr>
          <w:rFonts w:cs="Arial"/>
          <w:bCs/>
          <w:szCs w:val="22"/>
          <w:u w:val="single"/>
        </w:rPr>
        <w:t xml:space="preserve"> (co-author)</w:t>
      </w:r>
    </w:p>
    <w:p w14:paraId="54ABE2CB" w14:textId="383B3583" w:rsidR="00765C8D" w:rsidRPr="00FE59B1" w:rsidRDefault="00765C8D" w:rsidP="00FE59B1">
      <w:pPr>
        <w:rPr>
          <w:rFonts w:cs="Arial"/>
          <w:b/>
          <w:szCs w:val="22"/>
        </w:rPr>
      </w:pPr>
      <w:r w:rsidRPr="00FE59B1">
        <w:rPr>
          <w:rFonts w:cs="Arial"/>
          <w:b/>
          <w:szCs w:val="22"/>
        </w:rPr>
        <w:t>A Second Life for Logistic Regression: Interpretable Machine Learning in Credit Risk</w:t>
      </w:r>
    </w:p>
    <w:p w14:paraId="5280AE57" w14:textId="505C31C5" w:rsidR="00765C8D" w:rsidRPr="00FE59B1" w:rsidRDefault="00765C8D" w:rsidP="00FE59B1">
      <w:pPr>
        <w:rPr>
          <w:rFonts w:cs="Arial"/>
          <w:bCs/>
          <w:szCs w:val="22"/>
        </w:rPr>
      </w:pPr>
      <w:r w:rsidRPr="00FE59B1">
        <w:rPr>
          <w:rFonts w:cs="Arial"/>
          <w:szCs w:val="22"/>
        </w:rPr>
        <w:t xml:space="preserve">In credit risk literature, traditional models such as Logistic Regression (LR) are often outperformed by Machine Learning (ML) models in the prediction of the probability of default. However, even though ML often leads to more accurate estimates, financial institutions should be able to understand and explain their default predictions. To this end, instead of interpreting complex ML methods </w:t>
      </w:r>
      <w:r w:rsidRPr="00FE59B1">
        <w:rPr>
          <w:rFonts w:cs="Arial"/>
          <w:i/>
          <w:iCs/>
          <w:szCs w:val="22"/>
        </w:rPr>
        <w:t>post hoc</w:t>
      </w:r>
      <w:r w:rsidRPr="00FE59B1">
        <w:rPr>
          <w:rFonts w:cs="Arial"/>
          <w:szCs w:val="22"/>
        </w:rPr>
        <w:t xml:space="preserve">, several studies use the inherently interpretable LR model and add simple nonlinear features through ML. This study compares these so-called hybrid methods in terms of </w:t>
      </w:r>
      <w:proofErr w:type="gramStart"/>
      <w:r w:rsidRPr="00FE59B1">
        <w:rPr>
          <w:rFonts w:cs="Arial"/>
          <w:szCs w:val="22"/>
        </w:rPr>
        <w:t>performance, and</w:t>
      </w:r>
      <w:proofErr w:type="gramEnd"/>
      <w:r w:rsidRPr="00FE59B1">
        <w:rPr>
          <w:rFonts w:cs="Arial"/>
          <w:szCs w:val="22"/>
        </w:rPr>
        <w:t xml:space="preserve"> proposes a novel hybrid method with a tuning parameter that fixes the level of interpretability in an intuitive way. Analyses on multiple data sets show that this new model outperforms other hybrid approaches, while remaining highly interpretable. In some cases, the proposed model even achieves performance competitive with the highly accurate, yet opaque, </w:t>
      </w:r>
      <w:proofErr w:type="spellStart"/>
      <w:r w:rsidRPr="00FE59B1">
        <w:rPr>
          <w:rFonts w:cs="Arial"/>
          <w:szCs w:val="22"/>
        </w:rPr>
        <w:t>XGBoost</w:t>
      </w:r>
      <w:proofErr w:type="spellEnd"/>
      <w:r w:rsidRPr="00FE59B1">
        <w:rPr>
          <w:rFonts w:cs="Arial"/>
          <w:szCs w:val="22"/>
        </w:rPr>
        <w:t xml:space="preserve"> classifier.</w:t>
      </w:r>
    </w:p>
    <w:p w14:paraId="68B08394" w14:textId="77777777" w:rsidR="00765C8D" w:rsidRPr="00FE59B1" w:rsidRDefault="00765C8D" w:rsidP="00FE59B1">
      <w:pPr>
        <w:rPr>
          <w:rFonts w:cs="Arial"/>
          <w:bCs/>
          <w:szCs w:val="22"/>
        </w:rPr>
      </w:pPr>
    </w:p>
    <w:p w14:paraId="7281A7C3" w14:textId="2ED6AB4F" w:rsidR="00FB55D4" w:rsidRPr="00480AE7" w:rsidRDefault="0029247A" w:rsidP="00FE59B1">
      <w:pPr>
        <w:rPr>
          <w:rFonts w:cs="Arial"/>
          <w:szCs w:val="22"/>
          <w:u w:val="single"/>
        </w:rPr>
      </w:pPr>
      <w:r w:rsidRPr="00480AE7">
        <w:rPr>
          <w:rFonts w:cs="Arial"/>
          <w:szCs w:val="22"/>
          <w:u w:val="single"/>
        </w:rPr>
        <w:t>Running projects</w:t>
      </w:r>
    </w:p>
    <w:p w14:paraId="730DDA86" w14:textId="2E0A0685" w:rsidR="006D1867" w:rsidRPr="00FE59B1" w:rsidRDefault="006D1867" w:rsidP="00FE59B1">
      <w:pPr>
        <w:rPr>
          <w:rFonts w:cs="Arial"/>
          <w:szCs w:val="22"/>
        </w:rPr>
      </w:pPr>
      <w:r w:rsidRPr="00FE59B1">
        <w:rPr>
          <w:rFonts w:cs="Arial"/>
          <w:szCs w:val="22"/>
        </w:rPr>
        <w:t xml:space="preserve">The focus of my research will be on </w:t>
      </w:r>
      <w:r w:rsidR="00765C8D" w:rsidRPr="00FE59B1">
        <w:rPr>
          <w:rFonts w:cs="Arial"/>
          <w:szCs w:val="22"/>
        </w:rPr>
        <w:t>implementing</w:t>
      </w:r>
      <w:r w:rsidR="001B5DF5" w:rsidRPr="00FE59B1">
        <w:rPr>
          <w:rFonts w:cs="Arial"/>
          <w:szCs w:val="22"/>
        </w:rPr>
        <w:t xml:space="preserve"> a </w:t>
      </w:r>
      <w:proofErr w:type="spellStart"/>
      <w:r w:rsidR="00765C8D" w:rsidRPr="00FE59B1">
        <w:rPr>
          <w:rFonts w:cs="Arial"/>
          <w:szCs w:val="22"/>
        </w:rPr>
        <w:t>haemoglobin</w:t>
      </w:r>
      <w:proofErr w:type="spellEnd"/>
      <w:r w:rsidR="00765C8D" w:rsidRPr="00FE59B1">
        <w:rPr>
          <w:rFonts w:cs="Arial"/>
          <w:szCs w:val="22"/>
        </w:rPr>
        <w:t xml:space="preserve"> </w:t>
      </w:r>
      <w:r w:rsidR="001B5DF5" w:rsidRPr="00FE59B1">
        <w:rPr>
          <w:rFonts w:cs="Arial"/>
          <w:szCs w:val="22"/>
        </w:rPr>
        <w:t>simulation</w:t>
      </w:r>
      <w:r w:rsidRPr="00FE59B1">
        <w:rPr>
          <w:rFonts w:cs="Arial"/>
          <w:szCs w:val="22"/>
        </w:rPr>
        <w:t xml:space="preserve"> </w:t>
      </w:r>
      <w:r w:rsidR="001B5DF5" w:rsidRPr="00FE59B1">
        <w:rPr>
          <w:rFonts w:cs="Arial"/>
          <w:szCs w:val="22"/>
        </w:rPr>
        <w:t xml:space="preserve">model </w:t>
      </w:r>
      <w:r w:rsidR="00765C8D" w:rsidRPr="00FE59B1">
        <w:rPr>
          <w:rFonts w:cs="Arial"/>
          <w:szCs w:val="22"/>
        </w:rPr>
        <w:t>in existing</w:t>
      </w:r>
      <w:r w:rsidRPr="00FE59B1">
        <w:rPr>
          <w:rFonts w:cs="Arial"/>
          <w:szCs w:val="22"/>
        </w:rPr>
        <w:t xml:space="preserve"> computer simulation models, with an emphasis on colorectal cancer (CRC) screening.</w:t>
      </w:r>
    </w:p>
    <w:p w14:paraId="42A958B4" w14:textId="37B2AB0E" w:rsidR="00CE560B" w:rsidRPr="00FE59B1" w:rsidRDefault="00CE560B" w:rsidP="00FE59B1">
      <w:pPr>
        <w:rPr>
          <w:rFonts w:cs="Arial"/>
          <w:szCs w:val="22"/>
        </w:rPr>
      </w:pPr>
    </w:p>
    <w:p w14:paraId="5C58FD18" w14:textId="0C9601AC" w:rsidR="001B5DF5" w:rsidRPr="00FE59B1" w:rsidRDefault="00480AE7" w:rsidP="00FE59B1">
      <w:pPr>
        <w:rPr>
          <w:rFonts w:cs="Arial"/>
          <w:b/>
          <w:bCs/>
          <w:szCs w:val="22"/>
        </w:rPr>
      </w:pPr>
      <w:r>
        <w:rPr>
          <w:rFonts w:cs="Arial"/>
          <w:b/>
          <w:bCs/>
          <w:szCs w:val="22"/>
        </w:rPr>
        <w:t>“</w:t>
      </w:r>
      <w:r w:rsidR="001B5DF5" w:rsidRPr="00FE59B1">
        <w:rPr>
          <w:rFonts w:cs="Arial"/>
          <w:b/>
          <w:bCs/>
          <w:szCs w:val="22"/>
        </w:rPr>
        <w:t>Simulating H</w:t>
      </w:r>
      <w:proofErr w:type="spellStart"/>
      <w:r w:rsidR="001B5DF5" w:rsidRPr="00FE59B1">
        <w:rPr>
          <w:rFonts w:cs="Arial"/>
          <w:b/>
          <w:bCs/>
          <w:szCs w:val="22"/>
        </w:rPr>
        <w:t>aemoglobin</w:t>
      </w:r>
      <w:proofErr w:type="spellEnd"/>
      <w:r w:rsidR="001B5DF5" w:rsidRPr="00FE59B1">
        <w:rPr>
          <w:rFonts w:cs="Arial"/>
          <w:b/>
          <w:bCs/>
          <w:szCs w:val="22"/>
        </w:rPr>
        <w:t xml:space="preserve"> Concentrations for MISCAN-Colon Using Black-box Machine Learning as a Step Towards </w:t>
      </w:r>
      <w:proofErr w:type="spellStart"/>
      <w:r w:rsidR="001B5DF5" w:rsidRPr="00FE59B1">
        <w:rPr>
          <w:rFonts w:cs="Arial"/>
          <w:b/>
          <w:bCs/>
          <w:szCs w:val="22"/>
        </w:rPr>
        <w:t>Personalised</w:t>
      </w:r>
      <w:proofErr w:type="spellEnd"/>
      <w:r w:rsidR="001B5DF5" w:rsidRPr="00FE59B1">
        <w:rPr>
          <w:rFonts w:cs="Arial"/>
          <w:b/>
          <w:bCs/>
          <w:szCs w:val="22"/>
        </w:rPr>
        <w:t xml:space="preserve"> Colorectal Cancer Screening</w:t>
      </w:r>
      <w:r>
        <w:rPr>
          <w:rFonts w:cs="Arial"/>
          <w:b/>
          <w:bCs/>
          <w:szCs w:val="22"/>
        </w:rPr>
        <w:t>”</w:t>
      </w:r>
      <w:r w:rsidR="00765C8D" w:rsidRPr="00FE59B1">
        <w:rPr>
          <w:rFonts w:cs="Arial"/>
          <w:b/>
          <w:bCs/>
          <w:szCs w:val="22"/>
        </w:rPr>
        <w:t xml:space="preserve"> (Master Thesis)</w:t>
      </w:r>
    </w:p>
    <w:p w14:paraId="14B86B9C" w14:textId="3DF3525A" w:rsidR="001B5DF5" w:rsidRPr="00FE59B1" w:rsidRDefault="001B5DF5" w:rsidP="00FE59B1">
      <w:pPr>
        <w:rPr>
          <w:rFonts w:eastAsiaTheme="minorHAnsi" w:cs="Arial"/>
          <w:szCs w:val="22"/>
          <w:lang w:val="en-GB"/>
        </w:rPr>
      </w:pPr>
      <w:r w:rsidRPr="00FE59B1">
        <w:rPr>
          <w:rFonts w:eastAsiaTheme="minorHAnsi" w:cs="Arial"/>
          <w:szCs w:val="22"/>
          <w:lang w:val="en-GB"/>
        </w:rPr>
        <w:t>To evaluate the</w:t>
      </w:r>
      <w:r w:rsidRPr="00FE59B1">
        <w:rPr>
          <w:rFonts w:eastAsiaTheme="minorHAnsi" w:cs="Arial"/>
          <w:szCs w:val="22"/>
          <w:lang w:val="en-GB"/>
        </w:rPr>
        <w:t xml:space="preserve"> </w:t>
      </w:r>
      <w:r w:rsidRPr="00FE59B1">
        <w:rPr>
          <w:rFonts w:eastAsiaTheme="minorHAnsi" w:cs="Arial"/>
          <w:szCs w:val="22"/>
          <w:lang w:val="en-GB"/>
        </w:rPr>
        <w:t>benefits of personalised screening strategies, based on the previous haemoglobin (Hb) concentration</w:t>
      </w:r>
      <w:r w:rsidR="009D5C88">
        <w:rPr>
          <w:rFonts w:eastAsiaTheme="minorHAnsi" w:cs="Arial"/>
          <w:szCs w:val="22"/>
          <w:lang w:val="en-GB"/>
        </w:rPr>
        <w:t xml:space="preserve"> </w:t>
      </w:r>
      <w:r w:rsidRPr="00FE59B1">
        <w:rPr>
          <w:rFonts w:eastAsiaTheme="minorHAnsi" w:cs="Arial"/>
          <w:szCs w:val="22"/>
          <w:lang w:val="en-GB"/>
        </w:rPr>
        <w:t xml:space="preserve">found in a person’s stool, MISCAN-Colon </w:t>
      </w:r>
      <w:r w:rsidR="00765C8D" w:rsidRPr="00FE59B1">
        <w:rPr>
          <w:rFonts w:eastAsiaTheme="minorHAnsi" w:cs="Arial"/>
          <w:szCs w:val="22"/>
          <w:lang w:val="en-GB"/>
        </w:rPr>
        <w:t xml:space="preserve">(microsimulation model) </w:t>
      </w:r>
      <w:r w:rsidRPr="00FE59B1">
        <w:rPr>
          <w:rFonts w:eastAsiaTheme="minorHAnsi" w:cs="Arial"/>
          <w:szCs w:val="22"/>
          <w:lang w:val="en-GB"/>
        </w:rPr>
        <w:t>needs an accurate simulation model for the</w:t>
      </w:r>
      <w:r w:rsidRPr="00FE59B1">
        <w:rPr>
          <w:rFonts w:eastAsiaTheme="minorHAnsi" w:cs="Arial"/>
          <w:szCs w:val="22"/>
          <w:lang w:val="en-GB"/>
        </w:rPr>
        <w:t xml:space="preserve"> </w:t>
      </w:r>
      <w:r w:rsidRPr="00FE59B1">
        <w:rPr>
          <w:rFonts w:eastAsiaTheme="minorHAnsi" w:cs="Arial"/>
          <w:szCs w:val="22"/>
          <w:lang w:val="en-GB"/>
        </w:rPr>
        <w:t xml:space="preserve">Hb values. The aim of this paper is to extend </w:t>
      </w:r>
      <w:r w:rsidRPr="00FE59B1">
        <w:rPr>
          <w:rFonts w:eastAsiaTheme="minorHAnsi" w:cs="Arial"/>
          <w:szCs w:val="22"/>
          <w:lang w:val="en-GB"/>
        </w:rPr>
        <w:lastRenderedPageBreak/>
        <w:t>the MISCAN-Colon model with a simulation</w:t>
      </w:r>
      <w:r w:rsidRPr="00FE59B1">
        <w:rPr>
          <w:rFonts w:eastAsiaTheme="minorHAnsi" w:cs="Arial"/>
          <w:szCs w:val="22"/>
          <w:lang w:val="en-GB"/>
        </w:rPr>
        <w:t xml:space="preserve"> </w:t>
      </w:r>
      <w:r w:rsidRPr="00FE59B1">
        <w:rPr>
          <w:rFonts w:eastAsiaTheme="minorHAnsi" w:cs="Arial"/>
          <w:szCs w:val="22"/>
          <w:lang w:val="en-GB"/>
        </w:rPr>
        <w:t>model for the Hb concentration found in a person’s stool.</w:t>
      </w:r>
      <w:r w:rsidRPr="00FE59B1">
        <w:rPr>
          <w:rFonts w:eastAsiaTheme="minorHAnsi" w:cs="Arial"/>
          <w:szCs w:val="22"/>
          <w:lang w:val="en-GB"/>
        </w:rPr>
        <w:t xml:space="preserve"> </w:t>
      </w:r>
      <w:r w:rsidRPr="00FE59B1">
        <w:rPr>
          <w:rFonts w:cs="Arial"/>
          <w:szCs w:val="22"/>
        </w:rPr>
        <w:t xml:space="preserve">Questions to be answered within </w:t>
      </w:r>
      <w:r w:rsidRPr="00FE59B1">
        <w:rPr>
          <w:rFonts w:cs="Arial"/>
          <w:szCs w:val="22"/>
        </w:rPr>
        <w:t>this</w:t>
      </w:r>
      <w:r w:rsidRPr="00FE59B1">
        <w:rPr>
          <w:rFonts w:cs="Arial"/>
          <w:szCs w:val="22"/>
        </w:rPr>
        <w:t xml:space="preserve"> paper</w:t>
      </w:r>
      <w:r w:rsidRPr="00FE59B1">
        <w:rPr>
          <w:rFonts w:cs="Arial"/>
          <w:szCs w:val="22"/>
        </w:rPr>
        <w:t xml:space="preserve"> are</w:t>
      </w:r>
      <w:r w:rsidRPr="00FE59B1">
        <w:rPr>
          <w:rFonts w:cs="Arial"/>
          <w:szCs w:val="22"/>
        </w:rPr>
        <w:t>: Does the introduction of random-effects in machine learning models lead to better performance, i.e.</w:t>
      </w:r>
      <w:r w:rsidR="00893531">
        <w:rPr>
          <w:rFonts w:cs="Arial"/>
          <w:szCs w:val="22"/>
        </w:rPr>
        <w:t>,</w:t>
      </w:r>
      <w:r w:rsidRPr="00FE59B1">
        <w:rPr>
          <w:rFonts w:cs="Arial"/>
          <w:szCs w:val="22"/>
        </w:rPr>
        <w:t xml:space="preserve"> do mixed-effect machine learning models outperform `regular' machine learning models? Which model is best suited for predicting the </w:t>
      </w:r>
      <w:proofErr w:type="spellStart"/>
      <w:r w:rsidRPr="00FE59B1">
        <w:rPr>
          <w:rFonts w:cs="Arial"/>
          <w:szCs w:val="22"/>
        </w:rPr>
        <w:t>haemoglobin</w:t>
      </w:r>
      <w:proofErr w:type="spellEnd"/>
      <w:r w:rsidRPr="00FE59B1">
        <w:rPr>
          <w:rFonts w:cs="Arial"/>
          <w:szCs w:val="22"/>
        </w:rPr>
        <w:t xml:space="preserve"> concentration based on the data set provided by EMC? And how well does this model perform as simulation model in MISCAN-Colon?</w:t>
      </w:r>
    </w:p>
    <w:p w14:paraId="75BCC04A" w14:textId="77777777" w:rsidR="00CE560B" w:rsidRPr="00FE59B1" w:rsidRDefault="00CE560B" w:rsidP="00C70782">
      <w:pPr>
        <w:rPr>
          <w:rFonts w:cs="Arial"/>
          <w:szCs w:val="22"/>
        </w:rPr>
      </w:pPr>
    </w:p>
    <w:p w14:paraId="6529BAFC" w14:textId="77777777" w:rsidR="0029247A" w:rsidRPr="00FE59B1" w:rsidRDefault="0029247A" w:rsidP="00C70782">
      <w:pPr>
        <w:rPr>
          <w:rFonts w:cs="Arial"/>
          <w:b/>
          <w:szCs w:val="22"/>
        </w:rPr>
      </w:pPr>
      <w:r w:rsidRPr="00FE59B1">
        <w:rPr>
          <w:rFonts w:cs="Arial"/>
          <w:b/>
          <w:szCs w:val="22"/>
        </w:rPr>
        <w:t>D. Additional information: Research support</w:t>
      </w:r>
    </w:p>
    <w:p w14:paraId="0CF7492A" w14:textId="77777777" w:rsidR="0029247A" w:rsidRPr="00FE59B1" w:rsidRDefault="0029247A" w:rsidP="0029247A">
      <w:pPr>
        <w:pStyle w:val="Heading1"/>
        <w:keepNext/>
        <w:pBdr>
          <w:top w:val="none" w:sz="0" w:space="0" w:color="auto"/>
        </w:pBdr>
        <w:spacing w:before="360"/>
        <w:jc w:val="left"/>
        <w:rPr>
          <w:b w:val="0"/>
          <w:u w:val="single"/>
        </w:rPr>
      </w:pPr>
      <w:r w:rsidRPr="00FE59B1">
        <w:rPr>
          <w:b w:val="0"/>
          <w:u w:val="single"/>
        </w:rPr>
        <w:t>Ongoing Research Support</w:t>
      </w:r>
    </w:p>
    <w:p w14:paraId="05BE8E27" w14:textId="77777777" w:rsidR="00C32E36" w:rsidRPr="00FE59B1" w:rsidRDefault="00C32E36" w:rsidP="0029247A">
      <w:pPr>
        <w:pStyle w:val="DataField11pt"/>
        <w:spacing w:line="240" w:lineRule="auto"/>
        <w:rPr>
          <w:noProof w:val="0"/>
          <w:szCs w:val="22"/>
        </w:rPr>
      </w:pPr>
    </w:p>
    <w:p w14:paraId="7A6022FD" w14:textId="77777777" w:rsidR="0029247A" w:rsidRPr="00FE59B1" w:rsidRDefault="0029247A" w:rsidP="0029247A">
      <w:pPr>
        <w:pStyle w:val="DataField11pt"/>
        <w:spacing w:line="240" w:lineRule="auto"/>
        <w:rPr>
          <w:szCs w:val="22"/>
        </w:rPr>
      </w:pPr>
      <w:r w:rsidRPr="00FE59B1">
        <w:rPr>
          <w:noProof w:val="0"/>
          <w:szCs w:val="22"/>
        </w:rPr>
        <w:t>U01CA253913 (Zauber)</w:t>
      </w:r>
      <w:r w:rsidRPr="00FE59B1">
        <w:rPr>
          <w:noProof w:val="0"/>
          <w:szCs w:val="22"/>
        </w:rPr>
        <w:tab/>
      </w:r>
      <w:r w:rsidRPr="00FE59B1">
        <w:rPr>
          <w:noProof w:val="0"/>
          <w:szCs w:val="22"/>
        </w:rPr>
        <w:tab/>
      </w:r>
      <w:r w:rsidRPr="00FE59B1">
        <w:rPr>
          <w:noProof w:val="0"/>
          <w:szCs w:val="22"/>
        </w:rPr>
        <w:tab/>
      </w:r>
      <w:r w:rsidRPr="00FE59B1">
        <w:rPr>
          <w:noProof w:val="0"/>
          <w:szCs w:val="22"/>
        </w:rPr>
        <w:tab/>
      </w:r>
      <w:r w:rsidRPr="00FE59B1">
        <w:rPr>
          <w:noProof w:val="0"/>
          <w:szCs w:val="22"/>
        </w:rPr>
        <w:tab/>
      </w:r>
      <w:r w:rsidRPr="00FE59B1">
        <w:rPr>
          <w:noProof w:val="0"/>
          <w:szCs w:val="22"/>
        </w:rPr>
        <w:tab/>
        <w:t xml:space="preserve">       09/01/2020 - 08/31/2025</w:t>
      </w:r>
      <w:r w:rsidRPr="00FE59B1">
        <w:rPr>
          <w:noProof w:val="0"/>
          <w:szCs w:val="22"/>
        </w:rPr>
        <w:tab/>
      </w:r>
    </w:p>
    <w:p w14:paraId="552B4649" w14:textId="77777777" w:rsidR="0029247A" w:rsidRPr="00FE59B1" w:rsidRDefault="0029247A" w:rsidP="0029247A">
      <w:pPr>
        <w:rPr>
          <w:rFonts w:cs="Arial"/>
          <w:b/>
          <w:szCs w:val="22"/>
        </w:rPr>
      </w:pPr>
      <w:r w:rsidRPr="00FE59B1">
        <w:rPr>
          <w:rFonts w:cs="Arial"/>
          <w:b/>
          <w:szCs w:val="22"/>
        </w:rPr>
        <w:t>Comparative Modeling of Effective Policies for Colorectal Cancer Control</w:t>
      </w:r>
    </w:p>
    <w:p w14:paraId="78343A74" w14:textId="77777777" w:rsidR="0029247A" w:rsidRPr="00FE59B1" w:rsidRDefault="0029247A" w:rsidP="0029247A">
      <w:pPr>
        <w:rPr>
          <w:rFonts w:cs="Arial"/>
          <w:szCs w:val="22"/>
        </w:rPr>
      </w:pPr>
      <w:r w:rsidRPr="00FE59B1">
        <w:rPr>
          <w:rFonts w:cs="Arial"/>
          <w:szCs w:val="22"/>
        </w:rPr>
        <w:t xml:space="preserve">This builds on prior collaborative work, by using microsimulation models to evaluate CRC interventions. By extending and updating the existing models, address new research questions, including evaluation of new approaches to screening, diagnosis, </w:t>
      </w:r>
      <w:proofErr w:type="gramStart"/>
      <w:r w:rsidRPr="00FE59B1">
        <w:rPr>
          <w:rFonts w:cs="Arial"/>
          <w:szCs w:val="22"/>
        </w:rPr>
        <w:t>treatment</w:t>
      </w:r>
      <w:proofErr w:type="gramEnd"/>
      <w:r w:rsidRPr="00FE59B1">
        <w:rPr>
          <w:rFonts w:cs="Arial"/>
          <w:szCs w:val="22"/>
        </w:rPr>
        <w:t xml:space="preserve"> and post-treatment surveillance. Through dissemination of findings, inform and facilitate policy decisions and clinical guidelines regarding how cancer-control interventions can effectively improve health outcomes and alleviate the burden of CRC.</w:t>
      </w:r>
    </w:p>
    <w:p w14:paraId="06B36F7A" w14:textId="77777777" w:rsidR="00C32E36" w:rsidRPr="00FE59B1" w:rsidRDefault="00C32E36" w:rsidP="0029247A">
      <w:pPr>
        <w:rPr>
          <w:rFonts w:cs="Arial"/>
          <w:szCs w:val="22"/>
        </w:rPr>
      </w:pPr>
    </w:p>
    <w:p w14:paraId="2CC84E33" w14:textId="77777777" w:rsidR="0029247A" w:rsidRPr="00FE59B1" w:rsidRDefault="0029247A" w:rsidP="00C70782">
      <w:pPr>
        <w:rPr>
          <w:rFonts w:cs="Arial"/>
          <w:b/>
          <w:szCs w:val="22"/>
        </w:rPr>
      </w:pPr>
    </w:p>
    <w:sectPr w:rsidR="0029247A" w:rsidRPr="00FE59B1" w:rsidSect="000178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03C70" w14:textId="77777777" w:rsidR="004F5443" w:rsidRDefault="004F5443" w:rsidP="00FE59B1">
      <w:r>
        <w:separator/>
      </w:r>
    </w:p>
  </w:endnote>
  <w:endnote w:type="continuationSeparator" w:id="0">
    <w:p w14:paraId="4B775896" w14:textId="77777777" w:rsidR="004F5443" w:rsidRDefault="004F5443" w:rsidP="00FE5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D9579" w14:textId="77777777" w:rsidR="004F5443" w:rsidRDefault="004F5443" w:rsidP="00FE59B1">
      <w:r>
        <w:separator/>
      </w:r>
    </w:p>
  </w:footnote>
  <w:footnote w:type="continuationSeparator" w:id="0">
    <w:p w14:paraId="39E75C0D" w14:textId="77777777" w:rsidR="004F5443" w:rsidRDefault="004F5443" w:rsidP="00FE59B1">
      <w:r>
        <w:continuationSeparator/>
      </w:r>
    </w:p>
  </w:footnote>
  <w:footnote w:id="1">
    <w:p w14:paraId="4E788336" w14:textId="51217856" w:rsidR="00FE59B1" w:rsidRPr="00FE59B1" w:rsidRDefault="00FE59B1" w:rsidP="00FE59B1">
      <w:pPr>
        <w:rPr>
          <w:rFonts w:cs="Arial"/>
          <w:sz w:val="18"/>
          <w:szCs w:val="18"/>
          <w:lang w:val="en-NL" w:eastAsia="en-GB"/>
        </w:rPr>
      </w:pPr>
      <w:r w:rsidRPr="00FE59B1">
        <w:rPr>
          <w:rStyle w:val="FootnoteReference"/>
          <w:rFonts w:cs="Arial"/>
          <w:sz w:val="18"/>
          <w:szCs w:val="18"/>
        </w:rPr>
        <w:footnoteRef/>
      </w:r>
      <w:r>
        <w:rPr>
          <w:rFonts w:cs="Arial"/>
          <w:sz w:val="18"/>
          <w:szCs w:val="18"/>
          <w:lang w:val="nl-NL" w:eastAsia="en-GB"/>
        </w:rPr>
        <w:t xml:space="preserve"> </w:t>
      </w:r>
      <w:r w:rsidRPr="00FE59B1">
        <w:rPr>
          <w:rFonts w:cs="Arial"/>
          <w:sz w:val="18"/>
          <w:szCs w:val="18"/>
          <w:lang w:val="en-NL" w:eastAsia="en-GB"/>
        </w:rPr>
        <w:t xml:space="preserve">H. Kleven, C. Landais, J. Posch, A. Steinhauer, and J. Zweim ̈uller. </w:t>
      </w:r>
      <w:hyperlink r:id="rId1" w:history="1">
        <w:r w:rsidRPr="00FE59B1">
          <w:rPr>
            <w:rStyle w:val="Hyperlink"/>
            <w:rFonts w:cs="Arial"/>
            <w:sz w:val="18"/>
            <w:szCs w:val="18"/>
            <w:lang w:val="en-NL" w:eastAsia="en-GB"/>
          </w:rPr>
          <w:t>Child penalties across countries: Evidence and explanations</w:t>
        </w:r>
      </w:hyperlink>
      <w:r w:rsidRPr="00FE59B1">
        <w:rPr>
          <w:rFonts w:cs="Arial"/>
          <w:sz w:val="18"/>
          <w:szCs w:val="18"/>
          <w:lang w:val="en-NL" w:eastAsia="en-GB"/>
        </w:rPr>
        <w:t>. AEA Papers and Proceedings, 109:122–26, May 2019a. doi:10.1257/pandp.20191078.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069E1"/>
    <w:multiLevelType w:val="hybridMultilevel"/>
    <w:tmpl w:val="0C7E8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70856"/>
    <w:multiLevelType w:val="multilevel"/>
    <w:tmpl w:val="0A8CFC02"/>
    <w:lvl w:ilvl="0">
      <w:start w:val="2019"/>
      <w:numFmt w:val="decimal"/>
      <w:lvlText w:val="%1"/>
      <w:lvlJc w:val="left"/>
      <w:pPr>
        <w:ind w:left="1035" w:hanging="1035"/>
      </w:pPr>
      <w:rPr>
        <w:rFonts w:hint="default"/>
      </w:rPr>
    </w:lvl>
    <w:lvl w:ilvl="1">
      <w:start w:val="2020"/>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75A5ADB"/>
    <w:multiLevelType w:val="hybridMultilevel"/>
    <w:tmpl w:val="81C26E86"/>
    <w:lvl w:ilvl="0" w:tplc="1B2CC3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196939">
    <w:abstractNumId w:val="0"/>
  </w:num>
  <w:num w:numId="2" w16cid:durableId="1304505564">
    <w:abstractNumId w:val="1"/>
  </w:num>
  <w:num w:numId="3" w16cid:durableId="1113675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8F0"/>
    <w:rsid w:val="00006DE0"/>
    <w:rsid w:val="000178F0"/>
    <w:rsid w:val="000C7564"/>
    <w:rsid w:val="000D5D53"/>
    <w:rsid w:val="000F2CC9"/>
    <w:rsid w:val="00137428"/>
    <w:rsid w:val="001B5DF5"/>
    <w:rsid w:val="002064CF"/>
    <w:rsid w:val="00236E40"/>
    <w:rsid w:val="0029247A"/>
    <w:rsid w:val="002C40EA"/>
    <w:rsid w:val="004616ED"/>
    <w:rsid w:val="00480AE7"/>
    <w:rsid w:val="004F5443"/>
    <w:rsid w:val="00510276"/>
    <w:rsid w:val="00566FC3"/>
    <w:rsid w:val="006441C2"/>
    <w:rsid w:val="006D1867"/>
    <w:rsid w:val="00706134"/>
    <w:rsid w:val="00747294"/>
    <w:rsid w:val="00765C8D"/>
    <w:rsid w:val="00811C37"/>
    <w:rsid w:val="008252A6"/>
    <w:rsid w:val="00893531"/>
    <w:rsid w:val="0093273E"/>
    <w:rsid w:val="00990511"/>
    <w:rsid w:val="00995DB4"/>
    <w:rsid w:val="009D5C88"/>
    <w:rsid w:val="009E508C"/>
    <w:rsid w:val="00AE6B7C"/>
    <w:rsid w:val="00B102D5"/>
    <w:rsid w:val="00B67C87"/>
    <w:rsid w:val="00BA651C"/>
    <w:rsid w:val="00C023D2"/>
    <w:rsid w:val="00C32E36"/>
    <w:rsid w:val="00C70782"/>
    <w:rsid w:val="00C753B6"/>
    <w:rsid w:val="00C81622"/>
    <w:rsid w:val="00CB4DC6"/>
    <w:rsid w:val="00CE560B"/>
    <w:rsid w:val="00F208CB"/>
    <w:rsid w:val="00FB55D4"/>
    <w:rsid w:val="00FE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B7EC"/>
  <w15:chartTrackingRefBased/>
  <w15:docId w15:val="{8C580F41-1AFA-4D5E-866B-3DF47555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F0"/>
    <w:pPr>
      <w:autoSpaceDE w:val="0"/>
      <w:autoSpaceDN w:val="0"/>
      <w:spacing w:after="0" w:line="240" w:lineRule="auto"/>
    </w:pPr>
    <w:rPr>
      <w:rFonts w:ascii="Arial" w:eastAsia="Times New Roman" w:hAnsi="Arial" w:cs="Times New Roman"/>
      <w:szCs w:val="24"/>
    </w:rPr>
  </w:style>
  <w:style w:type="paragraph" w:styleId="Heading1">
    <w:name w:val="heading 1"/>
    <w:basedOn w:val="Normal"/>
    <w:next w:val="Normal"/>
    <w:link w:val="Heading1Char"/>
    <w:qFormat/>
    <w:rsid w:val="0029247A"/>
    <w:pPr>
      <w:pBdr>
        <w:top w:val="single" w:sz="4" w:space="12" w:color="auto"/>
      </w:pBdr>
      <w:jc w:val="center"/>
      <w:outlineLvl w:val="0"/>
    </w:pPr>
    <w:rPr>
      <w:rFonts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Note">
    <w:name w:val="Heading Note"/>
    <w:basedOn w:val="Normal"/>
    <w:rsid w:val="000178F0"/>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0178F0"/>
    <w:pPr>
      <w:tabs>
        <w:tab w:val="left" w:pos="270"/>
      </w:tabs>
    </w:pPr>
    <w:rPr>
      <w:rFonts w:cs="Arial"/>
      <w:sz w:val="16"/>
      <w:szCs w:val="16"/>
    </w:rPr>
  </w:style>
  <w:style w:type="character" w:styleId="Emphasis">
    <w:name w:val="Emphasis"/>
    <w:basedOn w:val="DefaultParagraphFont"/>
    <w:qFormat/>
    <w:rsid w:val="000178F0"/>
    <w:rPr>
      <w:i/>
      <w:iCs/>
    </w:rPr>
  </w:style>
  <w:style w:type="paragraph" w:customStyle="1" w:styleId="FormFieldCaption1">
    <w:name w:val="Form Field Caption1"/>
    <w:basedOn w:val="FormFieldCaption"/>
    <w:qFormat/>
    <w:rsid w:val="000178F0"/>
    <w:pPr>
      <w:spacing w:after="160"/>
    </w:pPr>
  </w:style>
  <w:style w:type="table" w:styleId="TableGrid">
    <w:name w:val="Table Grid"/>
    <w:basedOn w:val="TableNormal"/>
    <w:rsid w:val="000178F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178F0"/>
    <w:pPr>
      <w:pBdr>
        <w:top w:val="single" w:sz="4" w:space="1" w:color="auto"/>
      </w:pBdr>
      <w:spacing w:before="240"/>
      <w:jc w:val="center"/>
    </w:pPr>
    <w:rPr>
      <w:b/>
    </w:rPr>
  </w:style>
  <w:style w:type="character" w:customStyle="1" w:styleId="TitleChar">
    <w:name w:val="Title Char"/>
    <w:basedOn w:val="DefaultParagraphFont"/>
    <w:link w:val="Title"/>
    <w:rsid w:val="000178F0"/>
    <w:rPr>
      <w:rFonts w:ascii="Arial" w:eastAsia="Times New Roman" w:hAnsi="Arial" w:cs="Times New Roman"/>
      <w:b/>
      <w:szCs w:val="24"/>
    </w:rPr>
  </w:style>
  <w:style w:type="table" w:styleId="TableGridLight">
    <w:name w:val="Grid Table Light"/>
    <w:basedOn w:val="TableNormal"/>
    <w:uiPriority w:val="40"/>
    <w:rsid w:val="000178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706134"/>
    <w:pPr>
      <w:ind w:left="720"/>
      <w:contextualSpacing/>
    </w:pPr>
  </w:style>
  <w:style w:type="character" w:customStyle="1" w:styleId="ListParagraphChar">
    <w:name w:val="List Paragraph Char"/>
    <w:basedOn w:val="DefaultParagraphFont"/>
    <w:link w:val="ListParagraph"/>
    <w:uiPriority w:val="34"/>
    <w:rsid w:val="00C70782"/>
    <w:rPr>
      <w:rFonts w:ascii="Arial" w:eastAsia="Times New Roman" w:hAnsi="Arial" w:cs="Times New Roman"/>
      <w:szCs w:val="24"/>
    </w:rPr>
  </w:style>
  <w:style w:type="character" w:customStyle="1" w:styleId="Heading1Char">
    <w:name w:val="Heading 1 Char"/>
    <w:basedOn w:val="DefaultParagraphFont"/>
    <w:link w:val="Heading1"/>
    <w:rsid w:val="0029247A"/>
    <w:rPr>
      <w:rFonts w:ascii="Arial" w:eastAsia="Times New Roman" w:hAnsi="Arial" w:cs="Arial"/>
      <w:b/>
      <w:bCs/>
    </w:rPr>
  </w:style>
  <w:style w:type="paragraph" w:customStyle="1" w:styleId="DataField11pt">
    <w:name w:val="Data Field 11pt"/>
    <w:basedOn w:val="Normal"/>
    <w:rsid w:val="0029247A"/>
    <w:pPr>
      <w:spacing w:line="300" w:lineRule="exact"/>
    </w:pPr>
    <w:rPr>
      <w:rFonts w:cs="Arial"/>
      <w:noProof/>
      <w:szCs w:val="20"/>
    </w:rPr>
  </w:style>
  <w:style w:type="paragraph" w:styleId="NoSpacing">
    <w:name w:val="No Spacing"/>
    <w:uiPriority w:val="1"/>
    <w:qFormat/>
    <w:rsid w:val="00CE560B"/>
    <w:pPr>
      <w:autoSpaceDE w:val="0"/>
      <w:autoSpaceDN w:val="0"/>
      <w:spacing w:after="0" w:line="240" w:lineRule="auto"/>
    </w:pPr>
    <w:rPr>
      <w:rFonts w:ascii="Arial" w:eastAsia="Times New Roman" w:hAnsi="Arial" w:cs="Times New Roman"/>
      <w:szCs w:val="24"/>
    </w:rPr>
  </w:style>
  <w:style w:type="character" w:customStyle="1" w:styleId="normaltextrun">
    <w:name w:val="normaltextrun"/>
    <w:basedOn w:val="DefaultParagraphFont"/>
    <w:rsid w:val="000F2CC9"/>
  </w:style>
  <w:style w:type="character" w:customStyle="1" w:styleId="eop">
    <w:name w:val="eop"/>
    <w:basedOn w:val="DefaultParagraphFont"/>
    <w:rsid w:val="000F2CC9"/>
  </w:style>
  <w:style w:type="paragraph" w:styleId="FootnoteText">
    <w:name w:val="footnote text"/>
    <w:basedOn w:val="Normal"/>
    <w:link w:val="FootnoteTextChar"/>
    <w:uiPriority w:val="99"/>
    <w:semiHidden/>
    <w:unhideWhenUsed/>
    <w:rsid w:val="00FE59B1"/>
    <w:rPr>
      <w:sz w:val="20"/>
      <w:szCs w:val="20"/>
    </w:rPr>
  </w:style>
  <w:style w:type="character" w:customStyle="1" w:styleId="FootnoteTextChar">
    <w:name w:val="Footnote Text Char"/>
    <w:basedOn w:val="DefaultParagraphFont"/>
    <w:link w:val="FootnoteText"/>
    <w:uiPriority w:val="99"/>
    <w:semiHidden/>
    <w:rsid w:val="00FE59B1"/>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FE59B1"/>
    <w:rPr>
      <w:vertAlign w:val="superscript"/>
    </w:rPr>
  </w:style>
  <w:style w:type="character" w:styleId="Hyperlink">
    <w:name w:val="Hyperlink"/>
    <w:basedOn w:val="DefaultParagraphFont"/>
    <w:uiPriority w:val="99"/>
    <w:unhideWhenUsed/>
    <w:rsid w:val="00FE59B1"/>
    <w:rPr>
      <w:color w:val="0563C1" w:themeColor="hyperlink"/>
      <w:u w:val="single"/>
    </w:rPr>
  </w:style>
  <w:style w:type="character" w:styleId="UnresolvedMention">
    <w:name w:val="Unresolved Mention"/>
    <w:basedOn w:val="DefaultParagraphFont"/>
    <w:uiPriority w:val="99"/>
    <w:semiHidden/>
    <w:unhideWhenUsed/>
    <w:rsid w:val="00FE5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15347">
      <w:bodyDiv w:val="1"/>
      <w:marLeft w:val="0"/>
      <w:marRight w:val="0"/>
      <w:marTop w:val="0"/>
      <w:marBottom w:val="0"/>
      <w:divBdr>
        <w:top w:val="none" w:sz="0" w:space="0" w:color="auto"/>
        <w:left w:val="none" w:sz="0" w:space="0" w:color="auto"/>
        <w:bottom w:val="none" w:sz="0" w:space="0" w:color="auto"/>
        <w:right w:val="none" w:sz="0" w:space="0" w:color="auto"/>
      </w:divBdr>
    </w:div>
    <w:div w:id="1255702121">
      <w:bodyDiv w:val="1"/>
      <w:marLeft w:val="0"/>
      <w:marRight w:val="0"/>
      <w:marTop w:val="0"/>
      <w:marBottom w:val="0"/>
      <w:divBdr>
        <w:top w:val="none" w:sz="0" w:space="0" w:color="auto"/>
        <w:left w:val="none" w:sz="0" w:space="0" w:color="auto"/>
        <w:bottom w:val="none" w:sz="0" w:space="0" w:color="auto"/>
        <w:right w:val="none" w:sz="0" w:space="0" w:color="auto"/>
      </w:divBdr>
    </w:div>
    <w:div w:id="1594901643">
      <w:bodyDiv w:val="1"/>
      <w:marLeft w:val="0"/>
      <w:marRight w:val="0"/>
      <w:marTop w:val="0"/>
      <w:marBottom w:val="0"/>
      <w:divBdr>
        <w:top w:val="none" w:sz="0" w:space="0" w:color="auto"/>
        <w:left w:val="none" w:sz="0" w:space="0" w:color="auto"/>
        <w:bottom w:val="none" w:sz="0" w:space="0" w:color="auto"/>
        <w:right w:val="none" w:sz="0" w:space="0" w:color="auto"/>
      </w:divBdr>
    </w:div>
    <w:div w:id="1606840522">
      <w:bodyDiv w:val="1"/>
      <w:marLeft w:val="0"/>
      <w:marRight w:val="0"/>
      <w:marTop w:val="0"/>
      <w:marBottom w:val="0"/>
      <w:divBdr>
        <w:top w:val="none" w:sz="0" w:space="0" w:color="auto"/>
        <w:left w:val="none" w:sz="0" w:space="0" w:color="auto"/>
        <w:bottom w:val="none" w:sz="0" w:space="0" w:color="auto"/>
        <w:right w:val="none" w:sz="0" w:space="0" w:color="auto"/>
      </w:divBdr>
    </w:div>
    <w:div w:id="21136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aeaweb.org/articles?id=10.1257/pandp.20191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van den Puttelaar</dc:creator>
  <cp:keywords/>
  <dc:description/>
  <cp:lastModifiedBy>Yoelle Kilsdonk</cp:lastModifiedBy>
  <cp:revision>3</cp:revision>
  <dcterms:created xsi:type="dcterms:W3CDTF">2022-08-03T08:35:00Z</dcterms:created>
  <dcterms:modified xsi:type="dcterms:W3CDTF">2022-08-03T08:39:00Z</dcterms:modified>
</cp:coreProperties>
</file>