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640"/>
      </w:pPr>
    </w:p>
    <w:p>
      <w:pPr>
        <w:pStyle w:val="CoverLabel"/>
        <w:pBdr>
          <w:bottom w:val="single" w:sz="14" w:space="4" w:color="00A6A6"/>
        </w:pBdr>
      </w:pPr>
      <w:r>
        <w:t>TEKNİK PROJE RAPORU</w:t>
      </w:r>
    </w:p>
    <w:p>
      <w:pPr>
        <w:pStyle w:val="Title"/>
        <w:spacing w:before="480" w:after="300"/>
      </w:pPr>
      <w:r>
        <w:t>İki Kanallı Cross-PSD Yöntemiyle Faz Gürültüsü Ölçümünün Simülasyonu</w:t>
      </w:r>
    </w:p>
    <w:p>
      <w:pPr>
        <w:pStyle w:val="Subtitle"/>
        <w:pBdr>
          <w:bottom w:val="single" w:sz="6" w:space="4" w:color="0B2748"/>
        </w:pBdr>
      </w:pPr>
      <w:r>
        <w:t>MATLAB Modeli, Algoritmik Optimizasyon ve Parametrik İnceleme</w:t>
      </w:r>
    </w:p>
    <w:p>
      <w:pPr>
        <w:spacing w:after="640"/>
      </w:pP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3402"/>
        <w:gridCol w:w="5669"/>
      </w:tblGrid>
      <w:tr>
        <w:trPr>
          <w:tblHeader w:val="true"/>
          <w:cantSplit/>
        </w:trPr>
        <w:tc>
          <w:tcPr>
            <w:tcW w:type="dxa" w:w="3402"/>
            <w:shd w:fill="0B2748"/>
            <w:tcMar>
              <w:top w:w="120" w:type="dxa"/>
              <w:start w:w="120" w:type="dxa"/>
              <w:bottom w:w="120" w:type="dxa"/>
              <w:end w:w="120" w:type="dxa"/>
            </w:tcMar>
            <w:vAlign w:val="center"/>
          </w:tcPr>
          <w:p>
            <w:pPr>
              <w:jc w:val="center"/>
            </w:pPr>
            <w:r>
              <w:rPr>
                <w:rFonts w:ascii="Arial" w:hAnsi="Arial"/>
                <w:b/>
                <w:color w:val="FFFFFF"/>
                <w:sz w:val="17"/>
              </w:rPr>
              <w:t>Rapor bilgisi</w:t>
            </w:r>
          </w:p>
        </w:tc>
        <w:tc>
          <w:tcPr>
            <w:tcW w:type="dxa" w:w="5669"/>
            <w:shd w:fill="0B2748"/>
            <w:tcMar>
              <w:top w:w="120" w:type="dxa"/>
              <w:start w:w="120" w:type="dxa"/>
              <w:bottom w:w="120" w:type="dxa"/>
              <w:end w:w="120" w:type="dxa"/>
            </w:tcMar>
            <w:vAlign w:val="center"/>
          </w:tcPr>
          <w:p>
            <w:pPr>
              <w:jc w:val="center"/>
            </w:pPr>
            <w:r>
              <w:rPr>
                <w:rFonts w:ascii="Arial" w:hAnsi="Arial"/>
                <w:b/>
                <w:color w:val="FFFFFF"/>
                <w:sz w:val="17"/>
              </w:rPr>
              <w:t>Doğrulanmış değer</w:t>
            </w:r>
          </w:p>
        </w:tc>
      </w:tr>
      <w:tr>
        <w:trPr>
          <w:cantSplit/>
        </w:trPr>
        <w:tc>
          <w:tcPr>
            <w:tcW w:type="dxa" w:w="3402"/>
            <w:shd w:fill="F4F6F8"/>
            <w:tcMar>
              <w:top w:w="100" w:type="dxa"/>
              <w:start w:w="120" w:type="dxa"/>
              <w:bottom w:w="100" w:type="dxa"/>
              <w:end w:w="120" w:type="dxa"/>
            </w:tcMar>
            <w:vAlign w:val="center"/>
          </w:tcPr>
          <w:p>
            <w:pPr>
              <w:spacing w:after="0"/>
              <w:jc w:val="left"/>
            </w:pPr>
            <w:r>
              <w:rPr>
                <w:rFonts w:ascii="Arial" w:hAnsi="Arial"/>
                <w:color w:val="1D2733"/>
                <w:sz w:val="16"/>
              </w:rPr>
              <w:t>Çalışma ortamı</w:t>
            </w:r>
          </w:p>
        </w:tc>
        <w:tc>
          <w:tcPr>
            <w:tcW w:type="dxa" w:w="5669"/>
            <w:shd w:fill="F4F6F8"/>
            <w:tcMar>
              <w:top w:w="100" w:type="dxa"/>
              <w:start w:w="120" w:type="dxa"/>
              <w:bottom w:w="100" w:type="dxa"/>
              <w:end w:w="120" w:type="dxa"/>
            </w:tcMar>
            <w:vAlign w:val="center"/>
          </w:tcPr>
          <w:p>
            <w:pPr>
              <w:spacing w:after="0"/>
              <w:jc w:val="left"/>
            </w:pPr>
            <w:r>
              <w:rPr>
                <w:rFonts w:ascii="Arial" w:hAnsi="Arial"/>
                <w:color w:val="1D2733"/>
                <w:sz w:val="16"/>
              </w:rPr>
              <w:t>MATLAB R2025b</w:t>
            </w:r>
          </w:p>
        </w:tc>
      </w:tr>
      <w:tr>
        <w:trPr>
          <w:cantSplit/>
        </w:trPr>
        <w:tc>
          <w:tcPr>
            <w:tcW w:type="dxa" w:w="3402"/>
            <w:tcMar>
              <w:top w:w="100" w:type="dxa"/>
              <w:start w:w="120" w:type="dxa"/>
              <w:bottom w:w="100" w:type="dxa"/>
              <w:end w:w="120" w:type="dxa"/>
            </w:tcMar>
            <w:vAlign w:val="center"/>
          </w:tcPr>
          <w:p>
            <w:pPr>
              <w:spacing w:after="0"/>
              <w:jc w:val="left"/>
            </w:pPr>
            <w:r>
              <w:rPr>
                <w:rFonts w:ascii="Arial" w:hAnsi="Arial"/>
                <w:color w:val="1D2733"/>
                <w:sz w:val="16"/>
              </w:rPr>
              <w:t>Kaynak senkron commit'i</w:t>
            </w:r>
          </w:p>
        </w:tc>
        <w:tc>
          <w:tcPr>
            <w:tcW w:type="dxa" w:w="5669"/>
            <w:tcMar>
              <w:top w:w="100" w:type="dxa"/>
              <w:start w:w="120" w:type="dxa"/>
              <w:bottom w:w="100" w:type="dxa"/>
              <w:end w:w="120" w:type="dxa"/>
            </w:tcMar>
            <w:vAlign w:val="center"/>
          </w:tcPr>
          <w:p>
            <w:pPr>
              <w:spacing w:after="0"/>
              <w:jc w:val="left"/>
            </w:pPr>
            <w:r>
              <w:rPr>
                <w:rFonts w:ascii="Arial" w:hAnsi="Arial"/>
                <w:color w:val="1D2733"/>
                <w:sz w:val="16"/>
              </w:rPr>
              <w:t>0799f9f</w:t>
            </w:r>
          </w:p>
        </w:tc>
      </w:tr>
      <w:tr>
        <w:trPr>
          <w:cantSplit/>
        </w:trPr>
        <w:tc>
          <w:tcPr>
            <w:tcW w:type="dxa" w:w="3402"/>
            <w:shd w:fill="F4F6F8"/>
            <w:tcMar>
              <w:top w:w="100" w:type="dxa"/>
              <w:start w:w="120" w:type="dxa"/>
              <w:bottom w:w="100" w:type="dxa"/>
              <w:end w:w="120" w:type="dxa"/>
            </w:tcMar>
            <w:vAlign w:val="center"/>
          </w:tcPr>
          <w:p>
            <w:pPr>
              <w:spacing w:after="0"/>
              <w:jc w:val="left"/>
            </w:pPr>
            <w:r>
              <w:rPr>
                <w:rFonts w:ascii="Arial" w:hAnsi="Arial"/>
                <w:color w:val="1D2733"/>
                <w:sz w:val="16"/>
              </w:rPr>
              <w:t>Rapor tarihi</w:t>
            </w:r>
          </w:p>
        </w:tc>
        <w:tc>
          <w:tcPr>
            <w:tcW w:type="dxa" w:w="5669"/>
            <w:shd w:fill="F4F6F8"/>
            <w:tcMar>
              <w:top w:w="100" w:type="dxa"/>
              <w:start w:w="120" w:type="dxa"/>
              <w:bottom w:w="100" w:type="dxa"/>
              <w:end w:w="120" w:type="dxa"/>
            </w:tcMar>
            <w:vAlign w:val="center"/>
          </w:tcPr>
          <w:p>
            <w:pPr>
              <w:spacing w:after="0"/>
              <w:jc w:val="left"/>
            </w:pPr>
            <w:r>
              <w:rPr>
                <w:rFonts w:ascii="Arial" w:hAnsi="Arial"/>
                <w:color w:val="1D2733"/>
                <w:sz w:val="16"/>
              </w:rPr>
              <w:t>21 Ağustos 2026</w:t>
            </w:r>
          </w:p>
        </w:tc>
      </w:tr>
    </w:tbl>
    <w:p>
      <w:pPr>
        <w:spacing w:after="20"/>
      </w:pPr>
    </w:p>
    <w:p>
      <w:pPr>
        <w:spacing w:before="960"/>
        <w:jc w:val="center"/>
      </w:pPr>
      <w:r>
        <w:rPr>
          <w:rFonts w:ascii="Arial" w:hAnsi="Arial"/>
          <w:b/>
          <w:color w:val="0B2748"/>
          <w:sz w:val="20"/>
        </w:rPr>
        <w:t>TASNİF DIŞI</w:t>
      </w:r>
    </w:p>
    <w:p>
      <w:r>
        <w:br w:type="page"/>
      </w:r>
    </w:p>
    <w:p>
      <w:pPr>
        <w:pStyle w:val="Heading1"/>
        <w:pBdr>
          <w:bottom w:val="single" w:sz="10" w:space="4" w:color="00A6A6"/>
        </w:pBdr>
      </w:pPr>
      <w:r>
        <w:t>Özet</w:t>
      </w:r>
    </w:p>
    <w:p>
      <w:pPr>
        <w:pStyle w:val="Lead"/>
      </w:pPr>
      <w:r>
        <w:t>Bu çalışmada, bir test edilen cihazın (Device Under Test, DUT) faz gürültüsünü iki ayrı referans kanalı üzerinden kestiren iki kanallı çapraz korelasyon yöntemi MATLAB R2025b ortamında modellenmiştir. DUT iki kanalda ortak tutulmuş, referanslar ayrı rastgele dizilerden üretilmiş ve kompleks çapraz güç spektral yoğunlukları (Cross-PSD) büyüklük alınmadan önce yinelemeler boyunca ortalanmıştır.</w:t>
      </w:r>
    </w:p>
    <w:p>
      <w:pPr>
        <w:jc w:val="both"/>
      </w:pPr>
      <w:r>
        <w:t>Benzetim; sentetik 1/f³ faz gürültüsü üretimi, iki mikser, dördüncü derece Butterworth alçak geçiren filtre, faz dedektörü kazanç normalizasyonu, FFT tabanlı Cross-PSD, doğrusal DUT periodogram ortalaması ve logaritmik binleme bloklarından oluşmaktadır. Açık xcorr→ifftshift→fft zinciri korelasyon teoremine dayalı doğrudan spektral çarpımla değiştirilmiş; FFT boyu 2^nextpow2(2M−1) olarak seçilmiş ve tekrarlı hesaplamalar sadeleştirilmiştir. Kontrollü bir benchmark bulunmadığı için sayısal hızlanma çarpanı raporlanmamıştır.</w:t>
      </w:r>
    </w:p>
    <w:p>
      <w:pPr>
        <w:jc w:val="both"/>
      </w:pPr>
      <w:r>
        <w:t>N=1.000.000 örnekli genel karşılaştırma profilinde yineleme sayısı 1'den 1.000'e çıkarıldığında tam bant MAE 5,119 dB'den 1,387 dB'ye değişmiştir. Farklı config kullanan özel uzun taramada aynı metrik 6,958 dB'den 1,437 dB'ye düşmüştür. LPF taramasında en düşük gözlenen MAE 50 kHz'de 0,664 dB iken, 0,50 rad referans RMS koşulunda MAE 9,518 dB olmuştur. 20.000 yineleme kaydında 10 kHz ve altıyla sınırlanan ek tanısal MAE 0,171 dB'dir. Bu değerler tek koşulu Monte Carlo sonuçlarıdır; genel optimum, donanım doğruluğu veya güven aralığı olarak yorumlanmamıştır.</w:t>
      </w:r>
    </w:p>
    <w:p>
      <w:pPr>
        <w:jc w:val="left"/>
      </w:pPr>
      <w:r>
        <w:rPr>
          <w:b/>
        </w:rPr>
        <w:t xml:space="preserve">Anahtar kelimeler: </w:t>
      </w:r>
      <w:r>
        <w:t>faz gürültüsü, çapraz korelasyon, Cross-PSD, FFT, faz dedektörü, Monte Carlo, MATLAB, dBc/Hz</w:t>
      </w:r>
    </w:p>
    <w:p>
      <w:r>
        <w:br w:type="page"/>
      </w:r>
    </w:p>
    <w:p>
      <w:pPr>
        <w:pStyle w:val="Heading1"/>
        <w:pBdr>
          <w:bottom w:val="single" w:sz="10" w:space="4" w:color="00A6A6"/>
        </w:pBdr>
      </w:pPr>
      <w:r>
        <w:t>İçindekiler</w:t>
      </w:r>
    </w:p>
    <w:tbl>
      <w:tblPr>
        <w:tblW w:type="auto" w:w="0"/>
        <w:jc w:val="center"/>
        <w:tblLayout w:type="fixed"/>
        <w:tblLook w:firstColumn="1" w:firstRow="1" w:lastColumn="0" w:lastRow="0" w:noHBand="0" w:noVBand="1" w:val="04A0"/>
        <w:tblCaption w:val="İçindekiler"/>
        <w:tblDescription w:val="Rapor bölüm numaralarını ve bölüm adlarını eşleyen içerik listesi."/>
      </w:tblPr>
      <w:tblGrid>
        <w:gridCol w:w="1191"/>
        <w:gridCol w:w="7824"/>
      </w:tblGrid>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1</w:t>
            </w:r>
          </w:p>
        </w:tc>
        <w:tc>
          <w:tcPr>
            <w:tcW w:type="dxa" w:w="7824"/>
            <w:tcMar>
              <w:top w:w="90" w:type="dxa"/>
              <w:start w:w="120" w:type="dxa"/>
              <w:bottom w:w="90" w:type="dxa"/>
              <w:end w:w="120" w:type="dxa"/>
            </w:tcMar>
          </w:tcPr>
          <w:p>
            <w:pPr>
              <w:spacing w:after="0"/>
            </w:pPr>
            <w:r>
              <w:rPr>
                <w:rFonts w:ascii="Arial" w:hAnsi="Arial"/>
                <w:color w:val="173D63"/>
                <w:sz w:val="20"/>
              </w:rPr>
              <w:t>Giriş ve motivasyon</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2</w:t>
            </w:r>
          </w:p>
        </w:tc>
        <w:tc>
          <w:tcPr>
            <w:tcW w:type="dxa" w:w="7824"/>
            <w:tcMar>
              <w:top w:w="90" w:type="dxa"/>
              <w:start w:w="120" w:type="dxa"/>
              <w:bottom w:w="90" w:type="dxa"/>
              <w:end w:w="120" w:type="dxa"/>
            </w:tcMar>
          </w:tcPr>
          <w:p>
            <w:pPr>
              <w:spacing w:after="0"/>
            </w:pPr>
            <w:r>
              <w:rPr>
                <w:rFonts w:ascii="Arial" w:hAnsi="Arial"/>
                <w:color w:val="173D63"/>
                <w:sz w:val="20"/>
              </w:rPr>
              <w:t>Faz gürültüsü temelleri</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3</w:t>
            </w:r>
          </w:p>
        </w:tc>
        <w:tc>
          <w:tcPr>
            <w:tcW w:type="dxa" w:w="7824"/>
            <w:tcMar>
              <w:top w:w="90" w:type="dxa"/>
              <w:start w:w="120" w:type="dxa"/>
              <w:bottom w:w="90" w:type="dxa"/>
              <w:end w:w="120" w:type="dxa"/>
            </w:tcMar>
          </w:tcPr>
          <w:p>
            <w:pPr>
              <w:spacing w:after="0"/>
            </w:pPr>
            <w:r>
              <w:rPr>
                <w:rFonts w:ascii="Arial" w:hAnsi="Arial"/>
                <w:color w:val="173D63"/>
                <w:sz w:val="20"/>
              </w:rPr>
              <w:t>Faz gürültüsü ölçüm yöntemleri</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4</w:t>
            </w:r>
          </w:p>
        </w:tc>
        <w:tc>
          <w:tcPr>
            <w:tcW w:type="dxa" w:w="7824"/>
            <w:tcMar>
              <w:top w:w="90" w:type="dxa"/>
              <w:start w:w="120" w:type="dxa"/>
              <w:bottom w:w="90" w:type="dxa"/>
              <w:end w:w="120" w:type="dxa"/>
            </w:tcMar>
          </w:tcPr>
          <w:p>
            <w:pPr>
              <w:spacing w:after="0"/>
            </w:pPr>
            <w:r>
              <w:rPr>
                <w:rFonts w:ascii="Arial" w:hAnsi="Arial"/>
                <w:color w:val="173D63"/>
                <w:sz w:val="20"/>
              </w:rPr>
              <w:t>İki kanallı MATLAB benzetim modeli</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5</w:t>
            </w:r>
          </w:p>
        </w:tc>
        <w:tc>
          <w:tcPr>
            <w:tcW w:type="dxa" w:w="7824"/>
            <w:tcMar>
              <w:top w:w="90" w:type="dxa"/>
              <w:start w:w="120" w:type="dxa"/>
              <w:bottom w:w="90" w:type="dxa"/>
              <w:end w:w="120" w:type="dxa"/>
            </w:tcMar>
          </w:tcPr>
          <w:p>
            <w:pPr>
              <w:spacing w:after="0"/>
            </w:pPr>
            <w:r>
              <w:rPr>
                <w:rFonts w:ascii="Arial" w:hAnsi="Arial"/>
                <w:color w:val="173D63"/>
                <w:sz w:val="20"/>
              </w:rPr>
              <w:t>Projenin gelişimi ve algoritmik optimizasyonlar</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6</w:t>
            </w:r>
          </w:p>
        </w:tc>
        <w:tc>
          <w:tcPr>
            <w:tcW w:type="dxa" w:w="7824"/>
            <w:tcMar>
              <w:top w:w="90" w:type="dxa"/>
              <w:start w:w="120" w:type="dxa"/>
              <w:bottom w:w="90" w:type="dxa"/>
              <w:end w:w="120" w:type="dxa"/>
            </w:tcMar>
          </w:tcPr>
          <w:p>
            <w:pPr>
              <w:spacing w:after="0"/>
            </w:pPr>
            <w:r>
              <w:rPr>
                <w:rFonts w:ascii="Arial" w:hAnsi="Arial"/>
                <w:color w:val="173D63"/>
                <w:sz w:val="20"/>
              </w:rPr>
              <w:t>Deney tasarımı ve sonuç sözleşmesi</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7</w:t>
            </w:r>
          </w:p>
        </w:tc>
        <w:tc>
          <w:tcPr>
            <w:tcW w:type="dxa" w:w="7824"/>
            <w:tcMar>
              <w:top w:w="90" w:type="dxa"/>
              <w:start w:w="120" w:type="dxa"/>
              <w:bottom w:w="90" w:type="dxa"/>
              <w:end w:w="120" w:type="dxa"/>
            </w:tcMar>
          </w:tcPr>
          <w:p>
            <w:pPr>
              <w:spacing w:after="0"/>
            </w:pPr>
            <w:r>
              <w:rPr>
                <w:rFonts w:ascii="Arial" w:hAnsi="Arial"/>
                <w:color w:val="173D63"/>
                <w:sz w:val="20"/>
              </w:rPr>
              <w:t>N=1.000.000 benzetim sonuçları</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8</w:t>
            </w:r>
          </w:p>
        </w:tc>
        <w:tc>
          <w:tcPr>
            <w:tcW w:type="dxa" w:w="7824"/>
            <w:tcMar>
              <w:top w:w="90" w:type="dxa"/>
              <w:start w:w="120" w:type="dxa"/>
              <w:bottom w:w="90" w:type="dxa"/>
              <w:end w:w="120" w:type="dxa"/>
            </w:tcMar>
          </w:tcPr>
          <w:p>
            <w:pPr>
              <w:spacing w:after="0"/>
            </w:pPr>
            <w:r>
              <w:rPr>
                <w:rFonts w:ascii="Arial" w:hAnsi="Arial"/>
                <w:color w:val="173D63"/>
                <w:sz w:val="20"/>
              </w:rPr>
              <w:t>Tartışma ve sınırlamalar</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9</w:t>
            </w:r>
          </w:p>
        </w:tc>
        <w:tc>
          <w:tcPr>
            <w:tcW w:type="dxa" w:w="7824"/>
            <w:tcMar>
              <w:top w:w="90" w:type="dxa"/>
              <w:start w:w="120" w:type="dxa"/>
              <w:bottom w:w="90" w:type="dxa"/>
              <w:end w:w="120" w:type="dxa"/>
            </w:tcMar>
          </w:tcPr>
          <w:p>
            <w:pPr>
              <w:spacing w:after="0"/>
            </w:pPr>
            <w:r>
              <w:rPr>
                <w:rFonts w:ascii="Arial" w:hAnsi="Arial"/>
                <w:color w:val="173D63"/>
                <w:sz w:val="20"/>
              </w:rPr>
              <w:t>Sonuç ve gelecek çalışmalar</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r>
          </w:p>
        </w:tc>
        <w:tc>
          <w:tcPr>
            <w:tcW w:type="dxa" w:w="7824"/>
            <w:tcMar>
              <w:top w:w="90" w:type="dxa"/>
              <w:start w:w="120" w:type="dxa"/>
              <w:bottom w:w="90" w:type="dxa"/>
              <w:end w:w="120" w:type="dxa"/>
            </w:tcMar>
          </w:tcPr>
          <w:p>
            <w:pPr>
              <w:spacing w:after="0"/>
            </w:pPr>
            <w:r>
              <w:rPr>
                <w:rFonts w:ascii="Arial" w:hAnsi="Arial"/>
                <w:color w:val="173D63"/>
                <w:sz w:val="20"/>
              </w:rPr>
              <w:t>Kaynakça</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Ek A</w:t>
            </w:r>
          </w:p>
        </w:tc>
        <w:tc>
          <w:tcPr>
            <w:tcW w:type="dxa" w:w="7824"/>
            <w:tcMar>
              <w:top w:w="90" w:type="dxa"/>
              <w:start w:w="120" w:type="dxa"/>
              <w:bottom w:w="90" w:type="dxa"/>
              <w:end w:w="120" w:type="dxa"/>
            </w:tcMar>
          </w:tcPr>
          <w:p>
            <w:pPr>
              <w:spacing w:after="0"/>
            </w:pPr>
            <w:r>
              <w:rPr>
                <w:rFonts w:ascii="Arial" w:hAnsi="Arial"/>
                <w:color w:val="173D63"/>
                <w:sz w:val="20"/>
              </w:rPr>
              <w:t>Sonuç provenance ve config manifesti</w:t>
            </w:r>
          </w:p>
        </w:tc>
      </w:tr>
      <w:tr>
        <w:trPr>
          <w:cantSplit/>
        </w:trPr>
        <w:tc>
          <w:tcPr>
            <w:tcW w:type="dxa" w:w="1191"/>
            <w:tcMar>
              <w:top w:w="90" w:type="dxa"/>
              <w:start w:w="120" w:type="dxa"/>
              <w:bottom w:w="90" w:type="dxa"/>
              <w:end w:w="120" w:type="dxa"/>
            </w:tcMar>
          </w:tcPr>
          <w:p>
            <w:pPr>
              <w:spacing w:after="0"/>
              <w:jc w:val="right"/>
            </w:pPr>
            <w:r>
              <w:rPr>
                <w:rFonts w:ascii="Arial" w:hAnsi="Arial"/>
                <w:b/>
                <w:color w:val="007C83"/>
                <w:sz w:val="20"/>
              </w:rPr>
              <w:t>Ek B</w:t>
            </w:r>
          </w:p>
        </w:tc>
        <w:tc>
          <w:tcPr>
            <w:tcW w:type="dxa" w:w="7824"/>
            <w:tcMar>
              <w:top w:w="90" w:type="dxa"/>
              <w:start w:w="120" w:type="dxa"/>
              <w:bottom w:w="90" w:type="dxa"/>
              <w:end w:w="120" w:type="dxa"/>
            </w:tcMar>
          </w:tcPr>
          <w:p>
            <w:pPr>
              <w:spacing w:after="0"/>
            </w:pPr>
            <w:r>
              <w:rPr>
                <w:rFonts w:ascii="Arial" w:hAnsi="Arial"/>
                <w:color w:val="173D63"/>
                <w:sz w:val="20"/>
              </w:rPr>
              <w:t>Yazılım bileşenleri ve sorumlulukları</w:t>
            </w:r>
          </w:p>
        </w:tc>
      </w:tr>
    </w:tbl>
    <w:p>
      <w:pPr>
        <w:pStyle w:val="Heading2"/>
      </w:pPr>
      <w:r>
        <w:t>Kısaltmalar</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701"/>
        <w:gridCol w:w="7370"/>
      </w:tblGrid>
      <w:tr>
        <w:trPr>
          <w:tblHeader w:val="true"/>
          <w:cantSplit/>
        </w:trPr>
        <w:tc>
          <w:tcPr>
            <w:tcW w:type="dxa" w:w="1701"/>
            <w:shd w:fill="0B2748"/>
            <w:tcMar>
              <w:top w:w="120" w:type="dxa"/>
              <w:start w:w="120" w:type="dxa"/>
              <w:bottom w:w="120" w:type="dxa"/>
              <w:end w:w="120" w:type="dxa"/>
            </w:tcMar>
            <w:vAlign w:val="center"/>
          </w:tcPr>
          <w:p>
            <w:pPr>
              <w:jc w:val="center"/>
            </w:pPr>
            <w:r>
              <w:rPr>
                <w:rFonts w:ascii="Arial" w:hAnsi="Arial"/>
                <w:b/>
                <w:color w:val="FFFFFF"/>
                <w:sz w:val="17"/>
              </w:rPr>
              <w:t>Kısaltma</w:t>
            </w:r>
          </w:p>
        </w:tc>
        <w:tc>
          <w:tcPr>
            <w:tcW w:type="dxa" w:w="7370"/>
            <w:shd w:fill="0B2748"/>
            <w:tcMar>
              <w:top w:w="120" w:type="dxa"/>
              <w:start w:w="120" w:type="dxa"/>
              <w:bottom w:w="120" w:type="dxa"/>
              <w:end w:w="120" w:type="dxa"/>
            </w:tcMar>
            <w:vAlign w:val="center"/>
          </w:tcPr>
          <w:p>
            <w:pPr>
              <w:jc w:val="center"/>
            </w:pPr>
            <w:r>
              <w:rPr>
                <w:rFonts w:ascii="Arial" w:hAnsi="Arial"/>
                <w:b/>
                <w:color w:val="FFFFFF"/>
                <w:sz w:val="17"/>
              </w:rPr>
              <w:t>Açılım / anlam</w:t>
            </w:r>
          </w:p>
        </w:tc>
      </w:tr>
      <w:tr>
        <w:trPr>
          <w:cantSplit/>
        </w:trPr>
        <w:tc>
          <w:tcPr>
            <w:tcW w:type="dxa" w:w="1701"/>
            <w:shd w:fill="F4F6F8"/>
            <w:tcMar>
              <w:top w:w="100" w:type="dxa"/>
              <w:start w:w="120" w:type="dxa"/>
              <w:bottom w:w="100" w:type="dxa"/>
              <w:end w:w="120" w:type="dxa"/>
            </w:tcMar>
            <w:vAlign w:val="center"/>
          </w:tcPr>
          <w:p>
            <w:pPr>
              <w:spacing w:after="0"/>
              <w:jc w:val="left"/>
            </w:pPr>
            <w:r>
              <w:rPr>
                <w:rFonts w:ascii="Arial" w:hAnsi="Arial"/>
                <w:color w:val="1D2733"/>
                <w:sz w:val="16"/>
              </w:rPr>
              <w:t>DUT</w:t>
            </w:r>
          </w:p>
        </w:tc>
        <w:tc>
          <w:tcPr>
            <w:tcW w:type="dxa" w:w="7370"/>
            <w:shd w:fill="F4F6F8"/>
            <w:tcMar>
              <w:top w:w="100" w:type="dxa"/>
              <w:start w:w="120" w:type="dxa"/>
              <w:bottom w:w="100" w:type="dxa"/>
              <w:end w:w="120" w:type="dxa"/>
            </w:tcMar>
            <w:vAlign w:val="center"/>
          </w:tcPr>
          <w:p>
            <w:pPr>
              <w:spacing w:after="0"/>
              <w:jc w:val="left"/>
            </w:pPr>
            <w:r>
              <w:rPr>
                <w:rFonts w:ascii="Arial" w:hAnsi="Arial"/>
                <w:color w:val="1D2733"/>
                <w:sz w:val="16"/>
              </w:rPr>
              <w:t>Device Under Test - test edilen cihaz</w:t>
            </w:r>
          </w:p>
        </w:tc>
      </w:tr>
      <w:tr>
        <w:trPr>
          <w:cantSplit/>
        </w:trPr>
        <w:tc>
          <w:tcPr>
            <w:tcW w:type="dxa" w:w="1701"/>
            <w:tcMar>
              <w:top w:w="100" w:type="dxa"/>
              <w:start w:w="120" w:type="dxa"/>
              <w:bottom w:w="100" w:type="dxa"/>
              <w:end w:w="120" w:type="dxa"/>
            </w:tcMar>
            <w:vAlign w:val="center"/>
          </w:tcPr>
          <w:p>
            <w:pPr>
              <w:spacing w:after="0"/>
              <w:jc w:val="left"/>
            </w:pPr>
            <w:r>
              <w:rPr>
                <w:rFonts w:ascii="Arial" w:hAnsi="Arial"/>
                <w:color w:val="1D2733"/>
                <w:sz w:val="16"/>
              </w:rPr>
              <w:t>PSD</w:t>
            </w:r>
          </w:p>
        </w:tc>
        <w:tc>
          <w:tcPr>
            <w:tcW w:type="dxa" w:w="7370"/>
            <w:tcMar>
              <w:top w:w="100" w:type="dxa"/>
              <w:start w:w="120" w:type="dxa"/>
              <w:bottom w:w="100" w:type="dxa"/>
              <w:end w:w="120" w:type="dxa"/>
            </w:tcMar>
            <w:vAlign w:val="center"/>
          </w:tcPr>
          <w:p>
            <w:pPr>
              <w:spacing w:after="0"/>
              <w:jc w:val="left"/>
            </w:pPr>
            <w:r>
              <w:rPr>
                <w:rFonts w:ascii="Arial" w:hAnsi="Arial"/>
                <w:color w:val="1D2733"/>
                <w:sz w:val="16"/>
              </w:rPr>
              <w:t>Power Spectral Density - güç spektral yoğunluğu</w:t>
            </w:r>
          </w:p>
        </w:tc>
      </w:tr>
      <w:tr>
        <w:trPr>
          <w:cantSplit/>
        </w:trPr>
        <w:tc>
          <w:tcPr>
            <w:tcW w:type="dxa" w:w="1701"/>
            <w:shd w:fill="F4F6F8"/>
            <w:tcMar>
              <w:top w:w="100" w:type="dxa"/>
              <w:start w:w="120" w:type="dxa"/>
              <w:bottom w:w="100" w:type="dxa"/>
              <w:end w:w="120" w:type="dxa"/>
            </w:tcMar>
            <w:vAlign w:val="center"/>
          </w:tcPr>
          <w:p>
            <w:pPr>
              <w:spacing w:after="0"/>
              <w:jc w:val="left"/>
            </w:pPr>
            <w:r>
              <w:rPr>
                <w:rFonts w:ascii="Arial" w:hAnsi="Arial"/>
                <w:color w:val="1D2733"/>
                <w:sz w:val="16"/>
              </w:rPr>
              <w:t>SSB</w:t>
            </w:r>
          </w:p>
        </w:tc>
        <w:tc>
          <w:tcPr>
            <w:tcW w:type="dxa" w:w="7370"/>
            <w:shd w:fill="F4F6F8"/>
            <w:tcMar>
              <w:top w:w="100" w:type="dxa"/>
              <w:start w:w="120" w:type="dxa"/>
              <w:bottom w:w="100" w:type="dxa"/>
              <w:end w:w="120" w:type="dxa"/>
            </w:tcMar>
            <w:vAlign w:val="center"/>
          </w:tcPr>
          <w:p>
            <w:pPr>
              <w:spacing w:after="0"/>
              <w:jc w:val="left"/>
            </w:pPr>
            <w:r>
              <w:rPr>
                <w:rFonts w:ascii="Arial" w:hAnsi="Arial"/>
                <w:color w:val="1D2733"/>
                <w:sz w:val="16"/>
              </w:rPr>
              <w:t>Single Sideband - tek yan bant</w:t>
            </w:r>
          </w:p>
        </w:tc>
      </w:tr>
      <w:tr>
        <w:trPr>
          <w:cantSplit/>
        </w:trPr>
        <w:tc>
          <w:tcPr>
            <w:tcW w:type="dxa" w:w="1701"/>
            <w:tcMar>
              <w:top w:w="100" w:type="dxa"/>
              <w:start w:w="120" w:type="dxa"/>
              <w:bottom w:w="100" w:type="dxa"/>
              <w:end w:w="120" w:type="dxa"/>
            </w:tcMar>
            <w:vAlign w:val="center"/>
          </w:tcPr>
          <w:p>
            <w:pPr>
              <w:spacing w:after="0"/>
              <w:jc w:val="left"/>
            </w:pPr>
            <w:r>
              <w:rPr>
                <w:rFonts w:ascii="Arial" w:hAnsi="Arial"/>
                <w:color w:val="1D2733"/>
                <w:sz w:val="16"/>
              </w:rPr>
              <w:t>LPF</w:t>
            </w:r>
          </w:p>
        </w:tc>
        <w:tc>
          <w:tcPr>
            <w:tcW w:type="dxa" w:w="7370"/>
            <w:tcMar>
              <w:top w:w="100" w:type="dxa"/>
              <w:start w:w="120" w:type="dxa"/>
              <w:bottom w:w="100" w:type="dxa"/>
              <w:end w:w="120" w:type="dxa"/>
            </w:tcMar>
            <w:vAlign w:val="center"/>
          </w:tcPr>
          <w:p>
            <w:pPr>
              <w:spacing w:after="0"/>
              <w:jc w:val="left"/>
            </w:pPr>
            <w:r>
              <w:rPr>
                <w:rFonts w:ascii="Arial" w:hAnsi="Arial"/>
                <w:color w:val="1D2733"/>
                <w:sz w:val="16"/>
              </w:rPr>
              <w:t>Low-Pass Filter - alçak geçiren filtre</w:t>
            </w:r>
          </w:p>
        </w:tc>
      </w:tr>
      <w:tr>
        <w:trPr>
          <w:cantSplit/>
        </w:trPr>
        <w:tc>
          <w:tcPr>
            <w:tcW w:type="dxa" w:w="1701"/>
            <w:shd w:fill="F4F6F8"/>
            <w:tcMar>
              <w:top w:w="100" w:type="dxa"/>
              <w:start w:w="120" w:type="dxa"/>
              <w:bottom w:w="100" w:type="dxa"/>
              <w:end w:w="120" w:type="dxa"/>
            </w:tcMar>
            <w:vAlign w:val="center"/>
          </w:tcPr>
          <w:p>
            <w:pPr>
              <w:spacing w:after="0"/>
              <w:jc w:val="left"/>
            </w:pPr>
            <w:r>
              <w:rPr>
                <w:rFonts w:ascii="Arial" w:hAnsi="Arial"/>
                <w:color w:val="1D2733"/>
                <w:sz w:val="16"/>
              </w:rPr>
              <w:t>MAE</w:t>
            </w:r>
          </w:p>
        </w:tc>
        <w:tc>
          <w:tcPr>
            <w:tcW w:type="dxa" w:w="7370"/>
            <w:shd w:fill="F4F6F8"/>
            <w:tcMar>
              <w:top w:w="100" w:type="dxa"/>
              <w:start w:w="120" w:type="dxa"/>
              <w:bottom w:w="100" w:type="dxa"/>
              <w:end w:w="120" w:type="dxa"/>
            </w:tcMar>
            <w:vAlign w:val="center"/>
          </w:tcPr>
          <w:p>
            <w:pPr>
              <w:spacing w:after="0"/>
              <w:jc w:val="left"/>
            </w:pPr>
            <w:r>
              <w:rPr>
                <w:rFonts w:ascii="Arial" w:hAnsi="Arial"/>
                <w:color w:val="1D2733"/>
                <w:sz w:val="16"/>
              </w:rPr>
              <w:t>Ortalama mutlak dB farkı</w:t>
            </w:r>
          </w:p>
        </w:tc>
      </w:tr>
      <w:tr>
        <w:trPr>
          <w:cantSplit/>
        </w:trPr>
        <w:tc>
          <w:tcPr>
            <w:tcW w:type="dxa" w:w="1701"/>
            <w:tcMar>
              <w:top w:w="100" w:type="dxa"/>
              <w:start w:w="120" w:type="dxa"/>
              <w:bottom w:w="100" w:type="dxa"/>
              <w:end w:w="120" w:type="dxa"/>
            </w:tcMar>
            <w:vAlign w:val="center"/>
          </w:tcPr>
          <w:p>
            <w:pPr>
              <w:spacing w:after="0"/>
              <w:jc w:val="left"/>
            </w:pPr>
            <w:r>
              <w:rPr>
                <w:rFonts w:ascii="Arial" w:hAnsi="Arial"/>
                <w:color w:val="1D2733"/>
                <w:sz w:val="16"/>
              </w:rPr>
              <w:t>FFT</w:t>
            </w:r>
          </w:p>
        </w:tc>
        <w:tc>
          <w:tcPr>
            <w:tcW w:type="dxa" w:w="7370"/>
            <w:tcMar>
              <w:top w:w="100" w:type="dxa"/>
              <w:start w:w="120" w:type="dxa"/>
              <w:bottom w:w="100" w:type="dxa"/>
              <w:end w:w="120" w:type="dxa"/>
            </w:tcMar>
            <w:vAlign w:val="center"/>
          </w:tcPr>
          <w:p>
            <w:pPr>
              <w:spacing w:after="0"/>
              <w:jc w:val="left"/>
            </w:pPr>
            <w:r>
              <w:rPr>
                <w:rFonts w:ascii="Arial" w:hAnsi="Arial"/>
                <w:color w:val="1D2733"/>
                <w:sz w:val="16"/>
              </w:rPr>
              <w:t>Fast Fourier Transform</w:t>
            </w:r>
          </w:p>
        </w:tc>
      </w:tr>
      <w:tr>
        <w:trPr>
          <w:cantSplit/>
        </w:trPr>
        <w:tc>
          <w:tcPr>
            <w:tcW w:type="dxa" w:w="1701"/>
            <w:shd w:fill="F4F6F8"/>
            <w:tcMar>
              <w:top w:w="100" w:type="dxa"/>
              <w:start w:w="120" w:type="dxa"/>
              <w:bottom w:w="100" w:type="dxa"/>
              <w:end w:w="120" w:type="dxa"/>
            </w:tcMar>
            <w:vAlign w:val="center"/>
          </w:tcPr>
          <w:p>
            <w:pPr>
              <w:spacing w:after="0"/>
              <w:jc w:val="left"/>
            </w:pPr>
            <w:r>
              <w:rPr>
                <w:rFonts w:ascii="Arial" w:hAnsi="Arial"/>
                <w:color w:val="1D2733"/>
                <w:sz w:val="16"/>
              </w:rPr>
              <w:t>RNG</w:t>
            </w:r>
          </w:p>
        </w:tc>
        <w:tc>
          <w:tcPr>
            <w:tcW w:type="dxa" w:w="7370"/>
            <w:shd w:fill="F4F6F8"/>
            <w:tcMar>
              <w:top w:w="100" w:type="dxa"/>
              <w:start w:w="120" w:type="dxa"/>
              <w:bottom w:w="100" w:type="dxa"/>
              <w:end w:w="120" w:type="dxa"/>
            </w:tcMar>
            <w:vAlign w:val="center"/>
          </w:tcPr>
          <w:p>
            <w:pPr>
              <w:spacing w:after="0"/>
              <w:jc w:val="left"/>
            </w:pPr>
            <w:r>
              <w:rPr>
                <w:rFonts w:ascii="Arial" w:hAnsi="Arial"/>
                <w:color w:val="1D2733"/>
                <w:sz w:val="16"/>
              </w:rPr>
              <w:t>Rastgele sayı üreteci</w:t>
            </w:r>
          </w:p>
        </w:tc>
      </w:tr>
    </w:tbl>
    <w:p>
      <w:pPr>
        <w:spacing w:after="20"/>
      </w:pPr>
    </w:p>
    <w:p>
      <w:r>
        <w:br w:type="page"/>
      </w:r>
    </w:p>
    <w:p>
      <w:pPr>
        <w:pStyle w:val="Heading1"/>
        <w:pBdr>
          <w:bottom w:val="single" w:sz="10" w:space="4" w:color="00A6A6"/>
        </w:pBdr>
      </w:pPr>
      <w:r>
        <w:t>1. Giriş ve motivasyon</w:t>
      </w:r>
    </w:p>
    <w:p>
      <w:pPr>
        <w:pStyle w:val="Lead"/>
      </w:pPr>
      <w:r>
        <w:t>İdeal bir osilatör frekans bölgesinde tek bir spektral çizgi üretir. Gerçek devrelerde termal etkiler, aktif eleman gürültüsü, rezonatör kayıpları, besleme değişimleri ve çevresel koşullar sinyalin anlık fazında rastgele sapmalara yol açar. Taşıyıcı çevresinde oluşan bu yan bantlar faz gürültüsü olarak adlandırılır.</w:t>
      </w:r>
    </w:p>
    <w:p>
      <w:pPr>
        <w:jc w:val="both"/>
      </w:pPr>
      <w:r>
        <w:t>Faz gürültüsü haberleşme sistemlerinde modülasyon kalitesi ve komşu kanal performansını, radar sistemlerinde güçlü yansımalar yakınındaki zayıf hedeflerin seçilebilirliğini, sayısal sistemlerde ise saat jitteri ve örnekleme doğruluğunu sınırlar. Bu nedenle düşük gürültülü bir osilatörü ölçebilmek, yalnız DUT performansına değil ölçüm sisteminin kendi gürültü tabanına da bağlıdır.</w:t>
      </w:r>
    </w:p>
    <w:p>
      <w:pPr>
        <w:pStyle w:val="Heading2"/>
      </w:pPr>
      <w:r>
        <w:t>1.1. Amaç ve kapsam</w:t>
      </w:r>
    </w:p>
    <w:p>
      <w:pPr>
        <w:jc w:val="both"/>
      </w:pPr>
      <w:r>
        <w:t>Çalışmanın amacı iki referans kanallı faz dedektörü mimarisini sayısal olarak kurmak, kanallarda ortak DUT bileşenini Cross-PSD ortalamasıyla kestirmek ve temel parametrelerin uçtan uca spektral uyuma etkisini incelemektir. Model bir ticari analizörün bütün donanım ayrıntılarını değil, yöntemin istatistiksel ve algoritmik çekirdeğini temsil eder.</w:t>
      </w:r>
    </w:p>
    <w:tbl>
      <w:tblPr>
        <w:tblW w:type="auto" w:w="0"/>
        <w:jc w:val="center"/>
        <w:tblLayout w:type="fixed"/>
        <w:tblLook w:firstColumn="1" w:firstRow="1" w:lastColumn="0" w:lastRow="0" w:noHBand="0" w:noVBand="1" w:val="04A0"/>
        <w:tblCaption w:val="Çalışmanın katkısı"/>
        <w:tblDescription w:val="Çalışmanın katkısı: Aynı Monte Carlo popülasyonundan üretilen Cross-PSD ve filtresiz DUT periodogramını karşılaştıran, uzun taramaları ham MAT/CSV/PNG kanıt zinciriyle saklayan modüler bir MATLAB modeli oluşturulmuştur."/>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8F7F7"/>
            <w:tcMar>
              <w:top w:w="150" w:type="dxa"/>
              <w:start w:w="190" w:type="dxa"/>
              <w:bottom w:w="150" w:type="dxa"/>
              <w:end w:w="190" w:type="dxa"/>
            </w:tcMar>
            <w:vAlign w:val="center"/>
          </w:tcPr>
          <w:p>
            <w:pPr>
              <w:spacing w:after="0"/>
            </w:pPr>
            <w:r>
              <w:rPr>
                <w:rFonts w:ascii="Arial" w:hAnsi="Arial"/>
                <w:b/>
                <w:color w:val="007C83"/>
                <w:sz w:val="19"/>
              </w:rPr>
              <w:t xml:space="preserve">Çalışmanın katkısı: </w:t>
            </w:r>
            <w:r>
              <w:rPr>
                <w:rFonts w:ascii="Arial" w:hAnsi="Arial"/>
                <w:color w:val="1D2733"/>
                <w:sz w:val="19"/>
              </w:rPr>
              <w:t>Aynı Monte Carlo popülasyonundan üretilen Cross-PSD ve filtresiz DUT periodogramını karşılaştıran, uzun taramaları ham MAT/CSV/PNG kanıt zinciriyle saklayan modüler bir MATLAB modeli oluşturulmuştur.</w:t>
            </w:r>
          </w:p>
        </w:tc>
      </w:tr>
    </w:tbl>
    <w:p>
      <w:pPr>
        <w:spacing w:after="20"/>
      </w:pPr>
    </w:p>
    <w:p>
      <w:r>
        <w:br w:type="page"/>
      </w:r>
    </w:p>
    <w:p>
      <w:pPr>
        <w:pStyle w:val="Heading1"/>
        <w:pBdr>
          <w:bottom w:val="single" w:sz="10" w:space="4" w:color="00A6A6"/>
        </w:pBdr>
      </w:pPr>
      <w:r>
        <w:t>2. Faz gürültüsü temelleri</w:t>
      </w:r>
    </w:p>
    <w:p>
      <w:pPr>
        <w:pStyle w:val="Heading2"/>
      </w:pPr>
      <w:r>
        <w:t>2.1. Zaman ve frekans bölgesi tanımı</w:t>
      </w:r>
    </w:p>
    <w:p>
      <w:pPr>
        <w:jc w:val="both"/>
      </w:pPr>
      <w:r>
        <w:t>Yalnız faz sapmasının modellendiği bir taşıyıcı aşağıdaki biçimde ifade edilir. Burada A nominal genliği, f₀ taşıyıcı frekansını ve φ(t) zamana bağlı faz hatasını göstermektedir.</w:t>
      </w:r>
    </w:p>
    <w:p>
      <w:pPr>
        <w:pStyle w:val="Equation"/>
      </w:pPr>
      <w:r>
        <w:t>x(t) = A cos(2πf₀t + φ(t))</w:t>
      </w:r>
    </w:p>
    <w:p>
      <w:pPr>
        <w:keepNext/>
        <w:spacing w:after="0"/>
        <w:jc w:val="center"/>
      </w:pPr>
      <w:r>
        <w:drawing>
          <wp:inline xmlns:a="http://schemas.openxmlformats.org/drawingml/2006/main" xmlns:pic="http://schemas.openxmlformats.org/drawingml/2006/picture">
            <wp:extent cx="5832000" cy="3407115"/>
            <wp:docPr id="1" name="Picture 1" descr="Şekil 2.1. İdeal ve faz gürültülü işaretin zaman/frekans alanındaki karşılaştırması. Kaynak: Rohde &amp; Schwarz, Mastering Phase Noise Measurements, Part 1, Fig. 2-1, birleşik PDF s. 4." title="Şekil 2"/>
            <wp:cNvGraphicFramePr>
              <a:graphicFrameLocks noChangeAspect="1"/>
            </wp:cNvGraphicFramePr>
            <a:graphic>
              <a:graphicData uri="http://schemas.openxmlformats.org/drawingml/2006/picture">
                <pic:pic>
                  <pic:nvPicPr>
                    <pic:cNvPr id="0" name="rs_fig_2_1.png"/>
                    <pic:cNvPicPr/>
                  </pic:nvPicPr>
                  <pic:blipFill>
                    <a:blip r:embed="rId21"/>
                    <a:stretch>
                      <a:fillRect/>
                    </a:stretch>
                  </pic:blipFill>
                  <pic:spPr>
                    <a:xfrm>
                      <a:off x="0" y="0"/>
                      <a:ext cx="5832000" cy="3407115"/>
                    </a:xfrm>
                    <a:prstGeom prst="rect"/>
                  </pic:spPr>
                </pic:pic>
              </a:graphicData>
            </a:graphic>
          </wp:inline>
        </w:drawing>
      </w:r>
    </w:p>
    <w:p>
      <w:pPr>
        <w:pStyle w:val="Caption"/>
        <w:keepLines/>
      </w:pPr>
      <w:r>
        <w:t>Şekil 2.1. İdeal ve faz gürültülü işaretin zaman/frekans alanındaki karşılaştırması. Kaynak: Rohde &amp; Schwarz, Mastering Phase Noise Measurements, Part 1, Fig. 2-1, birleşik PDF s. 4.</w:t>
      </w:r>
    </w:p>
    <w:p>
      <w:pPr>
        <w:pStyle w:val="Heading2"/>
      </w:pPr>
      <w:r>
        <w:t>2.2. Tek yan bant faz gürültüsü</w:t>
      </w:r>
    </w:p>
    <w:p>
      <w:pPr>
        <w:jc w:val="both"/>
      </w:pPr>
      <w:r>
        <w:t>Faz gürültüsü çoğunlukla taşıyıcıdan belirli bir offset frekansındaki 1 Hz bant genişliğine normalize edilmiş tek yan bant güç oranı olarak verilir. Sφ(f) tek taraflı faz dalgalanması PSD'si olarak tanımlandığında, küçük faz yaklaşımındaki SSB bağıntısı şöyledir:</w:t>
      </w:r>
    </w:p>
    <w:p>
      <w:pPr>
        <w:pStyle w:val="Equation"/>
      </w:pPr>
      <w:r>
        <w:t>L(f) = 10 log₁₀(Sφ(f) / 2)   [dBc/Hz]</w:t>
      </w:r>
    </w:p>
    <w:p>
      <w:pPr>
        <w:keepNext/>
        <w:spacing w:after="0"/>
        <w:jc w:val="center"/>
      </w:pPr>
      <w:r>
        <w:drawing>
          <wp:inline xmlns:a="http://schemas.openxmlformats.org/drawingml/2006/main" xmlns:pic="http://schemas.openxmlformats.org/drawingml/2006/picture">
            <wp:extent cx="5611546" cy="3240000"/>
            <wp:docPr id="2" name="Picture 2" descr="Şekil 2.2. Offset frekansı ve dBc/Hz eksenleriyle faz gürültüsünün nicelendirilmesi. Kaynak: Rohde &amp; Schwarz, Part 1, Fig. 2-4, birleşik PDF s. 8." title="Şekil 2"/>
            <wp:cNvGraphicFramePr>
              <a:graphicFrameLocks noChangeAspect="1"/>
            </wp:cNvGraphicFramePr>
            <a:graphic>
              <a:graphicData uri="http://schemas.openxmlformats.org/drawingml/2006/picture">
                <pic:pic>
                  <pic:nvPicPr>
                    <pic:cNvPr id="0" name="rs_fig_2_4.png"/>
                    <pic:cNvPicPr/>
                  </pic:nvPicPr>
                  <pic:blipFill>
                    <a:blip r:embed="rId22"/>
                    <a:stretch>
                      <a:fillRect/>
                    </a:stretch>
                  </pic:blipFill>
                  <pic:spPr>
                    <a:xfrm>
                      <a:off x="0" y="0"/>
                      <a:ext cx="5611546" cy="3240000"/>
                    </a:xfrm>
                    <a:prstGeom prst="rect"/>
                  </pic:spPr>
                </pic:pic>
              </a:graphicData>
            </a:graphic>
          </wp:inline>
        </w:drawing>
      </w:r>
    </w:p>
    <w:p>
      <w:pPr>
        <w:pStyle w:val="Caption"/>
        <w:keepLines/>
      </w:pPr>
      <w:r>
        <w:t>Şekil 2.2. Offset frekansı ve dBc/Hz eksenleriyle faz gürültüsünün nicelendirilmesi. Kaynak: Rohde &amp; Schwarz, Part 1, Fig. 2-4, birleşik PDF s. 8.</w:t>
      </w:r>
    </w:p>
    <w:p>
      <w:pPr>
        <w:pStyle w:val="Heading2"/>
      </w:pPr>
      <w:r>
        <w:t>2.3. Güç yasası bölgeleri</w:t>
      </w:r>
    </w:p>
    <w:p>
      <w:pPr>
        <w:jc w:val="both"/>
      </w:pPr>
      <w:r>
        <w:t>Gerçek osilatör spektrumları birden fazla fiziksel mekanizmanın bileşimidir. Yaklaşık güç yasası davranışları aşağıda özetlenmiştir. Bu projede yalnız flicker FM karakterini temsil eden 1/f³ faz PSD bileşeni kullanılmıştır.</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324"/>
        <w:gridCol w:w="1701"/>
        <w:gridCol w:w="1928"/>
        <w:gridCol w:w="3118"/>
      </w:tblGrid>
      <w:tr>
        <w:trPr>
          <w:tblHeader w:val="true"/>
          <w:cantSplit/>
        </w:trPr>
        <w:tc>
          <w:tcPr>
            <w:tcW w:type="dxa" w:w="2324"/>
            <w:shd w:fill="0B2748"/>
            <w:tcMar>
              <w:top w:w="120" w:type="dxa"/>
              <w:start w:w="120" w:type="dxa"/>
              <w:bottom w:w="120" w:type="dxa"/>
              <w:end w:w="120" w:type="dxa"/>
            </w:tcMar>
            <w:vAlign w:val="center"/>
          </w:tcPr>
          <w:p>
            <w:pPr>
              <w:jc w:val="center"/>
            </w:pPr>
            <w:r>
              <w:rPr>
                <w:rFonts w:ascii="Arial" w:hAnsi="Arial"/>
                <w:b/>
                <w:color w:val="FFFFFF"/>
                <w:sz w:val="17"/>
              </w:rPr>
              <w:t>Gürültü türü</w:t>
            </w:r>
          </w:p>
        </w:tc>
        <w:tc>
          <w:tcPr>
            <w:tcW w:type="dxa" w:w="1701"/>
            <w:shd w:fill="0B2748"/>
            <w:tcMar>
              <w:top w:w="120" w:type="dxa"/>
              <w:start w:w="120" w:type="dxa"/>
              <w:bottom w:w="120" w:type="dxa"/>
              <w:end w:w="120" w:type="dxa"/>
            </w:tcMar>
            <w:vAlign w:val="center"/>
          </w:tcPr>
          <w:p>
            <w:pPr>
              <w:jc w:val="center"/>
            </w:pPr>
            <w:r>
              <w:rPr>
                <w:rFonts w:ascii="Arial" w:hAnsi="Arial"/>
                <w:b/>
                <w:color w:val="FFFFFF"/>
                <w:sz w:val="17"/>
              </w:rPr>
              <w:t>PSD davranışı</w:t>
            </w:r>
          </w:p>
        </w:tc>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Yaklaşık eğim</w:t>
            </w:r>
          </w:p>
        </w:tc>
        <w:tc>
          <w:tcPr>
            <w:tcW w:type="dxa" w:w="3118"/>
            <w:shd w:fill="0B2748"/>
            <w:tcMar>
              <w:top w:w="120" w:type="dxa"/>
              <w:start w:w="120" w:type="dxa"/>
              <w:bottom w:w="120" w:type="dxa"/>
              <w:end w:w="120" w:type="dxa"/>
            </w:tcMar>
            <w:vAlign w:val="center"/>
          </w:tcPr>
          <w:p>
            <w:pPr>
              <w:jc w:val="center"/>
            </w:pPr>
            <w:r>
              <w:rPr>
                <w:rFonts w:ascii="Arial" w:hAnsi="Arial"/>
                <w:b/>
                <w:color w:val="FFFFFF"/>
                <w:sz w:val="17"/>
              </w:rPr>
              <w:t>Baskın bölge</w:t>
            </w:r>
          </w:p>
        </w:tc>
      </w:tr>
      <w:tr>
        <w:trPr>
          <w:cantSplit/>
        </w:trPr>
        <w:tc>
          <w:tcPr>
            <w:tcW w:type="dxa" w:w="2324"/>
            <w:shd w:fill="F4F6F8"/>
            <w:tcMar>
              <w:top w:w="100" w:type="dxa"/>
              <w:start w:w="120" w:type="dxa"/>
              <w:bottom w:w="100" w:type="dxa"/>
              <w:end w:w="120" w:type="dxa"/>
            </w:tcMar>
            <w:vAlign w:val="center"/>
          </w:tcPr>
          <w:p>
            <w:pPr>
              <w:spacing w:after="0"/>
              <w:jc w:val="left"/>
            </w:pPr>
            <w:r>
              <w:rPr>
                <w:rFonts w:ascii="Arial" w:hAnsi="Arial"/>
                <w:color w:val="1D2733"/>
                <w:sz w:val="16"/>
              </w:rPr>
              <w:t>Random-walk FM</w:t>
            </w:r>
          </w:p>
        </w:tc>
        <w:tc>
          <w:tcPr>
            <w:tcW w:type="dxa" w:w="1701"/>
            <w:shd w:fill="F4F6F8"/>
            <w:tcMar>
              <w:top w:w="100" w:type="dxa"/>
              <w:start w:w="120" w:type="dxa"/>
              <w:bottom w:w="100" w:type="dxa"/>
              <w:end w:w="120" w:type="dxa"/>
            </w:tcMar>
            <w:vAlign w:val="center"/>
          </w:tcPr>
          <w:p>
            <w:pPr>
              <w:spacing w:after="0"/>
              <w:jc w:val="center"/>
            </w:pPr>
            <w:r>
              <w:rPr>
                <w:rFonts w:ascii="Arial" w:hAnsi="Arial"/>
                <w:color w:val="1D2733"/>
                <w:sz w:val="16"/>
              </w:rPr>
              <w:t>1/f⁴</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−40 dB/dekad</w:t>
            </w:r>
          </w:p>
        </w:tc>
        <w:tc>
          <w:tcPr>
            <w:tcW w:type="dxa" w:w="3118"/>
            <w:shd w:fill="F4F6F8"/>
            <w:tcMar>
              <w:top w:w="100" w:type="dxa"/>
              <w:start w:w="120" w:type="dxa"/>
              <w:bottom w:w="100" w:type="dxa"/>
              <w:end w:w="120" w:type="dxa"/>
            </w:tcMar>
            <w:vAlign w:val="center"/>
          </w:tcPr>
          <w:p>
            <w:pPr>
              <w:spacing w:after="0"/>
              <w:jc w:val="left"/>
            </w:pPr>
            <w:r>
              <w:rPr>
                <w:rFonts w:ascii="Arial" w:hAnsi="Arial"/>
                <w:color w:val="1D2733"/>
                <w:sz w:val="16"/>
              </w:rPr>
              <w:t>Taşıyıcıya çok yakın</w:t>
            </w:r>
          </w:p>
        </w:tc>
      </w:tr>
      <w:tr>
        <w:trPr>
          <w:cantSplit/>
        </w:trPr>
        <w:tc>
          <w:tcPr>
            <w:tcW w:type="dxa" w:w="2324"/>
            <w:tcMar>
              <w:top w:w="100" w:type="dxa"/>
              <w:start w:w="120" w:type="dxa"/>
              <w:bottom w:w="100" w:type="dxa"/>
              <w:end w:w="120" w:type="dxa"/>
            </w:tcMar>
            <w:vAlign w:val="center"/>
          </w:tcPr>
          <w:p>
            <w:pPr>
              <w:spacing w:after="0"/>
              <w:jc w:val="left"/>
            </w:pPr>
            <w:r>
              <w:rPr>
                <w:rFonts w:ascii="Arial" w:hAnsi="Arial"/>
                <w:color w:val="1D2733"/>
                <w:sz w:val="16"/>
              </w:rPr>
              <w:t>Flicker FM</w:t>
            </w:r>
          </w:p>
        </w:tc>
        <w:tc>
          <w:tcPr>
            <w:tcW w:type="dxa" w:w="1701"/>
            <w:tcMar>
              <w:top w:w="100" w:type="dxa"/>
              <w:start w:w="120" w:type="dxa"/>
              <w:bottom w:w="100" w:type="dxa"/>
              <w:end w:w="120" w:type="dxa"/>
            </w:tcMar>
            <w:vAlign w:val="center"/>
          </w:tcPr>
          <w:p>
            <w:pPr>
              <w:spacing w:after="0"/>
              <w:jc w:val="center"/>
            </w:pPr>
            <w:r>
              <w:rPr>
                <w:rFonts w:ascii="Arial" w:hAnsi="Arial"/>
                <w:color w:val="1D2733"/>
                <w:sz w:val="16"/>
              </w:rPr>
              <w:t>1/f³</w:t>
            </w:r>
          </w:p>
        </w:tc>
        <w:tc>
          <w:tcPr>
            <w:tcW w:type="dxa" w:w="1928"/>
            <w:tcMar>
              <w:top w:w="100" w:type="dxa"/>
              <w:start w:w="120" w:type="dxa"/>
              <w:bottom w:w="100" w:type="dxa"/>
              <w:end w:w="120" w:type="dxa"/>
            </w:tcMar>
            <w:vAlign w:val="center"/>
          </w:tcPr>
          <w:p>
            <w:pPr>
              <w:spacing w:after="0"/>
              <w:jc w:val="center"/>
            </w:pPr>
            <w:r>
              <w:rPr>
                <w:rFonts w:ascii="Arial" w:hAnsi="Arial"/>
                <w:color w:val="1D2733"/>
                <w:sz w:val="16"/>
              </w:rPr>
              <w:t>−30 dB/dekad</w:t>
            </w:r>
          </w:p>
        </w:tc>
        <w:tc>
          <w:tcPr>
            <w:tcW w:type="dxa" w:w="3118"/>
            <w:tcMar>
              <w:top w:w="100" w:type="dxa"/>
              <w:start w:w="120" w:type="dxa"/>
              <w:bottom w:w="100" w:type="dxa"/>
              <w:end w:w="120" w:type="dxa"/>
            </w:tcMar>
            <w:vAlign w:val="center"/>
          </w:tcPr>
          <w:p>
            <w:pPr>
              <w:spacing w:after="0"/>
              <w:jc w:val="left"/>
            </w:pPr>
            <w:r>
              <w:rPr>
                <w:rFonts w:ascii="Arial" w:hAnsi="Arial"/>
                <w:color w:val="1D2733"/>
                <w:sz w:val="16"/>
              </w:rPr>
              <w:t>Yakın offsetler</w:t>
            </w:r>
          </w:p>
        </w:tc>
      </w:tr>
      <w:tr>
        <w:trPr>
          <w:cantSplit/>
        </w:trPr>
        <w:tc>
          <w:tcPr>
            <w:tcW w:type="dxa" w:w="2324"/>
            <w:shd w:fill="F4F6F8"/>
            <w:tcMar>
              <w:top w:w="100" w:type="dxa"/>
              <w:start w:w="120" w:type="dxa"/>
              <w:bottom w:w="100" w:type="dxa"/>
              <w:end w:w="120" w:type="dxa"/>
            </w:tcMar>
            <w:vAlign w:val="center"/>
          </w:tcPr>
          <w:p>
            <w:pPr>
              <w:spacing w:after="0"/>
              <w:jc w:val="left"/>
            </w:pPr>
            <w:r>
              <w:rPr>
                <w:rFonts w:ascii="Arial" w:hAnsi="Arial"/>
                <w:color w:val="1D2733"/>
                <w:sz w:val="16"/>
              </w:rPr>
              <w:t>White FM</w:t>
            </w:r>
          </w:p>
        </w:tc>
        <w:tc>
          <w:tcPr>
            <w:tcW w:type="dxa" w:w="1701"/>
            <w:shd w:fill="F4F6F8"/>
            <w:tcMar>
              <w:top w:w="100" w:type="dxa"/>
              <w:start w:w="120" w:type="dxa"/>
              <w:bottom w:w="100" w:type="dxa"/>
              <w:end w:w="120" w:type="dxa"/>
            </w:tcMar>
            <w:vAlign w:val="center"/>
          </w:tcPr>
          <w:p>
            <w:pPr>
              <w:spacing w:after="0"/>
              <w:jc w:val="center"/>
            </w:pPr>
            <w:r>
              <w:rPr>
                <w:rFonts w:ascii="Arial" w:hAnsi="Arial"/>
                <w:color w:val="1D2733"/>
                <w:sz w:val="16"/>
              </w:rPr>
              <w:t>1/f²</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−20 dB/dekad</w:t>
            </w:r>
          </w:p>
        </w:tc>
        <w:tc>
          <w:tcPr>
            <w:tcW w:type="dxa" w:w="3118"/>
            <w:shd w:fill="F4F6F8"/>
            <w:tcMar>
              <w:top w:w="100" w:type="dxa"/>
              <w:start w:w="120" w:type="dxa"/>
              <w:bottom w:w="100" w:type="dxa"/>
              <w:end w:w="120" w:type="dxa"/>
            </w:tcMar>
            <w:vAlign w:val="center"/>
          </w:tcPr>
          <w:p>
            <w:pPr>
              <w:spacing w:after="0"/>
              <w:jc w:val="left"/>
            </w:pPr>
            <w:r>
              <w:rPr>
                <w:rFonts w:ascii="Arial" w:hAnsi="Arial"/>
                <w:color w:val="1D2733"/>
                <w:sz w:val="16"/>
              </w:rPr>
              <w:t>Orta offsetler</w:t>
            </w:r>
          </w:p>
        </w:tc>
      </w:tr>
      <w:tr>
        <w:trPr>
          <w:cantSplit/>
        </w:trPr>
        <w:tc>
          <w:tcPr>
            <w:tcW w:type="dxa" w:w="2324"/>
            <w:tcMar>
              <w:top w:w="100" w:type="dxa"/>
              <w:start w:w="120" w:type="dxa"/>
              <w:bottom w:w="100" w:type="dxa"/>
              <w:end w:w="120" w:type="dxa"/>
            </w:tcMar>
            <w:vAlign w:val="center"/>
          </w:tcPr>
          <w:p>
            <w:pPr>
              <w:spacing w:after="0"/>
              <w:jc w:val="left"/>
            </w:pPr>
            <w:r>
              <w:rPr>
                <w:rFonts w:ascii="Arial" w:hAnsi="Arial"/>
                <w:color w:val="1D2733"/>
                <w:sz w:val="16"/>
              </w:rPr>
              <w:t>Flicker PM</w:t>
            </w:r>
          </w:p>
        </w:tc>
        <w:tc>
          <w:tcPr>
            <w:tcW w:type="dxa" w:w="1701"/>
            <w:tcMar>
              <w:top w:w="100" w:type="dxa"/>
              <w:start w:w="120" w:type="dxa"/>
              <w:bottom w:w="100" w:type="dxa"/>
              <w:end w:w="120" w:type="dxa"/>
            </w:tcMar>
            <w:vAlign w:val="center"/>
          </w:tcPr>
          <w:p>
            <w:pPr>
              <w:spacing w:after="0"/>
              <w:jc w:val="center"/>
            </w:pPr>
            <w:r>
              <w:rPr>
                <w:rFonts w:ascii="Arial" w:hAnsi="Arial"/>
                <w:color w:val="1D2733"/>
                <w:sz w:val="16"/>
              </w:rPr>
              <w:t>1/f</w:t>
            </w:r>
          </w:p>
        </w:tc>
        <w:tc>
          <w:tcPr>
            <w:tcW w:type="dxa" w:w="1928"/>
            <w:tcMar>
              <w:top w:w="100" w:type="dxa"/>
              <w:start w:w="120" w:type="dxa"/>
              <w:bottom w:w="100" w:type="dxa"/>
              <w:end w:w="120" w:type="dxa"/>
            </w:tcMar>
            <w:vAlign w:val="center"/>
          </w:tcPr>
          <w:p>
            <w:pPr>
              <w:spacing w:after="0"/>
              <w:jc w:val="center"/>
            </w:pPr>
            <w:r>
              <w:rPr>
                <w:rFonts w:ascii="Arial" w:hAnsi="Arial"/>
                <w:color w:val="1D2733"/>
                <w:sz w:val="16"/>
              </w:rPr>
              <w:t>−10 dB/dekad</w:t>
            </w:r>
          </w:p>
        </w:tc>
        <w:tc>
          <w:tcPr>
            <w:tcW w:type="dxa" w:w="3118"/>
            <w:tcMar>
              <w:top w:w="100" w:type="dxa"/>
              <w:start w:w="120" w:type="dxa"/>
              <w:bottom w:w="100" w:type="dxa"/>
              <w:end w:w="120" w:type="dxa"/>
            </w:tcMar>
            <w:vAlign w:val="center"/>
          </w:tcPr>
          <w:p>
            <w:pPr>
              <w:spacing w:after="0"/>
              <w:jc w:val="left"/>
            </w:pPr>
            <w:r>
              <w:rPr>
                <w:rFonts w:ascii="Arial" w:hAnsi="Arial"/>
                <w:color w:val="1D2733"/>
                <w:sz w:val="16"/>
              </w:rPr>
              <w:t>Orta/uzak offsetler</w:t>
            </w:r>
          </w:p>
        </w:tc>
      </w:tr>
      <w:tr>
        <w:trPr>
          <w:cantSplit/>
        </w:trPr>
        <w:tc>
          <w:tcPr>
            <w:tcW w:type="dxa" w:w="2324"/>
            <w:shd w:fill="F4F6F8"/>
            <w:tcMar>
              <w:top w:w="100" w:type="dxa"/>
              <w:start w:w="120" w:type="dxa"/>
              <w:bottom w:w="100" w:type="dxa"/>
              <w:end w:w="120" w:type="dxa"/>
            </w:tcMar>
            <w:vAlign w:val="center"/>
          </w:tcPr>
          <w:p>
            <w:pPr>
              <w:spacing w:after="0"/>
              <w:jc w:val="left"/>
            </w:pPr>
            <w:r>
              <w:rPr>
                <w:rFonts w:ascii="Arial" w:hAnsi="Arial"/>
                <w:color w:val="1D2733"/>
                <w:sz w:val="16"/>
              </w:rPr>
              <w:t>White PM</w:t>
            </w:r>
          </w:p>
        </w:tc>
        <w:tc>
          <w:tcPr>
            <w:tcW w:type="dxa" w:w="1701"/>
            <w:shd w:fill="F4F6F8"/>
            <w:tcMar>
              <w:top w:w="100" w:type="dxa"/>
              <w:start w:w="120" w:type="dxa"/>
              <w:bottom w:w="100" w:type="dxa"/>
              <w:end w:w="120" w:type="dxa"/>
            </w:tcMar>
            <w:vAlign w:val="center"/>
          </w:tcPr>
          <w:p>
            <w:pPr>
              <w:spacing w:after="0"/>
              <w:jc w:val="center"/>
            </w:pPr>
            <w:r>
              <w:rPr>
                <w:rFonts w:ascii="Arial" w:hAnsi="Arial"/>
                <w:color w:val="1D2733"/>
                <w:sz w:val="16"/>
              </w:rPr>
              <w:t>Sabit</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0 dB/dekad</w:t>
            </w:r>
          </w:p>
        </w:tc>
        <w:tc>
          <w:tcPr>
            <w:tcW w:type="dxa" w:w="3118"/>
            <w:shd w:fill="F4F6F8"/>
            <w:tcMar>
              <w:top w:w="100" w:type="dxa"/>
              <w:start w:w="120" w:type="dxa"/>
              <w:bottom w:w="100" w:type="dxa"/>
              <w:end w:w="120" w:type="dxa"/>
            </w:tcMar>
            <w:vAlign w:val="center"/>
          </w:tcPr>
          <w:p>
            <w:pPr>
              <w:spacing w:after="0"/>
              <w:jc w:val="left"/>
            </w:pPr>
            <w:r>
              <w:rPr>
                <w:rFonts w:ascii="Arial" w:hAnsi="Arial"/>
                <w:color w:val="1D2733"/>
                <w:sz w:val="16"/>
              </w:rPr>
              <w:t>Uzak offsetler</w:t>
            </w:r>
          </w:p>
        </w:tc>
      </w:tr>
    </w:tbl>
    <w:p>
      <w:pPr>
        <w:spacing w:after="20"/>
      </w:pPr>
    </w:p>
    <w:p>
      <w:pPr>
        <w:jc w:val="both"/>
      </w:pPr>
      <w:r>
        <w:t>Üretici, beyaz Gauss gürültüsünün FFT genliğini 1/√(k³) ile şekillendirir, DC bileşenini kaldırır ve zaman dizisini hedef RMS değerine normalize eder. Bu sentetik model ayrık spur'ları veya farklı eğim bölgelerini birlikte üretmez.</w:t>
      </w:r>
    </w:p>
    <w:p>
      <w:r>
        <w:br w:type="page"/>
      </w:r>
    </w:p>
    <w:p>
      <w:pPr>
        <w:pStyle w:val="Heading1"/>
        <w:pBdr>
          <w:bottom w:val="single" w:sz="10" w:space="4" w:color="00A6A6"/>
        </w:pBdr>
      </w:pPr>
      <w:r>
        <w:t>3. Faz gürültüsü ölçüm yöntemleri</w:t>
      </w:r>
    </w:p>
    <w:p>
      <w:pPr>
        <w:pStyle w:val="Heading2"/>
      </w:pPr>
      <w:r>
        <w:t>3.1. Doğrudan spektral analiz</w:t>
      </w:r>
    </w:p>
    <w:p>
      <w:pPr>
        <w:jc w:val="both"/>
      </w:pPr>
      <w:r>
        <w:t>Doğrudan yöntemde DUT çıkışı spektrum analizörüne uygulanır ve taşıyıcı çevresindeki gürültü yan bantları ölçülür. Kurulumu basittir; ancak ölçülebilecek en düşük seviye analizörün yerel osilatörü ve iç gürültü tabanı tarafından sınırlandırılır.</w:t>
      </w:r>
    </w:p>
    <w:p>
      <w:pPr>
        <w:pStyle w:val="Heading2"/>
      </w:pPr>
      <w:r>
        <w:t>3.2. Faz dedektörü yöntemi</w:t>
      </w:r>
    </w:p>
    <w:p>
      <w:pPr>
        <w:jc w:val="both"/>
      </w:pPr>
      <w:r>
        <w:t>DUT, aynı frekansta ve nominal olarak 90° merkez faz farkında çalışan bir referansla mikserde çarpılır. LPF sonrasında küçük faz farkına orantılı taban bant bileşeni elde edilir. Taşıyıcının bastırılması duyarlılığı artırabilir; ancak tek kanal çıkışı hem DUT hem referans gürültüsünü içerir.</w:t>
      </w:r>
    </w:p>
    <w:p>
      <w:pPr>
        <w:pStyle w:val="Heading2"/>
      </w:pPr>
      <w:r>
        <w:t>3.3. İki kanallı çapraz korelasyon yöntemi</w:t>
      </w:r>
    </w:p>
    <w:p>
      <w:pPr>
        <w:jc w:val="both"/>
      </w:pPr>
      <w:r>
        <w:t>İki kanallı yaklaşım faz dedektörü zincirini ikinci bir referansla çoğaltır. Aynı DUT iki kanalda ortak, referanslara ait terimler ise modelde korelasyonsuz kabul edilir. Çoklu ölçüm ortalamasında ortak DUT bileşeni korunurken kanala özgü terimler azalır.</w:t>
      </w:r>
    </w:p>
    <w:p>
      <w:pPr>
        <w:keepNext/>
        <w:spacing w:after="0"/>
        <w:jc w:val="center"/>
      </w:pPr>
      <w:r>
        <w:drawing>
          <wp:inline xmlns:a="http://schemas.openxmlformats.org/drawingml/2006/main" xmlns:pic="http://schemas.openxmlformats.org/drawingml/2006/picture">
            <wp:extent cx="5832000" cy="3509999"/>
            <wp:docPr id="3" name="Picture 3" descr="Şekil 3.1. İki referanslı faz dedektörü ve çapraz korelasyon mimarisi. Kaynak: Rohde &amp; Schwarz, Part 2, Fig. 2-8, birleşik PDF s. 20." title="Şekil 3"/>
            <wp:cNvGraphicFramePr>
              <a:graphicFrameLocks noChangeAspect="1"/>
            </wp:cNvGraphicFramePr>
            <a:graphic>
              <a:graphicData uri="http://schemas.openxmlformats.org/drawingml/2006/picture">
                <pic:pic>
                  <pic:nvPicPr>
                    <pic:cNvPr id="0" name="rs_fig_2_8.png"/>
                    <pic:cNvPicPr/>
                  </pic:nvPicPr>
                  <pic:blipFill>
                    <a:blip r:embed="rId23"/>
                    <a:stretch>
                      <a:fillRect/>
                    </a:stretch>
                  </pic:blipFill>
                  <pic:spPr>
                    <a:xfrm>
                      <a:off x="0" y="0"/>
                      <a:ext cx="5832000" cy="3509999"/>
                    </a:xfrm>
                    <a:prstGeom prst="rect"/>
                  </pic:spPr>
                </pic:pic>
              </a:graphicData>
            </a:graphic>
          </wp:inline>
        </w:drawing>
      </w:r>
    </w:p>
    <w:p>
      <w:pPr>
        <w:pStyle w:val="Caption"/>
        <w:keepLines/>
      </w:pPr>
      <w:r>
        <w:t>Şekil 3.1. İki referanslı faz dedektörü ve çapraz korelasyon mimarisi. Kaynak: Rohde &amp; Schwarz, Part 2, Fig. 2-8, birleşik PDF s. 20.</w:t>
      </w:r>
    </w:p>
    <w:p>
      <w:pPr>
        <w:jc w:val="both"/>
      </w:pPr>
      <w:r>
        <w:t>Küçük faz farkı bölgesinde iki ölçüm kanalı ortak bir işaret katsayısıyla yaklaşık olarak aşağıdaki biçimde yazılabilir:</w:t>
      </w:r>
    </w:p>
    <w:p>
      <w:pPr>
        <w:pStyle w:val="Equation"/>
      </w:pPr>
      <w:r>
        <w:t>y₁(t)=s[φD(t)−φR1(t)],   y₂(t)=s[φD(t)−φR2(t)],   s∈{−1,+1}</w:t>
      </w:r>
    </w:p>
    <w:p>
      <w:pPr>
        <w:pStyle w:val="Equation"/>
      </w:pPr>
      <w:r>
        <w:t>S₁₂(f)=E{Y₁(f)Y₂*(f)} ≈ SD(f)</w:t>
      </w:r>
    </w:p>
    <w:p>
      <w:pPr>
        <w:jc w:val="both"/>
      </w:pPr>
      <w:r>
        <w:t>Sonlu kayıtta çapraz terimler tam olarak sıfırlanmaz. İdeal bağımsız kanal varsayımında ortalama sayısı K arttıkça gürültü tabanı iyileşmesinin yaklaşık 5 log₁₀(K) dB mertebesinde olması beklenir. R&amp;S örneğinde 100 korelasyon için 10 dB, 10.000 korelasyon için 20 dB referans gürültüsü azalması verilir. Bu bağıntı bu rapordaki geniş bant MAE metriğiyle aynı büyüklük değildir.</w:t>
      </w:r>
    </w:p>
    <w:p>
      <w:pPr>
        <w:pStyle w:val="Heading2"/>
      </w:pPr>
      <w:r>
        <w:t>3.4. Diğer yöntemler</w:t>
      </w:r>
    </w:p>
    <w:p>
      <w:pPr>
        <w:jc w:val="both"/>
      </w:pPr>
      <w:r>
        <w:t>Gecikme hattı ayırıcısı frekans değişimlerini faz değişimine dönüştürür; sayısal faz demodülasyonu ise örneklenmiş I/Q bileşenlerinden anlık fazı hesaplar. Bu yöntemler farklı uygulamalarda avantajlı olsa da çalışmanın odağı faz dedektörü tabanlı iki kanallı Cross-PSD yaklaşımıdır.</w:t>
      </w:r>
    </w:p>
    <w:p>
      <w:pPr>
        <w:pStyle w:val="Heading1"/>
        <w:pBdr>
          <w:bottom w:val="single" w:sz="10" w:space="4" w:color="00A6A6"/>
        </w:pBdr>
      </w:pPr>
      <w:r>
        <w:t>4. İki kanallı MATLAB benzetim modeli</w:t>
      </w:r>
    </w:p>
    <w:p>
      <w:pPr>
        <w:pStyle w:val="Heading2"/>
      </w:pPr>
      <w:r>
        <w:t>4.1. Gürültü ve taşıyıcı üretimi</w:t>
      </w:r>
    </w:p>
    <w:p>
      <w:pPr>
        <w:jc w:val="both"/>
      </w:pPr>
      <w:r>
        <w:t>Her Monte Carlo yinelemesinde yeni bir DUT faz dizisi ile iki ayrı referans faz dizisi üretilir. Aynı DUT taşıyıcısı iki ölçüm kanalına uygulanır; referansların merkez fazına π/2 eklenir. Ayrı randn örnekleri kullanılmakla birlikte bağımsızlık için otomatik kabul testi bulunmadığından referanslar raporda 'modelde korelasyonsuz kabul edilen diziler' olarak tanımlanmıştır.</w:t>
      </w:r>
    </w:p>
    <w:tbl>
      <w:tblPr>
        <w:tblW w:type="auto" w:w="0"/>
        <w:jc w:val="center"/>
        <w:tblLayout w:type="fixed"/>
        <w:tblLook w:firstColumn="1" w:firstRow="1" w:lastColumn="0" w:lastRow="0" w:noHBand="0" w:noVBand="1" w:val="04A0"/>
        <w:tblCaption w:val="MATLAB işlem zinciri"/>
        <w:tblDescription w:val="DUT ve iki referans girişinden Cross-PSD, yineleme ortalaması ve logaritmik binleme çıktısına uzanan işlem zinciri."/>
        <w:tblBorders>
          <w:top w:val="single" w:sz="12" w:color="FFFFFF"/>
          <w:left w:val="single" w:sz="12" w:color="FFFFFF"/>
          <w:bottom w:val="single" w:sz="12" w:color="FFFFFF"/>
          <w:right w:val="single" w:sz="12" w:color="FFFFFF"/>
          <w:insideH w:val="single" w:sz="12" w:color="FFFFFF"/>
          <w:insideV w:val="single" w:sz="12" w:color="FFFFFF"/>
        </w:tblBorders>
      </w:tblPr>
      <w:tblGrid>
        <w:gridCol w:w="1786"/>
        <w:gridCol w:w="1786"/>
        <w:gridCol w:w="1786"/>
        <w:gridCol w:w="1786"/>
        <w:gridCol w:w="1786"/>
      </w:tblGrid>
      <w:tr>
        <w:tc>
          <w:tcPr>
            <w:tcW w:type="dxa" w:w="1786"/>
            <w:shd w:fill="0B2748"/>
            <w:tcMar>
              <w:top w:w="180" w:type="dxa"/>
              <w:start w:w="120" w:type="dxa"/>
              <w:bottom w:w="180" w:type="dxa"/>
              <w:end w:w="120" w:type="dxa"/>
            </w:tcMar>
            <w:vAlign w:val="center"/>
          </w:tcPr>
          <w:p>
            <w:pPr>
              <w:jc w:val="center"/>
            </w:pPr>
            <w:r>
              <w:rPr>
                <w:rFonts w:ascii="Arial" w:hAnsi="Arial"/>
                <w:b/>
                <w:color w:val="FFFFFF"/>
                <w:sz w:val="16"/>
              </w:rPr>
              <w:t>DUT / Ref</w:t>
              <w:br/>
              <w:t>1/f³ gürültü</w:t>
            </w:r>
          </w:p>
        </w:tc>
        <w:tc>
          <w:tcPr>
            <w:tcW w:type="dxa" w:w="1786"/>
            <w:shd w:fill="007C83"/>
            <w:tcMar>
              <w:top w:w="180" w:type="dxa"/>
              <w:start w:w="120" w:type="dxa"/>
              <w:bottom w:w="180" w:type="dxa"/>
              <w:end w:w="120" w:type="dxa"/>
            </w:tcMar>
            <w:vAlign w:val="center"/>
          </w:tcPr>
          <w:p>
            <w:pPr>
              <w:jc w:val="center"/>
            </w:pPr>
            <w:r>
              <w:rPr>
                <w:rFonts w:ascii="Arial" w:hAnsi="Arial"/>
                <w:b/>
                <w:color w:val="FFFFFF"/>
                <w:sz w:val="16"/>
              </w:rPr>
              <w:t>İki kanal</w:t>
              <w:br/>
              <w:t>mikser</w:t>
            </w:r>
          </w:p>
        </w:tc>
        <w:tc>
          <w:tcPr>
            <w:tcW w:type="dxa" w:w="1786"/>
            <w:shd w:fill="0B2748"/>
            <w:tcMar>
              <w:top w:w="180" w:type="dxa"/>
              <w:start w:w="120" w:type="dxa"/>
              <w:bottom w:w="180" w:type="dxa"/>
              <w:end w:w="120" w:type="dxa"/>
            </w:tcMar>
            <w:vAlign w:val="center"/>
          </w:tcPr>
          <w:p>
            <w:pPr>
              <w:jc w:val="center"/>
            </w:pPr>
            <w:r>
              <w:rPr>
                <w:rFonts w:ascii="Arial" w:hAnsi="Arial"/>
                <w:b/>
                <w:color w:val="FFFFFF"/>
                <w:sz w:val="16"/>
              </w:rPr>
              <w:t>Butterworth</w:t>
              <w:br/>
              <w:t>LPF ve /Kpd</w:t>
            </w:r>
          </w:p>
        </w:tc>
        <w:tc>
          <w:tcPr>
            <w:tcW w:type="dxa" w:w="1786"/>
            <w:shd w:fill="007C83"/>
            <w:tcMar>
              <w:top w:w="180" w:type="dxa"/>
              <w:start w:w="120" w:type="dxa"/>
              <w:bottom w:w="180" w:type="dxa"/>
              <w:end w:w="120" w:type="dxa"/>
            </w:tcMar>
            <w:vAlign w:val="center"/>
          </w:tcPr>
          <w:p>
            <w:pPr>
              <w:jc w:val="center"/>
            </w:pPr>
            <w:r>
              <w:rPr>
                <w:rFonts w:ascii="Arial" w:hAnsi="Arial"/>
                <w:b/>
                <w:color w:val="FFFFFF"/>
                <w:sz w:val="16"/>
              </w:rPr>
              <w:t>FFT tabanlı</w:t>
              <w:br/>
              <w:t>kompleks Cross-PSD</w:t>
            </w:r>
          </w:p>
        </w:tc>
        <w:tc>
          <w:tcPr>
            <w:tcW w:type="dxa" w:w="1786"/>
            <w:shd w:fill="0B2748"/>
            <w:tcMar>
              <w:top w:w="180" w:type="dxa"/>
              <w:start w:w="120" w:type="dxa"/>
              <w:bottom w:w="180" w:type="dxa"/>
              <w:end w:w="120" w:type="dxa"/>
            </w:tcMar>
            <w:vAlign w:val="center"/>
          </w:tcPr>
          <w:p>
            <w:pPr>
              <w:jc w:val="center"/>
            </w:pPr>
            <w:r>
              <w:rPr>
                <w:rFonts w:ascii="Arial" w:hAnsi="Arial"/>
                <w:b/>
                <w:color w:val="FFFFFF"/>
                <w:sz w:val="16"/>
              </w:rPr>
              <w:t>Yineleme ortalaması</w:t>
              <w:br/>
              <w:t>log-bin ve dBc/Hz</w:t>
            </w:r>
          </w:p>
        </w:tc>
      </w:tr>
    </w:tbl>
    <w:p>
      <w:pPr>
        <w:pStyle w:val="Caption"/>
        <w:keepLines/>
      </w:pPr>
      <w:r>
        <w:t>Şekil 4.1. MATLAB modelinin uçtan uca işlem zinciri. Kaynak: Bu çalışma.</w:t>
      </w:r>
    </w:p>
    <w:p>
      <w:pPr>
        <w:pStyle w:val="Heading2"/>
      </w:pPr>
      <w:r>
        <w:t>4.2. Mikser, LPF ve faz dedektörü kazancı</w:t>
      </w:r>
    </w:p>
    <w:p>
      <w:pPr>
        <w:jc w:val="both"/>
      </w:pPr>
      <w:r>
        <w:t>DUT her referansla örnek örnek çarpılır. Mikser çıkışı faz farkını taşıyan taban bant bileşeniyle yaklaşık 2f₀ çevresindeki toplam frekans bileşenini birlikte içerir. Dördüncü derece nedensel Butterworth filter() çağrısı toplam bileşeni bastırır; filtfilt kullanılmaz. Çıkış küçük-sinyal faz dedektörü kazancına bölünür:</w:t>
      </w:r>
    </w:p>
    <w:p>
      <w:pPr>
        <w:pStyle w:val="Equation"/>
      </w:pPr>
      <w:r>
        <w:t>Kpd = A² / 2</w:t>
      </w:r>
    </w:p>
    <w:p>
      <w:pPr>
        <w:jc w:val="both"/>
      </w:pPr>
      <w:r>
        <w:t>Filtre sonrası seçilen başlangıç örnekleri atılır ve iki kanalın DC bileşenleri ayrı ayrı çıkarılır. Final profillerde settling_samples=0 olduğundan IIR başlangıç geçicisinin ayrıca elenmediği sınırlamalar bölümünde belirtilmiştir.</w:t>
      </w:r>
    </w:p>
    <w:p>
      <w:pPr>
        <w:pStyle w:val="Heading2"/>
      </w:pPr>
      <w:r>
        <w:t>4.3. Kompleks Cross-PSD ve doğrusal ortalama</w:t>
      </w:r>
    </w:p>
    <w:p>
      <w:pPr>
        <w:jc w:val="both"/>
      </w:pPr>
      <w:r>
        <w:t>İki kanalın FFT'si alınır ve tek taraflı kompleks çapraz spektrum hesaplanır. DC ve Nyquist kutuları tek taraflı dönüşümde ikiyle çarpılmaz.</w:t>
      </w:r>
    </w:p>
    <w:p>
      <w:pPr>
        <w:pStyle w:val="Equation"/>
      </w:pPr>
      <w:r>
        <w:t>Ŝ₁₂[k] = X₁[k] X₂*[k] / (fs M)</w:t>
      </w:r>
    </w:p>
    <w:p>
      <w:pPr>
        <w:jc w:val="both"/>
      </w:pPr>
      <w:r>
        <w:t>Kompleks spektrumlar bütün yinelemelerde toplanır; büyüklük işlemi kompleks ortalamadan sonra uygulanır. Aynı yinelemelerdeki filtresiz DUT faz dizilerinin dikdörtgen pencereli periodogramları da doğrusal güç alanında ortalanır. Böylece iki eğri aynı Monte Carlo popülasyonuna dayanır.</w:t>
      </w:r>
    </w:p>
    <w:p>
      <w:pPr>
        <w:pStyle w:val="Heading2"/>
      </w:pPr>
      <w:r>
        <w:t>4.4. Logaritmik binleme ve değerlendirme metriği</w:t>
      </w:r>
    </w:p>
    <w:p>
      <w:pPr>
        <w:jc w:val="both"/>
      </w:pPr>
      <w:r>
        <w:t>Bin merkezleri geometrik frekans ortalamasıyla, bin gücü ise doğrusal PSD'nin aritmetik ortalamasıyla elde edilir. SSB dBc/Hz dönüşümü binlemeden sonra uygulanır. MAE, iki log-bin eğrisinin ortak frekans aralığında 200 logaritmik noktaya enterpolasyonundan sonra hesaplanan ortalama mutlak dB farkıdır:</w:t>
      </w:r>
    </w:p>
    <w:p>
      <w:pPr>
        <w:pStyle w:val="Equation"/>
      </w:pPr>
      <w:r>
        <w:t>MAE = (1/J) Σⱼ |Lcross(fⱼ) − LDUT(fⱼ)|</w:t>
      </w:r>
    </w:p>
    <w:tbl>
      <w:tblPr>
        <w:tblW w:type="auto" w:w="0"/>
        <w:jc w:val="center"/>
        <w:tblLayout w:type="fixed"/>
        <w:tblLook w:firstColumn="1" w:firstRow="1" w:lastColumn="0" w:lastRow="0" w:noHBand="0" w:noVBand="1" w:val="04A0"/>
        <w:tblCaption w:val="Metrik sınırı"/>
        <w:tblDescription w:val="Metrik sınırı: Cross-PSD kanalları filtreli, DUT karşılaştırma periodogramı filtresizdir. Resmî MAE bütün ortak pozitif frekans bandını kapsar; LPF geçiş/durdurma bandı ve mikser toplam-frekans kalıntısı da metriğe katılabilir. Bu nedenle MAE saf korelasyon hatası veya donanım doğruluğu değildir."/>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EF3F8"/>
            <w:tcMar>
              <w:top w:w="150" w:type="dxa"/>
              <w:start w:w="190" w:type="dxa"/>
              <w:bottom w:w="150" w:type="dxa"/>
              <w:end w:w="190" w:type="dxa"/>
            </w:tcMar>
            <w:vAlign w:val="center"/>
          </w:tcPr>
          <w:p>
            <w:pPr>
              <w:spacing w:after="0"/>
            </w:pPr>
            <w:r>
              <w:rPr>
                <w:rFonts w:ascii="Arial" w:hAnsi="Arial"/>
                <w:b/>
                <w:color w:val="007C83"/>
                <w:sz w:val="19"/>
              </w:rPr>
              <w:t xml:space="preserve">Metrik sınırı: </w:t>
            </w:r>
            <w:r>
              <w:rPr>
                <w:rFonts w:ascii="Arial" w:hAnsi="Arial"/>
                <w:color w:val="1D2733"/>
                <w:sz w:val="19"/>
              </w:rPr>
              <w:t>Cross-PSD kanalları filtreli, DUT karşılaştırma periodogramı filtresizdir. Resmî MAE bütün ortak pozitif frekans bandını kapsar; LPF geçiş/durdurma bandı ve mikser toplam-frekans kalıntısı da metriğe katılabilir. Bu nedenle MAE saf korelasyon hatası veya donanım doğruluğu değildir.</w:t>
            </w:r>
          </w:p>
        </w:tc>
      </w:tr>
    </w:tbl>
    <w:p>
      <w:pPr>
        <w:spacing w:after="20"/>
      </w:pPr>
    </w:p>
    <w:p>
      <w:pPr>
        <w:pStyle w:val="Heading2"/>
      </w:pPr>
      <w:r>
        <w:t>4.5. Model kapsamı</w:t>
      </w:r>
    </w:p>
    <w:p>
      <w:pPr>
        <w:jc w:val="both"/>
      </w:pPr>
      <w:r>
        <w:t>R&amp;S donanım zincirindeki PLL, LNA ve ADC blokları güncel MATLAB modelinde ayrıca gerçekleştirilmemiştir. Kuantalama, örnekleme saati jitteri, kanal sızıntısı, kazanç/faz uyumsuzluğu, sıcaklık ve gerçek mikser doğrusal-olmama etkileri ideal kabul edilmiştir. Sonuçlar ticari bir analizörün mutlak duyarlılığı yerine yöntem davranışını temsil eder.</w:t>
      </w:r>
    </w:p>
    <w:p>
      <w:pPr>
        <w:pStyle w:val="Heading1"/>
        <w:pBdr>
          <w:bottom w:val="single" w:sz="10" w:space="4" w:color="00A6A6"/>
        </w:pBdr>
      </w:pPr>
      <w:r>
        <w:t>5. Projenin gelişimi ve algoritmik optimizasyonlar</w:t>
      </w:r>
    </w:p>
    <w:p>
      <w:pPr>
        <w:pStyle w:val="Heading2"/>
      </w:pPr>
      <w:r>
        <w:t>5.1. Kuramdan ilk prototipe</w:t>
      </w:r>
    </w:p>
    <w:p>
      <w:pPr>
        <w:jc w:val="both"/>
      </w:pPr>
      <w:r>
        <w:t>Çalışma, yerel osilatör faz gürültüsünün sistem performansına etkisi ve düşük seviyeli ölçümlerde analizör tabanının oluşturduğu sınırın incelenmesiyle başlamıştır. R&amp;S ve benzeri kaynaklar üzerinden SSB gösterimi, flicker mekanizmaları, faz dedektörü ve iki kanallı ölçüm ilkesi çalışılmıştır. Ardından beyaz Gauss gürültüsünün taşıyıcının fazına eklenmesi, renkli gürültü üretimi ve proje için seçilen 1/f³ faz PSD modeline geçilmiştir.</w:t>
      </w:r>
    </w:p>
    <w:p>
      <w:pPr>
        <w:pStyle w:val="Heading2"/>
      </w:pPr>
      <w:r>
        <w:t>5.2. Modüler iki kanallı yapı</w:t>
      </w:r>
    </w:p>
    <w:p>
      <w:pPr>
        <w:jc w:val="both"/>
      </w:pPr>
      <w:r>
        <w:t>İlk faz gürültüsü üreticisinin ardından DUT, Ref1 ve Ref2 için ayrı gerçekleşimler oluşturulmuş; mikser ve LPF blokları eklenmiş; iki kanal Cross-PSD ile birleştirilmiştir. Kod daha sonra run_simulation(config) çevresinde modülerleştirilmiş, her yinelemede yeni DUT üretimine geçilmiş ve DUT periodogramları doğrusal güç alanında ortalanmıştır.</w:t>
      </w:r>
    </w:p>
    <w:p>
      <w:pPr>
        <w:pStyle w:val="Heading2"/>
      </w:pPr>
      <w:r>
        <w:t>5.3. Hesaplama zincirinin sadeleştirilmesi</w:t>
      </w:r>
    </w:p>
    <w:p>
      <w:pPr>
        <w:jc w:val="both"/>
      </w:pPr>
      <w:r>
        <w:t>İlk yaklaşımda xcorr ile açık korelasyon dizisi oluşturuluyor, ifftshift uygulanıyor ve yeniden FFT alınıyordu. Güncel yaklaşım korelasyon teoremine dayalı X₁·X₂* çarpımını doğrudan hesaplar. Aynı deterministik veriyle otomatik eşdeğerlik testi bulunmadığı için 'tamamen eşdeğer' ifadesi kullanılmamıştır.</w:t>
      </w:r>
    </w:p>
    <w:p>
      <w:pPr>
        <w:pStyle w:val="Equation"/>
      </w:pPr>
      <w:r>
        <w:t>nfft = 2^nextpow2(2M − 1)</w:t>
      </w:r>
    </w:p>
    <w:p>
      <w:pPr>
        <w:jc w:val="both"/>
      </w:pPr>
      <w:r>
        <w:t>Sıfır doldurma frekans ızgarasını sıklaştırır; kayıt süresinin belirlediği bağımsız fiziksel çözünürlüğü artırmaz. LPF katsayıları config değişmediği sürece önbellekte tutulmuş, iki kanal tek matris olarak filtrelenmiş, sabit hesaplar döngü dışına çıkarılmış, log-bin içinde tepe yerine doğrusal ortalama güç kullanılmış ve aktif olmayan Welch çıktıları kaldırılmıştır.</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891"/>
        <w:gridCol w:w="3515"/>
        <w:gridCol w:w="2665"/>
      </w:tblGrid>
      <w:tr>
        <w:trPr>
          <w:tblHeader w:val="true"/>
          <w:cantSplit/>
        </w:trPr>
        <w:tc>
          <w:tcPr>
            <w:tcW w:type="dxa" w:w="2891"/>
            <w:shd w:fill="0B2748"/>
            <w:tcMar>
              <w:top w:w="120" w:type="dxa"/>
              <w:start w:w="120" w:type="dxa"/>
              <w:bottom w:w="120" w:type="dxa"/>
              <w:end w:w="120" w:type="dxa"/>
            </w:tcMar>
            <w:vAlign w:val="center"/>
          </w:tcPr>
          <w:p>
            <w:pPr>
              <w:jc w:val="center"/>
            </w:pPr>
            <w:r>
              <w:rPr>
                <w:rFonts w:ascii="Arial" w:hAnsi="Arial"/>
                <w:b/>
                <w:color w:val="FFFFFF"/>
                <w:sz w:val="17"/>
              </w:rPr>
              <w:t>İlk yaklaşım</w:t>
            </w:r>
          </w:p>
        </w:tc>
        <w:tc>
          <w:tcPr>
            <w:tcW w:type="dxa" w:w="3515"/>
            <w:shd w:fill="0B2748"/>
            <w:tcMar>
              <w:top w:w="120" w:type="dxa"/>
              <w:start w:w="120" w:type="dxa"/>
              <w:bottom w:w="120" w:type="dxa"/>
              <w:end w:w="120" w:type="dxa"/>
            </w:tcMar>
            <w:vAlign w:val="center"/>
          </w:tcPr>
          <w:p>
            <w:pPr>
              <w:jc w:val="center"/>
            </w:pPr>
            <w:r>
              <w:rPr>
                <w:rFonts w:ascii="Arial" w:hAnsi="Arial"/>
                <w:b/>
                <w:color w:val="FFFFFF"/>
                <w:sz w:val="17"/>
              </w:rPr>
              <w:t>Güncel yaklaşım</w:t>
            </w:r>
          </w:p>
        </w:tc>
        <w:tc>
          <w:tcPr>
            <w:tcW w:type="dxa" w:w="2665"/>
            <w:shd w:fill="0B2748"/>
            <w:tcMar>
              <w:top w:w="120" w:type="dxa"/>
              <w:start w:w="120" w:type="dxa"/>
              <w:bottom w:w="120" w:type="dxa"/>
              <w:end w:w="120" w:type="dxa"/>
            </w:tcMar>
            <w:vAlign w:val="center"/>
          </w:tcPr>
          <w:p>
            <w:pPr>
              <w:jc w:val="center"/>
            </w:pPr>
            <w:r>
              <w:rPr>
                <w:rFonts w:ascii="Arial" w:hAnsi="Arial"/>
                <w:b/>
                <w:color w:val="FFFFFF"/>
                <w:sz w:val="17"/>
              </w:rPr>
              <w:t>Mühendislik etkisi</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xcorr → ifftshift → FFT</w:t>
            </w:r>
          </w:p>
        </w:tc>
        <w:tc>
          <w:tcPr>
            <w:tcW w:type="dxa" w:w="3515"/>
            <w:shd w:fill="F4F6F8"/>
            <w:tcMar>
              <w:top w:w="100" w:type="dxa"/>
              <w:start w:w="120" w:type="dxa"/>
              <w:bottom w:w="100" w:type="dxa"/>
              <w:end w:w="120" w:type="dxa"/>
            </w:tcMar>
            <w:vAlign w:val="center"/>
          </w:tcPr>
          <w:p>
            <w:pPr>
              <w:spacing w:after="0"/>
              <w:jc w:val="left"/>
            </w:pPr>
            <w:r>
              <w:rPr>
                <w:rFonts w:ascii="Arial" w:hAnsi="Arial"/>
                <w:color w:val="1D2733"/>
                <w:sz w:val="16"/>
              </w:rPr>
              <w:t>X₁·X₂* ile doğrudan Cross-PSD</w:t>
            </w:r>
          </w:p>
        </w:tc>
        <w:tc>
          <w:tcPr>
            <w:tcW w:type="dxa" w:w="2665"/>
            <w:shd w:fill="F4F6F8"/>
            <w:tcMar>
              <w:top w:w="100" w:type="dxa"/>
              <w:start w:w="120" w:type="dxa"/>
              <w:bottom w:w="100" w:type="dxa"/>
              <w:end w:w="120" w:type="dxa"/>
            </w:tcMar>
            <w:vAlign w:val="center"/>
          </w:tcPr>
          <w:p>
            <w:pPr>
              <w:spacing w:after="0"/>
              <w:jc w:val="left"/>
            </w:pPr>
            <w:r>
              <w:rPr>
                <w:rFonts w:ascii="Arial" w:hAnsi="Arial"/>
                <w:color w:val="1D2733"/>
                <w:sz w:val="16"/>
              </w:rPr>
              <w:t>Açık korelasyon dizisi kaldırıldı</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nfft = 2M−1</w:t>
            </w:r>
          </w:p>
        </w:tc>
        <w:tc>
          <w:tcPr>
            <w:tcW w:type="dxa" w:w="3515"/>
            <w:tcMar>
              <w:top w:w="100" w:type="dxa"/>
              <w:start w:w="120" w:type="dxa"/>
              <w:bottom w:w="100" w:type="dxa"/>
              <w:end w:w="120" w:type="dxa"/>
            </w:tcMar>
            <w:vAlign w:val="center"/>
          </w:tcPr>
          <w:p>
            <w:pPr>
              <w:spacing w:after="0"/>
              <w:jc w:val="left"/>
            </w:pPr>
            <w:r>
              <w:rPr>
                <w:rFonts w:ascii="Arial" w:hAnsi="Arial"/>
                <w:color w:val="1D2733"/>
                <w:sz w:val="16"/>
              </w:rPr>
              <w:t>2^nextpow2(2M−1)</w:t>
            </w:r>
          </w:p>
        </w:tc>
        <w:tc>
          <w:tcPr>
            <w:tcW w:type="dxa" w:w="2665"/>
            <w:tcMar>
              <w:top w:w="100" w:type="dxa"/>
              <w:start w:w="120" w:type="dxa"/>
              <w:bottom w:w="100" w:type="dxa"/>
              <w:end w:w="120" w:type="dxa"/>
            </w:tcMar>
            <w:vAlign w:val="center"/>
          </w:tcPr>
          <w:p>
            <w:pPr>
              <w:spacing w:after="0"/>
              <w:jc w:val="left"/>
            </w:pPr>
            <w:r>
              <w:rPr>
                <w:rFonts w:ascii="Arial" w:hAnsi="Arial"/>
                <w:color w:val="1D2733"/>
                <w:sz w:val="16"/>
              </w:rPr>
              <w:t>Radix-2 hesap ve sık frekans ızgarası</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LPF tasarımı her yinelemede</w:t>
            </w:r>
          </w:p>
        </w:tc>
        <w:tc>
          <w:tcPr>
            <w:tcW w:type="dxa" w:w="3515"/>
            <w:shd w:fill="F4F6F8"/>
            <w:tcMar>
              <w:top w:w="100" w:type="dxa"/>
              <w:start w:w="120" w:type="dxa"/>
              <w:bottom w:w="100" w:type="dxa"/>
              <w:end w:w="120" w:type="dxa"/>
            </w:tcMar>
            <w:vAlign w:val="center"/>
          </w:tcPr>
          <w:p>
            <w:pPr>
              <w:spacing w:after="0"/>
              <w:jc w:val="left"/>
            </w:pPr>
            <w:r>
              <w:rPr>
                <w:rFonts w:ascii="Arial" w:hAnsi="Arial"/>
                <w:color w:val="1D2733"/>
                <w:sz w:val="16"/>
              </w:rPr>
              <w:t>Katsayılar config'e göre önbellekte</w:t>
            </w:r>
          </w:p>
        </w:tc>
        <w:tc>
          <w:tcPr>
            <w:tcW w:type="dxa" w:w="2665"/>
            <w:shd w:fill="F4F6F8"/>
            <w:tcMar>
              <w:top w:w="100" w:type="dxa"/>
              <w:start w:w="120" w:type="dxa"/>
              <w:bottom w:w="100" w:type="dxa"/>
              <w:end w:w="120" w:type="dxa"/>
            </w:tcMar>
            <w:vAlign w:val="center"/>
          </w:tcPr>
          <w:p>
            <w:pPr>
              <w:spacing w:after="0"/>
              <w:jc w:val="left"/>
            </w:pPr>
            <w:r>
              <w:rPr>
                <w:rFonts w:ascii="Arial" w:hAnsi="Arial"/>
                <w:color w:val="1D2733"/>
                <w:sz w:val="16"/>
              </w:rPr>
              <w:t>Tekrarlı tasarım kaldırıldı</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Kanallar ayrı filtreleniyor</w:t>
            </w:r>
          </w:p>
        </w:tc>
        <w:tc>
          <w:tcPr>
            <w:tcW w:type="dxa" w:w="3515"/>
            <w:tcMar>
              <w:top w:w="100" w:type="dxa"/>
              <w:start w:w="120" w:type="dxa"/>
              <w:bottom w:w="100" w:type="dxa"/>
              <w:end w:w="120" w:type="dxa"/>
            </w:tcMar>
            <w:vAlign w:val="center"/>
          </w:tcPr>
          <w:p>
            <w:pPr>
              <w:spacing w:after="0"/>
              <w:jc w:val="left"/>
            </w:pPr>
            <w:r>
              <w:rPr>
                <w:rFonts w:ascii="Arial" w:hAnsi="Arial"/>
                <w:color w:val="1D2733"/>
                <w:sz w:val="16"/>
              </w:rPr>
              <w:t>İki sütun tek filter() çağrısında</w:t>
            </w:r>
          </w:p>
        </w:tc>
        <w:tc>
          <w:tcPr>
            <w:tcW w:type="dxa" w:w="2665"/>
            <w:tcMar>
              <w:top w:w="100" w:type="dxa"/>
              <w:start w:w="120" w:type="dxa"/>
              <w:bottom w:w="100" w:type="dxa"/>
              <w:end w:w="120" w:type="dxa"/>
            </w:tcMar>
            <w:vAlign w:val="center"/>
          </w:tcPr>
          <w:p>
            <w:pPr>
              <w:spacing w:after="0"/>
              <w:jc w:val="left"/>
            </w:pPr>
            <w:r>
              <w:rPr>
                <w:rFonts w:ascii="Arial" w:hAnsi="Arial"/>
                <w:color w:val="1D2733"/>
                <w:sz w:val="16"/>
              </w:rPr>
              <w:t>Çağrı yükü azaltıldı</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Ara adımda bölerek ortalama</w:t>
            </w:r>
          </w:p>
        </w:tc>
        <w:tc>
          <w:tcPr>
            <w:tcW w:type="dxa" w:w="3515"/>
            <w:shd w:fill="F4F6F8"/>
            <w:tcMar>
              <w:top w:w="100" w:type="dxa"/>
              <w:start w:w="120" w:type="dxa"/>
              <w:bottom w:w="100" w:type="dxa"/>
              <w:end w:w="120" w:type="dxa"/>
            </w:tcMar>
            <w:vAlign w:val="center"/>
          </w:tcPr>
          <w:p>
            <w:pPr>
              <w:spacing w:after="0"/>
              <w:jc w:val="left"/>
            </w:pPr>
            <w:r>
              <w:rPr>
                <w:rFonts w:ascii="Arial" w:hAnsi="Arial"/>
                <w:color w:val="1D2733"/>
                <w:sz w:val="16"/>
              </w:rPr>
              <w:t>Topla, döngü sonunda böl</w:t>
            </w:r>
          </w:p>
        </w:tc>
        <w:tc>
          <w:tcPr>
            <w:tcW w:type="dxa" w:w="2665"/>
            <w:shd w:fill="F4F6F8"/>
            <w:tcMar>
              <w:top w:w="100" w:type="dxa"/>
              <w:start w:w="120" w:type="dxa"/>
              <w:bottom w:w="100" w:type="dxa"/>
              <w:end w:w="120" w:type="dxa"/>
            </w:tcMar>
            <w:vAlign w:val="center"/>
          </w:tcPr>
          <w:p>
            <w:pPr>
              <w:spacing w:after="0"/>
              <w:jc w:val="left"/>
            </w:pPr>
            <w:r>
              <w:rPr>
                <w:rFonts w:ascii="Arial" w:hAnsi="Arial"/>
                <w:color w:val="1D2733"/>
                <w:sz w:val="16"/>
              </w:rPr>
              <w:t>Döngü içi bölmeler azaltıldı</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Log-bin içinde tepe değer</w:t>
            </w:r>
          </w:p>
        </w:tc>
        <w:tc>
          <w:tcPr>
            <w:tcW w:type="dxa" w:w="3515"/>
            <w:tcMar>
              <w:top w:w="100" w:type="dxa"/>
              <w:start w:w="120" w:type="dxa"/>
              <w:bottom w:w="100" w:type="dxa"/>
              <w:end w:w="120" w:type="dxa"/>
            </w:tcMar>
            <w:vAlign w:val="center"/>
          </w:tcPr>
          <w:p>
            <w:pPr>
              <w:spacing w:after="0"/>
              <w:jc w:val="left"/>
            </w:pPr>
            <w:r>
              <w:rPr>
                <w:rFonts w:ascii="Arial" w:hAnsi="Arial"/>
                <w:color w:val="1D2733"/>
                <w:sz w:val="16"/>
              </w:rPr>
              <w:t>Doğrusal PSD aritmetik ortalaması</w:t>
            </w:r>
          </w:p>
        </w:tc>
        <w:tc>
          <w:tcPr>
            <w:tcW w:type="dxa" w:w="2665"/>
            <w:tcMar>
              <w:top w:w="100" w:type="dxa"/>
              <w:start w:w="120" w:type="dxa"/>
              <w:bottom w:w="100" w:type="dxa"/>
              <w:end w:w="120" w:type="dxa"/>
            </w:tcMar>
            <w:vAlign w:val="center"/>
          </w:tcPr>
          <w:p>
            <w:pPr>
              <w:spacing w:after="0"/>
              <w:jc w:val="left"/>
            </w:pPr>
            <w:r>
              <w:rPr>
                <w:rFonts w:ascii="Arial" w:hAnsi="Arial"/>
                <w:color w:val="1D2733"/>
                <w:sz w:val="16"/>
              </w:rPr>
              <w:t>Güç ortalaması korunuyor</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Kullanılmayan Welch çıktıları</w:t>
            </w:r>
          </w:p>
        </w:tc>
        <w:tc>
          <w:tcPr>
            <w:tcW w:type="dxa" w:w="3515"/>
            <w:shd w:fill="F4F6F8"/>
            <w:tcMar>
              <w:top w:w="100" w:type="dxa"/>
              <w:start w:w="120" w:type="dxa"/>
              <w:bottom w:w="100" w:type="dxa"/>
              <w:end w:w="120" w:type="dxa"/>
            </w:tcMar>
            <w:vAlign w:val="center"/>
          </w:tcPr>
          <w:p>
            <w:pPr>
              <w:spacing w:after="0"/>
              <w:jc w:val="left"/>
            </w:pPr>
            <w:r>
              <w:rPr>
                <w:rFonts w:ascii="Arial" w:hAnsi="Arial"/>
                <w:color w:val="1D2733"/>
                <w:sz w:val="16"/>
              </w:rPr>
              <w:t>Cross-PSD ve DUT periodogramı</w:t>
            </w:r>
          </w:p>
        </w:tc>
        <w:tc>
          <w:tcPr>
            <w:tcW w:type="dxa" w:w="2665"/>
            <w:shd w:fill="F4F6F8"/>
            <w:tcMar>
              <w:top w:w="100" w:type="dxa"/>
              <w:start w:w="120" w:type="dxa"/>
              <w:bottom w:w="100" w:type="dxa"/>
              <w:end w:w="120" w:type="dxa"/>
            </w:tcMar>
            <w:vAlign w:val="center"/>
          </w:tcPr>
          <w:p>
            <w:pPr>
              <w:spacing w:after="0"/>
              <w:jc w:val="left"/>
            </w:pPr>
            <w:r>
              <w:rPr>
                <w:rFonts w:ascii="Arial" w:hAnsi="Arial"/>
                <w:color w:val="1D2733"/>
                <w:sz w:val="16"/>
              </w:rPr>
              <w:t>Çıktı zinciri sadeleşti</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Kontrolsüz config</w:t>
            </w:r>
          </w:p>
        </w:tc>
        <w:tc>
          <w:tcPr>
            <w:tcW w:type="dxa" w:w="3515"/>
            <w:tcMar>
              <w:top w:w="100" w:type="dxa"/>
              <w:start w:w="120" w:type="dxa"/>
              <w:bottom w:w="100" w:type="dxa"/>
              <w:end w:w="120" w:type="dxa"/>
            </w:tcMar>
            <w:vAlign w:val="center"/>
          </w:tcPr>
          <w:p>
            <w:pPr>
              <w:spacing w:after="0"/>
              <w:jc w:val="left"/>
            </w:pPr>
            <w:r>
              <w:rPr>
                <w:rFonts w:ascii="Arial" w:hAnsi="Arial"/>
                <w:color w:val="1D2733"/>
                <w:sz w:val="16"/>
              </w:rPr>
              <w:t>validate_config doğrulaması</w:t>
            </w:r>
          </w:p>
        </w:tc>
        <w:tc>
          <w:tcPr>
            <w:tcW w:type="dxa" w:w="2665"/>
            <w:tcMar>
              <w:top w:w="100" w:type="dxa"/>
              <w:start w:w="120" w:type="dxa"/>
              <w:bottom w:w="100" w:type="dxa"/>
              <w:end w:w="120" w:type="dxa"/>
            </w:tcMar>
            <w:vAlign w:val="center"/>
          </w:tcPr>
          <w:p>
            <w:pPr>
              <w:spacing w:after="0"/>
              <w:jc w:val="left"/>
            </w:pPr>
            <w:r>
              <w:rPr>
                <w:rFonts w:ascii="Arial" w:hAnsi="Arial"/>
                <w:color w:val="1D2733"/>
                <w:sz w:val="16"/>
              </w:rPr>
              <w:t>Hatalar büyük dizilerden önce yakalanıyor</w:t>
            </w:r>
          </w:p>
        </w:tc>
      </w:tr>
    </w:tbl>
    <w:p>
      <w:pPr>
        <w:spacing w:after="20"/>
      </w:pPr>
    </w:p>
    <w:p>
      <w:pPr>
        <w:pStyle w:val="Heading2"/>
      </w:pPr>
      <w:r>
        <w:t>5.4. MATLAB R2025b uyarlaması ve uzun koşular</w:t>
      </w:r>
    </w:p>
    <w:p>
      <w:pPr>
        <w:jc w:val="both"/>
      </w:pPr>
      <w:r>
        <w:t>Commitli optimized kaynak GNU Octave uygulamasıdır. Rapor sonuçları, 0799f9f senkron noktasından türetilen matlab_version klasöründe MATLAB R2025b ile üretilmiştir. Octave'a özgü pkg load signal, time() ve -mat7-binary kullanımları kaldırılmış; MATLAB random stream'i oturumda bir kez rng("shuffle") ile başlatılmış; büyük sonuçlar -v7.3 ve grafikler 150 DPI PNG olarak kaydedilmiştir.</w:t>
      </w:r>
    </w:p>
    <w:p>
      <w:pPr>
        <w:jc w:val="both"/>
      </w:pPr>
      <w:r>
        <w:t>Uzun yineleme taramalarında tamamlanan noktaları korumak için config uyumluluğunu denetleyen bir sonuç birleştirme akışı geliştirilmiştir. Kaynak klasörler değiştirilmeden yalnız eksik noktaların çalıştırılması hedeflenmiştir. Rapor oluşturucu da final uzun koşu tamamlanmadan veya N=1.000.000 config'i doğrulanmadan belge üretmez.</w:t>
      </w:r>
    </w:p>
    <w:p>
      <w:pPr>
        <w:pStyle w:val="Heading2"/>
      </w:pPr>
      <w:r>
        <w:t>5.5. Commitlere dayalı değişiklik özeti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247"/>
        <w:gridCol w:w="1304"/>
        <w:gridCol w:w="4025"/>
        <w:gridCol w:w="2608"/>
      </w:tblGrid>
      <w:tr>
        <w:trPr>
          <w:tblHeader w:val="true"/>
          <w:cantSplit/>
        </w:trPr>
        <w:tc>
          <w:tcPr>
            <w:tcW w:type="dxa" w:w="1247"/>
            <w:shd w:fill="0B2748"/>
            <w:tcMar>
              <w:top w:w="120" w:type="dxa"/>
              <w:start w:w="120" w:type="dxa"/>
              <w:bottom w:w="120" w:type="dxa"/>
              <w:end w:w="120" w:type="dxa"/>
            </w:tcMar>
            <w:vAlign w:val="center"/>
          </w:tcPr>
          <w:p>
            <w:pPr>
              <w:jc w:val="center"/>
            </w:pPr>
            <w:r>
              <w:rPr>
                <w:rFonts w:ascii="Arial" w:hAnsi="Arial"/>
                <w:b/>
                <w:color w:val="FFFFFF"/>
                <w:sz w:val="17"/>
              </w:rPr>
              <w:t>Commit</w:t>
            </w:r>
          </w:p>
        </w:tc>
        <w:tc>
          <w:tcPr>
            <w:tcW w:type="dxa" w:w="1304"/>
            <w:shd w:fill="0B2748"/>
            <w:tcMar>
              <w:top w:w="120" w:type="dxa"/>
              <w:start w:w="120" w:type="dxa"/>
              <w:bottom w:w="120" w:type="dxa"/>
              <w:end w:w="120" w:type="dxa"/>
            </w:tcMar>
            <w:vAlign w:val="center"/>
          </w:tcPr>
          <w:p>
            <w:pPr>
              <w:jc w:val="center"/>
            </w:pPr>
            <w:r>
              <w:rPr>
                <w:rFonts w:ascii="Arial" w:hAnsi="Arial"/>
                <w:b/>
                <w:color w:val="FFFFFF"/>
                <w:sz w:val="17"/>
              </w:rPr>
              <w:t>Tarih</w:t>
            </w:r>
          </w:p>
        </w:tc>
        <w:tc>
          <w:tcPr>
            <w:tcW w:type="dxa" w:w="4025"/>
            <w:shd w:fill="0B2748"/>
            <w:tcMar>
              <w:top w:w="120" w:type="dxa"/>
              <w:start w:w="120" w:type="dxa"/>
              <w:bottom w:w="120" w:type="dxa"/>
              <w:end w:w="120" w:type="dxa"/>
            </w:tcMar>
            <w:vAlign w:val="center"/>
          </w:tcPr>
          <w:p>
            <w:pPr>
              <w:jc w:val="center"/>
            </w:pPr>
            <w:r>
              <w:rPr>
                <w:rFonts w:ascii="Arial" w:hAnsi="Arial"/>
                <w:b/>
                <w:color w:val="FFFFFF"/>
                <w:sz w:val="17"/>
              </w:rPr>
              <w:t>Doğrulanmış değişiklik</w:t>
            </w:r>
          </w:p>
        </w:tc>
        <w:tc>
          <w:tcPr>
            <w:tcW w:type="dxa" w:w="2608"/>
            <w:shd w:fill="0B2748"/>
            <w:tcMar>
              <w:top w:w="120" w:type="dxa"/>
              <w:start w:w="120" w:type="dxa"/>
              <w:bottom w:w="120" w:type="dxa"/>
              <w:end w:w="120" w:type="dxa"/>
            </w:tcMar>
            <w:vAlign w:val="center"/>
          </w:tcPr>
          <w:p>
            <w:pPr>
              <w:jc w:val="center"/>
            </w:pPr>
            <w:r>
              <w:rPr>
                <w:rFonts w:ascii="Arial" w:hAnsi="Arial"/>
                <w:b/>
                <w:color w:val="FFFFFF"/>
                <w:sz w:val="17"/>
              </w:rPr>
              <w:t>Rapordaki karşılığı</w:t>
            </w:r>
          </w:p>
        </w:tc>
      </w:tr>
      <w:tr>
        <w:trPr>
          <w:cantSplit/>
        </w:trPr>
        <w:tc>
          <w:tcPr>
            <w:tcW w:type="dxa" w:w="1247"/>
            <w:shd w:fill="F4F6F8"/>
            <w:tcMar>
              <w:top w:w="100" w:type="dxa"/>
              <w:start w:w="120" w:type="dxa"/>
              <w:bottom w:w="100" w:type="dxa"/>
              <w:end w:w="120" w:type="dxa"/>
            </w:tcMar>
            <w:vAlign w:val="center"/>
          </w:tcPr>
          <w:p>
            <w:pPr>
              <w:spacing w:after="0"/>
              <w:jc w:val="center"/>
            </w:pPr>
            <w:r>
              <w:rPr>
                <w:rFonts w:ascii="Arial" w:hAnsi="Arial"/>
                <w:color w:val="1D2733"/>
                <w:sz w:val="16"/>
              </w:rPr>
              <w:t>0fa4d8f</w:t>
            </w:r>
          </w:p>
        </w:tc>
        <w:tc>
          <w:tcPr>
            <w:tcW w:type="dxa" w:w="1304"/>
            <w:shd w:fill="F4F6F8"/>
            <w:tcMar>
              <w:top w:w="100" w:type="dxa"/>
              <w:start w:w="120" w:type="dxa"/>
              <w:bottom w:w="100" w:type="dxa"/>
              <w:end w:w="120" w:type="dxa"/>
            </w:tcMar>
            <w:vAlign w:val="center"/>
          </w:tcPr>
          <w:p>
            <w:pPr>
              <w:spacing w:after="0"/>
              <w:jc w:val="center"/>
            </w:pPr>
            <w:r>
              <w:rPr>
                <w:rFonts w:ascii="Arial" w:hAnsi="Arial"/>
                <w:color w:val="1D2733"/>
                <w:sz w:val="16"/>
              </w:rPr>
              <w:t>04.08.2026</w:t>
            </w:r>
          </w:p>
        </w:tc>
        <w:tc>
          <w:tcPr>
            <w:tcW w:type="dxa" w:w="4025"/>
            <w:shd w:fill="F4F6F8"/>
            <w:tcMar>
              <w:top w:w="100" w:type="dxa"/>
              <w:start w:w="120" w:type="dxa"/>
              <w:bottom w:w="100" w:type="dxa"/>
              <w:end w:w="120" w:type="dxa"/>
            </w:tcMar>
            <w:vAlign w:val="center"/>
          </w:tcPr>
          <w:p>
            <w:pPr>
              <w:spacing w:after="0"/>
              <w:jc w:val="left"/>
            </w:pPr>
            <w:r>
              <w:rPr>
                <w:rFonts w:ascii="Arial" w:hAnsi="Arial"/>
                <w:color w:val="1D2733"/>
                <w:sz w:val="16"/>
              </w:rPr>
              <w:t>AWGN/renkli gürültü ve ilk model</w:t>
            </w:r>
          </w:p>
        </w:tc>
        <w:tc>
          <w:tcPr>
            <w:tcW w:type="dxa" w:w="2608"/>
            <w:shd w:fill="F4F6F8"/>
            <w:tcMar>
              <w:top w:w="100" w:type="dxa"/>
              <w:start w:w="120" w:type="dxa"/>
              <w:bottom w:w="100" w:type="dxa"/>
              <w:end w:w="120" w:type="dxa"/>
            </w:tcMar>
            <w:vAlign w:val="center"/>
          </w:tcPr>
          <w:p>
            <w:pPr>
              <w:spacing w:after="0"/>
              <w:jc w:val="left"/>
            </w:pPr>
            <w:r>
              <w:rPr>
                <w:rFonts w:ascii="Arial" w:hAnsi="Arial"/>
                <w:color w:val="1D2733"/>
                <w:sz w:val="16"/>
              </w:rPr>
              <w:t>İlk prototip</w:t>
            </w:r>
          </w:p>
        </w:tc>
      </w:tr>
      <w:tr>
        <w:trPr>
          <w:cantSplit/>
        </w:trPr>
        <w:tc>
          <w:tcPr>
            <w:tcW w:type="dxa" w:w="1247"/>
            <w:tcMar>
              <w:top w:w="100" w:type="dxa"/>
              <w:start w:w="120" w:type="dxa"/>
              <w:bottom w:w="100" w:type="dxa"/>
              <w:end w:w="120" w:type="dxa"/>
            </w:tcMar>
            <w:vAlign w:val="center"/>
          </w:tcPr>
          <w:p>
            <w:pPr>
              <w:spacing w:after="0"/>
              <w:jc w:val="center"/>
            </w:pPr>
            <w:r>
              <w:rPr>
                <w:rFonts w:ascii="Arial" w:hAnsi="Arial"/>
                <w:color w:val="1D2733"/>
                <w:sz w:val="16"/>
              </w:rPr>
              <w:t>045fee4</w:t>
            </w:r>
          </w:p>
        </w:tc>
        <w:tc>
          <w:tcPr>
            <w:tcW w:type="dxa" w:w="1304"/>
            <w:tcMar>
              <w:top w:w="100" w:type="dxa"/>
              <w:start w:w="120" w:type="dxa"/>
              <w:bottom w:w="100" w:type="dxa"/>
              <w:end w:w="120" w:type="dxa"/>
            </w:tcMar>
            <w:vAlign w:val="center"/>
          </w:tcPr>
          <w:p>
            <w:pPr>
              <w:spacing w:after="0"/>
              <w:jc w:val="center"/>
            </w:pPr>
            <w:r>
              <w:rPr>
                <w:rFonts w:ascii="Arial" w:hAnsi="Arial"/>
                <w:color w:val="1D2733"/>
                <w:sz w:val="16"/>
              </w:rPr>
              <w:t>17.08.2026</w:t>
            </w:r>
          </w:p>
        </w:tc>
        <w:tc>
          <w:tcPr>
            <w:tcW w:type="dxa" w:w="4025"/>
            <w:tcMar>
              <w:top w:w="100" w:type="dxa"/>
              <w:start w:w="120" w:type="dxa"/>
              <w:bottom w:w="100" w:type="dxa"/>
              <w:end w:w="120" w:type="dxa"/>
            </w:tcMar>
            <w:vAlign w:val="center"/>
          </w:tcPr>
          <w:p>
            <w:pPr>
              <w:spacing w:after="0"/>
              <w:jc w:val="left"/>
            </w:pPr>
            <w:r>
              <w:rPr>
                <w:rFonts w:ascii="Arial" w:hAnsi="Arial"/>
                <w:color w:val="1D2733"/>
                <w:sz w:val="16"/>
              </w:rPr>
              <w:t>Optimize alan, config ve sweep altyapısı</w:t>
            </w:r>
          </w:p>
        </w:tc>
        <w:tc>
          <w:tcPr>
            <w:tcW w:type="dxa" w:w="2608"/>
            <w:tcMar>
              <w:top w:w="100" w:type="dxa"/>
              <w:start w:w="120" w:type="dxa"/>
              <w:bottom w:w="100" w:type="dxa"/>
              <w:end w:w="120" w:type="dxa"/>
            </w:tcMar>
            <w:vAlign w:val="center"/>
          </w:tcPr>
          <w:p>
            <w:pPr>
              <w:spacing w:after="0"/>
              <w:jc w:val="left"/>
            </w:pPr>
            <w:r>
              <w:rPr>
                <w:rFonts w:ascii="Arial" w:hAnsi="Arial"/>
                <w:color w:val="1D2733"/>
                <w:sz w:val="16"/>
              </w:rPr>
              <w:t>Deney otomasyonu</w:t>
            </w:r>
          </w:p>
        </w:tc>
      </w:tr>
      <w:tr>
        <w:trPr>
          <w:cantSplit/>
        </w:trPr>
        <w:tc>
          <w:tcPr>
            <w:tcW w:type="dxa" w:w="1247"/>
            <w:shd w:fill="F4F6F8"/>
            <w:tcMar>
              <w:top w:w="100" w:type="dxa"/>
              <w:start w:w="120" w:type="dxa"/>
              <w:bottom w:w="100" w:type="dxa"/>
              <w:end w:w="120" w:type="dxa"/>
            </w:tcMar>
            <w:vAlign w:val="center"/>
          </w:tcPr>
          <w:p>
            <w:pPr>
              <w:spacing w:after="0"/>
              <w:jc w:val="center"/>
            </w:pPr>
            <w:r>
              <w:rPr>
                <w:rFonts w:ascii="Arial" w:hAnsi="Arial"/>
                <w:color w:val="1D2733"/>
                <w:sz w:val="16"/>
              </w:rPr>
              <w:t>b979435</w:t>
            </w:r>
          </w:p>
        </w:tc>
        <w:tc>
          <w:tcPr>
            <w:tcW w:type="dxa" w:w="1304"/>
            <w:shd w:fill="F4F6F8"/>
            <w:tcMar>
              <w:top w:w="100" w:type="dxa"/>
              <w:start w:w="120" w:type="dxa"/>
              <w:bottom w:w="100" w:type="dxa"/>
              <w:end w:w="120" w:type="dxa"/>
            </w:tcMar>
            <w:vAlign w:val="center"/>
          </w:tcPr>
          <w:p>
            <w:pPr>
              <w:spacing w:after="0"/>
              <w:jc w:val="center"/>
            </w:pPr>
            <w:r>
              <w:rPr>
                <w:rFonts w:ascii="Arial" w:hAnsi="Arial"/>
                <w:color w:val="1D2733"/>
                <w:sz w:val="16"/>
              </w:rPr>
              <w:t>18.08.2026</w:t>
            </w:r>
          </w:p>
        </w:tc>
        <w:tc>
          <w:tcPr>
            <w:tcW w:type="dxa" w:w="4025"/>
            <w:shd w:fill="F4F6F8"/>
            <w:tcMar>
              <w:top w:w="100" w:type="dxa"/>
              <w:start w:w="120" w:type="dxa"/>
              <w:bottom w:w="100" w:type="dxa"/>
              <w:end w:w="120" w:type="dxa"/>
            </w:tcMar>
            <w:vAlign w:val="center"/>
          </w:tcPr>
          <w:p>
            <w:pPr>
              <w:spacing w:after="0"/>
              <w:jc w:val="left"/>
            </w:pPr>
            <w:r>
              <w:rPr>
                <w:rFonts w:ascii="Arial" w:hAnsi="Arial"/>
                <w:color w:val="1D2733"/>
                <w:sz w:val="16"/>
              </w:rPr>
              <w:t>run_simulation API ve çıktı sözleşmesi</w:t>
            </w:r>
          </w:p>
        </w:tc>
        <w:tc>
          <w:tcPr>
            <w:tcW w:type="dxa" w:w="2608"/>
            <w:shd w:fill="F4F6F8"/>
            <w:tcMar>
              <w:top w:w="100" w:type="dxa"/>
              <w:start w:w="120" w:type="dxa"/>
              <w:bottom w:w="100" w:type="dxa"/>
              <w:end w:w="120" w:type="dxa"/>
            </w:tcMar>
            <w:vAlign w:val="center"/>
          </w:tcPr>
          <w:p>
            <w:pPr>
              <w:spacing w:after="0"/>
              <w:jc w:val="left"/>
            </w:pPr>
            <w:r>
              <w:rPr>
                <w:rFonts w:ascii="Arial" w:hAnsi="Arial"/>
                <w:color w:val="1D2733"/>
                <w:sz w:val="16"/>
              </w:rPr>
              <w:t>Modüler mimari</w:t>
            </w:r>
          </w:p>
        </w:tc>
      </w:tr>
      <w:tr>
        <w:trPr>
          <w:cantSplit/>
        </w:trPr>
        <w:tc>
          <w:tcPr>
            <w:tcW w:type="dxa" w:w="1247"/>
            <w:tcMar>
              <w:top w:w="100" w:type="dxa"/>
              <w:start w:w="120" w:type="dxa"/>
              <w:bottom w:w="100" w:type="dxa"/>
              <w:end w:w="120" w:type="dxa"/>
            </w:tcMar>
            <w:vAlign w:val="center"/>
          </w:tcPr>
          <w:p>
            <w:pPr>
              <w:spacing w:after="0"/>
              <w:jc w:val="center"/>
            </w:pPr>
            <w:r>
              <w:rPr>
                <w:rFonts w:ascii="Arial" w:hAnsi="Arial"/>
                <w:color w:val="1D2733"/>
                <w:sz w:val="16"/>
              </w:rPr>
              <w:t>c8c5260</w:t>
            </w:r>
          </w:p>
        </w:tc>
        <w:tc>
          <w:tcPr>
            <w:tcW w:type="dxa" w:w="1304"/>
            <w:tcMar>
              <w:top w:w="100" w:type="dxa"/>
              <w:start w:w="120" w:type="dxa"/>
              <w:bottom w:w="100" w:type="dxa"/>
              <w:end w:w="120" w:type="dxa"/>
            </w:tcMar>
            <w:vAlign w:val="center"/>
          </w:tcPr>
          <w:p>
            <w:pPr>
              <w:spacing w:after="0"/>
              <w:jc w:val="center"/>
            </w:pPr>
            <w:r>
              <w:rPr>
                <w:rFonts w:ascii="Arial" w:hAnsi="Arial"/>
                <w:color w:val="1D2733"/>
                <w:sz w:val="16"/>
              </w:rPr>
              <w:t>20.08.2026</w:t>
            </w:r>
          </w:p>
        </w:tc>
        <w:tc>
          <w:tcPr>
            <w:tcW w:type="dxa" w:w="4025"/>
            <w:tcMar>
              <w:top w:w="100" w:type="dxa"/>
              <w:start w:w="120" w:type="dxa"/>
              <w:bottom w:w="100" w:type="dxa"/>
              <w:end w:w="120" w:type="dxa"/>
            </w:tcMar>
            <w:vAlign w:val="center"/>
          </w:tcPr>
          <w:p>
            <w:pPr>
              <w:spacing w:after="0"/>
              <w:jc w:val="left"/>
            </w:pPr>
            <w:r>
              <w:rPr>
                <w:rFonts w:ascii="Arial" w:hAnsi="Arial"/>
                <w:color w:val="1D2733"/>
                <w:sz w:val="16"/>
              </w:rPr>
              <w:t>Yeni DUT/iterasyon, ayrı mikser-LPF-Cross-PSD</w:t>
            </w:r>
          </w:p>
        </w:tc>
        <w:tc>
          <w:tcPr>
            <w:tcW w:type="dxa" w:w="2608"/>
            <w:tcMar>
              <w:top w:w="100" w:type="dxa"/>
              <w:start w:w="120" w:type="dxa"/>
              <w:bottom w:w="100" w:type="dxa"/>
              <w:end w:w="120" w:type="dxa"/>
            </w:tcMar>
            <w:vAlign w:val="center"/>
          </w:tcPr>
          <w:p>
            <w:pPr>
              <w:spacing w:after="0"/>
              <w:jc w:val="left"/>
            </w:pPr>
            <w:r>
              <w:rPr>
                <w:rFonts w:ascii="Arial" w:hAnsi="Arial"/>
                <w:color w:val="1D2733"/>
                <w:sz w:val="16"/>
              </w:rPr>
              <w:t>Adil Monte Carlo</w:t>
            </w:r>
          </w:p>
        </w:tc>
      </w:tr>
      <w:tr>
        <w:trPr>
          <w:cantSplit/>
        </w:trPr>
        <w:tc>
          <w:tcPr>
            <w:tcW w:type="dxa" w:w="1247"/>
            <w:shd w:fill="F4F6F8"/>
            <w:tcMar>
              <w:top w:w="100" w:type="dxa"/>
              <w:start w:w="120" w:type="dxa"/>
              <w:bottom w:w="100" w:type="dxa"/>
              <w:end w:w="120" w:type="dxa"/>
            </w:tcMar>
            <w:vAlign w:val="center"/>
          </w:tcPr>
          <w:p>
            <w:pPr>
              <w:spacing w:after="0"/>
              <w:jc w:val="center"/>
            </w:pPr>
            <w:r>
              <w:rPr>
                <w:rFonts w:ascii="Arial" w:hAnsi="Arial"/>
                <w:color w:val="1D2733"/>
                <w:sz w:val="16"/>
              </w:rPr>
              <w:t>9b14de0</w:t>
            </w:r>
          </w:p>
        </w:tc>
        <w:tc>
          <w:tcPr>
            <w:tcW w:type="dxa" w:w="1304"/>
            <w:shd w:fill="F4F6F8"/>
            <w:tcMar>
              <w:top w:w="100" w:type="dxa"/>
              <w:start w:w="120" w:type="dxa"/>
              <w:bottom w:w="100" w:type="dxa"/>
              <w:end w:w="120" w:type="dxa"/>
            </w:tcMar>
            <w:vAlign w:val="center"/>
          </w:tcPr>
          <w:p>
            <w:pPr>
              <w:spacing w:after="0"/>
              <w:jc w:val="center"/>
            </w:pPr>
            <w:r>
              <w:rPr>
                <w:rFonts w:ascii="Arial" w:hAnsi="Arial"/>
                <w:color w:val="1D2733"/>
                <w:sz w:val="16"/>
              </w:rPr>
              <w:t>20.08.2026</w:t>
            </w:r>
          </w:p>
        </w:tc>
        <w:tc>
          <w:tcPr>
            <w:tcW w:type="dxa" w:w="4025"/>
            <w:shd w:fill="F4F6F8"/>
            <w:tcMar>
              <w:top w:w="100" w:type="dxa"/>
              <w:start w:w="120" w:type="dxa"/>
              <w:bottom w:w="100" w:type="dxa"/>
              <w:end w:w="120" w:type="dxa"/>
            </w:tcMar>
            <w:vAlign w:val="center"/>
          </w:tcPr>
          <w:p>
            <w:pPr>
              <w:spacing w:after="0"/>
              <w:jc w:val="left"/>
            </w:pPr>
            <w:r>
              <w:rPr>
                <w:rFonts w:ascii="Arial" w:hAnsi="Arial"/>
                <w:color w:val="1D2733"/>
                <w:sz w:val="16"/>
              </w:rPr>
              <w:t>README, handoff ve kanıt sınırları</w:t>
            </w:r>
          </w:p>
        </w:tc>
        <w:tc>
          <w:tcPr>
            <w:tcW w:type="dxa" w:w="2608"/>
            <w:shd w:fill="F4F6F8"/>
            <w:tcMar>
              <w:top w:w="100" w:type="dxa"/>
              <w:start w:w="120" w:type="dxa"/>
              <w:bottom w:w="100" w:type="dxa"/>
              <w:end w:w="120" w:type="dxa"/>
            </w:tcMar>
            <w:vAlign w:val="center"/>
          </w:tcPr>
          <w:p>
            <w:pPr>
              <w:spacing w:after="0"/>
              <w:jc w:val="left"/>
            </w:pPr>
            <w:r>
              <w:rPr>
                <w:rFonts w:ascii="Arial" w:hAnsi="Arial"/>
                <w:color w:val="1D2733"/>
                <w:sz w:val="16"/>
              </w:rPr>
              <w:t>Provenance disiplini</w:t>
            </w:r>
          </w:p>
        </w:tc>
      </w:tr>
      <w:tr>
        <w:trPr>
          <w:cantSplit/>
        </w:trPr>
        <w:tc>
          <w:tcPr>
            <w:tcW w:type="dxa" w:w="1247"/>
            <w:tcMar>
              <w:top w:w="100" w:type="dxa"/>
              <w:start w:w="120" w:type="dxa"/>
              <w:bottom w:w="100" w:type="dxa"/>
              <w:end w:w="120" w:type="dxa"/>
            </w:tcMar>
            <w:vAlign w:val="center"/>
          </w:tcPr>
          <w:p>
            <w:pPr>
              <w:spacing w:after="0"/>
              <w:jc w:val="center"/>
            </w:pPr>
            <w:r>
              <w:rPr>
                <w:rFonts w:ascii="Arial" w:hAnsi="Arial"/>
                <w:color w:val="1D2733"/>
                <w:sz w:val="16"/>
              </w:rPr>
              <w:t>ed60dc6</w:t>
            </w:r>
          </w:p>
        </w:tc>
        <w:tc>
          <w:tcPr>
            <w:tcW w:type="dxa" w:w="1304"/>
            <w:tcMar>
              <w:top w:w="100" w:type="dxa"/>
              <w:start w:w="120" w:type="dxa"/>
              <w:bottom w:w="100" w:type="dxa"/>
              <w:end w:w="120" w:type="dxa"/>
            </w:tcMar>
            <w:vAlign w:val="center"/>
          </w:tcPr>
          <w:p>
            <w:pPr>
              <w:spacing w:after="0"/>
              <w:jc w:val="center"/>
            </w:pPr>
            <w:r>
              <w:rPr>
                <w:rFonts w:ascii="Arial" w:hAnsi="Arial"/>
                <w:color w:val="1D2733"/>
                <w:sz w:val="16"/>
              </w:rPr>
              <w:t>20.08.2026</w:t>
            </w:r>
          </w:p>
        </w:tc>
        <w:tc>
          <w:tcPr>
            <w:tcW w:type="dxa" w:w="4025"/>
            <w:tcMar>
              <w:top w:w="100" w:type="dxa"/>
              <w:start w:w="120" w:type="dxa"/>
              <w:bottom w:w="100" w:type="dxa"/>
              <w:end w:w="120" w:type="dxa"/>
            </w:tcMar>
            <w:vAlign w:val="center"/>
          </w:tcPr>
          <w:p>
            <w:pPr>
              <w:spacing w:after="0"/>
              <w:jc w:val="left"/>
            </w:pPr>
            <w:r>
              <w:rPr>
                <w:rFonts w:ascii="Arial" w:hAnsi="Arial"/>
                <w:color w:val="1D2733"/>
                <w:sz w:val="16"/>
              </w:rPr>
              <w:t>İlk DOCX rapor</w:t>
            </w:r>
          </w:p>
        </w:tc>
        <w:tc>
          <w:tcPr>
            <w:tcW w:type="dxa" w:w="2608"/>
            <w:tcMar>
              <w:top w:w="100" w:type="dxa"/>
              <w:start w:w="120" w:type="dxa"/>
              <w:bottom w:w="100" w:type="dxa"/>
              <w:end w:w="120" w:type="dxa"/>
            </w:tcMar>
            <w:vAlign w:val="center"/>
          </w:tcPr>
          <w:p>
            <w:pPr>
              <w:spacing w:after="0"/>
              <w:jc w:val="left"/>
            </w:pPr>
            <w:r>
              <w:rPr>
                <w:rFonts w:ascii="Arial" w:hAnsi="Arial"/>
                <w:color w:val="1D2733"/>
                <w:sz w:val="16"/>
              </w:rPr>
              <w:t>Rapor başlangıcı</w:t>
            </w:r>
          </w:p>
        </w:tc>
      </w:tr>
      <w:tr>
        <w:trPr>
          <w:cantSplit/>
        </w:trPr>
        <w:tc>
          <w:tcPr>
            <w:tcW w:type="dxa" w:w="1247"/>
            <w:shd w:fill="F4F6F8"/>
            <w:tcMar>
              <w:top w:w="100" w:type="dxa"/>
              <w:start w:w="120" w:type="dxa"/>
              <w:bottom w:w="100" w:type="dxa"/>
              <w:end w:w="120" w:type="dxa"/>
            </w:tcMar>
            <w:vAlign w:val="center"/>
          </w:tcPr>
          <w:p>
            <w:pPr>
              <w:spacing w:after="0"/>
              <w:jc w:val="center"/>
            </w:pPr>
            <w:r>
              <w:rPr>
                <w:rFonts w:ascii="Arial" w:hAnsi="Arial"/>
                <w:color w:val="1D2733"/>
                <w:sz w:val="16"/>
              </w:rPr>
              <w:t>0799f9f</w:t>
            </w:r>
          </w:p>
        </w:tc>
        <w:tc>
          <w:tcPr>
            <w:tcW w:type="dxa" w:w="1304"/>
            <w:shd w:fill="F4F6F8"/>
            <w:tcMar>
              <w:top w:w="100" w:type="dxa"/>
              <w:start w:w="120" w:type="dxa"/>
              <w:bottom w:w="100" w:type="dxa"/>
              <w:end w:w="120" w:type="dxa"/>
            </w:tcMar>
            <w:vAlign w:val="center"/>
          </w:tcPr>
          <w:p>
            <w:pPr>
              <w:spacing w:after="0"/>
              <w:jc w:val="center"/>
            </w:pPr>
            <w:r>
              <w:rPr>
                <w:rFonts w:ascii="Arial" w:hAnsi="Arial"/>
                <w:color w:val="1D2733"/>
                <w:sz w:val="16"/>
              </w:rPr>
              <w:t>21.08.2026</w:t>
            </w:r>
          </w:p>
        </w:tc>
        <w:tc>
          <w:tcPr>
            <w:tcW w:type="dxa" w:w="4025"/>
            <w:shd w:fill="F4F6F8"/>
            <w:tcMar>
              <w:top w:w="100" w:type="dxa"/>
              <w:start w:w="120" w:type="dxa"/>
              <w:bottom w:w="100" w:type="dxa"/>
              <w:end w:w="120" w:type="dxa"/>
            </w:tcMar>
            <w:vAlign w:val="center"/>
          </w:tcPr>
          <w:p>
            <w:pPr>
              <w:spacing w:after="0"/>
              <w:jc w:val="left"/>
            </w:pPr>
            <w:r>
              <w:rPr>
                <w:rFonts w:ascii="Arial" w:hAnsi="Arial"/>
                <w:color w:val="1D2733"/>
                <w:sz w:val="16"/>
              </w:rPr>
              <w:t>N=1M profil, merge akışı ve rapor güncellemesi</w:t>
            </w:r>
          </w:p>
        </w:tc>
        <w:tc>
          <w:tcPr>
            <w:tcW w:type="dxa" w:w="2608"/>
            <w:shd w:fill="F4F6F8"/>
            <w:tcMar>
              <w:top w:w="100" w:type="dxa"/>
              <w:start w:w="120" w:type="dxa"/>
              <w:bottom w:w="100" w:type="dxa"/>
              <w:end w:w="120" w:type="dxa"/>
            </w:tcMar>
            <w:vAlign w:val="center"/>
          </w:tcPr>
          <w:p>
            <w:pPr>
              <w:spacing w:after="0"/>
              <w:jc w:val="left"/>
            </w:pPr>
            <w:r>
              <w:rPr>
                <w:rFonts w:ascii="Arial" w:hAnsi="Arial"/>
                <w:color w:val="1D2733"/>
                <w:sz w:val="16"/>
              </w:rPr>
              <w:t>Final deney temeli</w:t>
            </w:r>
          </w:p>
        </w:tc>
      </w:tr>
    </w:tbl>
    <w:p>
      <w:pPr>
        <w:spacing w:after="20"/>
      </w:pPr>
    </w:p>
    <w:tbl>
      <w:tblPr>
        <w:tblW w:type="auto" w:w="0"/>
        <w:jc w:val="center"/>
        <w:tblLayout w:type="fixed"/>
        <w:tblLook w:firstColumn="1" w:firstRow="1" w:lastColumn="0" w:lastRow="0" w:noHBand="0" w:noVBand="1" w:val="04A0"/>
        <w:tblCaption w:val="Performans iddiası"/>
        <w:tblDescription w:val="Performans iddiası: Kod yapısı işlem zincirini sadeleştirir; ancak güncel repoda aynı deterministik veri ve kontrollü sistem yüküyle yapılmış bir benchmark bulunmadığından hızlanma çarpanı verilmemiştir."/>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EF3F8"/>
            <w:tcMar>
              <w:top w:w="150" w:type="dxa"/>
              <w:start w:w="190" w:type="dxa"/>
              <w:bottom w:w="150" w:type="dxa"/>
              <w:end w:w="190" w:type="dxa"/>
            </w:tcMar>
            <w:vAlign w:val="center"/>
          </w:tcPr>
          <w:p>
            <w:pPr>
              <w:spacing w:after="0"/>
            </w:pPr>
            <w:r>
              <w:rPr>
                <w:rFonts w:ascii="Arial" w:hAnsi="Arial"/>
                <w:b/>
                <w:color w:val="007C83"/>
                <w:sz w:val="19"/>
              </w:rPr>
              <w:t xml:space="preserve">Performans iddiası: </w:t>
            </w:r>
            <w:r>
              <w:rPr>
                <w:rFonts w:ascii="Arial" w:hAnsi="Arial"/>
                <w:color w:val="1D2733"/>
                <w:sz w:val="19"/>
              </w:rPr>
              <w:t>Kod yapısı işlem zincirini sadeleştirir; ancak güncel repoda aynı deterministik veri ve kontrollü sistem yüküyle yapılmış bir benchmark bulunmadığından hızlanma çarpanı verilmemiştir.</w:t>
            </w:r>
          </w:p>
        </w:tc>
      </w:tr>
    </w:tbl>
    <w:p>
      <w:pPr>
        <w:spacing w:after="20"/>
      </w:pPr>
    </w:p>
    <w:p>
      <w:r>
        <w:br w:type="page"/>
      </w:r>
    </w:p>
    <w:p>
      <w:pPr>
        <w:pStyle w:val="Heading1"/>
        <w:pBdr>
          <w:bottom w:val="single" w:sz="10" w:space="4" w:color="00A6A6"/>
        </w:pBdr>
      </w:pPr>
      <w:r>
        <w:t>6. Deney tasarımı ve sonuç sözleşmesi</w:t>
      </w:r>
    </w:p>
    <w:p>
      <w:pPr>
        <w:pStyle w:val="Heading2"/>
      </w:pPr>
      <w:r>
        <w:t>6.1. Genel parametre karşılaştırma profili</w:t>
      </w:r>
    </w:p>
    <w:p>
      <w:pPr>
        <w:jc w:val="both"/>
      </w:pPr>
      <w:r>
        <w:t>run_comparisons.m beş bağımsız tek-parametre taraması yürütür. Tarama noktaları Kartezyen çarpım değildir; her koşul temiz bir temel config kopyasından başlar ve yalnız ilgili alan değiştirilir.</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3628"/>
        <w:gridCol w:w="5443"/>
      </w:tblGrid>
      <w:tr>
        <w:trPr>
          <w:tblHeader w:val="true"/>
          <w:cantSplit/>
        </w:trPr>
        <w:tc>
          <w:tcPr>
            <w:tcW w:type="dxa" w:w="3628"/>
            <w:shd w:fill="0B2748"/>
            <w:tcMar>
              <w:top w:w="120" w:type="dxa"/>
              <w:start w:w="120" w:type="dxa"/>
              <w:bottom w:w="120" w:type="dxa"/>
              <w:end w:w="120" w:type="dxa"/>
            </w:tcMar>
            <w:vAlign w:val="center"/>
          </w:tcPr>
          <w:p>
            <w:pPr>
              <w:jc w:val="center"/>
            </w:pPr>
            <w:r>
              <w:rPr>
                <w:rFonts w:ascii="Arial" w:hAnsi="Arial"/>
                <w:b/>
                <w:color w:val="FFFFFF"/>
                <w:sz w:val="17"/>
              </w:rPr>
              <w:t>Parametre</w:t>
            </w:r>
          </w:p>
        </w:tc>
        <w:tc>
          <w:tcPr>
            <w:tcW w:type="dxa" w:w="5443"/>
            <w:shd w:fill="0B2748"/>
            <w:tcMar>
              <w:top w:w="120" w:type="dxa"/>
              <w:start w:w="120" w:type="dxa"/>
              <w:bottom w:w="120" w:type="dxa"/>
              <w:end w:w="120" w:type="dxa"/>
            </w:tcMar>
            <w:vAlign w:val="center"/>
          </w:tcPr>
          <w:p>
            <w:pPr>
              <w:jc w:val="center"/>
            </w:pPr>
            <w:r>
              <w:rPr>
                <w:rFonts w:ascii="Arial" w:hAnsi="Arial"/>
                <w:b/>
                <w:color w:val="FFFFFF"/>
                <w:sz w:val="17"/>
              </w:rPr>
              <w:t>Değer</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Örnek sayısı N</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1.000.000</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Örnekleme / taşıyıcı</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1 MHz / 200 kHz</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Taşıyıcı genliği</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1</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Atılan geçici rejim</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0 örnek</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LPF</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4. derece Butterworth, varsayılan 200 kHz</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DUT RMS</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0,05 rad</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Ref1 / Ref2 RMS</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0,05 / 0,05 rad</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Temel yineleme</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100</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Log-bin</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100</w:t>
            </w:r>
          </w:p>
        </w:tc>
      </w:tr>
    </w:tbl>
    <w:p>
      <w:pPr>
        <w:spacing w:after="20"/>
      </w:pP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948"/>
        <w:gridCol w:w="6123"/>
      </w:tblGrid>
      <w:tr>
        <w:trPr>
          <w:tblHeader w:val="true"/>
          <w:cantSplit/>
        </w:trPr>
        <w:tc>
          <w:tcPr>
            <w:tcW w:type="dxa" w:w="2948"/>
            <w:shd w:fill="0B2748"/>
            <w:tcMar>
              <w:top w:w="120" w:type="dxa"/>
              <w:start w:w="120" w:type="dxa"/>
              <w:bottom w:w="120" w:type="dxa"/>
              <w:end w:w="120" w:type="dxa"/>
            </w:tcMar>
            <w:vAlign w:val="center"/>
          </w:tcPr>
          <w:p>
            <w:pPr>
              <w:jc w:val="center"/>
            </w:pPr>
            <w:r>
              <w:rPr>
                <w:rFonts w:ascii="Arial" w:hAnsi="Arial"/>
                <w:b/>
                <w:color w:val="FFFFFF"/>
                <w:sz w:val="17"/>
              </w:rPr>
              <w:t>Tarama</w:t>
            </w:r>
          </w:p>
        </w:tc>
        <w:tc>
          <w:tcPr>
            <w:tcW w:type="dxa" w:w="6123"/>
            <w:shd w:fill="0B2748"/>
            <w:tcMar>
              <w:top w:w="120" w:type="dxa"/>
              <w:start w:w="120" w:type="dxa"/>
              <w:bottom w:w="120" w:type="dxa"/>
              <w:end w:w="120" w:type="dxa"/>
            </w:tcMar>
            <w:vAlign w:val="center"/>
          </w:tcPr>
          <w:p>
            <w:pPr>
              <w:jc w:val="center"/>
            </w:pPr>
            <w:r>
              <w:rPr>
                <w:rFonts w:ascii="Arial" w:hAnsi="Arial"/>
                <w:b/>
                <w:color w:val="FFFFFF"/>
                <w:sz w:val="17"/>
              </w:rPr>
              <w:t>Değerler</w:t>
            </w:r>
          </w:p>
        </w:tc>
      </w:tr>
      <w:tr>
        <w:trPr>
          <w:cantSplit/>
        </w:trPr>
        <w:tc>
          <w:tcPr>
            <w:tcW w:type="dxa" w:w="2948"/>
            <w:shd w:fill="F4F6F8"/>
            <w:tcMar>
              <w:top w:w="100" w:type="dxa"/>
              <w:start w:w="120" w:type="dxa"/>
              <w:bottom w:w="100" w:type="dxa"/>
              <w:end w:w="120" w:type="dxa"/>
            </w:tcMar>
            <w:vAlign w:val="center"/>
          </w:tcPr>
          <w:p>
            <w:pPr>
              <w:spacing w:after="0"/>
              <w:jc w:val="left"/>
            </w:pPr>
            <w:r>
              <w:rPr>
                <w:rFonts w:ascii="Arial" w:hAnsi="Arial"/>
                <w:color w:val="1D2733"/>
                <w:sz w:val="16"/>
              </w:rPr>
              <w:t>LPF kesimi</w:t>
            </w:r>
          </w:p>
        </w:tc>
        <w:tc>
          <w:tcPr>
            <w:tcW w:type="dxa" w:w="6123"/>
            <w:shd w:fill="F4F6F8"/>
            <w:tcMar>
              <w:top w:w="100" w:type="dxa"/>
              <w:start w:w="120" w:type="dxa"/>
              <w:bottom w:w="100" w:type="dxa"/>
              <w:end w:w="120" w:type="dxa"/>
            </w:tcMar>
            <w:vAlign w:val="center"/>
          </w:tcPr>
          <w:p>
            <w:pPr>
              <w:spacing w:after="0"/>
              <w:jc w:val="left"/>
            </w:pPr>
            <w:r>
              <w:rPr>
                <w:rFonts w:ascii="Arial" w:hAnsi="Arial"/>
                <w:color w:val="1D2733"/>
                <w:sz w:val="16"/>
              </w:rPr>
              <w:t>1, 5, 10, 25, 50, 75, 100, 200, 300 kHz</w:t>
            </w:r>
          </w:p>
        </w:tc>
      </w:tr>
      <w:tr>
        <w:trPr>
          <w:cantSplit/>
        </w:trPr>
        <w:tc>
          <w:tcPr>
            <w:tcW w:type="dxa" w:w="2948"/>
            <w:tcMar>
              <w:top w:w="100" w:type="dxa"/>
              <w:start w:w="120" w:type="dxa"/>
              <w:bottom w:w="100" w:type="dxa"/>
              <w:end w:w="120" w:type="dxa"/>
            </w:tcMar>
            <w:vAlign w:val="center"/>
          </w:tcPr>
          <w:p>
            <w:pPr>
              <w:spacing w:after="0"/>
              <w:jc w:val="left"/>
            </w:pPr>
            <w:r>
              <w:rPr>
                <w:rFonts w:ascii="Arial" w:hAnsi="Arial"/>
                <w:color w:val="1D2733"/>
                <w:sz w:val="16"/>
              </w:rPr>
              <w:t>DUT RMS</w:t>
            </w:r>
          </w:p>
        </w:tc>
        <w:tc>
          <w:tcPr>
            <w:tcW w:type="dxa" w:w="6123"/>
            <w:tcMar>
              <w:top w:w="100" w:type="dxa"/>
              <w:start w:w="120" w:type="dxa"/>
              <w:bottom w:w="100" w:type="dxa"/>
              <w:end w:w="120" w:type="dxa"/>
            </w:tcMar>
            <w:vAlign w:val="center"/>
          </w:tcPr>
          <w:p>
            <w:pPr>
              <w:spacing w:after="0"/>
              <w:jc w:val="left"/>
            </w:pPr>
            <w:r>
              <w:rPr>
                <w:rFonts w:ascii="Arial" w:hAnsi="Arial"/>
                <w:color w:val="1D2733"/>
                <w:sz w:val="16"/>
              </w:rPr>
              <w:t>0,01; 0,02; 0,05; 0,10; 0,20; 0,50 rad</w:t>
            </w:r>
          </w:p>
        </w:tc>
      </w:tr>
      <w:tr>
        <w:trPr>
          <w:cantSplit/>
        </w:trPr>
        <w:tc>
          <w:tcPr>
            <w:tcW w:type="dxa" w:w="2948"/>
            <w:shd w:fill="F4F6F8"/>
            <w:tcMar>
              <w:top w:w="100" w:type="dxa"/>
              <w:start w:w="120" w:type="dxa"/>
              <w:bottom w:w="100" w:type="dxa"/>
              <w:end w:w="120" w:type="dxa"/>
            </w:tcMar>
            <w:vAlign w:val="center"/>
          </w:tcPr>
          <w:p>
            <w:pPr>
              <w:spacing w:after="0"/>
              <w:jc w:val="left"/>
            </w:pPr>
            <w:r>
              <w:rPr>
                <w:rFonts w:ascii="Arial" w:hAnsi="Arial"/>
                <w:color w:val="1D2733"/>
                <w:sz w:val="16"/>
              </w:rPr>
              <w:t>Ref1=Ref2 RMS</w:t>
            </w:r>
          </w:p>
        </w:tc>
        <w:tc>
          <w:tcPr>
            <w:tcW w:type="dxa" w:w="6123"/>
            <w:shd w:fill="F4F6F8"/>
            <w:tcMar>
              <w:top w:w="100" w:type="dxa"/>
              <w:start w:w="120" w:type="dxa"/>
              <w:bottom w:w="100" w:type="dxa"/>
              <w:end w:w="120" w:type="dxa"/>
            </w:tcMar>
            <w:vAlign w:val="center"/>
          </w:tcPr>
          <w:p>
            <w:pPr>
              <w:spacing w:after="0"/>
              <w:jc w:val="left"/>
            </w:pPr>
            <w:r>
              <w:rPr>
                <w:rFonts w:ascii="Arial" w:hAnsi="Arial"/>
                <w:color w:val="1D2733"/>
                <w:sz w:val="16"/>
              </w:rPr>
              <w:t>0,01; 0,02; 0,05; 0,10; 0,20; 0,50 rad</w:t>
            </w:r>
          </w:p>
        </w:tc>
      </w:tr>
      <w:tr>
        <w:trPr>
          <w:cantSplit/>
        </w:trPr>
        <w:tc>
          <w:tcPr>
            <w:tcW w:type="dxa" w:w="2948"/>
            <w:tcMar>
              <w:top w:w="100" w:type="dxa"/>
              <w:start w:w="120" w:type="dxa"/>
              <w:bottom w:w="100" w:type="dxa"/>
              <w:end w:w="120" w:type="dxa"/>
            </w:tcMar>
            <w:vAlign w:val="center"/>
          </w:tcPr>
          <w:p>
            <w:pPr>
              <w:spacing w:after="0"/>
              <w:jc w:val="left"/>
            </w:pPr>
            <w:r>
              <w:rPr>
                <w:rFonts w:ascii="Arial" w:hAnsi="Arial"/>
                <w:color w:val="1D2733"/>
                <w:sz w:val="16"/>
              </w:rPr>
              <w:t>Yineleme</w:t>
            </w:r>
          </w:p>
        </w:tc>
        <w:tc>
          <w:tcPr>
            <w:tcW w:type="dxa" w:w="6123"/>
            <w:tcMar>
              <w:top w:w="100" w:type="dxa"/>
              <w:start w:w="120" w:type="dxa"/>
              <w:bottom w:w="100" w:type="dxa"/>
              <w:end w:w="120" w:type="dxa"/>
            </w:tcMar>
            <w:vAlign w:val="center"/>
          </w:tcPr>
          <w:p>
            <w:pPr>
              <w:spacing w:after="0"/>
              <w:jc w:val="left"/>
            </w:pPr>
            <w:r>
              <w:rPr>
                <w:rFonts w:ascii="Arial" w:hAnsi="Arial"/>
                <w:color w:val="1D2733"/>
                <w:sz w:val="16"/>
              </w:rPr>
              <w:t>1, 10, 100, 200, 500, 1000</w:t>
            </w:r>
          </w:p>
        </w:tc>
      </w:tr>
      <w:tr>
        <w:trPr>
          <w:cantSplit/>
        </w:trPr>
        <w:tc>
          <w:tcPr>
            <w:tcW w:type="dxa" w:w="2948"/>
            <w:shd w:fill="F4F6F8"/>
            <w:tcMar>
              <w:top w:w="100" w:type="dxa"/>
              <w:start w:w="120" w:type="dxa"/>
              <w:bottom w:w="100" w:type="dxa"/>
              <w:end w:w="120" w:type="dxa"/>
            </w:tcMar>
            <w:vAlign w:val="center"/>
          </w:tcPr>
          <w:p>
            <w:pPr>
              <w:spacing w:after="0"/>
              <w:jc w:val="left"/>
            </w:pPr>
            <w:r>
              <w:rPr>
                <w:rFonts w:ascii="Arial" w:hAnsi="Arial"/>
                <w:color w:val="1D2733"/>
                <w:sz w:val="16"/>
              </w:rPr>
              <w:t>Log-bin</w:t>
            </w:r>
          </w:p>
        </w:tc>
        <w:tc>
          <w:tcPr>
            <w:tcW w:type="dxa" w:w="6123"/>
            <w:shd w:fill="F4F6F8"/>
            <w:tcMar>
              <w:top w:w="100" w:type="dxa"/>
              <w:start w:w="120" w:type="dxa"/>
              <w:bottom w:w="100" w:type="dxa"/>
              <w:end w:w="120" w:type="dxa"/>
            </w:tcMar>
            <w:vAlign w:val="center"/>
          </w:tcPr>
          <w:p>
            <w:pPr>
              <w:spacing w:after="0"/>
              <w:jc w:val="left"/>
            </w:pPr>
            <w:r>
              <w:rPr>
                <w:rFonts w:ascii="Arial" w:hAnsi="Arial"/>
                <w:color w:val="1D2733"/>
                <w:sz w:val="16"/>
              </w:rPr>
              <w:t>10, 25, 50, 80, 100, 200</w:t>
            </w:r>
          </w:p>
        </w:tc>
      </w:tr>
    </w:tbl>
    <w:p>
      <w:pPr>
        <w:spacing w:after="20"/>
      </w:pPr>
    </w:p>
    <w:p>
      <w:pPr>
        <w:pStyle w:val="Heading2"/>
      </w:pPr>
      <w:r>
        <w:t>6.2. Özel uzun yineleme profili</w:t>
      </w:r>
    </w:p>
    <w:p>
      <w:pPr>
        <w:jc w:val="both"/>
      </w:pPr>
      <w:r>
        <w:t>Uzun tarama, genel karşılaştırma profilinden farklı bir duyarlılık senaryosudur. İki seri aynı kontrollü eğri gibi birleştirilmemiştir. Rapor oluşturucu final klasörünü çalışma anında keşfeder ve her raw MAT config'ini aşağıdaki sözleşmeye karşı doğrular.</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3628"/>
        <w:gridCol w:w="5443"/>
      </w:tblGrid>
      <w:tr>
        <w:trPr>
          <w:tblHeader w:val="true"/>
          <w:cantSplit/>
        </w:trPr>
        <w:tc>
          <w:tcPr>
            <w:tcW w:type="dxa" w:w="3628"/>
            <w:shd w:fill="0B2748"/>
            <w:tcMar>
              <w:top w:w="120" w:type="dxa"/>
              <w:start w:w="120" w:type="dxa"/>
              <w:bottom w:w="120" w:type="dxa"/>
              <w:end w:w="120" w:type="dxa"/>
            </w:tcMar>
            <w:vAlign w:val="center"/>
          </w:tcPr>
          <w:p>
            <w:pPr>
              <w:jc w:val="center"/>
            </w:pPr>
            <w:r>
              <w:rPr>
                <w:rFonts w:ascii="Arial" w:hAnsi="Arial"/>
                <w:b/>
                <w:color w:val="FFFFFF"/>
                <w:sz w:val="17"/>
              </w:rPr>
              <w:t>Parametre</w:t>
            </w:r>
          </w:p>
        </w:tc>
        <w:tc>
          <w:tcPr>
            <w:tcW w:type="dxa" w:w="5443"/>
            <w:shd w:fill="0B2748"/>
            <w:tcMar>
              <w:top w:w="120" w:type="dxa"/>
              <w:start w:w="120" w:type="dxa"/>
              <w:bottom w:w="120" w:type="dxa"/>
              <w:end w:w="120" w:type="dxa"/>
            </w:tcMar>
            <w:vAlign w:val="center"/>
          </w:tcPr>
          <w:p>
            <w:pPr>
              <w:jc w:val="center"/>
            </w:pPr>
            <w:r>
              <w:rPr>
                <w:rFonts w:ascii="Arial" w:hAnsi="Arial"/>
                <w:b/>
                <w:color w:val="FFFFFF"/>
                <w:sz w:val="17"/>
              </w:rPr>
              <w:t>Değer</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Sonuç klasörü</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20260821_200352497_iterations</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Örnek sayısı N</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1.000.000</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Örnekleme / taşıyıcı</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1 MHz / 200 kHz</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LPF</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4. derece Butterworth, 100 kHz</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DUT RMS</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0,02 rad</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Ref1 / Ref2 RMS</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0,05 / 0,05 rad</w:t>
            </w:r>
          </w:p>
        </w:tc>
      </w:tr>
      <w:tr>
        <w:trPr>
          <w:cantSplit/>
        </w:trPr>
        <w:tc>
          <w:tcPr>
            <w:tcW w:type="dxa" w:w="3628"/>
            <w:shd w:fill="F4F6F8"/>
            <w:tcMar>
              <w:top w:w="100" w:type="dxa"/>
              <w:start w:w="120" w:type="dxa"/>
              <w:bottom w:w="100" w:type="dxa"/>
              <w:end w:w="120" w:type="dxa"/>
            </w:tcMar>
            <w:vAlign w:val="center"/>
          </w:tcPr>
          <w:p>
            <w:pPr>
              <w:spacing w:after="0"/>
              <w:jc w:val="left"/>
            </w:pPr>
            <w:r>
              <w:rPr>
                <w:rFonts w:ascii="Arial" w:hAnsi="Arial"/>
                <w:color w:val="1D2733"/>
                <w:sz w:val="16"/>
              </w:rPr>
              <w:t>Log-bin</w:t>
            </w:r>
          </w:p>
        </w:tc>
        <w:tc>
          <w:tcPr>
            <w:tcW w:type="dxa" w:w="5443"/>
            <w:shd w:fill="F4F6F8"/>
            <w:tcMar>
              <w:top w:w="100" w:type="dxa"/>
              <w:start w:w="120" w:type="dxa"/>
              <w:bottom w:w="100" w:type="dxa"/>
              <w:end w:w="120" w:type="dxa"/>
            </w:tcMar>
            <w:vAlign w:val="center"/>
          </w:tcPr>
          <w:p>
            <w:pPr>
              <w:spacing w:after="0"/>
              <w:jc w:val="left"/>
            </w:pPr>
            <w:r>
              <w:rPr>
                <w:rFonts w:ascii="Arial" w:hAnsi="Arial"/>
                <w:color w:val="1D2733"/>
                <w:sz w:val="16"/>
              </w:rPr>
              <w:t>100</w:t>
            </w:r>
          </w:p>
        </w:tc>
      </w:tr>
      <w:tr>
        <w:trPr>
          <w:cantSplit/>
        </w:trPr>
        <w:tc>
          <w:tcPr>
            <w:tcW w:type="dxa" w:w="3628"/>
            <w:tcMar>
              <w:top w:w="100" w:type="dxa"/>
              <w:start w:w="120" w:type="dxa"/>
              <w:bottom w:w="100" w:type="dxa"/>
              <w:end w:w="120" w:type="dxa"/>
            </w:tcMar>
            <w:vAlign w:val="center"/>
          </w:tcPr>
          <w:p>
            <w:pPr>
              <w:spacing w:after="0"/>
              <w:jc w:val="left"/>
            </w:pPr>
            <w:r>
              <w:rPr>
                <w:rFonts w:ascii="Arial" w:hAnsi="Arial"/>
                <w:color w:val="1D2733"/>
                <w:sz w:val="16"/>
              </w:rPr>
              <w:t>Yineleme değerleri</w:t>
            </w:r>
          </w:p>
        </w:tc>
        <w:tc>
          <w:tcPr>
            <w:tcW w:type="dxa" w:w="5443"/>
            <w:tcMar>
              <w:top w:w="100" w:type="dxa"/>
              <w:start w:w="120" w:type="dxa"/>
              <w:bottom w:w="100" w:type="dxa"/>
              <w:end w:w="120" w:type="dxa"/>
            </w:tcMar>
            <w:vAlign w:val="center"/>
          </w:tcPr>
          <w:p>
            <w:pPr>
              <w:spacing w:after="0"/>
              <w:jc w:val="left"/>
            </w:pPr>
            <w:r>
              <w:rPr>
                <w:rFonts w:ascii="Arial" w:hAnsi="Arial"/>
                <w:color w:val="1D2733"/>
                <w:sz w:val="16"/>
              </w:rPr>
              <w:t>1, 10, 100, 250, 500, 1.000, 5.000, 10.000, 20.000</w:t>
            </w:r>
          </w:p>
        </w:tc>
      </w:tr>
    </w:tbl>
    <w:p>
      <w:pPr>
        <w:spacing w:after="20"/>
      </w:pPr>
    </w:p>
    <w:p>
      <w:pPr>
        <w:jc w:val="both"/>
      </w:pPr>
      <w:r>
        <w:t>DUT ve referanslar aynı 1/f³ spektral biçimine göre ölçeklendiği için bir referansın teorik PSD seviyesi DUT seviyesinden yaklaşık 7,96 dB yüksektir:</w:t>
      </w:r>
    </w:p>
    <w:p>
      <w:pPr>
        <w:pStyle w:val="Equation"/>
      </w:pPr>
      <w:r>
        <w:t>ΔL = 20 log₁₀(σref/σDUT) = 20 log₁₀(0,05/0,02) ≈ 7,96 dB</w:t>
      </w:r>
    </w:p>
    <w:p>
      <w:pPr>
        <w:pStyle w:val="Heading2"/>
      </w:pPr>
      <w:r>
        <w:t>6.3. Sonuç ve kanıt sözleşmesi</w:t>
      </w:r>
    </w:p>
    <w:p>
      <w:pPr>
        <w:pStyle w:val="ListParagraph"/>
        <w:spacing w:after="60"/>
        <w:ind w:left="369" w:hanging="198"/>
      </w:pPr>
      <w:r>
        <w:t>1. summary.csv satırları beklenen değer listesiyle eşleştirilir.</w:t>
      </w:r>
    </w:p>
    <w:p>
      <w:pPr>
        <w:pStyle w:val="ListParagraph"/>
        <w:spacing w:after="60"/>
        <w:ind w:left="369" w:hanging="198"/>
      </w:pPr>
      <w:r>
        <w:t>2. Her satırdaki raw MAT dosyası açılır ve N=1.000.000 dahil bütün config alanları doğrulanır.</w:t>
      </w:r>
    </w:p>
    <w:p>
      <w:pPr>
        <w:pStyle w:val="ListParagraph"/>
        <w:spacing w:after="60"/>
        <w:ind w:left="369" w:hanging="198"/>
      </w:pPr>
      <w:r>
        <w:t>3. CSV'deki değer, MAE, düzeltme katsayısı ve süre ham MAT içeriğiyle yuvarlama hassasiyetinde karşılaştırılır.</w:t>
      </w:r>
    </w:p>
    <w:p>
      <w:pPr>
        <w:pStyle w:val="ListParagraph"/>
        <w:spacing w:after="60"/>
        <w:ind w:left="369" w:hanging="198"/>
      </w:pPr>
      <w:r>
        <w:t>4. summary.mat ve karşılaştırma PNG'sinin varlığı; PNG'nin açılabilirliği ve asgari çözünürlüğü denetlenir.</w:t>
      </w:r>
    </w:p>
    <w:p>
      <w:pPr>
        <w:pStyle w:val="ListParagraph"/>
        <w:spacing w:after="60"/>
        <w:ind w:left="369" w:hanging="198"/>
      </w:pPr>
      <w:r>
        <w:t>5. Final uzun tarama beklenen dokuz noktayı içermiyorsa DOCX yazılmaz.</w:t>
      </w:r>
    </w:p>
    <w:tbl>
      <w:tblPr>
        <w:tblW w:type="auto" w:w="0"/>
        <w:jc w:val="center"/>
        <w:tblLayout w:type="fixed"/>
        <w:tblLook w:firstColumn="1" w:firstRow="1" w:lastColumn="0" w:lastRow="0" w:noHBand="0" w:noVBand="1" w:val="04A0"/>
        <w:tblCaption w:val="Veri ayrımı"/>
        <w:tblDescription w:val="Veri ayrımı: Karşılaştırma batch'i 20260821_195439719_*; final uzun yineleme klasörü 20260821_200352497_iterations olarak doğrulanmıştır. İki profilin sabit LPF, DUT RMS ve temel yineleme değerleri farklıdır."/>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8F7F7"/>
            <w:tcMar>
              <w:top w:w="150" w:type="dxa"/>
              <w:start w:w="190" w:type="dxa"/>
              <w:bottom w:w="150" w:type="dxa"/>
              <w:end w:w="190" w:type="dxa"/>
            </w:tcMar>
            <w:vAlign w:val="center"/>
          </w:tcPr>
          <w:p>
            <w:pPr>
              <w:spacing w:after="0"/>
            </w:pPr>
            <w:r>
              <w:rPr>
                <w:rFonts w:ascii="Arial" w:hAnsi="Arial"/>
                <w:b/>
                <w:color w:val="007C83"/>
                <w:sz w:val="19"/>
              </w:rPr>
              <w:t xml:space="preserve">Veri ayrımı: </w:t>
            </w:r>
            <w:r>
              <w:rPr>
                <w:rFonts w:ascii="Arial" w:hAnsi="Arial"/>
                <w:color w:val="1D2733"/>
                <w:sz w:val="19"/>
              </w:rPr>
              <w:t>Karşılaştırma batch'i 20260821_195439719_*; final uzun yineleme klasörü 20260821_200352497_iterations olarak doğrulanmıştır. İki profilin sabit LPF, DUT RMS ve temel yineleme değerleri farklıdır.</w:t>
            </w:r>
          </w:p>
        </w:tc>
      </w:tr>
    </w:tbl>
    <w:p>
      <w:pPr>
        <w:spacing w:after="20"/>
      </w:pPr>
    </w:p>
    <w:p>
      <w:r>
        <w:br w:type="page"/>
      </w:r>
    </w:p>
    <w:p>
      <w:pPr>
        <w:pStyle w:val="Heading1"/>
        <w:pBdr>
          <w:bottom w:val="single" w:sz="10" w:space="4" w:color="00A6A6"/>
        </w:pBdr>
      </w:pPr>
      <w:r>
        <w:t>7. N=1.000.000 benzetim sonuçları</w:t>
      </w:r>
    </w:p>
    <w:p>
      <w:pPr>
        <w:pStyle w:val="Heading2"/>
      </w:pPr>
      <w:r>
        <w:t>7.1. Veri bütünlüğü</w:t>
      </w:r>
    </w:p>
    <w:p>
      <w:pPr>
        <w:jc w:val="both"/>
      </w:pPr>
      <w:r>
        <w:t>Beş karşılaştırma taramasındaki bütün CSV satırları ilgili raw MATLAB v7.3 dosyalarıyla ve config alanlarıyla doğrulanmıştır. Beş karşılaştırma grafiği ile final uzun-yineleme grafiği PNG olarak açılmıştır. Karşılaştırma batch'indeki kayıtlı simülasyon sürelerinin toplamı 8 dk 33,8 s, final uzun taramanın kayıtlı toplam süresi 66 dk 4,3 s olmuştur. Dosya yazma ve grafik üretme ek süreleri bu toplamların dışında olabilir.</w:t>
      </w:r>
    </w:p>
    <w:p>
      <w:pPr>
        <w:pStyle w:val="Heading2"/>
      </w:pPr>
      <w:r>
        <w:t>7.2. LPF kesim frekansının etkisi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928"/>
        <w:gridCol w:w="2041"/>
        <w:gridCol w:w="2381"/>
        <w:gridCol w:w="2381"/>
      </w:tblGrid>
      <w:tr>
        <w:trPr>
          <w:tblHeader w:val="true"/>
          <w:cantSplit/>
        </w:trPr>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LPF (kHz)</w:t>
            </w:r>
          </w:p>
        </w:tc>
        <w:tc>
          <w:tcPr>
            <w:tcW w:type="dxa" w:w="2041"/>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1,360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1,003147</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11,443</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5</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1,046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1,002447</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11,294</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1,065</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1,002685</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11,240</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25</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1,013</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1,002644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11,141</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50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0,664</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1,002441</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11,571</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75</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1,359</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1,002254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11,311</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0,770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1,002885</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11,468</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1,526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1,002810</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11,006</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300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2,476</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1,003272</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11,083</w:t>
            </w:r>
          </w:p>
        </w:tc>
      </w:tr>
    </w:tbl>
    <w:p>
      <w:pPr>
        <w:spacing w:after="20"/>
      </w:pPr>
    </w:p>
    <w:p>
      <w:pPr>
        <w:jc w:val="both"/>
      </w:pPr>
      <w:r>
        <w:t>Bu taramada en düşük gözlenen tam bant MAE 50 kHz'de 0,664 dB, en yüksek değer 300 kHz'de 2,476 dB'dir. Tek rastgele koşuya ve filtresiz DUT karşılaştırmasına dayandığı için en düşük nokta genel bir filtre optimumu olarak yorumlanmamıştır.</w:t>
      </w:r>
    </w:p>
    <w:p>
      <w:pPr>
        <w:jc w:val="both"/>
      </w:pPr>
      <w:r>
        <w:t>300 kHz kesiminde 2f₀=400 kHz toplam-frekans bileşeninin dördüncü derece LPF tarafından daha az bastırılması gözlenen geniş bant ayrışmayla uyumlu olabilir. Ayrı bir filtre tepki ölçümü yapılmadığı için bu yorum nitel düzeyde tutulmuştur.</w:t>
      </w:r>
    </w:p>
    <w:p>
      <w:pPr>
        <w:keepNext/>
        <w:spacing w:after="0"/>
        <w:jc w:val="center"/>
      </w:pPr>
      <w:r>
        <w:drawing>
          <wp:inline xmlns:a="http://schemas.openxmlformats.org/drawingml/2006/main" xmlns:pic="http://schemas.openxmlformats.org/drawingml/2006/picture">
            <wp:extent cx="5832000" cy="4347703"/>
            <wp:docPr id="4" name="Picture 4" descr="Şekil 7.1. Dokuz LPF kesim frekansında Cross-PSD ve aynı yinelemelerin filtresiz DUT periodogramı. N=1.000.000; temel DUT/Ref RMS=0,05 rad; 100 yineleme. Kaynak: Bu çalışma." title="Şekil 7"/>
            <wp:cNvGraphicFramePr>
              <a:graphicFrameLocks noChangeAspect="1"/>
            </wp:cNvGraphicFramePr>
            <a:graphic>
              <a:graphicData uri="http://schemas.openxmlformats.org/drawingml/2006/picture">
                <pic:pic>
                  <pic:nvPicPr>
                    <pic:cNvPr id="0" name="lpf_cutoff_comparison.png"/>
                    <pic:cNvPicPr/>
                  </pic:nvPicPr>
                  <pic:blipFill>
                    <a:blip r:embed="rId24"/>
                    <a:stretch>
                      <a:fillRect/>
                    </a:stretch>
                  </pic:blipFill>
                  <pic:spPr>
                    <a:xfrm>
                      <a:off x="0" y="0"/>
                      <a:ext cx="5832000" cy="4347703"/>
                    </a:xfrm>
                    <a:prstGeom prst="rect"/>
                  </pic:spPr>
                </pic:pic>
              </a:graphicData>
            </a:graphic>
          </wp:inline>
        </w:drawing>
      </w:r>
    </w:p>
    <w:p>
      <w:pPr>
        <w:pStyle w:val="Caption"/>
        <w:keepLines/>
      </w:pPr>
      <w:r>
        <w:t>Şekil 7.1. Dokuz LPF kesim frekansında Cross-PSD ve aynı yinelemelerin filtresiz DUT periodogramı. N=1.000.000; temel DUT/Ref RMS=0,05 rad; 100 yineleme. Kaynak: Bu çalışma.</w:t>
      </w:r>
    </w:p>
    <w:p>
      <w:pPr>
        <w:pStyle w:val="Heading2"/>
      </w:pPr>
      <w:r>
        <w:t>7.3. DUT RMS değerinin etkisi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098"/>
        <w:gridCol w:w="1984"/>
        <w:gridCol w:w="2381"/>
        <w:gridCol w:w="2268"/>
      </w:tblGrid>
      <w:tr>
        <w:trPr>
          <w:tblHeader w:val="true"/>
          <w:cantSplit/>
        </w:trPr>
        <w:tc>
          <w:tcPr>
            <w:tcW w:type="dxa" w:w="2098"/>
            <w:shd w:fill="0B2748"/>
            <w:tcMar>
              <w:top w:w="120" w:type="dxa"/>
              <w:start w:w="120" w:type="dxa"/>
              <w:bottom w:w="120" w:type="dxa"/>
              <w:end w:w="120" w:type="dxa"/>
            </w:tcMar>
            <w:vAlign w:val="center"/>
          </w:tcPr>
          <w:p>
            <w:pPr>
              <w:jc w:val="center"/>
            </w:pPr>
            <w:r>
              <w:rPr>
                <w:rFonts w:ascii="Arial" w:hAnsi="Arial"/>
                <w:b/>
                <w:color w:val="FFFFFF"/>
                <w:sz w:val="17"/>
              </w:rPr>
              <w:t>DUT RMS (rad)</w:t>
            </w:r>
          </w:p>
        </w:tc>
        <w:tc>
          <w:tcPr>
            <w:tcW w:type="dxa" w:w="1984"/>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268"/>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2098"/>
            <w:shd w:fill="F4F6F8"/>
            <w:tcMar>
              <w:top w:w="100" w:type="dxa"/>
              <w:start w:w="120" w:type="dxa"/>
              <w:bottom w:w="100" w:type="dxa"/>
              <w:end w:w="120" w:type="dxa"/>
            </w:tcMar>
            <w:vAlign w:val="center"/>
          </w:tcPr>
          <w:p>
            <w:pPr>
              <w:spacing w:after="0"/>
              <w:jc w:val="center"/>
            </w:pPr>
            <w:r>
              <w:rPr>
                <w:rFonts w:ascii="Arial" w:hAnsi="Arial"/>
                <w:color w:val="1D2733"/>
                <w:sz w:val="16"/>
              </w:rPr>
              <w:t>0,01</w:t>
            </w:r>
          </w:p>
        </w:tc>
        <w:tc>
          <w:tcPr>
            <w:tcW w:type="dxa" w:w="1984"/>
            <w:shd w:fill="F4F6F8"/>
            <w:tcMar>
              <w:top w:w="100" w:type="dxa"/>
              <w:start w:w="120" w:type="dxa"/>
              <w:bottom w:w="100" w:type="dxa"/>
              <w:end w:w="120" w:type="dxa"/>
            </w:tcMar>
            <w:vAlign w:val="center"/>
          </w:tcPr>
          <w:p>
            <w:pPr>
              <w:spacing w:after="0"/>
              <w:jc w:val="center"/>
            </w:pPr>
            <w:r>
              <w:rPr>
                <w:rFonts w:ascii="Arial" w:hAnsi="Arial"/>
                <w:color w:val="1D2733"/>
                <w:sz w:val="16"/>
              </w:rPr>
              <w:t>5,222</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1,000115</w:t>
            </w:r>
          </w:p>
        </w:tc>
        <w:tc>
          <w:tcPr>
            <w:tcW w:type="dxa" w:w="2268"/>
            <w:shd w:fill="F4F6F8"/>
            <w:tcMar>
              <w:top w:w="100" w:type="dxa"/>
              <w:start w:w="120" w:type="dxa"/>
              <w:bottom w:w="100" w:type="dxa"/>
              <w:end w:w="120" w:type="dxa"/>
            </w:tcMar>
            <w:vAlign w:val="center"/>
          </w:tcPr>
          <w:p>
            <w:pPr>
              <w:spacing w:after="0"/>
              <w:jc w:val="center"/>
            </w:pPr>
            <w:r>
              <w:rPr>
                <w:rFonts w:ascii="Arial" w:hAnsi="Arial"/>
                <w:color w:val="1D2733"/>
                <w:sz w:val="16"/>
              </w:rPr>
              <w:t>11,517</w:t>
            </w:r>
          </w:p>
        </w:tc>
      </w:tr>
      <w:tr>
        <w:trPr>
          <w:cantSplit/>
        </w:trPr>
        <w:tc>
          <w:tcPr>
            <w:tcW w:type="dxa" w:w="2098"/>
            <w:tcMar>
              <w:top w:w="100" w:type="dxa"/>
              <w:start w:w="120" w:type="dxa"/>
              <w:bottom w:w="100" w:type="dxa"/>
              <w:end w:w="120" w:type="dxa"/>
            </w:tcMar>
            <w:vAlign w:val="center"/>
          </w:tcPr>
          <w:p>
            <w:pPr>
              <w:spacing w:after="0"/>
              <w:jc w:val="center"/>
            </w:pPr>
            <w:r>
              <w:rPr>
                <w:rFonts w:ascii="Arial" w:hAnsi="Arial"/>
                <w:color w:val="1D2733"/>
                <w:sz w:val="16"/>
              </w:rPr>
              <w:t>0,02</w:t>
            </w:r>
          </w:p>
        </w:tc>
        <w:tc>
          <w:tcPr>
            <w:tcW w:type="dxa" w:w="1984"/>
            <w:tcMar>
              <w:top w:w="100" w:type="dxa"/>
              <w:start w:w="120" w:type="dxa"/>
              <w:bottom w:w="100" w:type="dxa"/>
              <w:end w:w="120" w:type="dxa"/>
            </w:tcMar>
            <w:vAlign w:val="center"/>
          </w:tcPr>
          <w:p>
            <w:pPr>
              <w:spacing w:after="0"/>
              <w:jc w:val="center"/>
            </w:pPr>
            <w:r>
              <w:rPr>
                <w:rFonts w:ascii="Arial" w:hAnsi="Arial"/>
                <w:color w:val="1D2733"/>
                <w:sz w:val="16"/>
              </w:rPr>
              <w:t>3,374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1,000272</w:t>
            </w:r>
          </w:p>
        </w:tc>
        <w:tc>
          <w:tcPr>
            <w:tcW w:type="dxa" w:w="2268"/>
            <w:tcMar>
              <w:top w:w="100" w:type="dxa"/>
              <w:start w:w="120" w:type="dxa"/>
              <w:bottom w:w="100" w:type="dxa"/>
              <w:end w:w="120" w:type="dxa"/>
            </w:tcMar>
            <w:vAlign w:val="center"/>
          </w:tcPr>
          <w:p>
            <w:pPr>
              <w:spacing w:after="0"/>
              <w:jc w:val="center"/>
            </w:pPr>
            <w:r>
              <w:rPr>
                <w:rFonts w:ascii="Arial" w:hAnsi="Arial"/>
                <w:color w:val="1D2733"/>
                <w:sz w:val="16"/>
              </w:rPr>
              <w:t>11,343</w:t>
            </w:r>
          </w:p>
        </w:tc>
      </w:tr>
      <w:tr>
        <w:trPr>
          <w:cantSplit/>
        </w:trPr>
        <w:tc>
          <w:tcPr>
            <w:tcW w:type="dxa" w:w="2098"/>
            <w:shd w:fill="F4F6F8"/>
            <w:tcMar>
              <w:top w:w="100" w:type="dxa"/>
              <w:start w:w="120" w:type="dxa"/>
              <w:bottom w:w="100" w:type="dxa"/>
              <w:end w:w="120" w:type="dxa"/>
            </w:tcMar>
            <w:vAlign w:val="center"/>
          </w:tcPr>
          <w:p>
            <w:pPr>
              <w:spacing w:after="0"/>
              <w:jc w:val="center"/>
            </w:pPr>
            <w:r>
              <w:rPr>
                <w:rFonts w:ascii="Arial" w:hAnsi="Arial"/>
                <w:color w:val="1D2733"/>
                <w:sz w:val="16"/>
              </w:rPr>
              <w:t>0,05</w:t>
            </w:r>
          </w:p>
        </w:tc>
        <w:tc>
          <w:tcPr>
            <w:tcW w:type="dxa" w:w="1984"/>
            <w:shd w:fill="F4F6F8"/>
            <w:tcMar>
              <w:top w:w="100" w:type="dxa"/>
              <w:start w:w="120" w:type="dxa"/>
              <w:bottom w:w="100" w:type="dxa"/>
              <w:end w:w="120" w:type="dxa"/>
            </w:tcMar>
            <w:vAlign w:val="center"/>
          </w:tcPr>
          <w:p>
            <w:pPr>
              <w:spacing w:after="0"/>
              <w:jc w:val="center"/>
            </w:pPr>
            <w:r>
              <w:rPr>
                <w:rFonts w:ascii="Arial" w:hAnsi="Arial"/>
                <w:color w:val="1D2733"/>
                <w:sz w:val="16"/>
              </w:rPr>
              <w:t>1,560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1,002657</w:t>
            </w:r>
          </w:p>
        </w:tc>
        <w:tc>
          <w:tcPr>
            <w:tcW w:type="dxa" w:w="2268"/>
            <w:shd w:fill="F4F6F8"/>
            <w:tcMar>
              <w:top w:w="100" w:type="dxa"/>
              <w:start w:w="120" w:type="dxa"/>
              <w:bottom w:w="100" w:type="dxa"/>
              <w:end w:w="120" w:type="dxa"/>
            </w:tcMar>
            <w:vAlign w:val="center"/>
          </w:tcPr>
          <w:p>
            <w:pPr>
              <w:spacing w:after="0"/>
              <w:jc w:val="center"/>
            </w:pPr>
            <w:r>
              <w:rPr>
                <w:rFonts w:ascii="Arial" w:hAnsi="Arial"/>
                <w:color w:val="1D2733"/>
                <w:sz w:val="16"/>
              </w:rPr>
              <w:t>11,171</w:t>
            </w:r>
          </w:p>
        </w:tc>
      </w:tr>
      <w:tr>
        <w:trPr>
          <w:cantSplit/>
        </w:trPr>
        <w:tc>
          <w:tcPr>
            <w:tcW w:type="dxa" w:w="2098"/>
            <w:tcMar>
              <w:top w:w="100" w:type="dxa"/>
              <w:start w:w="120" w:type="dxa"/>
              <w:bottom w:w="100" w:type="dxa"/>
              <w:end w:w="120" w:type="dxa"/>
            </w:tcMar>
            <w:vAlign w:val="center"/>
          </w:tcPr>
          <w:p>
            <w:pPr>
              <w:spacing w:after="0"/>
              <w:jc w:val="center"/>
            </w:pPr>
            <w:r>
              <w:rPr>
                <w:rFonts w:ascii="Arial" w:hAnsi="Arial"/>
                <w:color w:val="1D2733"/>
                <w:sz w:val="16"/>
              </w:rPr>
              <w:t>0,10</w:t>
            </w:r>
          </w:p>
        </w:tc>
        <w:tc>
          <w:tcPr>
            <w:tcW w:type="dxa" w:w="1984"/>
            <w:tcMar>
              <w:top w:w="100" w:type="dxa"/>
              <w:start w:w="120" w:type="dxa"/>
              <w:bottom w:w="100" w:type="dxa"/>
              <w:end w:w="120" w:type="dxa"/>
            </w:tcMar>
            <w:vAlign w:val="center"/>
          </w:tcPr>
          <w:p>
            <w:pPr>
              <w:spacing w:after="0"/>
              <w:jc w:val="center"/>
            </w:pPr>
            <w:r>
              <w:rPr>
                <w:rFonts w:ascii="Arial" w:hAnsi="Arial"/>
                <w:color w:val="1D2733"/>
                <w:sz w:val="16"/>
              </w:rPr>
              <w:t>0,841</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1,009741</w:t>
            </w:r>
          </w:p>
        </w:tc>
        <w:tc>
          <w:tcPr>
            <w:tcW w:type="dxa" w:w="2268"/>
            <w:tcMar>
              <w:top w:w="100" w:type="dxa"/>
              <w:start w:w="120" w:type="dxa"/>
              <w:bottom w:w="100" w:type="dxa"/>
              <w:end w:w="120" w:type="dxa"/>
            </w:tcMar>
            <w:vAlign w:val="center"/>
          </w:tcPr>
          <w:p>
            <w:pPr>
              <w:spacing w:after="0"/>
              <w:jc w:val="center"/>
            </w:pPr>
            <w:r>
              <w:rPr>
                <w:rFonts w:ascii="Arial" w:hAnsi="Arial"/>
                <w:color w:val="1D2733"/>
                <w:sz w:val="16"/>
              </w:rPr>
              <w:t>10,967</w:t>
            </w:r>
          </w:p>
        </w:tc>
      </w:tr>
      <w:tr>
        <w:trPr>
          <w:cantSplit/>
        </w:trPr>
        <w:tc>
          <w:tcPr>
            <w:tcW w:type="dxa" w:w="2098"/>
            <w:shd w:fill="F4F6F8"/>
            <w:tcMar>
              <w:top w:w="100" w:type="dxa"/>
              <w:start w:w="120" w:type="dxa"/>
              <w:bottom w:w="100" w:type="dxa"/>
              <w:end w:w="120" w:type="dxa"/>
            </w:tcMar>
            <w:vAlign w:val="center"/>
          </w:tcPr>
          <w:p>
            <w:pPr>
              <w:spacing w:after="0"/>
              <w:jc w:val="center"/>
            </w:pPr>
            <w:r>
              <w:rPr>
                <w:rFonts w:ascii="Arial" w:hAnsi="Arial"/>
                <w:color w:val="1D2733"/>
                <w:sz w:val="16"/>
              </w:rPr>
              <w:t>0,20</w:t>
            </w:r>
          </w:p>
        </w:tc>
        <w:tc>
          <w:tcPr>
            <w:tcW w:type="dxa" w:w="1984"/>
            <w:shd w:fill="F4F6F8"/>
            <w:tcMar>
              <w:top w:w="100" w:type="dxa"/>
              <w:start w:w="120" w:type="dxa"/>
              <w:bottom w:w="100" w:type="dxa"/>
              <w:end w:w="120" w:type="dxa"/>
            </w:tcMar>
            <w:vAlign w:val="center"/>
          </w:tcPr>
          <w:p>
            <w:pPr>
              <w:spacing w:after="0"/>
              <w:jc w:val="center"/>
            </w:pPr>
            <w:r>
              <w:rPr>
                <w:rFonts w:ascii="Arial" w:hAnsi="Arial"/>
                <w:color w:val="1D2733"/>
                <w:sz w:val="16"/>
              </w:rPr>
              <w:t>0,536</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1,040998</w:t>
            </w:r>
          </w:p>
        </w:tc>
        <w:tc>
          <w:tcPr>
            <w:tcW w:type="dxa" w:w="2268"/>
            <w:shd w:fill="F4F6F8"/>
            <w:tcMar>
              <w:top w:w="100" w:type="dxa"/>
              <w:start w:w="120" w:type="dxa"/>
              <w:bottom w:w="100" w:type="dxa"/>
              <w:end w:w="120" w:type="dxa"/>
            </w:tcMar>
            <w:vAlign w:val="center"/>
          </w:tcPr>
          <w:p>
            <w:pPr>
              <w:spacing w:after="0"/>
              <w:jc w:val="center"/>
            </w:pPr>
            <w:r>
              <w:rPr>
                <w:rFonts w:ascii="Arial" w:hAnsi="Arial"/>
                <w:color w:val="1D2733"/>
                <w:sz w:val="16"/>
              </w:rPr>
              <w:t>10,949</w:t>
            </w:r>
          </w:p>
        </w:tc>
      </w:tr>
      <w:tr>
        <w:trPr>
          <w:cantSplit/>
        </w:trPr>
        <w:tc>
          <w:tcPr>
            <w:tcW w:type="dxa" w:w="2098"/>
            <w:tcMar>
              <w:top w:w="100" w:type="dxa"/>
              <w:start w:w="120" w:type="dxa"/>
              <w:bottom w:w="100" w:type="dxa"/>
              <w:end w:w="120" w:type="dxa"/>
            </w:tcMar>
            <w:vAlign w:val="center"/>
          </w:tcPr>
          <w:p>
            <w:pPr>
              <w:spacing w:after="0"/>
              <w:jc w:val="center"/>
            </w:pPr>
            <w:r>
              <w:rPr>
                <w:rFonts w:ascii="Arial" w:hAnsi="Arial"/>
                <w:color w:val="1D2733"/>
                <w:sz w:val="16"/>
              </w:rPr>
              <w:t>0,50</w:t>
            </w:r>
          </w:p>
        </w:tc>
        <w:tc>
          <w:tcPr>
            <w:tcW w:type="dxa" w:w="1984"/>
            <w:tcMar>
              <w:top w:w="100" w:type="dxa"/>
              <w:start w:w="120" w:type="dxa"/>
              <w:bottom w:w="100" w:type="dxa"/>
              <w:end w:w="120" w:type="dxa"/>
            </w:tcMar>
            <w:vAlign w:val="center"/>
          </w:tcPr>
          <w:p>
            <w:pPr>
              <w:spacing w:after="0"/>
              <w:jc w:val="center"/>
            </w:pPr>
            <w:r>
              <w:rPr>
                <w:rFonts w:ascii="Arial" w:hAnsi="Arial"/>
                <w:color w:val="1D2733"/>
                <w:sz w:val="16"/>
              </w:rPr>
              <w:t>0,804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1,301961</w:t>
            </w:r>
          </w:p>
        </w:tc>
        <w:tc>
          <w:tcPr>
            <w:tcW w:type="dxa" w:w="2268"/>
            <w:tcMar>
              <w:top w:w="100" w:type="dxa"/>
              <w:start w:w="120" w:type="dxa"/>
              <w:bottom w:w="100" w:type="dxa"/>
              <w:end w:w="120" w:type="dxa"/>
            </w:tcMar>
            <w:vAlign w:val="center"/>
          </w:tcPr>
          <w:p>
            <w:pPr>
              <w:spacing w:after="0"/>
              <w:jc w:val="center"/>
            </w:pPr>
            <w:r>
              <w:rPr>
                <w:rFonts w:ascii="Arial" w:hAnsi="Arial"/>
                <w:color w:val="1D2733"/>
                <w:sz w:val="16"/>
              </w:rPr>
              <w:t>10,862</w:t>
            </w:r>
          </w:p>
        </w:tc>
      </w:tr>
    </w:tbl>
    <w:p>
      <w:pPr>
        <w:spacing w:after="20"/>
      </w:pPr>
    </w:p>
    <w:p>
      <w:pPr>
        <w:jc w:val="both"/>
      </w:pPr>
      <w:r>
        <w:t>Sabit 0,05/0,05 rad referans koşulunda en düşük gözlenen MAE 0,20 rad DUT RMS noktasında 0,536 dB'dir. 0,50 rad noktasında MAE 0,804 dB'ye yükselirken düzeltme katsayısı 1,301961 olmuştur. Katsayının birden sapması yaklaşık %30,2 olup yüksek faz RMS değerlerinde küçük-açı yaklaşımından uzaklaşmanın önem kazandığını gösterir. Bu nokta genel donanım çalışma sınırı değildir.</w:t>
      </w:r>
    </w:p>
    <w:p>
      <w:pPr>
        <w:keepNext/>
        <w:spacing w:after="0"/>
        <w:jc w:val="center"/>
      </w:pPr>
      <w:r>
        <w:drawing>
          <wp:inline xmlns:a="http://schemas.openxmlformats.org/drawingml/2006/main" xmlns:pic="http://schemas.openxmlformats.org/drawingml/2006/picture">
            <wp:extent cx="5832000" cy="3018264"/>
            <wp:docPr id="5" name="Picture 5" descr="Şekil 7.2. Farklı DUT RMS değerlerinde Cross-PSD ve filtresiz DUT periodogramı. N=1.000.000; Ref1=Ref2=0,05 rad; 100 yineleme. Kaynak: Bu çalışma." title="Şekil 7"/>
            <wp:cNvGraphicFramePr>
              <a:graphicFrameLocks noChangeAspect="1"/>
            </wp:cNvGraphicFramePr>
            <a:graphic>
              <a:graphicData uri="http://schemas.openxmlformats.org/drawingml/2006/picture">
                <pic:pic>
                  <pic:nvPicPr>
                    <pic:cNvPr id="0" name="rms_dut_comparison.png"/>
                    <pic:cNvPicPr/>
                  </pic:nvPicPr>
                  <pic:blipFill>
                    <a:blip r:embed="rId25"/>
                    <a:stretch>
                      <a:fillRect/>
                    </a:stretch>
                  </pic:blipFill>
                  <pic:spPr>
                    <a:xfrm>
                      <a:off x="0" y="0"/>
                      <a:ext cx="5832000" cy="3018264"/>
                    </a:xfrm>
                    <a:prstGeom prst="rect"/>
                  </pic:spPr>
                </pic:pic>
              </a:graphicData>
            </a:graphic>
          </wp:inline>
        </w:drawing>
      </w:r>
    </w:p>
    <w:p>
      <w:pPr>
        <w:pStyle w:val="Caption"/>
        <w:keepLines/>
      </w:pPr>
      <w:r>
        <w:t>Şekil 7.2. Farklı DUT RMS değerlerinde Cross-PSD ve filtresiz DUT periodogramı. N=1.000.000; Ref1=Ref2=0,05 rad; 100 yineleme. Kaynak: Bu çalışma.</w:t>
      </w:r>
    </w:p>
    <w:p>
      <w:pPr>
        <w:pStyle w:val="Heading2"/>
      </w:pPr>
      <w:r>
        <w:t>7.4. Referans RMS değerinin etkisi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381"/>
        <w:gridCol w:w="1928"/>
        <w:gridCol w:w="2381"/>
        <w:gridCol w:w="2041"/>
      </w:tblGrid>
      <w:tr>
        <w:trPr>
          <w:tblHeader w:val="true"/>
          <w:cantSplit/>
        </w:trPr>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Ref1=Ref2 RMS (rad)</w:t>
            </w:r>
          </w:p>
        </w:tc>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041"/>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0,01</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1,463</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1,002503</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11,109</w:t>
            </w:r>
          </w:p>
        </w:tc>
      </w:tr>
      <w:tr>
        <w:trPr>
          <w:cantSplit/>
        </w:trPr>
        <w:tc>
          <w:tcPr>
            <w:tcW w:type="dxa" w:w="2381"/>
            <w:tcMar>
              <w:top w:w="100" w:type="dxa"/>
              <w:start w:w="120" w:type="dxa"/>
              <w:bottom w:w="100" w:type="dxa"/>
              <w:end w:w="120" w:type="dxa"/>
            </w:tcMar>
            <w:vAlign w:val="center"/>
          </w:tcPr>
          <w:p>
            <w:pPr>
              <w:spacing w:after="0"/>
              <w:jc w:val="center"/>
            </w:pPr>
            <w:r>
              <w:rPr>
                <w:rFonts w:ascii="Arial" w:hAnsi="Arial"/>
                <w:color w:val="1D2733"/>
                <w:sz w:val="16"/>
              </w:rPr>
              <w:t>0,02</w:t>
            </w:r>
          </w:p>
        </w:tc>
        <w:tc>
          <w:tcPr>
            <w:tcW w:type="dxa" w:w="1928"/>
            <w:tcMar>
              <w:top w:w="100" w:type="dxa"/>
              <w:start w:w="120" w:type="dxa"/>
              <w:bottom w:w="100" w:type="dxa"/>
              <w:end w:w="120" w:type="dxa"/>
            </w:tcMar>
            <w:vAlign w:val="center"/>
          </w:tcPr>
          <w:p>
            <w:pPr>
              <w:spacing w:after="0"/>
              <w:jc w:val="center"/>
            </w:pPr>
            <w:r>
              <w:rPr>
                <w:rFonts w:ascii="Arial" w:hAnsi="Arial"/>
                <w:color w:val="1D2733"/>
                <w:sz w:val="16"/>
              </w:rPr>
              <w:t>1,498</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1,002343</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11,024</w:t>
            </w:r>
          </w:p>
        </w:tc>
      </w:tr>
      <w:tr>
        <w:trPr>
          <w:cantSplit/>
        </w:trPr>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0,05</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1,603</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1,002248</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10,977</w:t>
            </w:r>
          </w:p>
        </w:tc>
      </w:tr>
      <w:tr>
        <w:trPr>
          <w:cantSplit/>
        </w:trPr>
        <w:tc>
          <w:tcPr>
            <w:tcW w:type="dxa" w:w="2381"/>
            <w:tcMar>
              <w:top w:w="100" w:type="dxa"/>
              <w:start w:w="120" w:type="dxa"/>
              <w:bottom w:w="100" w:type="dxa"/>
              <w:end w:w="120" w:type="dxa"/>
            </w:tcMar>
            <w:vAlign w:val="center"/>
          </w:tcPr>
          <w:p>
            <w:pPr>
              <w:spacing w:after="0"/>
              <w:jc w:val="center"/>
            </w:pPr>
            <w:r>
              <w:rPr>
                <w:rFonts w:ascii="Arial" w:hAnsi="Arial"/>
                <w:color w:val="1D2733"/>
                <w:sz w:val="16"/>
              </w:rPr>
              <w:t>0,10</w:t>
            </w:r>
          </w:p>
        </w:tc>
        <w:tc>
          <w:tcPr>
            <w:tcW w:type="dxa" w:w="1928"/>
            <w:tcMar>
              <w:top w:w="100" w:type="dxa"/>
              <w:start w:w="120" w:type="dxa"/>
              <w:bottom w:w="100" w:type="dxa"/>
              <w:end w:w="120" w:type="dxa"/>
            </w:tcMar>
            <w:vAlign w:val="center"/>
          </w:tcPr>
          <w:p>
            <w:pPr>
              <w:spacing w:after="0"/>
              <w:jc w:val="center"/>
            </w:pPr>
            <w:r>
              <w:rPr>
                <w:rFonts w:ascii="Arial" w:hAnsi="Arial"/>
                <w:color w:val="1D2733"/>
                <w:sz w:val="16"/>
              </w:rPr>
              <w:t>3,788</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1,003926</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10,776</w:t>
            </w:r>
          </w:p>
        </w:tc>
      </w:tr>
      <w:tr>
        <w:trPr>
          <w:cantSplit/>
        </w:trPr>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0,20</w:t>
            </w:r>
          </w:p>
        </w:tc>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4,863</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1,004530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10,805</w:t>
            </w:r>
          </w:p>
        </w:tc>
      </w:tr>
      <w:tr>
        <w:trPr>
          <w:cantSplit/>
        </w:trPr>
        <w:tc>
          <w:tcPr>
            <w:tcW w:type="dxa" w:w="2381"/>
            <w:tcMar>
              <w:top w:w="100" w:type="dxa"/>
              <w:start w:w="120" w:type="dxa"/>
              <w:bottom w:w="100" w:type="dxa"/>
              <w:end w:w="120" w:type="dxa"/>
            </w:tcMar>
            <w:vAlign w:val="center"/>
          </w:tcPr>
          <w:p>
            <w:pPr>
              <w:spacing w:after="0"/>
              <w:jc w:val="center"/>
            </w:pPr>
            <w:r>
              <w:rPr>
                <w:rFonts w:ascii="Arial" w:hAnsi="Arial"/>
                <w:color w:val="1D2733"/>
                <w:sz w:val="16"/>
              </w:rPr>
              <w:t>0,50</w:t>
            </w:r>
          </w:p>
        </w:tc>
        <w:tc>
          <w:tcPr>
            <w:tcW w:type="dxa" w:w="1928"/>
            <w:tcMar>
              <w:top w:w="100" w:type="dxa"/>
              <w:start w:w="120" w:type="dxa"/>
              <w:bottom w:w="100" w:type="dxa"/>
              <w:end w:w="120" w:type="dxa"/>
            </w:tcMar>
            <w:vAlign w:val="center"/>
          </w:tcPr>
          <w:p>
            <w:pPr>
              <w:spacing w:after="0"/>
              <w:jc w:val="center"/>
            </w:pPr>
            <w:r>
              <w:rPr>
                <w:rFonts w:ascii="Arial" w:hAnsi="Arial"/>
                <w:color w:val="1D2733"/>
                <w:sz w:val="16"/>
              </w:rPr>
              <w:t>9,518</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1,034367</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11,499</w:t>
            </w:r>
          </w:p>
        </w:tc>
      </w:tr>
    </w:tbl>
    <w:p>
      <w:pPr>
        <w:spacing w:after="20"/>
      </w:pPr>
    </w:p>
    <w:p>
      <w:pPr>
        <w:jc w:val="both"/>
      </w:pPr>
      <w:r>
        <w:t>Referans RMS 0,05 rad iken MAE 1,603 dB, 0,50 rad iken 9,518 dB'dir; mutlak fark 7,915 dB'dir. Bu taramada yüksek referans gürültüsünün sonlu 100 yinelemede daha fazla artık bileşen oluşturduğu görülmüştür. Değer sırası incelendiğinde MAE artışları 0,01→0,02, 0,02→0,05, 0,05→0,10, 0,10→0,20, 0,20→0,50 geçişlerinde görülmüştür. Sonuç referansların istatistiksel bağımsızlığını tek başına kanıtlamaz.</w:t>
      </w:r>
    </w:p>
    <w:p>
      <w:pPr>
        <w:keepNext/>
        <w:spacing w:after="0"/>
        <w:jc w:val="center"/>
      </w:pPr>
      <w:r>
        <w:drawing>
          <wp:inline xmlns:a="http://schemas.openxmlformats.org/drawingml/2006/main" xmlns:pic="http://schemas.openxmlformats.org/drawingml/2006/picture">
            <wp:extent cx="5832000" cy="3018264"/>
            <wp:docPr id="6" name="Picture 6" descr="Şekil 7.3. İki referans RMS değerinin birlikte taranması. N=1.000.000; DUT RMS=0,05 rad; 100 yineleme. Kaynak: Bu çalışma." title="Şekil 7"/>
            <wp:cNvGraphicFramePr>
              <a:graphicFrameLocks noChangeAspect="1"/>
            </wp:cNvGraphicFramePr>
            <a:graphic>
              <a:graphicData uri="http://schemas.openxmlformats.org/drawingml/2006/picture">
                <pic:pic>
                  <pic:nvPicPr>
                    <pic:cNvPr id="0" name="rms_ref_comparison.png"/>
                    <pic:cNvPicPr/>
                  </pic:nvPicPr>
                  <pic:blipFill>
                    <a:blip r:embed="rId26"/>
                    <a:stretch>
                      <a:fillRect/>
                    </a:stretch>
                  </pic:blipFill>
                  <pic:spPr>
                    <a:xfrm>
                      <a:off x="0" y="0"/>
                      <a:ext cx="5832000" cy="3018264"/>
                    </a:xfrm>
                    <a:prstGeom prst="rect"/>
                  </pic:spPr>
                </pic:pic>
              </a:graphicData>
            </a:graphic>
          </wp:inline>
        </w:drawing>
      </w:r>
    </w:p>
    <w:p>
      <w:pPr>
        <w:pStyle w:val="Caption"/>
        <w:keepLines/>
      </w:pPr>
      <w:r>
        <w:t>Şekil 7.3. İki referans RMS değerinin birlikte taranması. N=1.000.000; DUT RMS=0,05 rad; 100 yineleme. Kaynak: Bu çalışma.</w:t>
      </w:r>
    </w:p>
    <w:p>
      <w:pPr>
        <w:pStyle w:val="Heading2"/>
      </w:pPr>
      <w:r>
        <w:t>7.5. Genel profilde yineleme sayısının etkisi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928"/>
        <w:gridCol w:w="2041"/>
        <w:gridCol w:w="2381"/>
        <w:gridCol w:w="2381"/>
      </w:tblGrid>
      <w:tr>
        <w:trPr>
          <w:tblHeader w:val="true"/>
          <w:cantSplit/>
        </w:trPr>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Yineleme</w:t>
            </w:r>
          </w:p>
        </w:tc>
        <w:tc>
          <w:tcPr>
            <w:tcW w:type="dxa" w:w="2041"/>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5,119</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1,001983</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0,211</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10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2,806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1,002136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1,160</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2,056</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1,002610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11,721</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1,472</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1,002403</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22,925</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500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1,532</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1,002420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57,765</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1.000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1,387</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1,002530</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113,496</w:t>
            </w:r>
          </w:p>
        </w:tc>
      </w:tr>
    </w:tbl>
    <w:p>
      <w:pPr>
        <w:spacing w:after="20"/>
      </w:pPr>
    </w:p>
    <w:p>
      <w:pPr>
        <w:jc w:val="both"/>
      </w:pPr>
      <w:r>
        <w:t>Yineleme sayısı 1'den 1.000'e çıkarıldığında tam bant MAE 5,119 dB'den 1,387 dB'ye düşmüş; MAE artışı 200→500 geçişinde görülmüştür. Genel eğilim ortak DUT spektrumuna yaklaşmayı desteklese de her artışın daha düşük MAE üreteceği iddia edilmemiştir.</w:t>
      </w:r>
    </w:p>
    <w:p>
      <w:pPr>
        <w:keepNext/>
        <w:spacing w:after="0"/>
        <w:jc w:val="center"/>
      </w:pPr>
      <w:r>
        <w:drawing>
          <wp:inline xmlns:a="http://schemas.openxmlformats.org/drawingml/2006/main" xmlns:pic="http://schemas.openxmlformats.org/drawingml/2006/picture">
            <wp:extent cx="5832000" cy="3009218"/>
            <wp:docPr id="7" name="Picture 7" descr="Şekil 7.4. Genel karşılaştırma profilinde 1–1.000 yineleme. N=1.000.000; LPF=200 kHz; DUT/Ref RMS=0,05 rad. Kaynak: Bu çalışma." title="Şekil 7"/>
            <wp:cNvGraphicFramePr>
              <a:graphicFrameLocks noChangeAspect="1"/>
            </wp:cNvGraphicFramePr>
            <a:graphic>
              <a:graphicData uri="http://schemas.openxmlformats.org/drawingml/2006/picture">
                <pic:pic>
                  <pic:nvPicPr>
                    <pic:cNvPr id="0" name="iterations_comparison.png"/>
                    <pic:cNvPicPr/>
                  </pic:nvPicPr>
                  <pic:blipFill>
                    <a:blip r:embed="rId27"/>
                    <a:stretch>
                      <a:fillRect/>
                    </a:stretch>
                  </pic:blipFill>
                  <pic:spPr>
                    <a:xfrm>
                      <a:off x="0" y="0"/>
                      <a:ext cx="5832000" cy="3009218"/>
                    </a:xfrm>
                    <a:prstGeom prst="rect"/>
                  </pic:spPr>
                </pic:pic>
              </a:graphicData>
            </a:graphic>
          </wp:inline>
        </w:drawing>
      </w:r>
    </w:p>
    <w:p>
      <w:pPr>
        <w:pStyle w:val="Caption"/>
        <w:keepLines/>
      </w:pPr>
      <w:r>
        <w:t>Şekil 7.4. Genel karşılaştırma profilinde 1–1.000 yineleme. N=1.000.000; LPF=200 kHz; DUT/Ref RMS=0,05 rad. Kaynak: Bu çalışma.</w:t>
      </w:r>
    </w:p>
    <w:p>
      <w:pPr>
        <w:pStyle w:val="Heading2"/>
      </w:pPr>
      <w:r>
        <w:t>7.6. Logaritmik bin sayısının etkisi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928"/>
        <w:gridCol w:w="2041"/>
        <w:gridCol w:w="2381"/>
        <w:gridCol w:w="2381"/>
      </w:tblGrid>
      <w:tr>
        <w:trPr>
          <w:tblHeader w:val="true"/>
          <w:cantSplit/>
        </w:trPr>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Log-bin</w:t>
            </w:r>
          </w:p>
        </w:tc>
        <w:tc>
          <w:tcPr>
            <w:tcW w:type="dxa" w:w="2041"/>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2,482</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1,002540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11,734</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25</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2,064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1,002202</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11,591</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50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1,615</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1,002068</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11,472</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80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1,534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1,002349</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12,888</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1,396</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1,002459</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12,532</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1,708</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1,002456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11,715</w:t>
            </w:r>
          </w:p>
        </w:tc>
      </w:tr>
    </w:tbl>
    <w:p>
      <w:pPr>
        <w:spacing w:after="20"/>
      </w:pPr>
    </w:p>
    <w:p>
      <w:pPr>
        <w:jc w:val="both"/>
      </w:pPr>
      <w:r>
        <w:t>Bu tek taramada en düşük gözlenen MAE 100 bin için 1,396 dB'dir ve MAE artışı 100→200 geçişinde görülmüştür. Her bin değeri için yeni rastgele gerçekleşimler üretildiğinden fark yalnız binleme çözünürlüğüne bağlanamaz. Aynı tam çözünürlüklü PSD'nin yeniden binlenmesi yapılmadan istatistiksel optimum iddiası kurulmamıştır.</w:t>
      </w:r>
    </w:p>
    <w:p>
      <w:pPr>
        <w:keepNext/>
        <w:spacing w:after="0"/>
        <w:jc w:val="center"/>
      </w:pPr>
      <w:r>
        <w:drawing>
          <wp:inline xmlns:a="http://schemas.openxmlformats.org/drawingml/2006/main" xmlns:pic="http://schemas.openxmlformats.org/drawingml/2006/picture">
            <wp:extent cx="5832000" cy="3016854"/>
            <wp:docPr id="8" name="Picture 8" descr="Şekil 7.5. Logaritmik bin sayısının spektral gösterime ve tam bant MAE'ye etkisi. N=1.000.000; temel profil. Kaynak: Bu çalışma." title="Şekil 7"/>
            <wp:cNvGraphicFramePr>
              <a:graphicFrameLocks noChangeAspect="1"/>
            </wp:cNvGraphicFramePr>
            <a:graphic>
              <a:graphicData uri="http://schemas.openxmlformats.org/drawingml/2006/picture">
                <pic:pic>
                  <pic:nvPicPr>
                    <pic:cNvPr id="0" name="log_bins_comparison.png"/>
                    <pic:cNvPicPr/>
                  </pic:nvPicPr>
                  <pic:blipFill>
                    <a:blip r:embed="rId28"/>
                    <a:stretch>
                      <a:fillRect/>
                    </a:stretch>
                  </pic:blipFill>
                  <pic:spPr>
                    <a:xfrm>
                      <a:off x="0" y="0"/>
                      <a:ext cx="5832000" cy="3016854"/>
                    </a:xfrm>
                    <a:prstGeom prst="rect"/>
                  </pic:spPr>
                </pic:pic>
              </a:graphicData>
            </a:graphic>
          </wp:inline>
        </w:drawing>
      </w:r>
    </w:p>
    <w:p>
      <w:pPr>
        <w:pStyle w:val="Caption"/>
        <w:keepLines/>
      </w:pPr>
      <w:r>
        <w:t>Şekil 7.5. Logaritmik bin sayısının spektral gösterime ve tam bant MAE'ye etkisi. N=1.000.000; temel profil. Kaynak: Bu çalışma.</w:t>
      </w:r>
    </w:p>
    <w:p>
      <w:pPr>
        <w:pStyle w:val="Heading2"/>
      </w:pPr>
      <w:r>
        <w:t>7.7. Özel uzun yineleme taraması</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1928"/>
        <w:gridCol w:w="2041"/>
        <w:gridCol w:w="2381"/>
        <w:gridCol w:w="2381"/>
      </w:tblGrid>
      <w:tr>
        <w:trPr>
          <w:tblHeader w:val="true"/>
          <w:cantSplit/>
        </w:trPr>
        <w:tc>
          <w:tcPr>
            <w:tcW w:type="dxa" w:w="1928"/>
            <w:shd w:fill="0B2748"/>
            <w:tcMar>
              <w:top w:w="120" w:type="dxa"/>
              <w:start w:w="120" w:type="dxa"/>
              <w:bottom w:w="120" w:type="dxa"/>
              <w:end w:w="120" w:type="dxa"/>
            </w:tcMar>
            <w:vAlign w:val="center"/>
          </w:tcPr>
          <w:p>
            <w:pPr>
              <w:jc w:val="center"/>
            </w:pPr>
            <w:r>
              <w:rPr>
                <w:rFonts w:ascii="Arial" w:hAnsi="Arial"/>
                <w:b/>
                <w:color w:val="FFFFFF"/>
                <w:sz w:val="17"/>
              </w:rPr>
              <w:t>Yineleme</w:t>
            </w:r>
          </w:p>
        </w:tc>
        <w:tc>
          <w:tcPr>
            <w:tcW w:type="dxa" w:w="2041"/>
            <w:shd w:fill="0B2748"/>
            <w:tcMar>
              <w:top w:w="120" w:type="dxa"/>
              <w:start w:w="120" w:type="dxa"/>
              <w:bottom w:w="120" w:type="dxa"/>
              <w:end w:w="120" w:type="dxa"/>
            </w:tcMar>
            <w:vAlign w:val="center"/>
          </w:tcPr>
          <w:p>
            <w:pPr>
              <w:jc w:val="center"/>
            </w:pPr>
            <w:r>
              <w:rPr>
                <w:rFonts w:ascii="Arial" w:hAnsi="Arial"/>
                <w:b/>
                <w:color w:val="FFFFFF"/>
                <w:sz w:val="17"/>
              </w:rPr>
              <w:t>MAE (dB)</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Düzeltme</w:t>
            </w:r>
          </w:p>
        </w:tc>
        <w:tc>
          <w:tcPr>
            <w:tcW w:type="dxa" w:w="2381"/>
            <w:shd w:fill="0B2748"/>
            <w:tcMar>
              <w:top w:w="120" w:type="dxa"/>
              <w:start w:w="120" w:type="dxa"/>
              <w:bottom w:w="120" w:type="dxa"/>
              <w:end w:w="120" w:type="dxa"/>
            </w:tcMar>
            <w:vAlign w:val="center"/>
          </w:tcPr>
          <w:p>
            <w:pPr>
              <w:jc w:val="center"/>
            </w:pPr>
            <w:r>
              <w:rPr>
                <w:rFonts w:ascii="Arial" w:hAnsi="Arial"/>
                <w:b/>
                <w:color w:val="FFFFFF"/>
                <w:sz w:val="17"/>
              </w:rPr>
              <w:t>Süre (s)</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6,958</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1,002878</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0,226</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10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5,335</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1,000959</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1,215</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100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2,940</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1,000372</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12,213</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250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2,112</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1,000279</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30,910</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500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1,661</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1,000493</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59,319</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1.000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1,554</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1,000409</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118,988</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5.000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1,427</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1,000385</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590,691</w:t>
            </w:r>
          </w:p>
        </w:tc>
      </w:tr>
      <w:tr>
        <w:trPr>
          <w:cantSplit/>
        </w:trPr>
        <w:tc>
          <w:tcPr>
            <w:tcW w:type="dxa" w:w="1928"/>
            <w:tcMar>
              <w:top w:w="100" w:type="dxa"/>
              <w:start w:w="120" w:type="dxa"/>
              <w:bottom w:w="100" w:type="dxa"/>
              <w:end w:w="120" w:type="dxa"/>
            </w:tcMar>
            <w:vAlign w:val="center"/>
          </w:tcPr>
          <w:p>
            <w:pPr>
              <w:spacing w:after="0"/>
              <w:jc w:val="center"/>
            </w:pPr>
            <w:r>
              <w:rPr>
                <w:rFonts w:ascii="Arial" w:hAnsi="Arial"/>
                <w:color w:val="1D2733"/>
                <w:sz w:val="16"/>
              </w:rPr>
              <w:t>10.000</w:t>
            </w:r>
          </w:p>
        </w:tc>
        <w:tc>
          <w:tcPr>
            <w:tcW w:type="dxa" w:w="2041"/>
            <w:tcMar>
              <w:top w:w="100" w:type="dxa"/>
              <w:start w:w="120" w:type="dxa"/>
              <w:bottom w:w="100" w:type="dxa"/>
              <w:end w:w="120" w:type="dxa"/>
            </w:tcMar>
            <w:vAlign w:val="center"/>
          </w:tcPr>
          <w:p>
            <w:pPr>
              <w:spacing w:after="0"/>
              <w:jc w:val="center"/>
            </w:pPr>
            <w:r>
              <w:rPr>
                <w:rFonts w:ascii="Arial" w:hAnsi="Arial"/>
                <w:color w:val="1D2733"/>
                <w:sz w:val="16"/>
              </w:rPr>
              <w:t>1,366</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1,000392</w:t>
            </w:r>
          </w:p>
        </w:tc>
        <w:tc>
          <w:tcPr>
            <w:tcW w:type="dxa" w:w="2381"/>
            <w:tcMar>
              <w:top w:w="100" w:type="dxa"/>
              <w:start w:w="120" w:type="dxa"/>
              <w:bottom w:w="100" w:type="dxa"/>
              <w:end w:w="120" w:type="dxa"/>
            </w:tcMar>
            <w:vAlign w:val="center"/>
          </w:tcPr>
          <w:p>
            <w:pPr>
              <w:spacing w:after="0"/>
              <w:jc w:val="center"/>
            </w:pPr>
            <w:r>
              <w:rPr>
                <w:rFonts w:ascii="Arial" w:hAnsi="Arial"/>
                <w:color w:val="1D2733"/>
                <w:sz w:val="16"/>
              </w:rPr>
              <w:t>1051,084</w:t>
            </w:r>
          </w:p>
        </w:tc>
      </w:tr>
      <w:tr>
        <w:trPr>
          <w:cantSplit/>
        </w:trPr>
        <w:tc>
          <w:tcPr>
            <w:tcW w:type="dxa" w:w="1928"/>
            <w:shd w:fill="F4F6F8"/>
            <w:tcMar>
              <w:top w:w="100" w:type="dxa"/>
              <w:start w:w="120" w:type="dxa"/>
              <w:bottom w:w="100" w:type="dxa"/>
              <w:end w:w="120" w:type="dxa"/>
            </w:tcMar>
            <w:vAlign w:val="center"/>
          </w:tcPr>
          <w:p>
            <w:pPr>
              <w:spacing w:after="0"/>
              <w:jc w:val="center"/>
            </w:pPr>
            <w:r>
              <w:rPr>
                <w:rFonts w:ascii="Arial" w:hAnsi="Arial"/>
                <w:color w:val="1D2733"/>
                <w:sz w:val="16"/>
              </w:rPr>
              <w:t>20.000</w:t>
            </w:r>
          </w:p>
        </w:tc>
        <w:tc>
          <w:tcPr>
            <w:tcW w:type="dxa" w:w="2041"/>
            <w:shd w:fill="F4F6F8"/>
            <w:tcMar>
              <w:top w:w="100" w:type="dxa"/>
              <w:start w:w="120" w:type="dxa"/>
              <w:bottom w:w="100" w:type="dxa"/>
              <w:end w:w="120" w:type="dxa"/>
            </w:tcMar>
            <w:vAlign w:val="center"/>
          </w:tcPr>
          <w:p>
            <w:pPr>
              <w:spacing w:after="0"/>
              <w:jc w:val="center"/>
            </w:pPr>
            <w:r>
              <w:rPr>
                <w:rFonts w:ascii="Arial" w:hAnsi="Arial"/>
                <w:color w:val="1D2733"/>
                <w:sz w:val="16"/>
              </w:rPr>
              <w:t>1,437</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1,000411</w:t>
            </w:r>
          </w:p>
        </w:tc>
        <w:tc>
          <w:tcPr>
            <w:tcW w:type="dxa" w:w="2381"/>
            <w:shd w:fill="F4F6F8"/>
            <w:tcMar>
              <w:top w:w="100" w:type="dxa"/>
              <w:start w:w="120" w:type="dxa"/>
              <w:bottom w:w="100" w:type="dxa"/>
              <w:end w:w="120" w:type="dxa"/>
            </w:tcMar>
            <w:vAlign w:val="center"/>
          </w:tcPr>
          <w:p>
            <w:pPr>
              <w:spacing w:after="0"/>
              <w:jc w:val="center"/>
            </w:pPr>
            <w:r>
              <w:rPr>
                <w:rFonts w:ascii="Arial" w:hAnsi="Arial"/>
                <w:color w:val="1D2733"/>
                <w:sz w:val="16"/>
              </w:rPr>
              <w:t>2099,659</w:t>
            </w:r>
          </w:p>
        </w:tc>
      </w:tr>
    </w:tbl>
    <w:p>
      <w:pPr>
        <w:spacing w:after="20"/>
      </w:pPr>
    </w:p>
    <w:p>
      <w:pPr>
        <w:jc w:val="both"/>
      </w:pPr>
      <w:r>
        <w:t>Referans PSD seviyesinin DUT'tan teorik olarak yaklaşık 7,96 dB yüksek olduğu özel profilde, 1 yinelemede 6,958 dB olan tam bant MAE 20.000 yinelemede 1,437 dB olmuştur. İlk-son azalma 5,521 dB'dir ve MAE artışı 10.000→20.000 geçişinde görülmüştür.</w:t>
      </w:r>
    </w:p>
    <w:p>
      <w:pPr>
        <w:jc w:val="both"/>
      </w:pPr>
      <w:r>
        <w:t>10.000→20.000 geçişindeki MAE değişimi 0,071 dB, gözlenen süre oranı 1,998 olmuştur. MAE değişiminin işareti tek başına 20.000 noktasının daha iyi veya kötü olduğunu kanıtlamaz; final değerlendirme tek koşulu Monte Carlo dalgalanması ve geniş bant sistematik tabanla birlikte yapılmıştır.</w:t>
      </w:r>
    </w:p>
    <w:tbl>
      <w:tblPr>
        <w:tblW w:type="auto" w:w="0"/>
        <w:jc w:val="center"/>
        <w:tblLayout w:type="fixed"/>
        <w:tblLook w:firstColumn="1" w:firstRow="1" w:lastColumn="0" w:lastRow="0" w:noHBand="0" w:noVBand="1" w:val="04A0"/>
        <w:tblCaption w:val="Düşük-offset yardımcı kontrol"/>
        <w:tblDescription w:val="Düşük-offset yardımcı kontrol: Resmî tam-bant metriğe ek olarak, bu metrik için kurulan 200 noktalı ortak log-frekans ızgarasının 10 kHz ve altındaki alt kümesinde MAE; 10.000 yinelemede 0,094 dB, 20.000 yinelemede 0,171 dB bulunmuştur. Bu değer LPF üstü beklenen ayrışmayı dışlayan ek bir tanıdır; resmî metrik yerine geçmez."/>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EF3F8"/>
            <w:tcMar>
              <w:top w:w="150" w:type="dxa"/>
              <w:start w:w="190" w:type="dxa"/>
              <w:bottom w:w="150" w:type="dxa"/>
              <w:end w:w="190" w:type="dxa"/>
            </w:tcMar>
            <w:vAlign w:val="center"/>
          </w:tcPr>
          <w:p>
            <w:pPr>
              <w:spacing w:after="0"/>
            </w:pPr>
            <w:r>
              <w:rPr>
                <w:rFonts w:ascii="Arial" w:hAnsi="Arial"/>
                <w:b/>
                <w:color w:val="007C83"/>
                <w:sz w:val="19"/>
              </w:rPr>
              <w:t xml:space="preserve">Düşük-offset yardımcı kontrol: </w:t>
            </w:r>
            <w:r>
              <w:rPr>
                <w:rFonts w:ascii="Arial" w:hAnsi="Arial"/>
                <w:color w:val="1D2733"/>
                <w:sz w:val="19"/>
              </w:rPr>
              <w:t>Resmî tam-bant metriğe ek olarak, bu metrik için kurulan 200 noktalı ortak log-frekans ızgarasının 10 kHz ve altındaki alt kümesinde MAE; 10.000 yinelemede 0,094 dB, 20.000 yinelemede 0,171 dB bulunmuştur. Bu değer LPF üstü beklenen ayrışmayı dışlayan ek bir tanıdır; resmî metrik yerine geçmez.</w:t>
            </w:r>
          </w:p>
        </w:tc>
      </w:tr>
    </w:tbl>
    <w:p>
      <w:pPr>
        <w:spacing w:after="20"/>
      </w:pPr>
    </w:p>
    <w:p>
      <w:pPr>
        <w:sectPr>
          <w:headerReference w:type="default" r:id="rId17"/>
          <w:footerReference w:type="default" r:id="rId18"/>
          <w:pgSz w:w="11906" w:h="16838"/>
          <w:pgMar w:top="1134" w:right="1191" w:bottom="1134" w:left="1191" w:header="454" w:footer="454" w:gutter="0"/>
          <w:cols w:space="708"/>
          <w:docGrid w:linePitch="360"/>
        </w:sectPr>
      </w:pPr>
    </w:p>
    <w:p>
      <w:pPr>
        <w:pStyle w:val="Heading2"/>
      </w:pPr>
      <w:r>
        <w:t>7.7.1. Uzun tarama karşılaştırma grafiği</w:t>
      </w:r>
    </w:p>
    <w:p>
      <w:pPr>
        <w:keepNext/>
        <w:spacing w:after="0"/>
        <w:jc w:val="center"/>
      </w:pPr>
      <w:r>
        <w:drawing>
          <wp:inline xmlns:a="http://schemas.openxmlformats.org/drawingml/2006/main" xmlns:pic="http://schemas.openxmlformats.org/drawingml/2006/picture">
            <wp:extent cx="6699626" cy="4968000"/>
            <wp:docPr id="9" name="Picture 9" descr="Şekil 7.6. Özel N=1.000.000 profilde final uzun yineleme taraması. LPF=100 kHz; DUT RMS=0,02 rad; Ref1=Ref2=0,05 rad; 100 log-bin. Kaynak: Bu çalışma." title="Şekil 7"/>
            <wp:cNvGraphicFramePr>
              <a:graphicFrameLocks noChangeAspect="1"/>
            </wp:cNvGraphicFramePr>
            <a:graphic>
              <a:graphicData uri="http://schemas.openxmlformats.org/drawingml/2006/picture">
                <pic:pic>
                  <pic:nvPicPr>
                    <pic:cNvPr id="0" name="iterations_comparison.png"/>
                    <pic:cNvPicPr/>
                  </pic:nvPicPr>
                  <pic:blipFill>
                    <a:blip r:embed="rId29"/>
                    <a:stretch>
                      <a:fillRect/>
                    </a:stretch>
                  </pic:blipFill>
                  <pic:spPr>
                    <a:xfrm>
                      <a:off x="0" y="0"/>
                      <a:ext cx="6699626" cy="4968000"/>
                    </a:xfrm>
                    <a:prstGeom prst="rect"/>
                  </pic:spPr>
                </pic:pic>
              </a:graphicData>
            </a:graphic>
          </wp:inline>
        </w:drawing>
      </w:r>
    </w:p>
    <w:p>
      <w:pPr>
        <w:pStyle w:val="Caption"/>
        <w:keepLines/>
      </w:pPr>
      <w:r>
        <w:t>Şekil 7.6. Özel N=1.000.000 profilde final uzun yineleme taraması. LPF=100 kHz; DUT RMS=0,02 rad; Ref1=Ref2=0,05 rad; 100 log-bin. Kaynak: Bu çalışma.</w:t>
      </w:r>
    </w:p>
    <w:p>
      <w:pPr>
        <w:sectPr>
          <w:pgSz w:w="16838" w:h="11906" w:orient="landscape"/>
          <w:pgMar w:top="1020" w:right="1020" w:bottom="1020" w:left="1020" w:header="454" w:footer="454" w:gutter="0"/>
          <w:cols w:space="708"/>
          <w:docGrid w:linePitch="360"/>
        </w:sectPr>
      </w:pPr>
    </w:p>
    <w:p>
      <w:pPr>
        <w:pStyle w:val="Heading1"/>
        <w:pBdr>
          <w:bottom w:val="single" w:sz="10" w:space="4" w:color="00A6A6"/>
        </w:pBdr>
      </w:pPr>
      <w:r>
        <w:t>8. Tartışma ve sınırlamalar</w:t>
      </w:r>
    </w:p>
    <w:p>
      <w:pPr>
        <w:pStyle w:val="Heading2"/>
      </w:pPr>
      <w:r>
        <w:t>8.1. Kuramsal beklentiyle uyum</w:t>
      </w:r>
    </w:p>
    <w:p>
      <w:pPr>
        <w:jc w:val="both"/>
      </w:pPr>
      <w:r>
        <w:t>Özel uzun taramada tam bant MAE 6,958 dB'den 1,437 dB'ye düşmüş ve MAE artışı 10.000→20.000 geçişinde görülmüştür. Genel azalma, kanala özgü referans terimlerinin kompleks ortalamayla bastırılması yönündeki kuramsal beklentiyle uyumludur. Ancak R&amp;S'nin 5 log₁₀(K) bağıntısı gürültü tabanı iyileşmesini ifade eder; bu çalışmanın filtresiz DUT karşılaştırmasını da içeren geniş bant MAE'sine doğrudan uygulanmamıştır.</w:t>
      </w:r>
    </w:p>
    <w:p>
      <w:pPr>
        <w:jc w:val="both"/>
      </w:pPr>
      <w:r>
        <w:t>20.000 yineleme sonucunda 10 kHz ve altı için hesaplanan ek tanısal MAE 0,171 dB'dir. Bu belirgin düşük-offset uyumu, tam bant MAE'nin 1,437 dB düzeyinde kalmasında LPF üstü ayrışma ve 2f₀ kalıntısının etkili olduğu yorumuyla uyumludur; ayrı bir belirsizlik analizi yerine geçmez.</w:t>
      </w:r>
    </w:p>
    <w:p>
      <w:pPr>
        <w:pStyle w:val="Heading2"/>
      </w:pPr>
      <w:r>
        <w:t>8.2. LPF ve mikser toplam-frekans bileşeni</w:t>
      </w:r>
    </w:p>
    <w:p>
      <w:pPr>
        <w:jc w:val="both"/>
      </w:pPr>
      <w:r>
        <w:t>LPF taraması, ölçüm kanalının bant sınırlamasının metrik üzerinde belirleyici olduğunu göstermiştir. Cross-PSD eğrisi filtreli, DUT periodogramı filtresiz olduğu için kesim üzerindeki ayrışma kısmen beklenir. 2f₀ çevresindeki dar kalıntı yüksek kesimlerde görünür hale gelebilir; bu bileşen DUT faz gürültüsü veya korelasyon tabanı olarak yorumlanmamalıdır.</w:t>
      </w:r>
    </w:p>
    <w:p>
      <w:pPr>
        <w:pStyle w:val="Heading2"/>
      </w:pPr>
      <w:r>
        <w:t>8.3. DUT ve referans seviye dengesi</w:t>
      </w:r>
    </w:p>
    <w:p>
      <w:pPr>
        <w:jc w:val="both"/>
      </w:pPr>
      <w:r>
        <w:t>Referans RMS'in 0,05 rad'dan 0,50 rad'a çıkarılmasıyla MAE 1,603 dB'den 9,518 dB'ye yükselmiştir. Sonlu ortalamada yüksek referans gürültüsü daha fazla yineleme gerektirir. DUT RMS taramasında yüksek ortak bileşen başlangıçta uyumu iyileştirmiş, fakat 0,50 rad'da düzeltme katsayısı 1,301961 değerine ulaşmıştır. Bu davranış küçük-açı yaklaşımının sınırsız geçerli olmadığını gösterir.</w:t>
      </w:r>
    </w:p>
    <w:p>
      <w:pPr>
        <w:pStyle w:val="Heading2"/>
      </w:pPr>
      <w:r>
        <w:t>8.4. İstatistiksel ve sayısal sınırlamalar</w:t>
      </w:r>
    </w:p>
    <w:p>
      <w:pPr>
        <w:pStyle w:val="ListParagraph"/>
        <w:spacing w:after="60"/>
        <w:ind w:left="369" w:hanging="198"/>
      </w:pPr>
      <w:r>
        <w:t>• Her tarama noktası tek rastgele koşudan oluşur; güven aralığı ve çoklu tekrar yoktur.</w:t>
      </w:r>
    </w:p>
    <w:p>
      <w:pPr>
        <w:pStyle w:val="ListParagraph"/>
        <w:spacing w:after="60"/>
        <w:ind w:left="369" w:hanging="198"/>
      </w:pPr>
      <w:r>
        <w:t>• rng("shuffle") başlangıç durumu sonuç dosyalarına kaydedilmez; koşular bit düzeyinde yeniden üretilemez.</w:t>
      </w:r>
    </w:p>
    <w:p>
      <w:pPr>
        <w:pStyle w:val="ListParagraph"/>
        <w:spacing w:after="60"/>
        <w:ind w:left="369" w:hanging="198"/>
      </w:pPr>
      <w:r>
        <w:t>• Ref1 ve Ref2 ayrı dizilerden üretilir; istatistiksel bağımsızlık için otomatik korelasyon kabul testi yoktur.</w:t>
      </w:r>
    </w:p>
    <w:p>
      <w:pPr>
        <w:pStyle w:val="ListParagraph"/>
        <w:spacing w:after="60"/>
        <w:ind w:left="369" w:hanging="198"/>
      </w:pPr>
      <w:r>
        <w:t>• settling_samples=0 olduğu için IIR başlangıç geçicisi ayrıca atılmaz.</w:t>
      </w:r>
    </w:p>
    <w:p>
      <w:pPr>
        <w:pStyle w:val="ListParagraph"/>
        <w:spacing w:after="60"/>
        <w:ind w:left="369" w:hanging="198"/>
      </w:pPr>
      <w:r>
        <w:t>• Log-bin taraması her nokta için yeni veriler üretir; yalnız binleme etkisini izole etmez.</w:t>
      </w:r>
    </w:p>
    <w:p>
      <w:pPr>
        <w:pStyle w:val="ListParagraph"/>
        <w:spacing w:after="60"/>
        <w:ind w:left="369" w:hanging="198"/>
      </w:pPr>
      <w:r>
        <w:t>• Sıfır doldurma frekans ızgarasını sıklaştırır, bağımsız fiziksel çözünürlüğü artırmaz.</w:t>
      </w:r>
    </w:p>
    <w:p>
      <w:pPr>
        <w:pStyle w:val="Heading2"/>
      </w:pPr>
      <w:r>
        <w:t>8.5. Donanım soyutlamaları</w:t>
      </w:r>
    </w:p>
    <w:p>
      <w:pPr>
        <w:jc w:val="both"/>
      </w:pPr>
      <w:r>
        <w:t>Model PLL, LNA, ADC kuantalaması, örnekleme saati jitteri, kanal kazanç/faz uyumsuzluğu, sızıntı, sıcaklık ve kalibrasyon hatalarını içermez. Gürültü üreticisi tek bir 1/f³ eğimi ve hedef toplam RMS kullanır. Bu nedenle sonuçlar gerçek bir analizörün mutlak gürültü tabanı veya ölçüm belirsizliği olarak sunulamaz.</w:t>
      </w:r>
    </w:p>
    <w:p>
      <w:r>
        <w:br w:type="page"/>
      </w:r>
    </w:p>
    <w:p>
      <w:pPr>
        <w:pStyle w:val="Heading1"/>
        <w:pBdr>
          <w:bottom w:val="single" w:sz="10" w:space="4" w:color="00A6A6"/>
        </w:pBdr>
      </w:pPr>
      <w:r>
        <w:t>9. Sonuç ve gelecek çalışmalar</w:t>
      </w:r>
    </w:p>
    <w:p>
      <w:pPr>
        <w:pStyle w:val="Lead"/>
      </w:pPr>
      <w:r>
        <w:t>Bu projede iki referans kanallı faz dedektörü mimarisi MATLAB R2025b ortamında gerçekleştirilmiş, DUT faz gürültüsü kompleks Cross-PSD ortalamasıyla kestirilmiş ve aynı Monte Carlo popülasyonunun filtresiz DUT periodogramıyla karşılaştırılmıştır. Fiziksel çapraz korelasyon ilkesi ile kodda kullanılan frekans bölgesi Cross-PSD kestiricisi ayrı biçimde tanımlanmıştır.</w:t>
      </w:r>
    </w:p>
    <w:p>
      <w:pPr>
        <w:jc w:val="both"/>
      </w:pPr>
      <w:r>
        <w:t>Final N=1.000.000 uzun taramasında yineleme sayısı 1'den 20.000'e çıkarıldığında tam bant MAE 6,958 dB'den 1,437 dB'ye düşmüştür. LPF taramasında en düşük gözlenen MAE 50 kHz'de 0,664 dB; log-bin taramasında en düşük gözlenen değer 100 binde 1,396 dB olmuştur. Bu noktalar yalnız tek taramanın gözlemleridir; genel optimum olarak sunulmamıştır.</w:t>
      </w:r>
    </w:p>
    <w:p>
      <w:pPr>
        <w:jc w:val="both"/>
      </w:pPr>
      <w:r>
        <w:t>Açık korelasyon dizisinin FFT tabanlı spektral çarpımla değiştirilmesi, radix-2 FFT boyu, LPF katsayı önbelleği, iki kanalın birlikte filtrelenmesi ve ham/özet/görsel sonuç sözleşmesi uzun deneylerin yönetimini kolaylaştırmıştır. Kontrollü benchmark yapılmadığı için hızlanma çarpanı verilmemiştir.</w:t>
      </w:r>
    </w:p>
    <w:p>
      <w:pPr>
        <w:jc w:val="both"/>
      </w:pPr>
      <w:r>
        <w:t>Sonraki adımlar; RNG seed/state kaydı, bağımsız substream'ler ve otomatik korelasyon testleri, kullanıcı tanımlı offset-band MAE'si, aynı config için çoklu tekrar ve güven aralıkları ile PLL/LNA/ADC ve kanal uyumsuzluklarının modele eklenmesidir. Bu iyileştirmeler benzetim ile fiziksel analizör arasındaki boşluğu azaltacaktır.</w:t>
      </w:r>
    </w:p>
    <w:p>
      <w:r>
        <w:br w:type="page"/>
      </w:r>
    </w:p>
    <w:p>
      <w:pPr>
        <w:pStyle w:val="Heading1"/>
        <w:pBdr>
          <w:bottom w:val="single" w:sz="10" w:space="4" w:color="00A6A6"/>
        </w:pBdr>
      </w:pPr>
      <w:r>
        <w:t>Kaynakça</w:t>
      </w:r>
    </w:p>
    <w:p>
      <w:pPr>
        <w:jc w:val="both"/>
      </w:pPr>
      <w:r>
        <w:t>[1] Rohde &amp; Schwarz, Mastering Phase Noise Measurements, Parts 1-3, Application Note. https://cdn.rohde-schwarz.com/am/us/campaigns_2/embedded/Rohde_Schwarz_Phase_Noise_App_Note_Allparts.pdf</w:t>
      </w:r>
    </w:p>
    <w:p>
      <w:pPr>
        <w:jc w:val="both"/>
      </w:pPr>
      <w:r>
        <w:t>[2] MathWorks, fft - Fast Fourier transform, MATLAB R2025b Documentation. https://www.mathworks.com/help/matlab/ref/fft.html</w:t>
      </w:r>
    </w:p>
    <w:p>
      <w:pPr>
        <w:jc w:val="both"/>
      </w:pPr>
      <w:r>
        <w:t>[3] MathWorks, butter - Butterworth filter design, Signal Processing Toolbox Documentation. https://www.mathworks.com/help/signal/ref/butter.html</w:t>
      </w:r>
    </w:p>
    <w:p>
      <w:pPr>
        <w:jc w:val="both"/>
      </w:pPr>
      <w:r>
        <w:t>[4] MathWorks, rng - Control random number generator, MATLAB Documentation. https://www.mathworks.com/help/matlab/ref/rng.html</w:t>
      </w:r>
    </w:p>
    <w:p>
      <w:pPr>
        <w:jc w:val="both"/>
      </w:pPr>
      <w:r>
        <w:t>[5] J. S. Bendat and A. G. Piersol, Random Data: Analysis and Measurement Procedures, 4th ed., Wiley, 2010.</w:t>
      </w:r>
    </w:p>
    <w:p>
      <w:pPr>
        <w:jc w:val="both"/>
      </w:pPr>
      <w:r>
        <w:t>[6] Proje Git geçmişi ve optimized kaynaklar, kaynak senkron commit'i 0799f9f, 21 Ağustos 2026.</w:t>
      </w:r>
    </w:p>
    <w:p>
      <w:r>
        <w:br w:type="page"/>
      </w:r>
    </w:p>
    <w:p>
      <w:pPr>
        <w:pStyle w:val="Heading1"/>
        <w:pBdr>
          <w:bottom w:val="single" w:sz="10" w:space="4" w:color="00A6A6"/>
        </w:pBdr>
      </w:pPr>
      <w:r>
        <w:t>Ek A. Sonuç provenance ve config manifesti</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3005"/>
        <w:gridCol w:w="6066"/>
      </w:tblGrid>
      <w:tr>
        <w:trPr>
          <w:tblHeader w:val="true"/>
          <w:cantSplit/>
        </w:trPr>
        <w:tc>
          <w:tcPr>
            <w:tcW w:type="dxa" w:w="3005"/>
            <w:shd w:fill="0B2748"/>
            <w:tcMar>
              <w:top w:w="120" w:type="dxa"/>
              <w:start w:w="120" w:type="dxa"/>
              <w:bottom w:w="120" w:type="dxa"/>
              <w:end w:w="120" w:type="dxa"/>
            </w:tcMar>
            <w:vAlign w:val="center"/>
          </w:tcPr>
          <w:p>
            <w:pPr>
              <w:jc w:val="center"/>
            </w:pPr>
            <w:r>
              <w:rPr>
                <w:rFonts w:ascii="Arial" w:hAnsi="Arial"/>
                <w:b/>
                <w:color w:val="FFFFFF"/>
                <w:sz w:val="17"/>
              </w:rPr>
              <w:t>Kanıt</w:t>
            </w:r>
          </w:p>
        </w:tc>
        <w:tc>
          <w:tcPr>
            <w:tcW w:type="dxa" w:w="6066"/>
            <w:shd w:fill="0B2748"/>
            <w:tcMar>
              <w:top w:w="120" w:type="dxa"/>
              <w:start w:w="120" w:type="dxa"/>
              <w:bottom w:w="120" w:type="dxa"/>
              <w:end w:w="120" w:type="dxa"/>
            </w:tcMar>
            <w:vAlign w:val="center"/>
          </w:tcPr>
          <w:p>
            <w:pPr>
              <w:jc w:val="center"/>
            </w:pPr>
            <w:r>
              <w:rPr>
                <w:rFonts w:ascii="Arial" w:hAnsi="Arial"/>
                <w:b/>
                <w:color w:val="FFFFFF"/>
                <w:sz w:val="17"/>
              </w:rPr>
              <w:t>Doğrulanmış konum / değer</w:t>
            </w:r>
          </w:p>
        </w:tc>
      </w:tr>
      <w:tr>
        <w:trPr>
          <w:cantSplit/>
        </w:trPr>
        <w:tc>
          <w:tcPr>
            <w:tcW w:type="dxa" w:w="3005"/>
            <w:shd w:fill="F4F6F8"/>
            <w:tcMar>
              <w:top w:w="100" w:type="dxa"/>
              <w:start w:w="120" w:type="dxa"/>
              <w:bottom w:w="100" w:type="dxa"/>
              <w:end w:w="120" w:type="dxa"/>
            </w:tcMar>
            <w:vAlign w:val="center"/>
          </w:tcPr>
          <w:p>
            <w:pPr>
              <w:spacing w:after="0"/>
              <w:jc w:val="left"/>
            </w:pPr>
            <w:r>
              <w:rPr>
                <w:rFonts w:ascii="Arial" w:hAnsi="Arial"/>
                <w:color w:val="1D2733"/>
                <w:sz w:val="16"/>
              </w:rPr>
              <w:t>Kaynak DOCX</w:t>
            </w:r>
          </w:p>
        </w:tc>
        <w:tc>
          <w:tcPr>
            <w:tcW w:type="dxa" w:w="6066"/>
            <w:shd w:fill="F4F6F8"/>
            <w:tcMar>
              <w:top w:w="100" w:type="dxa"/>
              <w:start w:w="120" w:type="dxa"/>
              <w:bottom w:w="100" w:type="dxa"/>
              <w:end w:w="120" w:type="dxa"/>
            </w:tcMar>
            <w:vAlign w:val="center"/>
          </w:tcPr>
          <w:p>
            <w:pPr>
              <w:spacing w:after="0"/>
              <w:jc w:val="left"/>
            </w:pPr>
            <w:r>
              <w:rPr>
                <w:rFonts w:ascii="Arial" w:hAnsi="Arial"/>
                <w:color w:val="1D2733"/>
                <w:sz w:val="16"/>
              </w:rPr>
              <w:t>İki Kanallı Cross.docx (repo kökü)</w:t>
            </w:r>
          </w:p>
        </w:tc>
      </w:tr>
      <w:tr>
        <w:trPr>
          <w:cantSplit/>
        </w:trPr>
        <w:tc>
          <w:tcPr>
            <w:tcW w:type="dxa" w:w="3005"/>
            <w:tcMar>
              <w:top w:w="100" w:type="dxa"/>
              <w:start w:w="120" w:type="dxa"/>
              <w:bottom w:w="100" w:type="dxa"/>
              <w:end w:w="120" w:type="dxa"/>
            </w:tcMar>
            <w:vAlign w:val="center"/>
          </w:tcPr>
          <w:p>
            <w:pPr>
              <w:spacing w:after="0"/>
              <w:jc w:val="left"/>
            </w:pPr>
            <w:r>
              <w:rPr>
                <w:rFonts w:ascii="Arial" w:hAnsi="Arial"/>
                <w:color w:val="1D2733"/>
                <w:sz w:val="16"/>
              </w:rPr>
              <w:t>Kaynak senkron commit'i</w:t>
            </w:r>
          </w:p>
        </w:tc>
        <w:tc>
          <w:tcPr>
            <w:tcW w:type="dxa" w:w="6066"/>
            <w:tcMar>
              <w:top w:w="100" w:type="dxa"/>
              <w:start w:w="120" w:type="dxa"/>
              <w:bottom w:w="100" w:type="dxa"/>
              <w:end w:w="120" w:type="dxa"/>
            </w:tcMar>
            <w:vAlign w:val="center"/>
          </w:tcPr>
          <w:p>
            <w:pPr>
              <w:spacing w:after="0"/>
              <w:jc w:val="left"/>
            </w:pPr>
            <w:r>
              <w:rPr>
                <w:rFonts w:ascii="Arial" w:hAnsi="Arial"/>
                <w:color w:val="1D2733"/>
                <w:sz w:val="16"/>
              </w:rPr>
              <w:t>0799f9f</w:t>
            </w:r>
          </w:p>
        </w:tc>
      </w:tr>
      <w:tr>
        <w:trPr>
          <w:cantSplit/>
        </w:trPr>
        <w:tc>
          <w:tcPr>
            <w:tcW w:type="dxa" w:w="3005"/>
            <w:shd w:fill="F4F6F8"/>
            <w:tcMar>
              <w:top w:w="100" w:type="dxa"/>
              <w:start w:w="120" w:type="dxa"/>
              <w:bottom w:w="100" w:type="dxa"/>
              <w:end w:w="120" w:type="dxa"/>
            </w:tcMar>
            <w:vAlign w:val="center"/>
          </w:tcPr>
          <w:p>
            <w:pPr>
              <w:spacing w:after="0"/>
              <w:jc w:val="left"/>
            </w:pPr>
            <w:r>
              <w:rPr>
                <w:rFonts w:ascii="Arial" w:hAnsi="Arial"/>
                <w:color w:val="1D2733"/>
                <w:sz w:val="16"/>
              </w:rPr>
              <w:t>MATLAB çalışma ortamı</w:t>
            </w:r>
          </w:p>
        </w:tc>
        <w:tc>
          <w:tcPr>
            <w:tcW w:type="dxa" w:w="6066"/>
            <w:shd w:fill="F4F6F8"/>
            <w:tcMar>
              <w:top w:w="100" w:type="dxa"/>
              <w:start w:w="120" w:type="dxa"/>
              <w:bottom w:w="100" w:type="dxa"/>
              <w:end w:w="120" w:type="dxa"/>
            </w:tcMar>
            <w:vAlign w:val="center"/>
          </w:tcPr>
          <w:p>
            <w:pPr>
              <w:spacing w:after="0"/>
              <w:jc w:val="left"/>
            </w:pPr>
            <w:r>
              <w:rPr>
                <w:rFonts w:ascii="Arial" w:hAnsi="Arial"/>
                <w:color w:val="1D2733"/>
                <w:sz w:val="16"/>
              </w:rPr>
              <w:t>MATLAB R2025b</w:t>
            </w:r>
          </w:p>
        </w:tc>
      </w:tr>
      <w:tr>
        <w:trPr>
          <w:cantSplit/>
        </w:trPr>
        <w:tc>
          <w:tcPr>
            <w:tcW w:type="dxa" w:w="3005"/>
            <w:tcMar>
              <w:top w:w="100" w:type="dxa"/>
              <w:start w:w="120" w:type="dxa"/>
              <w:bottom w:w="100" w:type="dxa"/>
              <w:end w:w="120" w:type="dxa"/>
            </w:tcMar>
            <w:vAlign w:val="center"/>
          </w:tcPr>
          <w:p>
            <w:pPr>
              <w:spacing w:after="0"/>
              <w:jc w:val="left"/>
            </w:pPr>
            <w:r>
              <w:rPr>
                <w:rFonts w:ascii="Arial" w:hAnsi="Arial"/>
                <w:color w:val="1D2733"/>
                <w:sz w:val="16"/>
              </w:rPr>
              <w:t>Karşılaştırma batch'i</w:t>
            </w:r>
          </w:p>
        </w:tc>
        <w:tc>
          <w:tcPr>
            <w:tcW w:type="dxa" w:w="6066"/>
            <w:tcMar>
              <w:top w:w="100" w:type="dxa"/>
              <w:start w:w="120" w:type="dxa"/>
              <w:bottom w:w="100" w:type="dxa"/>
              <w:end w:w="120" w:type="dxa"/>
            </w:tcMar>
            <w:vAlign w:val="center"/>
          </w:tcPr>
          <w:p>
            <w:pPr>
              <w:spacing w:after="0"/>
              <w:jc w:val="left"/>
            </w:pPr>
            <w:r>
              <w:rPr>
                <w:rFonts w:ascii="Arial" w:hAnsi="Arial"/>
                <w:color w:val="1D2733"/>
                <w:sz w:val="16"/>
              </w:rPr>
              <w:t>results/20260821_195439719_*</w:t>
            </w:r>
          </w:p>
        </w:tc>
      </w:tr>
      <w:tr>
        <w:trPr>
          <w:cantSplit/>
        </w:trPr>
        <w:tc>
          <w:tcPr>
            <w:tcW w:type="dxa" w:w="3005"/>
            <w:shd w:fill="F4F6F8"/>
            <w:tcMar>
              <w:top w:w="100" w:type="dxa"/>
              <w:start w:w="120" w:type="dxa"/>
              <w:bottom w:w="100" w:type="dxa"/>
              <w:end w:w="120" w:type="dxa"/>
            </w:tcMar>
            <w:vAlign w:val="center"/>
          </w:tcPr>
          <w:p>
            <w:pPr>
              <w:spacing w:after="0"/>
              <w:jc w:val="left"/>
            </w:pPr>
            <w:r>
              <w:rPr>
                <w:rFonts w:ascii="Arial" w:hAnsi="Arial"/>
                <w:color w:val="1D2733"/>
                <w:sz w:val="16"/>
              </w:rPr>
              <w:t>Final iterations</w:t>
            </w:r>
          </w:p>
        </w:tc>
        <w:tc>
          <w:tcPr>
            <w:tcW w:type="dxa" w:w="6066"/>
            <w:shd w:fill="F4F6F8"/>
            <w:tcMar>
              <w:top w:w="100" w:type="dxa"/>
              <w:start w:w="120" w:type="dxa"/>
              <w:bottom w:w="100" w:type="dxa"/>
              <w:end w:w="120" w:type="dxa"/>
            </w:tcMar>
            <w:vAlign w:val="center"/>
          </w:tcPr>
          <w:p>
            <w:pPr>
              <w:spacing w:after="0"/>
              <w:jc w:val="left"/>
            </w:pPr>
            <w:r>
              <w:rPr>
                <w:rFonts w:ascii="Arial" w:hAnsi="Arial"/>
                <w:color w:val="1D2733"/>
                <w:sz w:val="16"/>
              </w:rPr>
              <w:t>results/20260821_200352497_iterations</w:t>
            </w:r>
          </w:p>
        </w:tc>
      </w:tr>
      <w:tr>
        <w:trPr>
          <w:cantSplit/>
        </w:trPr>
        <w:tc>
          <w:tcPr>
            <w:tcW w:type="dxa" w:w="3005"/>
            <w:tcMar>
              <w:top w:w="100" w:type="dxa"/>
              <w:start w:w="120" w:type="dxa"/>
              <w:bottom w:w="100" w:type="dxa"/>
              <w:end w:w="120" w:type="dxa"/>
            </w:tcMar>
            <w:vAlign w:val="center"/>
          </w:tcPr>
          <w:p>
            <w:pPr>
              <w:spacing w:after="0"/>
              <w:jc w:val="left"/>
            </w:pPr>
            <w:r>
              <w:rPr>
                <w:rFonts w:ascii="Arial" w:hAnsi="Arial"/>
                <w:color w:val="1D2733"/>
                <w:sz w:val="16"/>
              </w:rPr>
              <w:t>Örnek sayısı</w:t>
            </w:r>
          </w:p>
        </w:tc>
        <w:tc>
          <w:tcPr>
            <w:tcW w:type="dxa" w:w="6066"/>
            <w:tcMar>
              <w:top w:w="100" w:type="dxa"/>
              <w:start w:w="120" w:type="dxa"/>
              <w:bottom w:w="100" w:type="dxa"/>
              <w:end w:w="120" w:type="dxa"/>
            </w:tcMar>
            <w:vAlign w:val="center"/>
          </w:tcPr>
          <w:p>
            <w:pPr>
              <w:spacing w:after="0"/>
              <w:jc w:val="left"/>
            </w:pPr>
            <w:r>
              <w:rPr>
                <w:rFonts w:ascii="Arial" w:hAnsi="Arial"/>
                <w:color w:val="1D2733"/>
                <w:sz w:val="16"/>
              </w:rPr>
              <w:t>Her iki profilde N=1.000.000</w:t>
            </w:r>
          </w:p>
        </w:tc>
      </w:tr>
      <w:tr>
        <w:trPr>
          <w:cantSplit/>
        </w:trPr>
        <w:tc>
          <w:tcPr>
            <w:tcW w:type="dxa" w:w="3005"/>
            <w:shd w:fill="F4F6F8"/>
            <w:tcMar>
              <w:top w:w="100" w:type="dxa"/>
              <w:start w:w="120" w:type="dxa"/>
              <w:bottom w:w="100" w:type="dxa"/>
              <w:end w:w="120" w:type="dxa"/>
            </w:tcMar>
            <w:vAlign w:val="center"/>
          </w:tcPr>
          <w:p>
            <w:pPr>
              <w:spacing w:after="0"/>
              <w:jc w:val="left"/>
            </w:pPr>
            <w:r>
              <w:rPr>
                <w:rFonts w:ascii="Arial" w:hAnsi="Arial"/>
                <w:color w:val="1D2733"/>
                <w:sz w:val="16"/>
              </w:rPr>
              <w:t>Karşılaştırma sabitleri</w:t>
            </w:r>
          </w:p>
        </w:tc>
        <w:tc>
          <w:tcPr>
            <w:tcW w:type="dxa" w:w="6066"/>
            <w:shd w:fill="F4F6F8"/>
            <w:tcMar>
              <w:top w:w="100" w:type="dxa"/>
              <w:start w:w="120" w:type="dxa"/>
              <w:bottom w:w="100" w:type="dxa"/>
              <w:end w:w="120" w:type="dxa"/>
            </w:tcMar>
            <w:vAlign w:val="center"/>
          </w:tcPr>
          <w:p>
            <w:pPr>
              <w:spacing w:after="0"/>
              <w:jc w:val="left"/>
            </w:pPr>
            <w:r>
              <w:rPr>
                <w:rFonts w:ascii="Arial" w:hAnsi="Arial"/>
                <w:color w:val="1D2733"/>
                <w:sz w:val="16"/>
              </w:rPr>
              <w:t>LPF=200 kHz; DUT/Ref=0,05 rad; temel K=100</w:t>
            </w:r>
          </w:p>
        </w:tc>
      </w:tr>
      <w:tr>
        <w:trPr>
          <w:cantSplit/>
        </w:trPr>
        <w:tc>
          <w:tcPr>
            <w:tcW w:type="dxa" w:w="3005"/>
            <w:tcMar>
              <w:top w:w="100" w:type="dxa"/>
              <w:start w:w="120" w:type="dxa"/>
              <w:bottom w:w="100" w:type="dxa"/>
              <w:end w:w="120" w:type="dxa"/>
            </w:tcMar>
            <w:vAlign w:val="center"/>
          </w:tcPr>
          <w:p>
            <w:pPr>
              <w:spacing w:after="0"/>
              <w:jc w:val="left"/>
            </w:pPr>
            <w:r>
              <w:rPr>
                <w:rFonts w:ascii="Arial" w:hAnsi="Arial"/>
                <w:color w:val="1D2733"/>
                <w:sz w:val="16"/>
              </w:rPr>
              <w:t>Uzun tarama sabitleri</w:t>
            </w:r>
          </w:p>
        </w:tc>
        <w:tc>
          <w:tcPr>
            <w:tcW w:type="dxa" w:w="6066"/>
            <w:tcMar>
              <w:top w:w="100" w:type="dxa"/>
              <w:start w:w="120" w:type="dxa"/>
              <w:bottom w:w="100" w:type="dxa"/>
              <w:end w:w="120" w:type="dxa"/>
            </w:tcMar>
            <w:vAlign w:val="center"/>
          </w:tcPr>
          <w:p>
            <w:pPr>
              <w:spacing w:after="0"/>
              <w:jc w:val="left"/>
            </w:pPr>
            <w:r>
              <w:rPr>
                <w:rFonts w:ascii="Arial" w:hAnsi="Arial"/>
                <w:color w:val="1D2733"/>
                <w:sz w:val="16"/>
              </w:rPr>
              <w:t>LPF=100 kHz; DUT=0,02 rad; Ref=0,05 rad</w:t>
            </w:r>
          </w:p>
        </w:tc>
      </w:tr>
      <w:tr>
        <w:trPr>
          <w:cantSplit/>
        </w:trPr>
        <w:tc>
          <w:tcPr>
            <w:tcW w:type="dxa" w:w="3005"/>
            <w:shd w:fill="F4F6F8"/>
            <w:tcMar>
              <w:top w:w="100" w:type="dxa"/>
              <w:start w:w="120" w:type="dxa"/>
              <w:bottom w:w="100" w:type="dxa"/>
              <w:end w:w="120" w:type="dxa"/>
            </w:tcMar>
            <w:vAlign w:val="center"/>
          </w:tcPr>
          <w:p>
            <w:pPr>
              <w:spacing w:after="0"/>
              <w:jc w:val="left"/>
            </w:pPr>
            <w:r>
              <w:rPr>
                <w:rFonts w:ascii="Arial" w:hAnsi="Arial"/>
                <w:color w:val="1D2733"/>
                <w:sz w:val="16"/>
              </w:rPr>
              <w:t>Resmî metrik</w:t>
            </w:r>
          </w:p>
        </w:tc>
        <w:tc>
          <w:tcPr>
            <w:tcW w:type="dxa" w:w="6066"/>
            <w:shd w:fill="F4F6F8"/>
            <w:tcMar>
              <w:top w:w="100" w:type="dxa"/>
              <w:start w:w="120" w:type="dxa"/>
              <w:bottom w:w="100" w:type="dxa"/>
              <w:end w:w="120" w:type="dxa"/>
            </w:tcMar>
            <w:vAlign w:val="center"/>
          </w:tcPr>
          <w:p>
            <w:pPr>
              <w:spacing w:after="0"/>
              <w:jc w:val="left"/>
            </w:pPr>
            <w:r>
              <w:rPr>
                <w:rFonts w:ascii="Arial" w:hAnsi="Arial"/>
                <w:color w:val="1D2733"/>
                <w:sz w:val="16"/>
              </w:rPr>
              <w:t>200 log-frekans noktasında ortalama mutlak dB farkı</w:t>
            </w:r>
          </w:p>
        </w:tc>
      </w:tr>
    </w:tbl>
    <w:p>
      <w:pPr>
        <w:spacing w:after="20"/>
      </w:pPr>
    </w:p>
    <w:tbl>
      <w:tblPr>
        <w:tblW w:type="auto" w:w="0"/>
        <w:jc w:val="center"/>
        <w:tblLayout w:type="fixed"/>
        <w:tblLook w:firstColumn="1" w:firstRow="1" w:lastColumn="0" w:lastRow="0" w:noHBand="0" w:noVBand="1" w:val="04A0"/>
        <w:tblCaption w:val="Yeniden üretilebilirlik notu"/>
        <w:tblDescription w:val="Yeniden üretilebilirlik notu: Raw MAT dosyaları gerçek config ve tam spektrumları içerir; ancak RNG başlangıç state'i kaydedilmediği için eğriler bit düzeyinde yeniden üretilemez."/>
        <w:tblBorders>
          <w:top w:val="single" w:sz="10" w:color="00A6A6"/>
          <w:left w:val="single" w:sz="10" w:color="00A6A6"/>
          <w:bottom w:val="single" w:sz="10" w:color="00A6A6"/>
          <w:right w:val="single" w:sz="10" w:color="00A6A6"/>
          <w:insideH w:val="single" w:sz="10" w:color="00A6A6"/>
          <w:insideV w:val="single" w:sz="10" w:color="00A6A6"/>
        </w:tblBorders>
      </w:tblPr>
      <w:tblGrid>
        <w:gridCol w:w="9184"/>
      </w:tblGrid>
      <w:tr>
        <w:tc>
          <w:tcPr>
            <w:tcW w:type="dxa" w:w="9524"/>
            <w:shd w:fill="EEF3F8"/>
            <w:tcMar>
              <w:top w:w="150" w:type="dxa"/>
              <w:start w:w="190" w:type="dxa"/>
              <w:bottom w:w="150" w:type="dxa"/>
              <w:end w:w="190" w:type="dxa"/>
            </w:tcMar>
            <w:vAlign w:val="center"/>
          </w:tcPr>
          <w:p>
            <w:pPr>
              <w:spacing w:after="0"/>
            </w:pPr>
            <w:r>
              <w:rPr>
                <w:rFonts w:ascii="Arial" w:hAnsi="Arial"/>
                <w:b/>
                <w:color w:val="007C83"/>
                <w:sz w:val="19"/>
              </w:rPr>
              <w:t xml:space="preserve">Yeniden üretilebilirlik notu: </w:t>
            </w:r>
            <w:r>
              <w:rPr>
                <w:rFonts w:ascii="Arial" w:hAnsi="Arial"/>
                <w:color w:val="1D2733"/>
                <w:sz w:val="19"/>
              </w:rPr>
              <w:t>Raw MAT dosyaları gerçek config ve tam spektrumları içerir; ancak RNG başlangıç state'i kaydedilmediği için eğriler bit düzeyinde yeniden üretilemez.</w:t>
            </w:r>
          </w:p>
        </w:tc>
      </w:tr>
    </w:tbl>
    <w:p>
      <w:pPr>
        <w:spacing w:after="20"/>
      </w:pPr>
    </w:p>
    <w:p>
      <w:r>
        <w:br w:type="page"/>
      </w:r>
    </w:p>
    <w:p>
      <w:pPr>
        <w:pStyle w:val="Heading1"/>
        <w:pBdr>
          <w:bottom w:val="single" w:sz="10" w:space="4" w:color="00A6A6"/>
        </w:pBdr>
      </w:pPr>
      <w:r>
        <w:t>Ek B. Yazılım bileşenleri ve sorumlulukları</w:t>
      </w:r>
    </w:p>
    <w:tbl>
      <w:tblPr>
        <w:tblStyle w:val="TableGrid"/>
        <w:tblW w:type="auto" w:w="0"/>
        <w:jc w:val="center"/>
        <w:tblLayout w:type="fixed"/>
        <w:tblLook w:firstColumn="1" w:firstRow="1" w:lastColumn="0" w:lastRow="0" w:noHBand="0" w:noVBand="1" w:val="04A0"/>
        <w:tblBorders>
          <w:top w:val="single" w:sz="6" w:color="CFD8E3"/>
          <w:left w:val="single" w:sz="6" w:color="CFD8E3"/>
          <w:bottom w:val="single" w:sz="6" w:color="CFD8E3"/>
          <w:right w:val="single" w:sz="6" w:color="CFD8E3"/>
          <w:insideH w:val="single" w:sz="6" w:color="CFD8E3"/>
          <w:insideV w:val="single" w:sz="6" w:color="CFD8E3"/>
        </w:tblBorders>
      </w:tblPr>
      <w:tblGrid>
        <w:gridCol w:w="2891"/>
        <w:gridCol w:w="6180"/>
      </w:tblGrid>
      <w:tr>
        <w:trPr>
          <w:tblHeader w:val="true"/>
          <w:cantSplit/>
        </w:trPr>
        <w:tc>
          <w:tcPr>
            <w:tcW w:type="dxa" w:w="2891"/>
            <w:shd w:fill="0B2748"/>
            <w:tcMar>
              <w:top w:w="120" w:type="dxa"/>
              <w:start w:w="120" w:type="dxa"/>
              <w:bottom w:w="120" w:type="dxa"/>
              <w:end w:w="120" w:type="dxa"/>
            </w:tcMar>
            <w:vAlign w:val="center"/>
          </w:tcPr>
          <w:p>
            <w:pPr>
              <w:jc w:val="center"/>
            </w:pPr>
            <w:r>
              <w:rPr>
                <w:rFonts w:ascii="Arial" w:hAnsi="Arial"/>
                <w:b/>
                <w:color w:val="FFFFFF"/>
                <w:sz w:val="17"/>
              </w:rPr>
              <w:t>Dosya</w:t>
            </w:r>
          </w:p>
        </w:tc>
        <w:tc>
          <w:tcPr>
            <w:tcW w:type="dxa" w:w="6180"/>
            <w:shd w:fill="0B2748"/>
            <w:tcMar>
              <w:top w:w="120" w:type="dxa"/>
              <w:start w:w="120" w:type="dxa"/>
              <w:bottom w:w="120" w:type="dxa"/>
              <w:end w:w="120" w:type="dxa"/>
            </w:tcMar>
            <w:vAlign w:val="center"/>
          </w:tcPr>
          <w:p>
            <w:pPr>
              <w:jc w:val="center"/>
            </w:pPr>
            <w:r>
              <w:rPr>
                <w:rFonts w:ascii="Arial" w:hAnsi="Arial"/>
                <w:b/>
                <w:color w:val="FFFFFF"/>
                <w:sz w:val="17"/>
              </w:rPr>
              <w:t>Sorumluluk</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run_simulation.m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Ana Monte Carlo akışı, ortalama, düzeltme, binleme ve metrik</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validate_config.m</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Zorunlu config alanları ve fiziksel/sayısal sınırlar</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generate_phase_noise.m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1/f³ şekillendirme ve RMS normalizasyonu</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measure_iteration.m</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Tek yinelemede iki ölçüm kanalının bağlanması</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mixer.m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Ortak DUT ile iki referans taşıyıcının çarpımı</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lowpass_filter.m</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Butterworth tasarımı, önbellek ve iki kanal filtreleme</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compute_cross_psd.m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Kompleks tek taraflı FFT Cross-PSD</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compute_periodogram.m</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Filtresiz DUT periodogramı</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logbin_phase_noise.m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Doğrusal PSD ortalaması ve SSB dBc/Hz dönüşümü</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run_comparisons_main.m</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Tek-parametre taraması, kayıt, CSV/MAT/PNG üretimi</w:t>
            </w:r>
          </w:p>
        </w:tc>
      </w:tr>
      <w:tr>
        <w:trPr>
          <w:cantSplit/>
        </w:trPr>
        <w:tc>
          <w:tcPr>
            <w:tcW w:type="dxa" w:w="2891"/>
            <w:shd w:fill="F4F6F8"/>
            <w:tcMar>
              <w:top w:w="100" w:type="dxa"/>
              <w:start w:w="120" w:type="dxa"/>
              <w:bottom w:w="100" w:type="dxa"/>
              <w:end w:w="120" w:type="dxa"/>
            </w:tcMar>
            <w:vAlign w:val="center"/>
          </w:tcPr>
          <w:p>
            <w:pPr>
              <w:spacing w:after="0"/>
              <w:jc w:val="left"/>
            </w:pPr>
            <w:r>
              <w:rPr>
                <w:rFonts w:ascii="Arial" w:hAnsi="Arial"/>
                <w:color w:val="1D2733"/>
                <w:sz w:val="16"/>
              </w:rPr>
              <w:t>replot_results_main.m</w:t>
            </w:r>
          </w:p>
        </w:tc>
        <w:tc>
          <w:tcPr>
            <w:tcW w:type="dxa" w:w="6180"/>
            <w:shd w:fill="F4F6F8"/>
            <w:tcMar>
              <w:top w:w="100" w:type="dxa"/>
              <w:start w:w="120" w:type="dxa"/>
              <w:bottom w:w="100" w:type="dxa"/>
              <w:end w:w="120" w:type="dxa"/>
            </w:tcMar>
            <w:vAlign w:val="center"/>
          </w:tcPr>
          <w:p>
            <w:pPr>
              <w:spacing w:after="0"/>
              <w:jc w:val="left"/>
            </w:pPr>
            <w:r>
              <w:rPr>
                <w:rFonts w:ascii="Arial" w:hAnsi="Arial"/>
                <w:color w:val="1D2733"/>
                <w:sz w:val="16"/>
              </w:rPr>
              <w:t>Kayıtlı sonuçların simülasyonsuz yeniden çizimi</w:t>
            </w:r>
          </w:p>
        </w:tc>
      </w:tr>
      <w:tr>
        <w:trPr>
          <w:cantSplit/>
        </w:trPr>
        <w:tc>
          <w:tcPr>
            <w:tcW w:type="dxa" w:w="2891"/>
            <w:tcMar>
              <w:top w:w="100" w:type="dxa"/>
              <w:start w:w="120" w:type="dxa"/>
              <w:bottom w:w="100" w:type="dxa"/>
              <w:end w:w="120" w:type="dxa"/>
            </w:tcMar>
            <w:vAlign w:val="center"/>
          </w:tcPr>
          <w:p>
            <w:pPr>
              <w:spacing w:after="0"/>
              <w:jc w:val="left"/>
            </w:pPr>
            <w:r>
              <w:rPr>
                <w:rFonts w:ascii="Arial" w:hAnsi="Arial"/>
                <w:color w:val="1D2733"/>
                <w:sz w:val="16"/>
              </w:rPr>
              <w:t>build_report.py</w:t>
            </w:r>
          </w:p>
        </w:tc>
        <w:tc>
          <w:tcPr>
            <w:tcW w:type="dxa" w:w="6180"/>
            <w:tcMar>
              <w:top w:w="100" w:type="dxa"/>
              <w:start w:w="120" w:type="dxa"/>
              <w:bottom w:w="100" w:type="dxa"/>
              <w:end w:w="120" w:type="dxa"/>
            </w:tcMar>
            <w:vAlign w:val="center"/>
          </w:tcPr>
          <w:p>
            <w:pPr>
              <w:spacing w:after="0"/>
              <w:jc w:val="left"/>
            </w:pPr>
            <w:r>
              <w:rPr>
                <w:rFonts w:ascii="Arial" w:hAnsi="Arial"/>
                <w:color w:val="1D2733"/>
                <w:sz w:val="16"/>
              </w:rPr>
              <w:t>Sonuç doğrulaması ve nihai DOCX üretimi</w:t>
            </w:r>
          </w:p>
        </w:tc>
      </w:tr>
    </w:tbl>
    <w:p>
      <w:pPr>
        <w:spacing w:after="20"/>
      </w:pPr>
    </w:p>
    <w:sectPr w:rsidR="004D213E" w:rsidRPr="00EA587D">
      <w:pgSz w:w="11906" w:h="16838"/>
      <w:pgMar w:top="1134" w:right="1191" w:bottom="1134"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587D" w:rsidRDefault="00EA587D" w:rsidP="009370C3">
      <w:pPr>
        <w:spacing w:after="0" w:line="240" w:lineRule="auto"/>
      </w:pPr>
      <w:r>
        <w:separator/>
      </w:r>
    </w:p>
  </w:endnote>
  <w:endnote w:type="continuationSeparator" w:id="0">
    <w:p w:rsidR="00EA587D" w:rsidRDefault="00EA587D"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A0002AEF" w:usb1="4000207B" w:usb2="00000000" w:usb3="00000000" w:csb0="000001FF" w:csb1="00000000"/>
  </w:font>
  <w:font w:name="Cascadia Mono SemiLight">
    <w:panose1 w:val="020B0609020000020004"/>
    <w:charset w:val="A2"/>
    <w:family w:val="modern"/>
    <w:pitch w:val="fixed"/>
    <w:sig w:usb0="A10002FF" w:usb1="4000F9FB" w:usb2="00040000" w:usb3="00000000" w:csb0="0000019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before="0" w:after="0"/>
      <w:jc w:val="center"/>
      <w:pBdr>
        <w:top w:val="single" w:sz="8" w:space="4" w:color="00A6A6"/>
      </w:pBdr>
    </w:pPr>
    <w:r>
      <w:rPr>
        <w:rFonts w:ascii="Arial" w:hAnsi="Arial"/>
        <w:color w:val="5B6573"/>
        <w:sz w:val="16"/>
      </w:rPr>
      <w:t xml:space="preserve">TASNİF DIŞI   •   Faz Gürültüsü Analizi   •   Sayfa </w:t>
    </w:r>
    <w:r>
      <w:rPr>
        <w:rFonts w:ascii="Arial" w:hAnsi="Arial"/>
        <w:color w:val="5B6573"/>
        <w:sz w:val="16"/>
      </w:rPr>
      <w:fldChar w:fldCharType="begin" w:dirty="true"/>
    </w:r>
    <w:r>
      <w:rPr>
        <w:rFonts w:ascii="Arial" w:hAnsi="Arial"/>
        <w:color w:val="5B6573"/>
        <w:sz w:val="16"/>
      </w:rPr>
      <w:instrText xml:space="preserve"> PAGE </w:instrText>
    </w:r>
    <w:r>
      <w:rPr>
        <w:rFonts w:ascii="Arial" w:hAnsi="Arial"/>
        <w:color w:val="5B6573"/>
        <w:sz w:val="16"/>
      </w:rPr>
      <w:fldChar w:fldCharType="separate"/>
    </w:r>
    <w:r>
      <w:rPr>
        <w:rFonts w:ascii="Arial" w:hAnsi="Arial"/>
        <w:color w:val="5B6573"/>
        <w:sz w:val="16"/>
      </w:rPr>
      <w:t>1</w:t>
    </w:r>
    <w:r>
      <w:rPr>
        <w:rFonts w:ascii="Arial" w:hAnsi="Arial"/>
        <w:color w:val="5B6573"/>
        <w:sz w:val="16"/>
      </w:rPr>
      <w:fldChar w:fldCharType="end"/>
    </w:r>
    <w:r>
      <w:rPr>
        <w:rFonts w:ascii="Arial" w:hAnsi="Arial"/>
        <w:color w:val="5B6573"/>
        <w:sz w:val="16"/>
      </w:rPr>
      <w:t xml:space="preserve"> / </w:t>
    </w:r>
    <w:r>
      <w:rPr>
        <w:rFonts w:ascii="Arial" w:hAnsi="Arial"/>
        <w:color w:val="5B6573"/>
        <w:sz w:val="16"/>
      </w:rPr>
      <w:fldChar w:fldCharType="begin" w:dirty="true"/>
    </w:r>
    <w:r>
      <w:rPr>
        <w:rFonts w:ascii="Arial" w:hAnsi="Arial"/>
        <w:color w:val="5B6573"/>
        <w:sz w:val="16"/>
      </w:rPr>
      <w:instrText xml:space="preserve"> NUMPAGES </w:instrText>
    </w:r>
    <w:r>
      <w:rPr>
        <w:rFonts w:ascii="Arial" w:hAnsi="Arial"/>
        <w:color w:val="5B6573"/>
        <w:sz w:val="16"/>
      </w:rPr>
      <w:fldChar w:fldCharType="separate"/>
    </w:r>
    <w:r>
      <w:rPr>
        <w:rFonts w:ascii="Arial" w:hAnsi="Arial"/>
        <w:color w:val="5B6573"/>
        <w:sz w:val="16"/>
      </w:rPr>
      <w:t>1</w:t>
    </w:r>
    <w:r>
      <w:rPr>
        <w:rFonts w:ascii="Arial" w:hAnsi="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587D" w:rsidRDefault="00EA587D" w:rsidP="009370C3">
      <w:pPr>
        <w:spacing w:after="0" w:line="240" w:lineRule="auto"/>
      </w:pPr>
      <w:r>
        <w:separator/>
      </w:r>
    </w:p>
  </w:footnote>
  <w:footnote w:type="continuationSeparator" w:id="0">
    <w:p w:rsidR="00EA587D" w:rsidRDefault="00EA587D"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after="0"/>
      <w:jc w:val="center"/>
      <w:pBdr>
        <w:bottom w:val="single" w:sz="8" w:space="4" w:color="00A6A6"/>
      </w:pBdr>
    </w:pPr>
    <w:r>
      <w:rPr>
        <w:rFonts w:ascii="Arial" w:hAnsi="Arial"/>
        <w:b/>
        <w:color w:val="0B2748"/>
        <w:sz w:val="17"/>
      </w:rPr>
      <w:t>TASNİF DIŞI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31F51"/>
    <w:rsid w:val="0005098E"/>
    <w:rsid w:val="0005107A"/>
    <w:rsid w:val="000C782E"/>
    <w:rsid w:val="00186AEE"/>
    <w:rsid w:val="00201680"/>
    <w:rsid w:val="00206F5C"/>
    <w:rsid w:val="00242225"/>
    <w:rsid w:val="00347E68"/>
    <w:rsid w:val="00395C7D"/>
    <w:rsid w:val="003F56BB"/>
    <w:rsid w:val="0042700A"/>
    <w:rsid w:val="004902CF"/>
    <w:rsid w:val="004D213E"/>
    <w:rsid w:val="0058433A"/>
    <w:rsid w:val="006122C5"/>
    <w:rsid w:val="00650C2B"/>
    <w:rsid w:val="006679B3"/>
    <w:rsid w:val="0069139C"/>
    <w:rsid w:val="00694E17"/>
    <w:rsid w:val="0071498E"/>
    <w:rsid w:val="00793F9A"/>
    <w:rsid w:val="007A44B9"/>
    <w:rsid w:val="007B01C4"/>
    <w:rsid w:val="007E2B52"/>
    <w:rsid w:val="008443C3"/>
    <w:rsid w:val="009370C3"/>
    <w:rsid w:val="009724E1"/>
    <w:rsid w:val="00A61DE0"/>
    <w:rsid w:val="00B4483F"/>
    <w:rsid w:val="00B82DC6"/>
    <w:rsid w:val="00B950B0"/>
    <w:rsid w:val="00BC07C3"/>
    <w:rsid w:val="00BF5BC1"/>
    <w:rsid w:val="00C11D52"/>
    <w:rsid w:val="00C27FD7"/>
    <w:rsid w:val="00CD357C"/>
    <w:rsid w:val="00D162D6"/>
    <w:rsid w:val="00D80C83"/>
    <w:rsid w:val="00D9766D"/>
    <w:rsid w:val="00DB566D"/>
    <w:rsid w:val="00DE6B7F"/>
    <w:rsid w:val="00E2327C"/>
    <w:rsid w:val="00E70D82"/>
    <w:rsid w:val="00E8393D"/>
    <w:rsid w:val="00EA587D"/>
    <w:rsid w:val="00EA65F6"/>
    <w:rsid w:val="00F165A5"/>
    <w:rsid w:val="00F733F4"/>
    <w:rsid w:val="00FE7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397C"/>
  <w15:chartTrackingRefBased/>
  <w15:docId w15:val="{96116181-33B0-4145-A944-00817B87AC5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0B0"/>
    <w:pPr>
      <w:widowControl/>
      <w:spacing w:lineRule="auto" w:line="269" w:after="120"/>
      <w:jc w:val="both"/>
    </w:pPr>
    <w:rPr>
      <w:rFonts w:ascii="Arial" w:hAnsi="Arial" w:eastAsia="Arial" w:cs="Arial"/>
      <w:b w:val="0"/>
      <w:color w:val="1D2733"/>
      <w:sz w:val="21"/>
      <w:lang w:val="tr-TR"/>
    </w:rPr>
  </w:style>
  <w:style w:type="paragraph" w:styleId="Heading1">
    <w:name w:val="heading 1"/>
    <w:basedOn w:val="Normal"/>
    <w:next w:val="Normal"/>
    <w:link w:val="Heading1Char"/>
    <w:uiPriority w:val="9"/>
    <w:qFormat/>
    <w:rsid w:val="003F56BB"/>
    <w:pPr>
      <w:keepNext/>
      <w:keepLines/>
      <w:spacing w:before="80" w:after="200"/>
      <w:outlineLvl w:val="0"/>
    </w:pPr>
    <w:rPr>
      <w:rFonts w:eastAsiaTheme="majorEastAsia" w:cstheme="majorBidi" w:ascii="Arial" w:hAnsi="Arial" w:eastAsia="Arial" w:cs="Arial"/>
      <w:b/>
      <w:color w:val="0B2748"/>
      <w:sz w:val="33"/>
      <w:szCs w:val="32"/>
      <w:lang w:val="tr-TR"/>
    </w:rPr>
  </w:style>
  <w:style w:type="paragraph" w:styleId="Heading2">
    <w:name w:val="heading 2"/>
    <w:basedOn w:val="Normal"/>
    <w:next w:val="Normal"/>
    <w:link w:val="Heading2Char"/>
    <w:uiPriority w:val="9"/>
    <w:unhideWhenUsed/>
    <w:qFormat/>
    <w:rsid w:val="003F56BB"/>
    <w:pPr>
      <w:keepNext/>
      <w:keepLines/>
      <w:spacing w:before="200" w:after="100"/>
      <w:outlineLvl w:val="1"/>
    </w:pPr>
    <w:rPr>
      <w:rFonts w:eastAsiaTheme="majorEastAsia" w:cstheme="majorBidi" w:ascii="Arial" w:hAnsi="Arial" w:eastAsia="Arial" w:cs="Arial"/>
      <w:b/>
      <w:color w:val="007C83"/>
      <w:sz w:val="25"/>
      <w:szCs w:val="26"/>
      <w:lang w:val="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240" w:line="240" w:lineRule="auto" w:before="120"/>
      <w:contextualSpacing/>
      <w:jc w:val="center"/>
    </w:pPr>
    <w:rPr>
      <w:rFonts w:asciiTheme="majorHAnsi" w:eastAsiaTheme="majorEastAsia" w:hAnsiTheme="majorHAnsi" w:cstheme="majorBidi" w:ascii="Arial" w:hAnsi="Arial" w:eastAsia="Arial" w:cs="Arial"/>
      <w:b/>
      <w:color w:val="0B2748"/>
      <w:spacing w:val="-10"/>
      <w:kern w:val="28"/>
      <w:sz w:val="50"/>
      <w:szCs w:val="56"/>
      <w:lang w:val="tr-TR"/>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56BB"/>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spacing w:after="60"/>
      <w:ind w:left="720"/>
      <w:contextualSpacing/>
    </w:pPr>
    <w:rPr>
      <w:rFonts w:ascii="Arial" w:hAnsi="Arial" w:eastAsia="Arial" w:cs="Arial"/>
      <w:b w:val="0"/>
      <w:color w:val="1D2733"/>
      <w:sz w:val="20"/>
      <w:lang w:val="tr-TR"/>
    </w:rPr>
  </w:style>
  <w:style w:type="character" w:customStyle="1" w:styleId="Heading2Char">
    <w:name w:val="Heading 2 Char"/>
    <w:basedOn w:val="DefaultParagraphFont"/>
    <w:link w:val="Heading2"/>
    <w:uiPriority w:val="9"/>
    <w:rsid w:val="003F56BB"/>
    <w:rPr>
      <w:rFonts w:ascii="Arial" w:eastAsiaTheme="majorEastAsia" w:hAnsi="Arial" w:cstheme="majorBidi"/>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 w:type="character" w:customStyle="1" w:styleId="mbin">
    <w:name w:val="mbin"/>
    <w:basedOn w:val="DefaultParagraphFont"/>
    <w:rsid w:val="00FE796B"/>
  </w:style>
  <w:style w:type="paragraph" w:styleId="NoSpacing">
    <w:name w:val="No Spacing"/>
    <w:aliases w:val="mono"/>
    <w:uiPriority w:val="1"/>
    <w:qFormat/>
    <w:rsid w:val="00F733F4"/>
    <w:pPr>
      <w:spacing w:after="0" w:line="240" w:lineRule="auto"/>
      <w:jc w:val="both"/>
    </w:pPr>
    <w:rPr>
      <w:rFonts w:ascii="Cascadia Mono SemiLight" w:hAnsi="Cascadia Mono SemiLight"/>
    </w:rPr>
  </w:style>
  <w:style w:type="table" w:styleId="GridTable4-Accent3">
    <w:name w:val="Grid Table 4 Accent 3"/>
    <w:basedOn w:val="TableNormal"/>
    <w:uiPriority w:val="49"/>
    <w:rsid w:val="00F733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2016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title">
    <w:name w:val="Subtitle"/>
    <w:pPr>
      <w:spacing w:after="360"/>
      <w:jc w:val="center"/>
    </w:pPr>
    <w:rPr>
      <w:rFonts w:ascii="Arial" w:hAnsi="Arial" w:eastAsia="Arial" w:cs="Arial"/>
      <w:b/>
      <w:color w:val="007C83"/>
      <w:sz w:val="26"/>
      <w:lang w:val="tr-TR"/>
    </w:rPr>
  </w:style>
  <w:style w:type="paragraph" w:customStyle="1" w:styleId="Heading3">
    <w:name w:val="heading 3"/>
    <w:pPr>
      <w:keepNext/>
      <w:spacing w:before="160" w:after="80"/>
    </w:pPr>
    <w:rPr>
      <w:rFonts w:ascii="Arial" w:hAnsi="Arial" w:eastAsia="Arial" w:cs="Arial"/>
      <w:b/>
      <w:color w:val="173D63"/>
      <w:sz w:val="21"/>
      <w:lang w:val="tr-TR"/>
    </w:rPr>
  </w:style>
  <w:style w:type="paragraph" w:customStyle="1" w:styleId="Caption">
    <w:name w:val="caption"/>
    <w:pPr>
      <w:keepLines/>
      <w:spacing w:before="60" w:after="160"/>
      <w:jc w:val="center"/>
    </w:pPr>
    <w:rPr>
      <w:rFonts w:ascii="Arial" w:hAnsi="Arial" w:eastAsia="Arial" w:cs="Arial"/>
      <w:b w:val="0"/>
      <w:i/>
      <w:color w:val="5B6573"/>
      <w:sz w:val="17"/>
      <w:lang w:val="tr-TR"/>
    </w:rPr>
  </w:style>
  <w:style w:type="paragraph" w:customStyle="1" w:styleId="ListNumber">
    <w:name w:val="List Number"/>
    <w:pPr>
      <w:spacing w:after="60"/>
      <w:ind w:left="369" w:hanging="198"/>
    </w:pPr>
    <w:rPr>
      <w:rFonts w:ascii="Arial" w:hAnsi="Arial" w:eastAsia="Arial" w:cs="Arial"/>
      <w:b w:val="0"/>
      <w:color w:val="1D2733"/>
      <w:sz w:val="20"/>
      <w:lang w:val="tr-TR"/>
    </w:rPr>
  </w:style>
  <w:style w:type="paragraph" w:customStyle="1" w:styleId="CoverLabel">
    <w:name w:val="Cover Label"/>
    <w:pPr>
      <w:spacing w:after="200"/>
      <w:jc w:val="center"/>
    </w:pPr>
    <w:rPr>
      <w:rFonts w:ascii="Arial" w:hAnsi="Arial" w:eastAsia="Arial" w:cs="Arial"/>
      <w:b/>
      <w:color w:val="007C83"/>
      <w:sz w:val="21"/>
      <w:lang w:val="tr-TR"/>
    </w:rPr>
  </w:style>
  <w:style w:type="paragraph" w:customStyle="1" w:styleId="Lead">
    <w:name w:val="Lead"/>
    <w:pPr>
      <w:spacing w:line="276" w:lineRule="auto" w:after="180"/>
      <w:jc w:val="both"/>
    </w:pPr>
    <w:rPr>
      <w:rFonts w:ascii="Arial" w:hAnsi="Arial" w:eastAsia="Arial" w:cs="Arial"/>
      <w:b w:val="0"/>
      <w:color w:val="173D63"/>
      <w:sz w:val="22"/>
      <w:lang w:val="tr-TR"/>
    </w:rPr>
  </w:style>
  <w:style w:type="paragraph" w:customStyle="1" w:styleId="Equation">
    <w:name w:val="Equation"/>
    <w:pPr>
      <w:keepLines/>
      <w:spacing w:before="100" w:after="140"/>
      <w:jc w:val="center"/>
    </w:pPr>
    <w:rPr>
      <w:rFonts w:ascii="Cambria Math" w:hAnsi="Cambria Math" w:eastAsia="Cambria Math" w:cs="Cambria Math"/>
      <w:b w:val="0"/>
      <w:color w:val="0B2748"/>
      <w:sz w:val="23"/>
      <w:lang w:val="tr-TR"/>
    </w:rPr>
  </w:style>
  <w:style w:type="paragraph" w:customStyle="1" w:styleId="ManualTOC">
    <w:name w:val="Manual TOC"/>
    <w:pPr>
      <w:spacing w:after="80"/>
    </w:pPr>
    <w:rPr>
      <w:rFonts w:ascii="Arial" w:hAnsi="Arial" w:eastAsia="Arial" w:cs="Arial"/>
      <w:b w:val="0"/>
      <w:color w:val="173D63"/>
      <w:sz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62610637">
      <w:bodyDiv w:val="1"/>
      <w:marLeft w:val="0"/>
      <w:marRight w:val="0"/>
      <w:marTop w:val="0"/>
      <w:marBottom w:val="0"/>
      <w:divBdr>
        <w:top w:val="none" w:sz="0" w:space="0" w:color="auto"/>
        <w:left w:val="none" w:sz="0" w:space="0" w:color="auto"/>
        <w:bottom w:val="none" w:sz="0" w:space="0" w:color="auto"/>
        <w:right w:val="none" w:sz="0" w:space="0" w:color="auto"/>
      </w:divBdr>
    </w:div>
    <w:div w:id="322659736">
      <w:bodyDiv w:val="1"/>
      <w:marLeft w:val="0"/>
      <w:marRight w:val="0"/>
      <w:marTop w:val="0"/>
      <w:marBottom w:val="0"/>
      <w:divBdr>
        <w:top w:val="none" w:sz="0" w:space="0" w:color="auto"/>
        <w:left w:val="none" w:sz="0" w:space="0" w:color="auto"/>
        <w:bottom w:val="none" w:sz="0" w:space="0" w:color="auto"/>
        <w:right w:val="none" w:sz="0" w:space="0" w:color="auto"/>
      </w:divBdr>
    </w:div>
    <w:div w:id="453645598">
      <w:bodyDiv w:val="1"/>
      <w:marLeft w:val="0"/>
      <w:marRight w:val="0"/>
      <w:marTop w:val="0"/>
      <w:marBottom w:val="0"/>
      <w:divBdr>
        <w:top w:val="none" w:sz="0" w:space="0" w:color="auto"/>
        <w:left w:val="none" w:sz="0" w:space="0" w:color="auto"/>
        <w:bottom w:val="none" w:sz="0" w:space="0" w:color="auto"/>
        <w:right w:val="none" w:sz="0" w:space="0" w:color="auto"/>
      </w:divBdr>
    </w:div>
    <w:div w:id="869032413">
      <w:bodyDiv w:val="1"/>
      <w:marLeft w:val="0"/>
      <w:marRight w:val="0"/>
      <w:marTop w:val="0"/>
      <w:marBottom w:val="0"/>
      <w:divBdr>
        <w:top w:val="none" w:sz="0" w:space="0" w:color="auto"/>
        <w:left w:val="none" w:sz="0" w:space="0" w:color="auto"/>
        <w:bottom w:val="none" w:sz="0" w:space="0" w:color="auto"/>
        <w:right w:val="none" w:sz="0" w:space="0" w:color="auto"/>
      </w:divBdr>
    </w:div>
    <w:div w:id="871499263">
      <w:bodyDiv w:val="1"/>
      <w:marLeft w:val="0"/>
      <w:marRight w:val="0"/>
      <w:marTop w:val="0"/>
      <w:marBottom w:val="0"/>
      <w:divBdr>
        <w:top w:val="none" w:sz="0" w:space="0" w:color="auto"/>
        <w:left w:val="none" w:sz="0" w:space="0" w:color="auto"/>
        <w:bottom w:val="none" w:sz="0" w:space="0" w:color="auto"/>
        <w:right w:val="none" w:sz="0" w:space="0" w:color="auto"/>
      </w:divBdr>
    </w:div>
    <w:div w:id="94426678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 w:id="1956136174">
      <w:bodyDiv w:val="1"/>
      <w:marLeft w:val="0"/>
      <w:marRight w:val="0"/>
      <w:marTop w:val="0"/>
      <w:marBottom w:val="0"/>
      <w:divBdr>
        <w:top w:val="none" w:sz="0" w:space="0" w:color="auto"/>
        <w:left w:val="none" w:sz="0" w:space="0" w:color="auto"/>
        <w:bottom w:val="none" w:sz="0" w:space="0" w:color="auto"/>
        <w:right w:val="none" w:sz="0" w:space="0" w:color="auto"/>
      </w:divBdr>
    </w:div>
    <w:div w:id="1978609488">
      <w:bodyDiv w:val="1"/>
      <w:marLeft w:val="0"/>
      <w:marRight w:val="0"/>
      <w:marTop w:val="0"/>
      <w:marBottom w:val="0"/>
      <w:divBdr>
        <w:top w:val="none" w:sz="0" w:space="0" w:color="auto"/>
        <w:left w:val="none" w:sz="0" w:space="0" w:color="auto"/>
        <w:bottom w:val="none" w:sz="0" w:space="0" w:color="auto"/>
        <w:right w:val="none" w:sz="0" w:space="0" w:color="auto"/>
      </w:divBdr>
      <w:divsChild>
        <w:div w:id="163320786">
          <w:marLeft w:val="0"/>
          <w:marRight w:val="0"/>
          <w:marTop w:val="0"/>
          <w:marBottom w:val="0"/>
          <w:divBdr>
            <w:top w:val="none" w:sz="0" w:space="0" w:color="auto"/>
            <w:left w:val="none" w:sz="0" w:space="0" w:color="auto"/>
            <w:bottom w:val="none" w:sz="0" w:space="0" w:color="auto"/>
            <w:right w:val="none" w:sz="0" w:space="0" w:color="auto"/>
          </w:divBdr>
          <w:divsChild>
            <w:div w:id="1321546619">
              <w:marLeft w:val="0"/>
              <w:marRight w:val="0"/>
              <w:marTop w:val="0"/>
              <w:marBottom w:val="0"/>
              <w:divBdr>
                <w:top w:val="none" w:sz="0" w:space="0" w:color="auto"/>
                <w:left w:val="none" w:sz="0" w:space="0" w:color="auto"/>
                <w:bottom w:val="none" w:sz="0" w:space="0" w:color="auto"/>
                <w:right w:val="none" w:sz="0" w:space="0" w:color="auto"/>
              </w:divBdr>
              <w:divsChild>
                <w:div w:id="1172644968">
                  <w:marLeft w:val="0"/>
                  <w:marRight w:val="0"/>
                  <w:marTop w:val="0"/>
                  <w:marBottom w:val="0"/>
                  <w:divBdr>
                    <w:top w:val="none" w:sz="0" w:space="0" w:color="auto"/>
                    <w:left w:val="none" w:sz="0" w:space="0" w:color="auto"/>
                    <w:bottom w:val="none" w:sz="0" w:space="0" w:color="auto"/>
                    <w:right w:val="none" w:sz="0" w:space="0" w:color="auto"/>
                  </w:divBdr>
                  <w:divsChild>
                    <w:div w:id="1508399372">
                      <w:marLeft w:val="0"/>
                      <w:marRight w:val="0"/>
                      <w:marTop w:val="0"/>
                      <w:marBottom w:val="0"/>
                      <w:divBdr>
                        <w:top w:val="none" w:sz="0" w:space="0" w:color="auto"/>
                        <w:left w:val="none" w:sz="0" w:space="0" w:color="auto"/>
                        <w:bottom w:val="none" w:sz="0" w:space="0" w:color="auto"/>
                        <w:right w:val="none" w:sz="0" w:space="0" w:color="auto"/>
                      </w:divBdr>
                      <w:divsChild>
                        <w:div w:id="916718001">
                          <w:marLeft w:val="0"/>
                          <w:marRight w:val="0"/>
                          <w:marTop w:val="0"/>
                          <w:marBottom w:val="0"/>
                          <w:divBdr>
                            <w:top w:val="none" w:sz="0" w:space="0" w:color="auto"/>
                            <w:left w:val="none" w:sz="0" w:space="0" w:color="auto"/>
                            <w:bottom w:val="none" w:sz="0" w:space="0" w:color="auto"/>
                            <w:right w:val="none" w:sz="0" w:space="0" w:color="auto"/>
                          </w:divBdr>
                          <w:divsChild>
                            <w:div w:id="335353198">
                              <w:marLeft w:val="0"/>
                              <w:marRight w:val="0"/>
                              <w:marTop w:val="0"/>
                              <w:marBottom w:val="0"/>
                              <w:divBdr>
                                <w:top w:val="none" w:sz="0" w:space="0" w:color="auto"/>
                                <w:left w:val="none" w:sz="0" w:space="0" w:color="auto"/>
                                <w:bottom w:val="none" w:sz="0" w:space="0" w:color="auto"/>
                                <w:right w:val="none" w:sz="0" w:space="0" w:color="auto"/>
                              </w:divBdr>
                              <w:divsChild>
                                <w:div w:id="1735548625">
                                  <w:marLeft w:val="0"/>
                                  <w:marRight w:val="0"/>
                                  <w:marTop w:val="0"/>
                                  <w:marBottom w:val="0"/>
                                  <w:divBdr>
                                    <w:top w:val="none" w:sz="0" w:space="0" w:color="auto"/>
                                    <w:left w:val="none" w:sz="0" w:space="0" w:color="auto"/>
                                    <w:bottom w:val="none" w:sz="0" w:space="0" w:color="auto"/>
                                    <w:right w:val="none" w:sz="0" w:space="0" w:color="auto"/>
                                  </w:divBdr>
                                  <w:divsChild>
                                    <w:div w:id="19980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05796">
      <w:bodyDiv w:val="1"/>
      <w:marLeft w:val="0"/>
      <w:marRight w:val="0"/>
      <w:marTop w:val="0"/>
      <w:marBottom w:val="0"/>
      <w:divBdr>
        <w:top w:val="none" w:sz="0" w:space="0" w:color="auto"/>
        <w:left w:val="none" w:sz="0" w:space="0" w:color="auto"/>
        <w:bottom w:val="none" w:sz="0" w:space="0" w:color="auto"/>
        <w:right w:val="none" w:sz="0" w:space="0" w:color="auto"/>
      </w:divBdr>
    </w:div>
    <w:div w:id="2114742543">
      <w:bodyDiv w:val="1"/>
      <w:marLeft w:val="0"/>
      <w:marRight w:val="0"/>
      <w:marTop w:val="0"/>
      <w:marBottom w:val="0"/>
      <w:divBdr>
        <w:top w:val="none" w:sz="0" w:space="0" w:color="auto"/>
        <w:left w:val="none" w:sz="0" w:space="0" w:color="auto"/>
        <w:bottom w:val="none" w:sz="0" w:space="0" w:color="auto"/>
        <w:right w:val="none" w:sz="0" w:space="0" w:color="auto"/>
      </w:divBdr>
    </w:div>
    <w:div w:id="21366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TotalTime>
  <Pages>10</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İki Kanallı Cross-PSD Yöntemiyle Faz Gürültüsü Ölçümünün Simülasyonu</dc:title>
  <dc:subject>MATLAB R2025b teknik proje raporu</dc:subject>
  <dc:creator>Ömer</dc:creator>
  <cp:keywords>faz gürültüsü, Cross-PSD, çapraz korelasyon, MATLAB</cp:keywords>
  <dc:description>Kaynak belge korunarak 0799f9f senkron noktasından üretilmiştir.</dc:description>
  <cp:lastModifiedBy>Ömer Faruk YAZICI</cp:lastModifiedBy>
  <cp:revision>6</cp:revision>
  <dcterms:created xsi:type="dcterms:W3CDTF">2026-08-20T06:33:00Z</dcterms:created>
  <dcterms:modified xsi:type="dcterms:W3CDTF">2026-08-21T12:59:00Z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6bf5c31a-d5af-41d9-a1ac-7aef69147f81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