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027</w:t>
      </w:r>
      <w:r>
        <w:rPr>
          <w:color w:val="000000"/>
        </w:rPr>
        <w:t>/PNW/STBJ/</w:t>
      </w:r>
      <w:r>
        <w:t>IX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Garuda Food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temoat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Garuda Food Indonesia,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 w:rsidR="009F4181" w14:paraId="219FE1D2" w14:textId="77777777">
        <w:trPr>
          <w:trHeight w:val="299"/>
        </w:trPr>
        <w:tc>
          <w:tcPr>
            <w:tcW w:w="690" w:type="dxa"/>
          </w:tcPr>
          <w:p w14:paraId="3BB11A47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590" w:type="dxa"/>
          </w:tcPr>
          <w:p w14:paraId="1449FA94" w14:textId="77777777" w:rsidR="009F4181" w:rsidRDefault="007E32A5">
            <w:pPr>
              <w:spacing w:before="16" w:line="264" w:lineRule="auto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A0A0A"/>
                <w:highlight w:val="white"/>
              </w:rPr>
              <w:t>Limbah bahan atau produk yang tidak memenuhi spesifikasi teknis, kedaluwarsa, dan sisa</w:t>
            </w:r>
          </w:p>
        </w:tc>
        <w:tc>
          <w:tcPr>
            <w:tcW w:w="1770" w:type="dxa"/>
          </w:tcPr>
          <w:p w14:paraId="751EAFA4" w14:textId="77777777" w:rsidR="009F4181" w:rsidRDefault="007E32A5">
            <w:pPr>
              <w:spacing w:before="16" w:line="264" w:lineRule="auto"/>
              <w:ind w:left="295" w:right="28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A336-1</w:t>
            </w:r>
          </w:p>
        </w:tc>
        <w:tc>
          <w:tcPr>
            <w:tcW w:w="1440" w:type="dxa"/>
          </w:tcPr>
          <w:p w14:paraId="35452967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21.000.000</w:t>
            </w:r>
          </w:p>
        </w:tc>
        <w:tc>
          <w:tcPr>
            <w:tcW w:w="1125" w:type="dxa"/>
          </w:tcPr>
          <w:p w14:paraId="395233F4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Borong</w:t>
            </w:r>
          </w:p>
        </w:tc>
      </w:tr>
      <w:tr w:rsidR="009F4181" w14:paraId="79A11CFE" w14:textId="77777777">
        <w:trPr>
          <w:trHeight w:val="299"/>
        </w:trPr>
        <w:tc>
          <w:tcPr>
            <w:tcW w:w="7050" w:type="dxa"/>
            <w:gridSpan w:val="3"/>
          </w:tcPr>
          <w:p w14:paraId="0DA70863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Biaya Transportasi</w:t>
            </w:r>
          </w:p>
        </w:tc>
        <w:tc>
          <w:tcPr>
            <w:tcW w:w="1440" w:type="dxa"/>
          </w:tcPr>
          <w:p w14:paraId="5BF9824C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7.500.000</w:t>
            </w:r>
          </w:p>
        </w:tc>
        <w:tc>
          <w:tcPr>
            <w:tcW w:w="1125" w:type="dxa"/>
          </w:tcPr>
          <w:p w14:paraId="0E0890A1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28 November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