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字符设备驱动</w:t>
      </w:r>
    </w:p>
    <w:p>
      <w:pPr>
        <w:rPr>
          <w:rFonts w:hint="eastAsia"/>
          <w:lang w:val="en-US" w:eastAsia="zh-CN"/>
        </w:rPr>
      </w:pPr>
      <w:r>
        <w:rPr>
          <w:rStyle w:val="5"/>
          <w:rFonts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EFEF2"/>
        </w:rPr>
        <w:t>字符设备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EFEF2"/>
        </w:rPr>
        <w:t>：是指只能一个字节一个字节读写的设备，不能随机读取设备内存中的某一数据，读取数据需要按照先后顺序。字符设备是面向流的设备，常见的字符设备有鼠标、键盘、串口、控制台和LED设备等。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EFEF2"/>
        </w:rPr>
        <w:t>每一个字符设备或块设备都在/dev目录下对应一个设备文件。linux用户程序通过设备文件（或称设备节点）来使用驱动程序操作字符设备和块设备。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75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caoyukui</dc:creator>
  <cp:lastModifiedBy>弋阳</cp:lastModifiedBy>
  <dcterms:modified xsi:type="dcterms:W3CDTF">2019-08-15T02:04:40Z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2052-11.1.0.8822</vt:lpwstr>
  </property>
</Properties>
</file>