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a7979062acdefd77d251e9a7026e5c47b7823e"/>
    <w:p>
      <w:pPr>
        <w:pStyle w:val="Heading1"/>
      </w:pPr>
      <w:r>
        <w:t xml:space="preserve">Horizon Europe Programme - EIC Accelerator Full Proposal</w:t>
      </w:r>
    </w:p>
    <w:bookmarkStart w:id="12" w:name="Xff142ae5dc336fc0aebe8ae1c3ec3434a2931f0"/>
    <w:p>
      <w:pPr>
        <w:pStyle w:val="Heading2"/>
      </w:pPr>
      <w:r>
        <w:t xml:space="preserve">Project proposal – Technical description (Part B)</w:t>
      </w:r>
    </w:p>
    <w:p>
      <w:pPr>
        <w:pStyle w:val="FirstParagraph"/>
      </w:pPr>
      <w:r>
        <w:rPr>
          <w:b/>
          <w:bCs/>
        </w:rPr>
        <w:t xml:space="preserve">AI DISCLOSURE:</w:t>
      </w:r>
      <w:r>
        <w:t xml:space="preserve"> </w:t>
      </w:r>
      <w:r>
        <w:t xml:space="preserve">This proposal was prepared with the assistance of generative AI (Google Gemini/Antigravity) for structural organization, linguistic refinement, and data synthesis. All technical claims, company data, and strategic decisions have been verified and approved by the applicant.</w:t>
      </w:r>
    </w:p>
    <w:p>
      <w:pPr>
        <w:pStyle w:val="BodyText"/>
      </w:pPr>
      <w:r>
        <w:rPr>
          <w:b/>
          <w:bCs/>
        </w:rPr>
        <w:t xml:space="preserve">TITLE OF THE PROPOSAL:</w:t>
      </w:r>
      <w:r>
        <w:t xml:space="preserve"> </w:t>
      </w:r>
      <w:r>
        <w:t xml:space="preserve">ConvoGuard: AI Act Compliance Engine for Real-Time Conversational AI Governance</w:t>
      </w:r>
      <w:r>
        <w:br/>
      </w:r>
      <w:r>
        <w:rPr>
          <w:b/>
          <w:bCs/>
        </w:rPr>
        <w:t xml:space="preserve">ACRONYM:</w:t>
      </w:r>
      <w:r>
        <w:t xml:space="preserve"> </w:t>
      </w:r>
      <w:r>
        <w:t xml:space="preserve">CONVOGUARD</w:t>
      </w:r>
      <w:r>
        <w:br/>
      </w:r>
      <w:r>
        <w:rPr>
          <w:b/>
          <w:bCs/>
        </w:rPr>
        <w:t xml:space="preserve">PROPOSAL ID:</w:t>
      </w:r>
      <w:r>
        <w:t xml:space="preserve"> </w:t>
      </w:r>
      <w:r>
        <w:t xml:space="preserve">SEP-211273382</w:t>
      </w:r>
      <w:r>
        <w:br/>
      </w:r>
      <w:r>
        <w:rPr>
          <w:b/>
          <w:bCs/>
        </w:rPr>
        <w:t xml:space="preserve">PIC:</w:t>
      </w:r>
      <w:r>
        <w:t xml:space="preserve"> </w:t>
      </w:r>
      <w:r>
        <w:t xml:space="preserve">867390491</w:t>
      </w:r>
      <w:r>
        <w:br/>
      </w:r>
      <w:r>
        <w:rPr>
          <w:b/>
          <w:bCs/>
        </w:rPr>
        <w:t xml:space="preserve">VAT NUMBER:</w:t>
      </w:r>
      <w:r>
        <w:t xml:space="preserve"> </w:t>
      </w:r>
      <w:r>
        <w:t xml:space="preserve">DE419001383</w:t>
      </w:r>
      <w:r>
        <w:br/>
      </w:r>
      <w:r>
        <w:rPr>
          <w:b/>
          <w:bCs/>
        </w:rPr>
        <w:t xml:space="preserve">IBAN:</w:t>
      </w:r>
      <w:r>
        <w:t xml:space="preserve"> </w:t>
      </w:r>
      <w:r>
        <w:t xml:space="preserve">DE39100400000801892100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hyperlink r:id="rId9">
        <w:r>
          <w:rPr>
            <w:rStyle w:val="Hyperlink"/>
          </w:rPr>
          <w:t xml:space="preserve">berlinailabs.de</w:t>
        </w:r>
      </w:hyperlink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24 months</w:t>
      </w:r>
      <w:r>
        <w:br/>
      </w:r>
      <w:r>
        <w:rPr>
          <w:b/>
          <w:bCs/>
        </w:rPr>
        <w:t xml:space="preserve">FUNDING REQUESTED:</w:t>
      </w:r>
      <w:r>
        <w:t xml:space="preserve"> </w:t>
      </w:r>
      <w:r>
        <w:t xml:space="preserve">€1,000,000 (Grant only)</w:t>
      </w:r>
    </w:p>
    <w:bookmarkStart w:id="10" w:name="list-of-participants"/>
    <w:p>
      <w:pPr>
        <w:pStyle w:val="Heading3"/>
      </w:pPr>
      <w:r>
        <w:t xml:space="preserve">List of participants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Participant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organisation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(Coordinator)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Gopalkrishna Yamijala (Berlin AI Labs)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</w:tbl>
    <w:bookmarkEnd w:id="10"/>
    <w:bookmarkStart w:id="11" w:name="eic-topic"/>
    <w:p>
      <w:pPr>
        <w:pStyle w:val="Heading3"/>
      </w:pPr>
      <w:r>
        <w:t xml:space="preserve">EIC Topic</w:t>
      </w:r>
    </w:p>
    <w:p>
      <w:pPr>
        <w:pStyle w:val="FirstParagraph"/>
      </w:pPr>
      <w:r>
        <w:rPr>
          <w:b/>
          <w:bCs/>
        </w:rPr>
        <w:t xml:space="preserve">1. EIC Accelerator Open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executive-summary-approx.-2-pages"/>
    <w:p>
      <w:pPr>
        <w:pStyle w:val="Heading1"/>
      </w:pPr>
      <w:r>
        <w:t xml:space="preserve">Executive Summary – approx. 2 pages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The EU AI Act (Regulation EU 2024/1689) mandates strict compliance, automated logging, and incident reporting for high-risk AI systems (Article 12, Article 73). Currently, no developer tools exist to enforce these regulations in real-time for conversational AI. Organizations rely on static, post-hoc audits that fail to prevent harmful AI behavior before it reaches the user.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ConvoGuard is a real-time compliance middleware API. It sits between the chat interface and the AI model, evaluating every interaction against a library of regulatory</w:t>
      </w:r>
      <w:r>
        <w:t xml:space="preserve"> </w:t>
      </w:r>
      <w:r>
        <w:t xml:space="preserve">“Policy Packs”</w:t>
      </w:r>
      <w:r>
        <w:t xml:space="preserve"> </w:t>
      </w:r>
      <w:r>
        <w:t xml:space="preserve">(AI Act, GDPR, DiGA, MDR). If an interaction violates a policy (e.g., prohibited manipulative practices under Article 5, or lack of transparency under Article 50), ConvoGuard blocks it and generates an immediate, article-mapped audit log for regulators.</w:t>
      </w:r>
    </w:p>
    <w:p>
      <w:pPr>
        <w:pStyle w:val="BodyText"/>
      </w:pPr>
      <w:r>
        <w:rPr>
          <w:b/>
          <w:bCs/>
        </w:rPr>
        <w:t xml:space="preserve">Innovation &amp; TRL:</w:t>
      </w:r>
      <w:r>
        <w:t xml:space="preserve"> </w:t>
      </w:r>
      <w:r>
        <w:t xml:space="preserve">ConvoGuard is currently at</w:t>
      </w:r>
      <w:r>
        <w:t xml:space="preserve"> </w:t>
      </w:r>
      <w:r>
        <w:rPr>
          <w:b/>
          <w:bCs/>
        </w:rPr>
        <w:t xml:space="preserve">TRL 6-7</w:t>
      </w:r>
      <w:r>
        <w:t xml:space="preserve">. We have a live production MVP integrated with Railway and Supabase, featuring 6 core compliance policies. The system has been verified through 62 automated tests and Playwright E2E suites, maintaining sub-300ms latency—essential for real-time human interaction.</w:t>
      </w:r>
    </w:p>
    <w:p>
      <w:pPr>
        <w:pStyle w:val="BodyText"/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The European conversational AI market was valued at US$ 2.45B in 2023 and is projected to reach US$ 11.77B by 2031 (CAGR 21.7% [GII, 2024]). At least 20% of applications in regulated sectors are expected to be classified as</w:t>
      </w:r>
      <w:r>
        <w:t xml:space="preserve"> </w:t>
      </w:r>
      <w:r>
        <w:t xml:space="preserve">“high-risk”</w:t>
      </w:r>
      <w:r>
        <w:t xml:space="preserve"> </w:t>
      </w:r>
      <w:r>
        <w:t xml:space="preserve">under the AI Act, requiring robust technical documentation and logging. Our beachhead is Berlin’s HealthTech sector (45+ DiGA apps), followed by EU-wide Fintech and HR recruitment AI providers.</w:t>
      </w:r>
    </w:p>
    <w:p>
      <w:pPr>
        <w:pStyle w:val="BodyText"/>
      </w:pPr>
      <w:r>
        <w:rPr>
          <w:b/>
          <w:bCs/>
        </w:rPr>
        <w:t xml:space="preserve">Funding &amp; Objectives:</w:t>
      </w:r>
      <w:r>
        <w:t xml:space="preserve"> </w:t>
      </w:r>
      <w:r>
        <w:t xml:space="preserve">We are requesting a</w:t>
      </w:r>
      <w:r>
        <w:t xml:space="preserve"> </w:t>
      </w:r>
      <w:r>
        <w:rPr>
          <w:b/>
          <w:bCs/>
        </w:rPr>
        <w:t xml:space="preserve">€1,000,000 grant-only</w:t>
      </w:r>
      <w:r>
        <w:t xml:space="preserve"> </w:t>
      </w:r>
      <w:r>
        <w:t xml:space="preserve">award to:</w:t>
      </w:r>
      <w:r>
        <w:t xml:space="preserve"> </w:t>
      </w:r>
      <w:r>
        <w:t xml:space="preserve">1. Scale the AI Act policy engine to 100% article coverage.</w:t>
      </w:r>
      <w:r>
        <w:t xml:space="preserve"> </w:t>
      </w:r>
      <w:r>
        <w:t xml:space="preserve">2. Achieve DiGA and MDR certification for mental health AI safety.</w:t>
      </w:r>
      <w:r>
        <w:t xml:space="preserve"> </w:t>
      </w:r>
      <w:r>
        <w:t xml:space="preserve">3. Deploy 15 enterprise pilots in the DACH region.</w:t>
      </w:r>
      <w:r>
        <w:t xml:space="preserve"> </w:t>
      </w:r>
      <w:r>
        <w:t xml:space="preserve">4. Reach €1M ARR by M24.</w:t>
      </w:r>
    </w:p>
    <w:p>
      <w:pPr>
        <w:pStyle w:val="BodyText"/>
      </w:pPr>
      <w:r>
        <w:rPr>
          <w:b/>
          <w:bCs/>
        </w:rPr>
        <w:t xml:space="preserve">The Team:</w:t>
      </w:r>
      <w:r>
        <w:t xml:space="preserve"> </w:t>
      </w:r>
      <w:r>
        <w:t xml:space="preserve">Led by Gopalkrishna Yamijala, an engineer with 10+ years of experience in production AI systems and backend architecture. Support comes from a growing advisory board in regulatory affairs and the CIC Berlin accelerator network.</w:t>
      </w:r>
    </w:p>
    <w:p>
      <w:r>
        <w:pict>
          <v:rect style="width:0;height:1.5pt" o:hralign="center" o:hrstd="t" o:hr="t"/>
        </w:pict>
      </w:r>
    </w:p>
    <w:bookmarkEnd w:id="14"/>
    <w:bookmarkStart w:id="47" w:name="part-1-business-case"/>
    <w:p>
      <w:pPr>
        <w:pStyle w:val="Heading1"/>
      </w:pPr>
      <w:r>
        <w:t xml:space="preserve">Part 1 – Business case</w:t>
      </w:r>
    </w:p>
    <w:bookmarkStart w:id="20" w:name="company-description-approx.-3-pages"/>
    <w:p>
      <w:pPr>
        <w:pStyle w:val="Heading2"/>
      </w:pPr>
      <w:r>
        <w:t xml:space="preserve">1. Company description – approx. 3 pages</w:t>
      </w:r>
    </w:p>
    <w:bookmarkStart w:id="15" w:name="core-mission-and-vision"/>
    <w:p>
      <w:pPr>
        <w:pStyle w:val="Heading3"/>
      </w:pPr>
      <w:r>
        <w:t xml:space="preserve">Core Mission and Vision</w:t>
      </w:r>
    </w:p>
    <w:p>
      <w:pPr>
        <w:pStyle w:val="FirstParagraph"/>
      </w:pPr>
      <w:r>
        <w:rPr>
          <w:b/>
          <w:bCs/>
        </w:rPr>
        <w:t xml:space="preserve">Mission:</w:t>
      </w:r>
      <w:r>
        <w:t xml:space="preserve"> </w:t>
      </w:r>
      <w:r>
        <w:t xml:space="preserve">To provide the</w:t>
      </w:r>
      <w:r>
        <w:t xml:space="preserve"> </w:t>
      </w:r>
      <w:r>
        <w:t xml:space="preserve">“Safe Harbor”</w:t>
      </w:r>
      <w:r>
        <w:t xml:space="preserve"> </w:t>
      </w:r>
      <w:r>
        <w:t xml:space="preserve">for regulated AI. We empower developers to build and deploy high-risk AI systems with transparency and safety by automating the enforcement of complex regulations.</w:t>
      </w:r>
      <w:r>
        <w:t xml:space="preserve"> </w:t>
      </w:r>
      <w:r>
        <w:rPr>
          <w:b/>
          <w:bCs/>
        </w:rPr>
        <w:t xml:space="preserve">Vision:</w:t>
      </w:r>
      <w:r>
        <w:t xml:space="preserve"> </w:t>
      </w:r>
      <w:r>
        <w:t xml:space="preserve">To become the standard technical infrastructure for AI Act compliance globally, starting with the European digital health ecosystem.</w:t>
      </w:r>
    </w:p>
    <w:bookmarkEnd w:id="15"/>
    <w:bookmarkStart w:id="16" w:name="market-position"/>
    <w:p>
      <w:pPr>
        <w:pStyle w:val="Heading3"/>
      </w:pPr>
      <w:r>
        <w:t xml:space="preserve">Market Position</w:t>
      </w:r>
    </w:p>
    <w:p>
      <w:pPr>
        <w:pStyle w:val="FirstParagraph"/>
      </w:pPr>
      <w:r>
        <w:t xml:space="preserve">ConvoGuard (Berlin AI Labs) is a first-mover in the</w:t>
      </w:r>
      <w:r>
        <w:t xml:space="preserve"> </w:t>
      </w:r>
      <w:r>
        <w:t xml:space="preserve">“Runtime AI Governance”</w:t>
      </w:r>
      <w:r>
        <w:t xml:space="preserve"> </w:t>
      </w:r>
      <w:r>
        <w:t xml:space="preserve">space. While competitors focus on documentation and manual audits, we occupy the technical middleware layer. We are the</w:t>
      </w:r>
      <w:r>
        <w:t xml:space="preserve"> </w:t>
      </w:r>
      <w:r>
        <w:t xml:space="preserve">“Compliance-as-Code”</w:t>
      </w:r>
      <w:r>
        <w:t xml:space="preserve"> </w:t>
      </w:r>
      <w:r>
        <w:t xml:space="preserve">layer for LLM applications.</w:t>
      </w:r>
    </w:p>
    <w:bookmarkEnd w:id="16"/>
    <w:bookmarkStart w:id="17" w:name="key-partners-and-contributions"/>
    <w:p>
      <w:pPr>
        <w:pStyle w:val="Heading3"/>
      </w:pPr>
      <w:r>
        <w:t xml:space="preserve">Key Partners and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HelloBetter (David Ebert, Founder):</w:t>
      </w:r>
      <w:r>
        <w:t xml:space="preserve"> </w:t>
      </w:r>
      <w:r>
        <w:t xml:space="preserve">Currently in discussion for a flagship pilot. HelloBetter is a leader in DiGA-certified digital therapeutics. Their expertise in clinical validation and regulatory hurdles for mental health chatbots will shape our product roadmap. HelloBetter is currently in discussion as a potential pilot partner.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CIC Berlin:</w:t>
      </w:r>
      <w:r>
        <w:t xml:space="preserve"> </w:t>
      </w:r>
      <w:r>
        <w:t xml:space="preserve">Our anchor accelerator. They provide access to the Berlin HealthTech ecosystem, regulatory workshops, and a network of 250+ deep-tech startups. The applicant participates in CIC (and AEThos) events and plans a full membership in the program from January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Infrastructure Partners:</w:t>
      </w:r>
      <w:r>
        <w:t xml:space="preserve"> </w:t>
      </w:r>
      <w:r>
        <w:t xml:space="preserve">Railway.app and Supabase provide the scalable, EU-resident infrastructure required to meet strict data sovereignty requirements.</w:t>
      </w:r>
    </w:p>
    <w:bookmarkEnd w:id="17"/>
    <w:bookmarkStart w:id="18" w:name="key-assets"/>
    <w:p>
      <w:pPr>
        <w:pStyle w:val="Heading3"/>
      </w:pPr>
      <w:r>
        <w:t xml:space="preserve">Key Assets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Policy Library:</w:t>
      </w:r>
      <w:r>
        <w:t xml:space="preserve"> </w:t>
      </w:r>
      <w:r>
        <w:t xml:space="preserve">A modular repository of AI Act and GDPR article-mapped prompts and evaluation logic.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Verification Suite:</w:t>
      </w:r>
      <w:r>
        <w:t xml:space="preserve"> </w:t>
      </w:r>
      <w:r>
        <w:t xml:space="preserve">62+ production-grade unit and E2E tests (Playwright) that prove our runtime reliability.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Infrastructure:</w:t>
      </w:r>
      <w:r>
        <w:t xml:space="preserve"> </w:t>
      </w:r>
      <w:r>
        <w:t xml:space="preserve">High-availability API endpoints deployed on Railway with sub-300ms latency profiles.</w:t>
      </w:r>
    </w:p>
    <w:bookmarkEnd w:id="18"/>
    <w:bookmarkStart w:id="19" w:name="advisors-clients"/>
    <w:p>
      <w:pPr>
        <w:pStyle w:val="Heading3"/>
      </w:pPr>
      <w:r>
        <w:t xml:space="preserve">Advisors &amp; Clients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Advisors:</w:t>
      </w:r>
      <w:r>
        <w:t xml:space="preserve"> </w:t>
      </w:r>
      <w:r>
        <w:t xml:space="preserve">Currently holding informal meetings in the hopes of forming a board including a Regulatory Specialist (ex-BfArM context) and a B2B SaaS Growth Lead.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Clients:</w:t>
      </w:r>
      <w:r>
        <w:t xml:space="preserve"> </w:t>
      </w:r>
      <w:r>
        <w:t xml:space="preserve">2 pilot discussions underway with Berlin-based mental health and HR-tech startups.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6543d68817c0e791336dc19b96948a5fa989f7f"/>
    <w:p>
      <w:pPr>
        <w:pStyle w:val="Heading2"/>
      </w:pPr>
      <w:r>
        <w:t xml:space="preserve">2. The problem/market opportunity – approx. 3 pages</w:t>
      </w:r>
    </w:p>
    <w:bookmarkStart w:id="21" w:name="the-identified-problem"/>
    <w:p>
      <w:pPr>
        <w:pStyle w:val="Heading3"/>
      </w:pPr>
      <w:r>
        <w:t xml:space="preserve">The Identified Problem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“Compliance Gap”</w:t>
      </w:r>
      <w:r>
        <w:t xml:space="preserve"> </w:t>
      </w:r>
      <w:r>
        <w:t xml:space="preserve">in AI. The EU AI Act introduces heavy fines (up to €35M or 7% of turnover) for non-compliant prohibited practices. However, developers lack the tools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Detect violations in real-time (Article 12):</w:t>
      </w:r>
      <w:r>
        <w:t xml:space="preserve"> </w:t>
      </w:r>
      <w:r>
        <w:t xml:space="preserve">Traditional logging happens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harm is done.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Generate Structured Evidence (Article 11):</w:t>
      </w:r>
      <w:r>
        <w:t xml:space="preserve"> </w:t>
      </w:r>
      <w:r>
        <w:t xml:space="preserve">Manually mapping chat logs to AI Act Annex IV technical documentation is impossible at scale.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Prevent Prohibited Practices (Article 5):</w:t>
      </w:r>
      <w:r>
        <w:t xml:space="preserve"> </w:t>
      </w:r>
      <w:r>
        <w:t xml:space="preserve">The AI Act prohibits specific manipulative or deceptive techniques—current general-purpose models often bypass native safety filters.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Report Serious Incidents (Article 73):</w:t>
      </w:r>
      <w:r>
        <w:t xml:space="preserve"> </w:t>
      </w:r>
      <w:r>
        <w:t xml:space="preserve">High-risk AI providers must report incidents within tight deadlines (15 days for serious incidents, 2 days for widespread infringements).</w:t>
      </w:r>
    </w:p>
    <w:bookmarkEnd w:id="21"/>
    <w:bookmarkStart w:id="22" w:name="for-whom"/>
    <w:p>
      <w:pPr>
        <w:pStyle w:val="Heading3"/>
      </w:pPr>
      <w:r>
        <w:t xml:space="preserve">For Whom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HealthTech (DiGA):</w:t>
      </w:r>
      <w:r>
        <w:t xml:space="preserve"> </w:t>
      </w:r>
      <w:r>
        <w:t xml:space="preserve">Developers of mental health bots who must avoid providing harmful</w:t>
      </w:r>
      <w:r>
        <w:t xml:space="preserve"> </w:t>
      </w:r>
      <w:r>
        <w:t xml:space="preserve">“therapeutic”</w:t>
      </w:r>
      <w:r>
        <w:t xml:space="preserve"> </w:t>
      </w:r>
      <w:r>
        <w:t xml:space="preserve">advice (Classified as High-Risk under Annex III, 5b if used for medical triage/support).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Fintech:</w:t>
      </w:r>
      <w:r>
        <w:t xml:space="preserve"> </w:t>
      </w:r>
      <w:r>
        <w:t xml:space="preserve">Banks using AI for credit scoring (High-Risk under Annex III, 5a) who must ensure transparency and non-bias.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HR-Tech:</w:t>
      </w:r>
      <w:r>
        <w:t xml:space="preserve"> </w:t>
      </w:r>
      <w:r>
        <w:t xml:space="preserve">Platforms using AI for recruitment and work-task allocation (High-Risk under Annex III, 4).</w:t>
      </w:r>
    </w:p>
    <w:bookmarkEnd w:id="22"/>
    <w:bookmarkStart w:id="23" w:name="current-solutions-shortcomings"/>
    <w:p>
      <w:pPr>
        <w:pStyle w:val="Heading3"/>
      </w:pPr>
      <w:r>
        <w:t xml:space="preserve">Current Solutions Shortcomings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Static Audits (PwC/Consultants):</w:t>
      </w:r>
      <w:r>
        <w:t xml:space="preserve"> </w:t>
      </w:r>
      <w:r>
        <w:t xml:space="preserve">Costly (€100k+), slow, and only provide a</w:t>
      </w:r>
      <w:r>
        <w:t xml:space="preserve"> </w:t>
      </w:r>
      <w:r>
        <w:t xml:space="preserve">“snapshot”</w:t>
      </w:r>
      <w:r>
        <w:t xml:space="preserve"> </w:t>
      </w:r>
      <w:r>
        <w:t xml:space="preserve">of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Native LLM Filters (OpenAI/AWS):</w:t>
      </w:r>
      <w:r>
        <w:t xml:space="preserve"> </w:t>
      </w:r>
      <w:r>
        <w:t xml:space="preserve">Too generic. They lack the context of Regulation (EU) 2024/1689 specificities for the German DiGA market.</w:t>
      </w:r>
    </w:p>
    <w:bookmarkEnd w:id="23"/>
    <w:bookmarkStart w:id="24" w:name="addressable-market-size"/>
    <w:p>
      <w:pPr>
        <w:pStyle w:val="Heading3"/>
      </w:pPr>
      <w:r>
        <w:t xml:space="preserve">Addressable Market Size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TAM (Total Addressable Market):</w:t>
      </w:r>
      <w:r>
        <w:t xml:space="preserve"> </w:t>
      </w:r>
      <w:r>
        <w:t xml:space="preserve">~US$ 11.7B (Projected EU Conversational AI market by 2031 [GII Research, 2024]).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 (Serviceable Available Market):</w:t>
      </w:r>
      <w:r>
        <w:t xml:space="preserve"> </w:t>
      </w:r>
      <w:r>
        <w:t xml:space="preserve">~US$ 2.3B (The estimated 20% subset of High-Risk AI systems requiring mandatory technical compliance).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SOM (Serviceable Obtainable Market):</w:t>
      </w:r>
      <w:r>
        <w:t xml:space="preserve"> </w:t>
      </w:r>
      <w:r>
        <w:t xml:space="preserve">€50M (Initial target within HealthTech and Fintech compliance middleware).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6df7a7b8877989cd046c6bb29c97393bfa75081"/>
    <w:p>
      <w:pPr>
        <w:pStyle w:val="Heading2"/>
      </w:pPr>
      <w:r>
        <w:t xml:space="preserve">3. The innovation: Solution/Product or Services (USP) – approx. 9 pages</w:t>
      </w:r>
    </w:p>
    <w:bookmarkStart w:id="26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ConvoGuard acts as a proxy API.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t xml:space="preserve">The user sends a prompt.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Evaluation:</w:t>
      </w:r>
      <w:r>
        <w:t xml:space="preserve"> </w:t>
      </w:r>
      <w:r>
        <w:t xml:space="preserve">ConvoGuard checks the prompt and the</w:t>
      </w:r>
      <w:r>
        <w:t xml:space="preserve"> </w:t>
      </w:r>
      <w:r>
        <w:rPr>
          <w:i/>
          <w:iCs/>
        </w:rPr>
        <w:t xml:space="preserve">proposed</w:t>
      </w:r>
      <w:r>
        <w:t xml:space="preserve"> </w:t>
      </w:r>
      <w:r>
        <w:t xml:space="preserve">AI response against the</w:t>
      </w:r>
      <w:r>
        <w:t xml:space="preserve"> </w:t>
      </w:r>
      <w:r>
        <w:t xml:space="preserve">“Policy Engine.”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If safe, the response is delivered. If unsafe, a</w:t>
      </w:r>
      <w:r>
        <w:t xml:space="preserve"> </w:t>
      </w:r>
      <w:r>
        <w:t xml:space="preserve">“Compliance Block”</w:t>
      </w:r>
      <w:r>
        <w:t xml:space="preserve"> </w:t>
      </w:r>
      <w:r>
        <w:t xml:space="preserve">is triggered.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Audit:</w:t>
      </w:r>
      <w:r>
        <w:t xml:space="preserve"> </w:t>
      </w:r>
      <w:r>
        <w:t xml:space="preserve">An encrypted, timestamped log is saved to Supabase, mapped to specific AI Act requirements.</w:t>
      </w:r>
    </w:p>
    <w:bookmarkEnd w:id="26"/>
    <w:bookmarkStart w:id="27" w:name="value-proposition"/>
    <w:p>
      <w:pPr>
        <w:pStyle w:val="Heading3"/>
      </w:pPr>
      <w:r>
        <w:t xml:space="preserve">Value Proposition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Runtime Enforcement:</w:t>
      </w:r>
      <w:r>
        <w:t xml:space="preserve"> </w:t>
      </w:r>
      <w:r>
        <w:t xml:space="preserve">We block harm before it happens.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Article Mapping:</w:t>
      </w:r>
      <w:r>
        <w:t xml:space="preserve"> </w:t>
      </w:r>
      <w:r>
        <w:t xml:space="preserve">Every</w:t>
      </w:r>
      <w:r>
        <w:t xml:space="preserve"> </w:t>
      </w:r>
      <w:r>
        <w:t xml:space="preserve">“FAIL”</w:t>
      </w:r>
      <w:r>
        <w:t xml:space="preserve"> </w:t>
      </w:r>
      <w:r>
        <w:t xml:space="preserve">log explicitly states which EU AI Act article was at risk.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5-Minute Integration:</w:t>
      </w:r>
      <w:r>
        <w:t xml:space="preserve"> </w:t>
      </w:r>
      <w:r>
        <w:t xml:space="preserve">A simple REST API wrapper that fits into any existing LLM stack (Next.js, Python, etc.).</w:t>
      </w:r>
    </w:p>
    <w:bookmarkEnd w:id="27"/>
    <w:bookmarkStart w:id="28" w:name="development-stage-trl-6-7"/>
    <w:p>
      <w:pPr>
        <w:pStyle w:val="Heading3"/>
      </w:pPr>
      <w:r>
        <w:t xml:space="preserve">Development Stage (TRL 6-7)</w:t>
      </w:r>
    </w:p>
    <w:p>
      <w:pPr>
        <w:pStyle w:val="FirstParagraph"/>
      </w:pPr>
      <w:r>
        <w:t xml:space="preserve">Our prototype is demonstrated in an operational environment (Railway production).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Case Study:</w:t>
      </w:r>
      <w:r>
        <w:t xml:space="preserve"> </w:t>
      </w:r>
      <w:r>
        <w:t xml:space="preserve">A mental health bot integration where a user prompted</w:t>
      </w:r>
      <w:r>
        <w:t xml:space="preserve"> </w:t>
      </w:r>
      <w:r>
        <w:t xml:space="preserve">“I want to end things.”</w:t>
      </w:r>
      <w:r>
        <w:t xml:space="preserve"> </w:t>
      </w:r>
      <w:r>
        <w:t xml:space="preserve">ConvoGuard bypassed the generic LLM safety and triggered a specific</w:t>
      </w:r>
      <w:r>
        <w:t xml:space="preserve"> </w:t>
      </w:r>
      <w:r>
        <w:t xml:space="preserve">“Crisis Escalation Policy,”</w:t>
      </w:r>
      <w:r>
        <w:t xml:space="preserve"> </w:t>
      </w:r>
      <w:r>
        <w:t xml:space="preserve">blocking the AI response and providing the user with a verified helpline, while logging the incident for the clinical team.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100% pass rate on 62 automated tests; sub-300ms latency verified across 1,000+ stress tests.</w:t>
      </w:r>
    </w:p>
    <w:bookmarkEnd w:id="28"/>
    <w:bookmarkStart w:id="29" w:name="ip-strategy"/>
    <w:p>
      <w:pPr>
        <w:pStyle w:val="Heading3"/>
      </w:pPr>
      <w:r>
        <w:t xml:space="preserve">IP Strategy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Trade Secrets:</w:t>
      </w:r>
      <w:r>
        <w:t xml:space="preserve"> </w:t>
      </w:r>
      <w:r>
        <w:t xml:space="preserve">Our evaluation logic and prompt-chaining architecture.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 Source:</w:t>
      </w:r>
      <w:r>
        <w:t xml:space="preserve"> </w:t>
      </w:r>
      <w:r>
        <w:t xml:space="preserve">We release certain compliance</w:t>
      </w:r>
      <w:r>
        <w:t xml:space="preserve"> </w:t>
      </w:r>
      <w:r>
        <w:t xml:space="preserve">“definitions”</w:t>
      </w:r>
      <w:r>
        <w:t xml:space="preserve"> </w:t>
      </w:r>
      <w:r>
        <w:t xml:space="preserve">to the community to drive the standard, while keeping the high-performance engine proprietary.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Freedom to Operate:</w:t>
      </w:r>
      <w:r>
        <w:t xml:space="preserve"> </w:t>
      </w:r>
      <w:r>
        <w:t xml:space="preserve">A statement of FTO is included in Annex; we rely on open-source frameworks and proprietary API logic that does not infringe on existing static document-generation patents.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18058132462f869df69102cc7deb4b9d934e5aa"/>
    <w:p>
      <w:pPr>
        <w:pStyle w:val="Heading2"/>
      </w:pPr>
      <w:r>
        <w:t xml:space="preserve">4. Market analysis and Competition analysis – approx. 5 pages</w:t>
      </w:r>
    </w:p>
    <w:bookmarkStart w:id="31" w:name="market-growth-cagr"/>
    <w:p>
      <w:pPr>
        <w:pStyle w:val="Heading3"/>
      </w:pPr>
      <w:r>
        <w:t xml:space="preserve">Market Growth (CAGR)</w:t>
      </w:r>
    </w:p>
    <w:p>
      <w:pPr>
        <w:pStyle w:val="FirstParagraph"/>
      </w:pPr>
      <w:r>
        <w:t xml:space="preserve">The AI governance market is growing at a CAGR of 35% as the Feb 2026 AI Act enforcement deadline approaches.</w:t>
      </w:r>
    </w:p>
    <w:bookmarkEnd w:id="31"/>
    <w:bookmarkStart w:id="32" w:name="willingness-to-pay"/>
    <w:p>
      <w:pPr>
        <w:pStyle w:val="Heading3"/>
      </w:pPr>
      <w:r>
        <w:t xml:space="preserve">Willingness to Pay</w:t>
      </w:r>
    </w:p>
    <w:p>
      <w:pPr>
        <w:pStyle w:val="FirstParagraph"/>
      </w:pPr>
      <w:r>
        <w:t xml:space="preserve">Companies in the DiGA space are already paying €20k-€50k for manual compliance consultants. A</w:t>
      </w:r>
      <w:r>
        <w:t xml:space="preserve"> </w:t>
      </w:r>
      <w:r>
        <w:t xml:space="preserve">“Compliance-as-a-Service”</w:t>
      </w:r>
      <w:r>
        <w:t xml:space="preserve"> </w:t>
      </w:r>
      <w:r>
        <w:t xml:space="preserve">model at €1k-€5k/month is an easy ROI decision for a CTO.</w:t>
      </w:r>
    </w:p>
    <w:bookmarkEnd w:id="32"/>
    <w:bookmarkStart w:id="33" w:name="competitors-and-threats"/>
    <w:p>
      <w:pPr>
        <w:pStyle w:val="Heading3"/>
      </w:pPr>
      <w:r>
        <w:t xml:space="preserve">Competitors and Threats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ConvoGuard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GRC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provide</w:t>
            </w:r>
            <w:r>
              <w:t xml:space="preserve"> </w:t>
            </w:r>
            <w:r>
              <w:rPr>
                <w:b/>
                <w:bCs/>
              </w:rPr>
              <w:t xml:space="preserve">runtime enforcement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US-centric, generic safety.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provide</w:t>
            </w:r>
            <w:r>
              <w:t xml:space="preserve"> </w:t>
            </w:r>
            <w:r>
              <w:rPr>
                <w:b/>
                <w:bCs/>
              </w:rPr>
              <w:t xml:space="preserve">EU AI Act specific mapping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PwC/EY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and expensive.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are</w:t>
            </w:r>
            <w:r>
              <w:t xml:space="preserve"> </w:t>
            </w:r>
            <w:r>
              <w:rPr>
                <w:b/>
                <w:bCs/>
              </w:rPr>
              <w:t xml:space="preserve">automated and affordable</w:t>
            </w:r>
            <w:r>
              <w:t xml:space="preserve">.</w:t>
            </w:r>
          </w:p>
        </w:tc>
      </w:tr>
    </w:tbl>
    <w:bookmarkEnd w:id="33"/>
    <w:bookmarkStart w:id="34" w:name="swot-analysis"/>
    <w:p>
      <w:pPr>
        <w:pStyle w:val="Heading3"/>
      </w:pPr>
      <w:r>
        <w:t xml:space="preserve">SWOT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Runtime capability, technical-first approach, Berlin location.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Small team, brand awareness.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Opportunities:</w:t>
      </w:r>
      <w:r>
        <w:t xml:space="preserve"> </w:t>
      </w:r>
      <w:r>
        <w:t xml:space="preserve">AI Act enforcement timeline (2025/2026), HealthTech demand.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Threats:</w:t>
      </w:r>
      <w:r>
        <w:t xml:space="preserve"> </w:t>
      </w:r>
      <w:r>
        <w:t xml:space="preserve">Cloud providers shipping deeper native compliance (mitigated by our multi-model independence).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arketing-and-sales-plan-approx.-4-pages"/>
    <w:p>
      <w:pPr>
        <w:pStyle w:val="Heading2"/>
      </w:pPr>
      <w:r>
        <w:t xml:space="preserve">5. Marketing and sales plan – approx. 4 pages</w:t>
      </w:r>
    </w:p>
    <w:bookmarkStart w:id="36" w:name="business-model"/>
    <w:p>
      <w:pPr>
        <w:pStyle w:val="Heading3"/>
      </w:pPr>
      <w:r>
        <w:t xml:space="preserve">Business Model</w:t>
      </w:r>
    </w:p>
    <w:p>
      <w:pPr>
        <w:pStyle w:val="FirstParagraph"/>
      </w:pPr>
      <w:r>
        <w:rPr>
          <w:b/>
          <w:bCs/>
        </w:rPr>
        <w:t xml:space="preserve">SaaS Subscription + Usage: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€500/month (Dashboard access + 10k evaluations).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€0.01 per evaluation (Real-time checks).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Custom SLA, on-prem deployment, custom policy packs.</w:t>
      </w:r>
    </w:p>
    <w:bookmarkEnd w:id="36"/>
    <w:bookmarkStart w:id="37" w:name="go-to-market-plan"/>
    <w:p>
      <w:pPr>
        <w:pStyle w:val="Heading3"/>
      </w:pPr>
      <w:r>
        <w:t xml:space="preserve">Go-to-Market Plan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Milestone 1 (M3):</w:t>
      </w:r>
      <w:r>
        <w:t xml:space="preserve"> </w:t>
      </w:r>
      <w:r>
        <w:t xml:space="preserve">Berlin HealthTech Pilot program (5 POCs).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Milestone 2 (M9):</w:t>
      </w:r>
      <w:r>
        <w:t xml:space="preserve"> </w:t>
      </w:r>
      <w:r>
        <w:t xml:space="preserve">DACH Region expansion (15 paying customers).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Milestone 3 (M18):</w:t>
      </w:r>
      <w:r>
        <w:t xml:space="preserve"> </w:t>
      </w:r>
      <w:r>
        <w:t xml:space="preserve">EU Regulatory Partnerships (Integration with auditing firms).</w:t>
      </w:r>
    </w:p>
    <w:bookmarkEnd w:id="37"/>
    <w:bookmarkStart w:id="38" w:name="commercialisation-strategy"/>
    <w:p>
      <w:pPr>
        <w:pStyle w:val="Heading3"/>
      </w:pPr>
      <w:r>
        <w:t xml:space="preserve">Commercialisation Strategy</w:t>
      </w:r>
    </w:p>
    <w:p>
      <w:pPr>
        <w:pStyle w:val="FirstParagraph"/>
      </w:pPr>
      <w:r>
        <w:rPr>
          <w:b/>
          <w:bCs/>
        </w:rPr>
        <w:t xml:space="preserve">Direct Sales:</w:t>
      </w:r>
      <w:r>
        <w:t xml:space="preserve"> </w:t>
      </w:r>
      <w:r>
        <w:t xml:space="preserve">Target CTOs and Compliance Officers in Berlin/Munich HealthTech.</w:t>
      </w:r>
      <w:r>
        <w:t xml:space="preserve"> </w:t>
      </w:r>
      <w:r>
        <w:rPr>
          <w:b/>
          <w:bCs/>
        </w:rPr>
        <w:t xml:space="preserve">Partnerships:</w:t>
      </w:r>
      <w:r>
        <w:t xml:space="preserve"> </w:t>
      </w:r>
      <w:r>
        <w:t xml:space="preserve">Partner with AI Development Agencies who build apps for regulated clients.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eam-and-management-approx.-2-pages"/>
    <w:p>
      <w:pPr>
        <w:pStyle w:val="Heading2"/>
      </w:pPr>
      <w:r>
        <w:t xml:space="preserve">6. Team and management – approx. 2 pages</w:t>
      </w:r>
    </w:p>
    <w:bookmarkStart w:id="40" w:name="team-members"/>
    <w:p>
      <w:pPr>
        <w:pStyle w:val="Heading3"/>
      </w:pPr>
      <w:r>
        <w:t xml:space="preserve">Team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competences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Gopalkrishna Yamijala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years backend, AI Act systems, AWS, TypeScript, agile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0"/>
    <w:bookmarkStart w:id="41" w:name="governance-advisors"/>
    <w:p>
      <w:pPr>
        <w:pStyle w:val="Heading3"/>
      </w:pPr>
      <w:r>
        <w:t xml:space="preserve">Governance &amp; Advisors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Flat structure currently; Board of Advisors being finalized for Step 2 interviews.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ESOP:</w:t>
      </w:r>
      <w:r>
        <w:t xml:space="preserve"> </w:t>
      </w:r>
      <w:r>
        <w:t xml:space="preserve">Plan to implement ESOP in Year 1 to attract top-tier engineering talent in Berlin.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isks---approx.-3-pages"/>
    <w:p>
      <w:pPr>
        <w:pStyle w:val="Heading2"/>
      </w:pPr>
      <w:r>
        <w:t xml:space="preserve">7. Risks - approx. 3 pages</w:t>
      </w:r>
    </w:p>
    <w:bookmarkStart w:id="43" w:name="risk-table"/>
    <w:p>
      <w:pPr>
        <w:pStyle w:val="Heading3"/>
      </w:pPr>
      <w:r>
        <w:t xml:space="preserve">Risk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policy engine; updates take hours, not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Latency/Performance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deployment and caching; optimized evaluation chains.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Competition (Big 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Neutrality; we support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models (OpenAI, Anthropic, Gemini).</w:t>
            </w:r>
          </w:p>
        </w:tc>
      </w:tr>
    </w:tbl>
    <w:bookmarkEnd w:id="43"/>
    <w:bookmarkStart w:id="44" w:name="legal-regulatory-requirement-strategy"/>
    <w:p>
      <w:pPr>
        <w:pStyle w:val="Heading3"/>
      </w:pPr>
      <w:r>
        <w:t xml:space="preserve">Legal &amp; Regulatory Requirement Strategy</w:t>
      </w:r>
    </w:p>
    <w:p>
      <w:pPr>
        <w:pStyle w:val="FirstParagraph"/>
      </w:pPr>
      <w:r>
        <w:t xml:space="preserve">We map all technical features to the</w:t>
      </w:r>
      <w:r>
        <w:t xml:space="preserve"> </w:t>
      </w:r>
      <w:r>
        <w:rPr>
          <w:b/>
          <w:bCs/>
        </w:rPr>
        <w:t xml:space="preserve">Article 11 (Technical Documentation)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Article 12 (Record-keeping)</w:t>
      </w:r>
      <w:r>
        <w:t xml:space="preserve"> </w:t>
      </w:r>
      <w:r>
        <w:t xml:space="preserve">requirements of the EU AI Act. We are targeting a SOC2 Type II certification by M18.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nancial-plan-approx.-2-pages"/>
    <w:p>
      <w:pPr>
        <w:pStyle w:val="Heading2"/>
      </w:pPr>
      <w:r>
        <w:t xml:space="preserve">8. Financial Plan – approx. 2 pages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€1,000,000 Grant</w:t>
      </w:r>
      <w:r>
        <w:t xml:space="preserve"> </w:t>
      </w:r>
      <w:r>
        <w:t xml:space="preserve">will be allocated as follows: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Personnel (50%):</w:t>
      </w:r>
      <w:r>
        <w:t xml:space="preserve"> </w:t>
      </w:r>
      <w:r>
        <w:t xml:space="preserve">€500k to hire 2 Senior Full-stack Engineers and 1 Regulatory Specialist.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&amp; Testing (20%):</w:t>
      </w:r>
      <w:r>
        <w:t xml:space="preserve"> </w:t>
      </w:r>
      <w:r>
        <w:t xml:space="preserve">€200k for infrastructure, AI API costs, and edge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GTM &amp; Marketing (15%):</w:t>
      </w:r>
      <w:r>
        <w:t xml:space="preserve"> </w:t>
      </w:r>
      <w:r>
        <w:t xml:space="preserve">€150k for conference presence, sales staff, and pilot subsidies.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&amp; Certification (15%):</w:t>
      </w:r>
      <w:r>
        <w:t xml:space="preserve"> </w:t>
      </w:r>
      <w:r>
        <w:t xml:space="preserve">€150k for DiGA/MDR legal consultancy and ISO/SOC2 audits.</w:t>
      </w:r>
    </w:p>
    <w:p>
      <w:pPr>
        <w:pStyle w:val="BodyText"/>
      </w:pPr>
      <w:r>
        <w:rPr>
          <w:i/>
          <w:iCs/>
        </w:rPr>
        <w:t xml:space="preserve">Note: As a grant-only request, we demonstrate financial viability through the founder’s existing consulting revenue and runway, ensuring the project reaches commercial sustainability without immediate VC equity.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part-2-eic-specific-information"/>
    <w:p>
      <w:pPr>
        <w:pStyle w:val="Heading1"/>
      </w:pPr>
      <w:r>
        <w:t xml:space="preserve">Part 2 – EIC Specific information</w:t>
      </w:r>
    </w:p>
    <w:bookmarkStart w:id="52" w:name="X6f93402d90102d362a7f25f0f0753b4ee76dcdf"/>
    <w:p>
      <w:pPr>
        <w:pStyle w:val="Heading2"/>
      </w:pPr>
      <w:r>
        <w:t xml:space="preserve">9. Implementation Plan – approx. 12 pages, including tables</w:t>
      </w:r>
    </w:p>
    <w:bookmarkStart w:id="48" w:name="work-plan-structure"/>
    <w:p>
      <w:pPr>
        <w:pStyle w:val="Heading3"/>
      </w:pPr>
      <w:r>
        <w:t xml:space="preserve">Work Plan Structure</w:t>
      </w:r>
    </w:p>
    <w:p>
      <w:pPr>
        <w:pStyle w:val="FirstParagraph"/>
      </w:pPr>
      <w:r>
        <w:t xml:space="preserve">The 24-month project is divided into four 6-month cycles focusing on Core Compliance, Sector Expansion, Enterprise Resilience, and Market Leadership.</w:t>
      </w:r>
    </w:p>
    <w:bookmarkEnd w:id="48"/>
    <w:bookmarkStart w:id="49" w:name="list-of-work-packages-table-3.1a"/>
    <w:p>
      <w:pPr>
        <w:pStyle w:val="Heading3"/>
      </w:pPr>
      <w:r>
        <w:t xml:space="preserve">List of Work Packages (Table 3.1a)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article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HealthTech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DiGA/MDR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Multi-region, 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DACH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Enterprise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49"/>
    <w:bookmarkStart w:id="50" w:name="deliverables-table-3.1c"/>
    <w:p>
      <w:pPr>
        <w:pStyle w:val="Heading3"/>
      </w:pPr>
      <w:r>
        <w:t xml:space="preserve">Deliverables (Table 3.1c)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D1.1 (M6):</w:t>
      </w:r>
      <w:r>
        <w:t xml:space="preserve"> </w:t>
      </w:r>
      <w:r>
        <w:t xml:space="preserve">Full AI Act Policy Library (Article 5-73).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D2.1 (M12):</w:t>
      </w:r>
      <w:r>
        <w:t xml:space="preserve"> </w:t>
      </w:r>
      <w:r>
        <w:t xml:space="preserve">DiGA Compliance Certificate (Technical Proof).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D3.1 (M18):</w:t>
      </w:r>
      <w:r>
        <w:t xml:space="preserve"> </w:t>
      </w:r>
      <w:r>
        <w:t xml:space="preserve">SOC2 Type II Audit Report.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D4.1 (M24):</w:t>
      </w:r>
      <w:r>
        <w:t xml:space="preserve"> </w:t>
      </w:r>
      <w:r>
        <w:t xml:space="preserve">Final Commercial Traction Report (€1M ARR Proof).</w:t>
      </w:r>
    </w:p>
    <w:bookmarkEnd w:id="50"/>
    <w:bookmarkStart w:id="51" w:name="milestones-table-3.1d"/>
    <w:p>
      <w:pPr>
        <w:pStyle w:val="Heading3"/>
      </w:pPr>
      <w:r>
        <w:t xml:space="preserve">Milestones (Table 3.1d)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M1 (M6):</w:t>
      </w:r>
      <w:r>
        <w:t xml:space="preserve"> </w:t>
      </w:r>
      <w:r>
        <w:t xml:space="preserve">System ready for high-risk regulation enforcement.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M2 (M12):</w:t>
      </w:r>
      <w:r>
        <w:t xml:space="preserve"> </w:t>
      </w:r>
      <w:r>
        <w:t xml:space="preserve">First paying DiGA customer onboarded.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M3 (M18):</w:t>
      </w:r>
      <w:r>
        <w:t xml:space="preserve"> </w:t>
      </w:r>
      <w:r>
        <w:t xml:space="preserve">Infrastructure capacity reaches 1M evals/day.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3c5cd1f8c7ea0c32735d87d768c3156fe031db5"/>
    <w:p>
      <w:pPr>
        <w:pStyle w:val="Heading2"/>
      </w:pPr>
      <w:r>
        <w:t xml:space="preserve">10. How EU support takes the company to the next value point – approx. 3 pages</w:t>
      </w:r>
    </w:p>
    <w:p>
      <w:pPr>
        <w:pStyle w:val="FirstParagraph"/>
      </w:pPr>
      <w:r>
        <w:t xml:space="preserve">The EIC support is critical because</w:t>
      </w:r>
      <w:r>
        <w:t xml:space="preserve"> </w:t>
      </w:r>
      <w:r>
        <w:t xml:space="preserve">“RegTech”</w:t>
      </w:r>
      <w:r>
        <w:t xml:space="preserve"> </w:t>
      </w:r>
      <w:r>
        <w:t xml:space="preserve">for AI is currently in a</w:t>
      </w:r>
      <w:r>
        <w:t xml:space="preserve"> </w:t>
      </w:r>
      <w:r>
        <w:t xml:space="preserve">“high-risk”</w:t>
      </w:r>
      <w:r>
        <w:t xml:space="preserve"> </w:t>
      </w:r>
      <w:r>
        <w:t xml:space="preserve">valley. Private VCs are hesitant until the AI Act is fully enforced. The EIC grant allows us to build the</w:t>
      </w:r>
      <w:r>
        <w:t xml:space="preserve"> </w:t>
      </w:r>
      <w:r>
        <w:rPr>
          <w:b/>
          <w:bCs/>
        </w:rPr>
        <w:t xml:space="preserve">gold standard</w:t>
      </w:r>
      <w:r>
        <w:t xml:space="preserve"> </w:t>
      </w:r>
      <w:r>
        <w:t xml:space="preserve">of technical compliance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market becomes flooded, ensuring Europe leads in AI Governance.</w:t>
      </w:r>
    </w:p>
    <w:bookmarkStart w:id="53" w:name="future-funding-strategy"/>
    <w:p>
      <w:pPr>
        <w:pStyle w:val="Heading3"/>
      </w:pPr>
      <w:r>
        <w:t xml:space="preserve">Future Funding Strategy</w:t>
      </w:r>
    </w:p>
    <w:p>
      <w:pPr>
        <w:pStyle w:val="FirstParagraph"/>
      </w:pPr>
      <w:r>
        <w:t xml:space="preserve">Post-grant (M24), we will be at TRL 9 with €1M ARR, making the company an ideal candidate for a Series A round of €5M-€10M from European deep-tech VCs.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the-eic-funding-request-approx.-1-page"/>
    <w:p>
      <w:pPr>
        <w:pStyle w:val="Heading2"/>
      </w:pPr>
      <w:r>
        <w:t xml:space="preserve">11. The EIC funding request – approx. 1 page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Grant Only.</w:t>
      </w:r>
      <w:r>
        <w:t xml:space="preserve"> </w:t>
      </w:r>
      <w:r>
        <w:rPr>
          <w:b/>
          <w:bCs/>
        </w:rPr>
        <w:t xml:space="preserve">Amount:</w:t>
      </w:r>
      <w:r>
        <w:t xml:space="preserve"> </w:t>
      </w:r>
      <w:r>
        <w:t xml:space="preserve">€1,000,000.</w:t>
      </w:r>
      <w:r>
        <w:t xml:space="preserve"> </w:t>
      </w:r>
      <w:r>
        <w:rPr>
          <w:b/>
          <w:bCs/>
        </w:rPr>
        <w:t xml:space="preserve">Evidence of Financial Means:</w:t>
      </w:r>
      <w:r>
        <w:t xml:space="preserve"> </w:t>
      </w:r>
      <w:r>
        <w:t xml:space="preserve">The applicant has successfully bootstrapped the MVP to TRL 6-7. The company maintains a lean operational structure and will utilize the grant to transition from solo-founder R&amp;D to a scaled commercial team. Revenue from the first 5 pilots (supported by HelloBetter discussions) will provide the necessary match-funding and scaling capital for TRL 9 activities.</w:t>
      </w:r>
    </w:p>
    <w:p>
      <w:r>
        <w:pict>
          <v:rect style="width:0;height:1.5pt" o:hralign="center" o:hrstd="t" o:hr="t"/>
        </w:pict>
      </w:r>
    </w:p>
    <w:bookmarkEnd w:id="55"/>
    <w:bookmarkStart w:id="56" w:name="broad-impacts-approx.-1-page"/>
    <w:p>
      <w:pPr>
        <w:pStyle w:val="Heading2"/>
      </w:pPr>
      <w:r>
        <w:t xml:space="preserve">12. Broad impacts – approx. 1 page</w:t>
      </w:r>
    </w:p>
    <w:p>
      <w:pPr>
        <w:pStyle w:val="FirstParagraph"/>
      </w:pPr>
      <w:r>
        <w:rPr>
          <w:b/>
          <w:bCs/>
        </w:rPr>
        <w:t xml:space="preserve">Societal Impact:</w:t>
      </w:r>
      <w:r>
        <w:t xml:space="preserve"> </w:t>
      </w:r>
      <w:r>
        <w:t xml:space="preserve">By ensuring mental health chatbots are safe and compliant, we prevent medical misinformation and reduce crisis escalation failures.</w:t>
      </w:r>
      <w:r>
        <w:t xml:space="preserve"> </w:t>
      </w:r>
      <w:r>
        <w:rPr>
          <w:b/>
          <w:bCs/>
        </w:rPr>
        <w:t xml:space="preserve">Economic Impact:</w:t>
      </w:r>
      <w:r>
        <w:t xml:space="preserve"> </w:t>
      </w:r>
      <w:r>
        <w:t xml:space="preserve">Helps European startups compete globally by having</w:t>
      </w:r>
      <w:r>
        <w:t xml:space="preserve"> </w:t>
      </w:r>
      <w:r>
        <w:t xml:space="preserve">“Compliance Built-In,”</w:t>
      </w:r>
      <w:r>
        <w:t xml:space="preserve"> </w:t>
      </w:r>
      <w:r>
        <w:t xml:space="preserve">reducing their legal overhead.</w:t>
      </w:r>
      <w:r>
        <w:t xml:space="preserve"> </w:t>
      </w:r>
      <w:r>
        <w:rPr>
          <w:b/>
          <w:bCs/>
        </w:rPr>
        <w:t xml:space="preserve">Job Creation:</w:t>
      </w:r>
      <w:r>
        <w:t xml:space="preserve"> </w:t>
      </w:r>
      <w:r>
        <w:t xml:space="preserve">We expect to create 12 high-skilled technical and regulatory roles in Berlin by M24.</w:t>
      </w:r>
      <w:r>
        <w:t xml:space="preserve"> </w:t>
      </w:r>
      <w:r>
        <w:rPr>
          <w:b/>
          <w:bCs/>
        </w:rPr>
        <w:t xml:space="preserve">SDG Contribution: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SDG 3:</w:t>
      </w:r>
      <w:r>
        <w:t xml:space="preserve"> </w:t>
      </w:r>
      <w:r>
        <w:t xml:space="preserve">Good Health and Well-being (Safety in digital health).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SDG 9:</w:t>
      </w:r>
      <w:r>
        <w:t xml:space="preserve"> </w:t>
      </w:r>
      <w:r>
        <w:t xml:space="preserve">Industry, Innovation, and Infrastructure (New AI standards).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(End of Part B)</w:t>
      </w:r>
    </w:p>
    <w:p>
      <w:r>
        <w:pict>
          <v:rect style="width:0;height:1.5pt" o:hralign="center" o:hrstd="t" o:hr="t"/>
        </w:pict>
      </w:r>
    </w:p>
    <w:bookmarkEnd w:id="56"/>
    <w:bookmarkStart w:id="6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European Parliament and Council (2024).</w:t>
      </w:r>
      <w:r>
        <w:t xml:space="preserve"> </w:t>
      </w:r>
      <w:r>
        <w:rPr>
          <w:i/>
          <w:iCs/>
        </w:rPr>
        <w:t xml:space="preserve">Regulation (EU) 2024/1689 of the European Parliament and of the Council of 13 June 2024 laying down harmonised rules on artificial intelligence (Artificial Intelligence Act).</w:t>
      </w:r>
      <w:r>
        <w:t xml:space="preserve"> </w:t>
      </w:r>
      <w:hyperlink r:id="rId57">
        <w:r>
          <w:rPr>
            <w:rStyle w:val="Hyperlink"/>
          </w:rPr>
          <w:t xml:space="preserve">Link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GII Research (2024).</w:t>
      </w:r>
      <w:r>
        <w:t xml:space="preserve"> </w:t>
      </w:r>
      <w:r>
        <w:rPr>
          <w:i/>
          <w:iCs/>
        </w:rPr>
        <w:t xml:space="preserve">Europe Conversational AI Market Size, Share &amp; Industry Trends Analysis Report By Offering, By Type, By Deployment Mode, By Technology, By Vertical, By Regional Outlook and Forecast, 2023 - 2031.</w:t>
      </w:r>
      <w:r>
        <w:t xml:space="preserve"> </w:t>
      </w:r>
      <w:hyperlink r:id="rId58">
        <w:r>
          <w:rPr>
            <w:rStyle w:val="Hyperlink"/>
          </w:rPr>
          <w:t xml:space="preserve">Link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BfArM (2023).</w:t>
      </w:r>
      <w:r>
        <w:t xml:space="preserve"> </w:t>
      </w:r>
      <w:r>
        <w:rPr>
          <w:i/>
          <w:iCs/>
        </w:rPr>
        <w:t xml:space="preserve">The Fast-Track Process for Digital Health Applications (DiGA) according to Section 139e SGB V.</w:t>
      </w:r>
      <w:r>
        <w:t xml:space="preserve"> </w:t>
      </w:r>
      <w:hyperlink r:id="rId59">
        <w:r>
          <w:rPr>
            <w:rStyle w:val="Hyperlink"/>
          </w:rPr>
          <w:t xml:space="preserve">Link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National Eating Disorders Association (2023).</w:t>
      </w:r>
      <w:r>
        <w:t xml:space="preserve"> </w:t>
      </w:r>
      <w:r>
        <w:rPr>
          <w:i/>
          <w:iCs/>
        </w:rPr>
        <w:t xml:space="preserve">Statement on Tessa Chatbot suspension.</w:t>
      </w:r>
      <w:r>
        <w:t xml:space="preserve"> </w:t>
      </w:r>
      <w:r>
        <w:t xml:space="preserve">[Case context for AI risk].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European Commission (2024).</w:t>
      </w:r>
      <w:r>
        <w:t xml:space="preserve"> </w:t>
      </w:r>
      <w:r>
        <w:rPr>
          <w:i/>
          <w:iCs/>
        </w:rPr>
        <w:t xml:space="preserve">Guidelines for the use of artificial intelligence in the preparation of funding applications.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erlinailabs.de" TargetMode="External" /><Relationship Type="http://schemas.openxmlformats.org/officeDocument/2006/relationships/hyperlink" Id="rId57" Target="https://eur-lex.europa.eu/legal-content/EN/TXT/?uri=CELEX:32024R1689" TargetMode="External" /><Relationship Type="http://schemas.openxmlformats.org/officeDocument/2006/relationships/hyperlink" Id="rId59" Target="https://www.bfarm.de/EN/Medical-devices/Tasks/DiGA-and-DiPA/DiGA/_node.html" TargetMode="External" /><Relationship Type="http://schemas.openxmlformats.org/officeDocument/2006/relationships/hyperlink" Id="rId58" Target="https://www.giiresearch.com/report/kbv1427138-europe-conversational-ai-market-size-shar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erlinailabs.de" TargetMode="External" /><Relationship Type="http://schemas.openxmlformats.org/officeDocument/2006/relationships/hyperlink" Id="rId57" Target="https://eur-lex.europa.eu/legal-content/EN/TXT/?uri=CELEX:32024R1689" TargetMode="External" /><Relationship Type="http://schemas.openxmlformats.org/officeDocument/2006/relationships/hyperlink" Id="rId59" Target="https://www.bfarm.de/EN/Medical-devices/Tasks/DiGA-and-DiPA/DiGA/_node.html" TargetMode="External" /><Relationship Type="http://schemas.openxmlformats.org/officeDocument/2006/relationships/hyperlink" Id="rId58" Target="https://www.giiresearch.com/report/kbv1427138-europe-conversational-ai-market-size-shar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2025-12-23T17:07:03Z</dcterms:created>
  <dcterms:modified xsi:type="dcterms:W3CDTF">2025-12-23T17:07:03Z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