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rFonts w:ascii="Montserrat" w:hAnsi="Montserrat"/>
          <w:b/>
          <w:color w:val="261F46"/>
          <w:sz w:val="28"/>
        </w:rPr>
        <w:t>YOGAPROS</w:t>
      </w:r>
    </w:p>
    <w:p/>
    <w:p>
      <w:pPr>
        <w:spacing w:after="80"/>
        <w:jc w:val="center"/>
      </w:pPr>
      <w:r>
        <w:rPr>
          <w:rFonts w:ascii="Montserrat" w:hAnsi="Montserrat"/>
          <w:b/>
          <w:color w:val="261F46"/>
          <w:sz w:val="56"/>
        </w:rPr>
        <w:t>Readiness Check</w:t>
      </w:r>
    </w:p>
    <w:p>
      <w:pPr>
        <w:spacing w:after="480"/>
        <w:jc w:val="center"/>
      </w:pPr>
      <w:r>
        <w:rPr>
          <w:rFonts w:ascii="Montserrat" w:hAnsi="Montserrat"/>
          <w:b w:val="0"/>
          <w:color w:val="F09221"/>
          <w:sz w:val="32"/>
        </w:rPr>
        <w:t>HubSpot Integration Guide</w:t>
      </w:r>
    </w:p>
    <w:p/>
    <w:p>
      <w:pPr>
        <w:spacing w:after="800"/>
        <w:jc w:val="center"/>
      </w:pPr>
      <w:r>
        <w:rPr>
          <w:rFonts w:ascii="Montserrat" w:hAnsi="Montserrat"/>
          <w:b w:val="0"/>
          <w:color w:val="666666"/>
          <w:sz w:val="22"/>
        </w:rPr>
        <w:t>Step-by-step setup for capturing quiz data</w:t>
        <w:br/>
        <w:t>in HubSpot CRM via the Forms API</w:t>
      </w:r>
    </w:p>
    <w:p>
      <w:pPr>
        <w:spacing w:after="120"/>
        <w:jc w:val="center"/>
      </w:pPr>
      <w:r>
        <w:rPr>
          <w:rFonts w:ascii="Montserrat" w:hAnsi="Montserrat"/>
          <w:b w:val="0"/>
          <w:color w:val="666666"/>
          <w:sz w:val="20"/>
        </w:rPr>
        <w:t>March 2026</w:t>
      </w:r>
    </w:p>
    <w:p>
      <w:r>
        <w:br w:type="page"/>
      </w:r>
    </w:p>
    <w:p>
      <w:pPr>
        <w:pStyle w:val="Heading1"/>
      </w:pPr>
      <w:r>
        <w:t>What This Does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The Readiness Check is a 12-question career assessment that scores yoga teachers across four pillars: Teaching, Business, Wellbeing &amp; Mindset, and Safety &amp; Protection.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This integration captures the teacher's name, email, every individual answer, pillar scores, and overall readiness tier directly into HubSpot as contact properties. This means you can: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See exactly where each teacher is strong and weak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Segment contacts by readiness tier (Foundation / Building / Advanced)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Trigger personalised workflows based on specific gaps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Report on aggregate data (e.g. "68% of quiz takers have no insurance")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Send targeted follow-up emails based on their weakest pillar</w:t>
      </w:r>
    </w:p>
    <w:p/>
    <w:p>
      <w:pPr>
        <w:spacing w:after="120"/>
      </w:pPr>
      <w:r>
        <w:rPr>
          <w:rFonts w:ascii="Montserrat" w:hAnsi="Montserrat"/>
          <w:b/>
          <w:color w:val="261F46"/>
          <w:sz w:val="24"/>
        </w:rPr>
        <w:t>How It Works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Teacher enters name + email and takes the quiz on the website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Results display instantly in the browser (no waiting)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In the background, all data is silently pushed to HubSpot via the Forms API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A new contact is created (or existing contact is updated) with all quiz data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Any workflows you've built will trigger automatically</w:t>
      </w:r>
    </w:p>
    <w:p>
      <w:r>
        <w:br w:type="page"/>
      </w:r>
    </w:p>
    <w:p>
      <w:pPr>
        <w:pStyle w:val="Heading1"/>
      </w:pPr>
      <w:r>
        <w:t>Step 1: Create Custom Contact Properties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Go to Settings → Properties → Contact Properties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First, create a new property group: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Click "Create Group"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Name it: Readiness Check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This keeps all quiz properties organised together</w:t>
      </w:r>
    </w:p>
    <w:p/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Then create each property below inside that group. Set all as "Single-line text" type:</w:t>
      </w:r>
    </w:p>
    <w:p/>
    <w:p>
      <w:pPr>
        <w:spacing w:after="120"/>
      </w:pPr>
      <w:r>
        <w:rPr>
          <w:rFonts w:ascii="Montserrat" w:hAnsi="Montserrat"/>
          <w:b/>
          <w:color w:val="261F46"/>
          <w:sz w:val="22"/>
        </w:rPr>
        <w:t>Score &amp; Tier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Internal Name</w:t>
            </w:r>
          </w:p>
        </w:tc>
        <w:tc>
          <w:tcPr>
            <w:tcW w:type="dxa" w:w="3168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168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readiness_role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Role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Teacher / Trainer / Aspiring</w:t>
            </w:r>
          </w:p>
        </w:tc>
      </w:tr>
      <w:tr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readiness_score</w:t>
            </w:r>
          </w:p>
        </w:tc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Overall Score (%)</w:t>
            </w:r>
          </w:p>
        </w:tc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Overall percentage score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readiness_tier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Tier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Foundation / Building / Advanced</w:t>
            </w:r>
          </w:p>
        </w:tc>
      </w:tr>
      <w:tr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readiness_teaching_score</w:t>
            </w:r>
          </w:p>
        </w:tc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Teaching Score (%)</w:t>
            </w:r>
          </w:p>
        </w:tc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Teaching pillar percentage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readiness_teaching_level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Teaching Level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E.g. Newly Qualified, Senior Teacher</w:t>
            </w:r>
          </w:p>
        </w:tc>
      </w:tr>
      <w:tr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readiness_business_score</w:t>
            </w:r>
          </w:p>
        </w:tc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Business Score (%)</w:t>
            </w:r>
          </w:p>
        </w:tc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Business pillar percentage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readiness_business_level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Business Level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E.g. Not Started, Building a Brand</w:t>
            </w:r>
          </w:p>
        </w:tc>
      </w:tr>
      <w:tr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readiness_mindset_score</w:t>
            </w:r>
          </w:p>
        </w:tc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Mindset Score (%)</w:t>
            </w:r>
          </w:p>
        </w:tc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Mindset pillar percentage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readiness_mindset_level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Mindset Level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E.g. Scarcity, Abundance</w:t>
            </w:r>
          </w:p>
        </w:tc>
      </w:tr>
      <w:tr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readiness_safety_score</w:t>
            </w:r>
          </w:p>
        </w:tc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Safety Score (%)</w:t>
            </w:r>
          </w:p>
        </w:tc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Safety pillar percentage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readiness_safety_level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Safety Level</w:t>
            </w:r>
          </w:p>
        </w:tc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E.g. Unprotected, Fully Protected</w:t>
            </w:r>
          </w:p>
        </w:tc>
      </w:tr>
    </w:tbl>
    <w:p/>
    <w:p>
      <w:pPr>
        <w:spacing w:after="120"/>
      </w:pPr>
      <w:r>
        <w:rPr>
          <w:rFonts w:ascii="Montserrat" w:hAnsi="Montserrat"/>
          <w:b/>
          <w:color w:val="261F46"/>
          <w:sz w:val="22"/>
        </w:rPr>
        <w:t>Individual Question Properties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These store the exact answer text chosen for each question: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Internal Name</w:t>
            </w:r>
          </w:p>
        </w:tc>
        <w:tc>
          <w:tcPr>
            <w:tcW w:type="dxa" w:w="3600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728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Pillar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readiness_q1_experience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Q1: Teaching Experience</w:t>
            </w:r>
          </w:p>
        </w:tc>
        <w:tc>
          <w:tcPr>
            <w:tcW w:type="dxa" w:w="172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Teaching</w:t>
            </w:r>
          </w:p>
        </w:tc>
      </w:tr>
      <w:tr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readiness_q2_cpd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Q2: CPD</w:t>
            </w:r>
          </w:p>
        </w:tc>
        <w:tc>
          <w:tcPr>
            <w:tcW w:type="dxa" w:w="172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Teaching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readiness_q3_accreditation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Q3: Accreditation</w:t>
            </w:r>
          </w:p>
        </w:tc>
        <w:tc>
          <w:tcPr>
            <w:tcW w:type="dxa" w:w="172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Teaching</w:t>
            </w:r>
          </w:p>
        </w:tc>
      </w:tr>
      <w:tr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readiness_q4_income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Q4: Income</w:t>
            </w:r>
          </w:p>
        </w:tc>
        <w:tc>
          <w:tcPr>
            <w:tcW w:type="dxa" w:w="172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Business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readiness_q5_model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Q5: Business Model</w:t>
            </w:r>
          </w:p>
        </w:tc>
        <w:tc>
          <w:tcPr>
            <w:tcW w:type="dxa" w:w="172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Business</w:t>
            </w:r>
          </w:p>
        </w:tc>
      </w:tr>
      <w:tr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readiness_q6_pricing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Q6: Pricing Confidence</w:t>
            </w:r>
          </w:p>
        </w:tc>
        <w:tc>
          <w:tcPr>
            <w:tcW w:type="dxa" w:w="172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Business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readiness_q7_visibility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Q7: Visibility</w:t>
            </w:r>
          </w:p>
        </w:tc>
        <w:tc>
          <w:tcPr>
            <w:tcW w:type="dxa" w:w="172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Business</w:t>
            </w:r>
          </w:p>
        </w:tc>
      </w:tr>
      <w:tr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readiness_q8_money_beliefs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Q8: Money Beliefs</w:t>
            </w:r>
          </w:p>
        </w:tc>
        <w:tc>
          <w:tcPr>
            <w:tcW w:type="dxa" w:w="172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Mindset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readiness_q9_investment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Q9: Career Investment</w:t>
            </w:r>
          </w:p>
        </w:tc>
        <w:tc>
          <w:tcPr>
            <w:tcW w:type="dxa" w:w="172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Mindset</w:t>
            </w:r>
          </w:p>
        </w:tc>
      </w:tr>
      <w:tr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readiness_q10_industry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Q10: Industry Outlook</w:t>
            </w:r>
          </w:p>
        </w:tc>
        <w:tc>
          <w:tcPr>
            <w:tcW w:type="dxa" w:w="172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Mindset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readiness_q11_insurance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Q11: Insurance</w:t>
            </w:r>
          </w:p>
        </w:tc>
        <w:tc>
          <w:tcPr>
            <w:tcW w:type="dxa" w:w="172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Safety</w:t>
            </w:r>
          </w:p>
        </w:tc>
      </w:tr>
      <w:tr>
        <w:tc>
          <w:tcPr>
            <w:tcW w:type="dxa" w:w="316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readiness_q12_protection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Q12: Protection Level</w:t>
            </w:r>
          </w:p>
        </w:tc>
        <w:tc>
          <w:tcPr>
            <w:tcW w:type="dxa" w:w="172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Safety</w:t>
            </w:r>
          </w:p>
        </w:tc>
      </w:tr>
    </w:tbl>
    <w:p>
      <w:pPr>
        <w:spacing w:after="120"/>
      </w:pPr>
      <w:r>
        <w:rPr>
          <w:rFonts w:ascii="Montserrat" w:hAnsi="Montserrat"/>
          <w:b/>
          <w:color w:val="F09221"/>
          <w:sz w:val="20"/>
        </w:rPr>
        <w:br/>
        <w:t>Total: 23 custom properties to create</w:t>
      </w:r>
    </w:p>
    <w:p>
      <w:r>
        <w:br w:type="page"/>
      </w:r>
    </w:p>
    <w:p>
      <w:pPr>
        <w:pStyle w:val="Heading1"/>
      </w:pPr>
      <w:r>
        <w:t>Step 2: Create a HubSpot Form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Go to Marketing → Forms → Create Form</w:t>
      </w:r>
    </w:p>
    <w:p/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Choose "Embedded form"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Name it: Readiness Check (API Submission)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Add these standard fields: First Name, Last Name, Email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Add ALL 23 custom properties you just created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Important: this form will never be shown to users — it's purely a data receiver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Save and publish the form</w:t>
      </w:r>
    </w:p>
    <w:p/>
    <w:p>
      <w:pPr>
        <w:spacing w:after="120"/>
      </w:pPr>
      <w:r>
        <w:rPr>
          <w:rFonts w:ascii="Montserrat" w:hAnsi="Montserrat"/>
          <w:b/>
          <w:color w:val="261F46"/>
          <w:sz w:val="22"/>
        </w:rPr>
        <w:t>After saving, get the Form GUID: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Open the form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Look at the URL in your browser — it will look like:</w:t>
      </w:r>
    </w:p>
    <w:p>
      <w:pPr>
        <w:spacing w:after="120"/>
      </w:pPr>
      <w:r>
        <w:rPr>
          <w:rFonts w:ascii="Montserrat" w:hAnsi="Montserrat"/>
          <w:b w:val="0"/>
          <w:color w:val="666666"/>
          <w:sz w:val="18"/>
        </w:rPr>
        <w:t xml:space="preserve">    https://app.hubspot.com/forms/PORTAL_ID/editor/FORM_GUID/edit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Copy the FORM_GUID portion — it looks like: abcd1234-ef56-7890-abcd-ef1234567890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Save this — you'll need it in Step 4</w:t>
      </w:r>
    </w:p>
    <w:p>
      <w:r>
        <w:br w:type="page"/>
      </w:r>
    </w:p>
    <w:p>
      <w:pPr>
        <w:pStyle w:val="Heading1"/>
      </w:pPr>
      <w:r>
        <w:t>Step 3: Get Your Portal ID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Your Portal ID (also called Hub ID) is visible in several places: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Top-right corner of your HubSpot account (click your account name)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In any HubSpot URL after /app/ — e.g. app.hubspot.com/forms/12345678/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Settings → Account &amp; Billing</w:t>
      </w:r>
    </w:p>
    <w:p/>
    <w:p>
      <w:pPr>
        <w:spacing w:after="120"/>
      </w:pPr>
      <w:r>
        <w:rPr>
          <w:rFonts w:ascii="Montserrat" w:hAnsi="Montserrat"/>
          <w:b w:val="0"/>
          <w:color w:val="666666"/>
          <w:sz w:val="20"/>
        </w:rPr>
        <w:t>It's a number, typically 7-8 digits. Save this for Step 4.</w:t>
      </w:r>
    </w:p>
    <w:p>
      <w:r>
        <w:br w:type="page"/>
      </w:r>
    </w:p>
    <w:p>
      <w:pPr>
        <w:pStyle w:val="Heading1"/>
      </w:pPr>
      <w:r>
        <w:t>Step 4: Update the HTML File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Open the file readiness-check-hubspot.html in any text editor (TextEdit, VS Code, Notepad).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Near the top of the &lt;script&gt; section (around line 160), you'll find:</w:t>
      </w:r>
    </w:p>
    <w:p/>
    <w:p>
      <w:pPr>
        <w:spacing w:after="40"/>
      </w:pPr>
      <w:r>
        <w:rPr>
          <w:rFonts w:ascii="Courier New" w:hAnsi="Courier New"/>
          <w:color w:val="261F46"/>
          <w:sz w:val="18"/>
        </w:rPr>
        <w:t>const HUBSPOT_PORTAL_ID = 'YOUR_PORTAL_ID';</w:t>
      </w:r>
    </w:p>
    <w:p>
      <w:pPr>
        <w:spacing w:after="240"/>
      </w:pPr>
      <w:r>
        <w:rPr>
          <w:rFonts w:ascii="Courier New" w:hAnsi="Courier New"/>
          <w:color w:val="261F46"/>
          <w:sz w:val="18"/>
        </w:rPr>
        <w:t>const HUBSPOT_FORM_GUID = 'YOUR_FORM_GUID';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Replace YOUR_PORTAL_ID with your Portal ID from Step 3.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Replace YOUR_FORM_GUID with the Form GUID from Step 2.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Save the file.</w:t>
      </w:r>
    </w:p>
    <w:p/>
    <w:p>
      <w:pPr>
        <w:spacing w:after="120"/>
      </w:pPr>
      <w:r>
        <w:rPr>
          <w:rFonts w:ascii="Montserrat" w:hAnsi="Montserrat"/>
          <w:b/>
          <w:color w:val="F09221"/>
          <w:sz w:val="20"/>
        </w:rPr>
        <w:t>⚠️ Important: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Keep the quote marks around the values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Don't change anything else in the file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Example: const HUBSPOT_PORTAL_ID = '12345678';</w:t>
      </w:r>
    </w:p>
    <w:p>
      <w:r>
        <w:br w:type="page"/>
      </w:r>
    </w:p>
    <w:p>
      <w:pPr>
        <w:pStyle w:val="Heading1"/>
      </w:pPr>
      <w:r>
        <w:t>Step 5: Add to HubSpot CMS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You have two options:</w:t>
      </w:r>
    </w:p>
    <w:p/>
    <w:p>
      <w:pPr>
        <w:spacing w:after="120"/>
      </w:pPr>
      <w:r>
        <w:rPr>
          <w:rFonts w:ascii="Montserrat" w:hAnsi="Montserrat"/>
          <w:b/>
          <w:color w:val="261F46"/>
          <w:sz w:val="22"/>
        </w:rPr>
        <w:t>Option A: Custom HTML Module (Quickest)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Go to Marketing → Website → Website Pages → Create Page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Choose a blank template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Add a "Custom HTML" or "Embed" module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Paste the entire contents of readiness-check-hubspot.html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Publish the page</w:t>
      </w:r>
    </w:p>
    <w:p/>
    <w:p>
      <w:pPr>
        <w:spacing w:after="120"/>
      </w:pPr>
      <w:r>
        <w:rPr>
          <w:rFonts w:ascii="Montserrat" w:hAnsi="Montserrat"/>
          <w:b/>
          <w:color w:val="261F46"/>
          <w:sz w:val="22"/>
        </w:rPr>
        <w:t>Option B: Design Manager Custom Module (More Control)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Go to Marketing → Files &amp; Templates → Design Tools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Create a new Custom Module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Paste the HTML into the HTML+HubL section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Paste the CSS into the CSS section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Paste the JavaScript into the JS section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Save and add to a page template</w:t>
      </w:r>
    </w:p>
    <w:p>
      <w:pPr>
        <w:spacing w:after="120"/>
      </w:pPr>
      <w:r>
        <w:rPr>
          <w:rFonts w:ascii="Montserrat" w:hAnsi="Montserrat"/>
          <w:b w:val="0"/>
          <w:color w:val="666666"/>
          <w:sz w:val="18"/>
        </w:rPr>
        <w:br/>
        <w:t>Option A is simpler and fine for testing. Option B is better for long-term maintenance.</w:t>
      </w:r>
    </w:p>
    <w:p>
      <w:r>
        <w:br w:type="page"/>
      </w:r>
    </w:p>
    <w:p>
      <w:pPr>
        <w:pStyle w:val="Heading1"/>
      </w:pPr>
      <w:r>
        <w:t>Step 6: Test the Integration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Before going live, test the full flow:</w:t>
      </w:r>
    </w:p>
    <w:p/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Open the page in your browser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Enter a test name and email (use your own or a test address)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Complete all 12 questions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Verify the results page displays correctly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Go to HubSpot → Contacts → search for your test email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Check that all 23 custom properties are populated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Verify the scores and tier are correct</w:t>
      </w:r>
    </w:p>
    <w:p/>
    <w:p>
      <w:pPr>
        <w:spacing w:after="120"/>
      </w:pPr>
      <w:r>
        <w:rPr>
          <w:rFonts w:ascii="Montserrat" w:hAnsi="Montserrat"/>
          <w:b/>
          <w:color w:val="261F46"/>
          <w:sz w:val="22"/>
        </w:rPr>
        <w:t>If the contact doesn't appear: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Open browser Developer Tools (F12) → Console tab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Look for "HubSpot submission successful" or error messages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Check that Portal ID and Form GUID are correct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Ensure the form is published (not draft)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Check that all property internal names match exactly</w:t>
      </w:r>
    </w:p>
    <w:p>
      <w:r>
        <w:br w:type="page"/>
      </w:r>
    </w:p>
    <w:p>
      <w:pPr>
        <w:pStyle w:val="Heading1"/>
      </w:pPr>
      <w:r>
        <w:t>Step 7: Build Workflows (Optional but Recommended)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This is where the data becomes powerful. Here are recommended workflows:</w:t>
      </w:r>
    </w:p>
    <w:p/>
    <w:p>
      <w:pPr>
        <w:spacing w:after="120"/>
      </w:pPr>
      <w:r>
        <w:rPr>
          <w:rFonts w:ascii="Montserrat" w:hAnsi="Montserrat"/>
          <w:b/>
          <w:color w:val="261F46"/>
          <w:sz w:val="22"/>
        </w:rPr>
        <w:t>Tier-Based Nurture Sequences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Readiness Tier</w:t>
            </w:r>
          </w:p>
        </w:tc>
        <w:tc>
          <w:tcPr>
            <w:tcW w:type="dxa" w:w="1728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5760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Recommended Follow-up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Foundation</w:t>
            </w:r>
          </w:p>
        </w:tc>
        <w:tc>
          <w:tcPr>
            <w:tcW w:type="dxa" w:w="172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Below 40%</w:t>
            </w:r>
          </w:p>
        </w:tc>
        <w:tc>
          <w:tcPr>
            <w:tcW w:type="dxa" w:w="576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Mindset-first content. Address scarcity beliefs. Show what's possible.</w:t>
            </w:r>
          </w:p>
        </w:tc>
      </w:tr>
      <w:tr>
        <w:tc>
          <w:tcPr>
            <w:tcW w:type="dxa" w:w="187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Building</w:t>
            </w:r>
          </w:p>
        </w:tc>
        <w:tc>
          <w:tcPr>
            <w:tcW w:type="dxa" w:w="1728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40% – 74%</w:t>
            </w:r>
          </w:p>
        </w:tc>
        <w:tc>
          <w:tcPr>
            <w:tcW w:type="dxa" w:w="576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Business + visibility focus. Show how YogaPros fills their specific gaps.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Advanced</w:t>
            </w:r>
          </w:p>
        </w:tc>
        <w:tc>
          <w:tcPr>
            <w:tcW w:type="dxa" w:w="1728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75%+</w:t>
            </w:r>
          </w:p>
        </w:tc>
        <w:tc>
          <w:tcPr>
            <w:tcW w:type="dxa" w:w="576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Direct Professional membership invitation. They're ready.</w:t>
            </w:r>
          </w:p>
        </w:tc>
      </w:tr>
    </w:tbl>
    <w:p/>
    <w:p>
      <w:pPr>
        <w:spacing w:after="120"/>
      </w:pPr>
      <w:r>
        <w:rPr>
          <w:rFonts w:ascii="Montserrat" w:hAnsi="Montserrat"/>
          <w:b/>
          <w:color w:val="261F46"/>
          <w:sz w:val="22"/>
        </w:rPr>
        <w:t>Gap-Specific Workflows</w:t>
      </w:r>
    </w:p>
    <w:p>
      <w:pPr>
        <w:pStyle w:val="ListBullet"/>
        <w:spacing w:after="60"/>
      </w:pPr>
      <w:r>
        <w:rPr>
          <w:rFonts w:ascii="Montserrat" w:hAnsi="Montserrat"/>
          <w:b/>
          <w:color w:val="333333"/>
          <w:sz w:val="20"/>
        </w:rPr>
        <w:t xml:space="preserve"> → Immediate email about insurance coverage included in Professional membership</w:t>
      </w:r>
      <w:r>
        <w:rPr>
          <w:rFonts w:ascii="Montserrat" w:hAnsi="Montserrat"/>
          <w:color w:val="666666"/>
          <w:sz w:val="20"/>
        </w:rPr>
        <w:t>Safety score &lt; 50%</w:t>
      </w:r>
    </w:p>
    <w:p>
      <w:pPr>
        <w:pStyle w:val="ListBullet"/>
        <w:spacing w:after="60"/>
      </w:pPr>
      <w:r>
        <w:rPr>
          <w:rFonts w:ascii="Montserrat" w:hAnsi="Montserrat"/>
          <w:b/>
          <w:color w:val="333333"/>
          <w:sz w:val="20"/>
        </w:rPr>
        <w:t xml:space="preserve"> → Scarcity-to-abundance content series</w:t>
      </w:r>
      <w:r>
        <w:rPr>
          <w:rFonts w:ascii="Montserrat" w:hAnsi="Montserrat"/>
          <w:color w:val="666666"/>
          <w:sz w:val="20"/>
        </w:rPr>
        <w:t>Mindset score &lt; 40%</w:t>
      </w:r>
    </w:p>
    <w:p>
      <w:pPr>
        <w:pStyle w:val="ListBullet"/>
        <w:spacing w:after="60"/>
      </w:pPr>
      <w:r>
        <w:rPr>
          <w:rFonts w:ascii="Montserrat" w:hAnsi="Montserrat"/>
          <w:b/>
          <w:color w:val="333333"/>
          <w:sz w:val="20"/>
        </w:rPr>
        <w:t xml:space="preserve"> → "Beyond Trading Hours for Money" content</w:t>
      </w:r>
      <w:r>
        <w:rPr>
          <w:rFonts w:ascii="Montserrat" w:hAnsi="Montserrat"/>
          <w:color w:val="666666"/>
          <w:sz w:val="20"/>
        </w:rPr>
        <w:t>Business score &lt; 40%</w:t>
      </w:r>
    </w:p>
    <w:p>
      <w:pPr>
        <w:pStyle w:val="ListBullet"/>
        <w:spacing w:after="60"/>
      </w:pPr>
      <w:r>
        <w:rPr>
          <w:rFonts w:ascii="Montserrat" w:hAnsi="Montserrat"/>
          <w:b/>
          <w:color w:val="333333"/>
          <w:sz w:val="20"/>
        </w:rPr>
        <w:t xml:space="preserve"> → "What Professional Accreditation Actually Does For You" email</w:t>
      </w:r>
      <w:r>
        <w:rPr>
          <w:rFonts w:ascii="Montserrat" w:hAnsi="Montserrat"/>
          <w:color w:val="666666"/>
          <w:sz w:val="20"/>
        </w:rPr>
        <w:t>No accreditation (Q3)</w:t>
      </w:r>
    </w:p>
    <w:p>
      <w:pPr>
        <w:pStyle w:val="ListBullet"/>
        <w:spacing w:after="60"/>
      </w:pPr>
      <w:r>
        <w:rPr>
          <w:rFonts w:ascii="Montserrat" w:hAnsi="Montserrat"/>
          <w:b/>
          <w:color w:val="333333"/>
          <w:sz w:val="20"/>
        </w:rPr>
        <w:t xml:space="preserve"> → "One Incident Could Derail Everything" email with insurance info</w:t>
      </w:r>
      <w:r>
        <w:rPr>
          <w:rFonts w:ascii="Montserrat" w:hAnsi="Montserrat"/>
          <w:color w:val="666666"/>
          <w:sz w:val="20"/>
        </w:rPr>
        <w:t>No insurance (Q11)</w:t>
      </w:r>
    </w:p>
    <w:p/>
    <w:p>
      <w:pPr>
        <w:spacing w:after="120"/>
      </w:pPr>
      <w:r>
        <w:rPr>
          <w:rFonts w:ascii="Montserrat" w:hAnsi="Montserrat"/>
          <w:b/>
          <w:color w:val="261F46"/>
          <w:sz w:val="22"/>
        </w:rPr>
        <w:t>Workflow Setup: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Go to Automation → Workflows → Create Workflow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Trigger: Contact property "readiness_tier" is known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Branch by: readiness_tier equals "Foundation" / "Building" / "Advanced"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Add email actions for each branch</w:t>
      </w:r>
    </w:p>
    <w:p>
      <w:r>
        <w:br w:type="page"/>
      </w:r>
    </w:p>
    <w:p>
      <w:pPr>
        <w:pStyle w:val="Heading1"/>
      </w:pPr>
      <w:r>
        <w:t>Step 8: Reporting Ideas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With all this data on every contact, you can build powerful reports:</w:t>
      </w:r>
    </w:p>
    <w:p/>
    <w:p>
      <w:pPr>
        <w:pStyle w:val="ListBullet"/>
        <w:spacing w:after="60"/>
      </w:pPr>
      <w:r>
        <w:rPr>
          <w:rFonts w:ascii="Montserrat" w:hAnsi="Montserrat"/>
          <w:b/>
          <w:color w:val="333333"/>
          <w:sz w:val="20"/>
        </w:rPr>
        <w:t xml:space="preserve"> — what % of quiz takers are Foundation vs Building vs Advanced?</w:t>
      </w:r>
      <w:r>
        <w:rPr>
          <w:rFonts w:ascii="Montserrat" w:hAnsi="Montserrat"/>
          <w:color w:val="666666"/>
          <w:sz w:val="20"/>
        </w:rPr>
        <w:t>Distribution of readiness tiers</w:t>
      </w:r>
    </w:p>
    <w:p>
      <w:pPr>
        <w:pStyle w:val="ListBullet"/>
        <w:spacing w:after="60"/>
      </w:pPr>
      <w:r>
        <w:rPr>
          <w:rFonts w:ascii="Montserrat" w:hAnsi="Montserrat"/>
          <w:b/>
          <w:color w:val="333333"/>
          <w:sz w:val="20"/>
        </w:rPr>
        <w:t xml:space="preserve"> — which pillar scores lowest on average?</w:t>
      </w:r>
      <w:r>
        <w:rPr>
          <w:rFonts w:ascii="Montserrat" w:hAnsi="Montserrat"/>
          <w:color w:val="666666"/>
          <w:sz w:val="20"/>
        </w:rPr>
        <w:t>Most common weakness</w:t>
      </w:r>
    </w:p>
    <w:p>
      <w:pPr>
        <w:pStyle w:val="ListBullet"/>
        <w:spacing w:after="60"/>
      </w:pPr>
      <w:r>
        <w:rPr>
          <w:rFonts w:ascii="Montserrat" w:hAnsi="Montserrat"/>
          <w:b/>
          <w:color w:val="333333"/>
          <w:sz w:val="20"/>
        </w:rPr>
        <w:t xml:space="preserve"> — what % of quiz takers have no insurance? (Content marketing goldmine)</w:t>
      </w:r>
      <w:r>
        <w:rPr>
          <w:rFonts w:ascii="Montserrat" w:hAnsi="Montserrat"/>
          <w:color w:val="666666"/>
          <w:sz w:val="20"/>
        </w:rPr>
        <w:t>Insurance gap</w:t>
      </w:r>
    </w:p>
    <w:p>
      <w:pPr>
        <w:pStyle w:val="ListBullet"/>
        <w:spacing w:after="60"/>
      </w:pPr>
      <w:r>
        <w:rPr>
          <w:rFonts w:ascii="Montserrat" w:hAnsi="Montserrat"/>
          <w:b/>
          <w:color w:val="333333"/>
          <w:sz w:val="20"/>
        </w:rPr>
        <w:t xml:space="preserve"> — which readiness tier converts to Professional membership most?</w:t>
      </w:r>
      <w:r>
        <w:rPr>
          <w:rFonts w:ascii="Montserrat" w:hAnsi="Montserrat"/>
          <w:color w:val="666666"/>
          <w:sz w:val="20"/>
        </w:rPr>
        <w:t>Conversion by tier</w:t>
      </w:r>
    </w:p>
    <w:p>
      <w:pPr>
        <w:pStyle w:val="ListBullet"/>
        <w:spacing w:after="60"/>
      </w:pPr>
      <w:r>
        <w:rPr>
          <w:rFonts w:ascii="Montserrat" w:hAnsi="Montserrat"/>
          <w:b/>
          <w:color w:val="333333"/>
          <w:sz w:val="20"/>
        </w:rPr>
        <w:t xml:space="preserve"> — does mindset score predict conversion to paid membership?</w:t>
      </w:r>
      <w:r>
        <w:rPr>
          <w:rFonts w:ascii="Montserrat" w:hAnsi="Montserrat"/>
          <w:color w:val="666666"/>
          <w:sz w:val="20"/>
        </w:rPr>
        <w:t>Mindset as predictor</w:t>
      </w:r>
    </w:p>
    <w:p>
      <w:pPr>
        <w:pStyle w:val="ListBullet"/>
        <w:spacing w:after="60"/>
      </w:pPr>
      <w:r>
        <w:rPr>
          <w:rFonts w:ascii="Montserrat" w:hAnsi="Montserrat"/>
          <w:b/>
          <w:color w:val="333333"/>
          <w:sz w:val="20"/>
        </w:rPr>
        <w:t xml:space="preserve"> — are Trainers scoring differently from Teachers?</w:t>
      </w:r>
      <w:r>
        <w:rPr>
          <w:rFonts w:ascii="Montserrat" w:hAnsi="Montserrat"/>
          <w:color w:val="666666"/>
          <w:sz w:val="20"/>
        </w:rPr>
        <w:t>Role breakdown</w:t>
      </w:r>
    </w:p>
    <w:p/>
    <w:p>
      <w:pPr>
        <w:spacing w:after="120"/>
      </w:pPr>
      <w:r>
        <w:rPr>
          <w:rFonts w:ascii="Montserrat" w:hAnsi="Montserrat"/>
          <w:b w:val="0"/>
          <w:color w:val="666666"/>
          <w:sz w:val="18"/>
        </w:rPr>
        <w:t>Go to Reports → Create Report → Custom Report → filter by any readiness property.</w:t>
      </w:r>
    </w:p>
    <w:p>
      <w:r>
        <w:br w:type="page"/>
      </w:r>
    </w:p>
    <w:p>
      <w:pPr>
        <w:pStyle w:val="Heading1"/>
      </w:pPr>
      <w:r>
        <w:t>Appendix: Properties Checklist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Use this checklist when creating properties. Tick each off as you go: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☐</w:t>
            </w:r>
          </w:p>
        </w:tc>
        <w:tc>
          <w:tcPr>
            <w:tcW w:type="dxa" w:w="3600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Internal Name</w:t>
            </w:r>
          </w:p>
        </w:tc>
        <w:tc>
          <w:tcPr>
            <w:tcW w:type="dxa" w:w="4032"/>
            <w:shd w:fill="261f46" w:color="auto" w:val="clear"/>
          </w:tcPr>
          <w:p>
            <w:r/>
            <w:r>
              <w:rPr>
                <w:rFonts w:ascii="Montserrat" w:hAnsi="Montserrat"/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readiness_role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Role</w:t>
            </w:r>
          </w:p>
        </w:tc>
      </w:tr>
      <w:tr>
        <w:tc>
          <w:tcPr>
            <w:tcW w:type="dxa" w:w="576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readiness_score</w:t>
            </w:r>
          </w:p>
        </w:tc>
        <w:tc>
          <w:tcPr>
            <w:tcW w:type="dxa" w:w="403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Overall Score (%)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readiness_tier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Tier</w:t>
            </w:r>
          </w:p>
        </w:tc>
      </w:tr>
      <w:tr>
        <w:tc>
          <w:tcPr>
            <w:tcW w:type="dxa" w:w="576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readiness_teaching_score</w:t>
            </w:r>
          </w:p>
        </w:tc>
        <w:tc>
          <w:tcPr>
            <w:tcW w:type="dxa" w:w="403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Teaching Score (%)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readiness_teaching_level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Teaching Level</w:t>
            </w:r>
          </w:p>
        </w:tc>
      </w:tr>
      <w:tr>
        <w:tc>
          <w:tcPr>
            <w:tcW w:type="dxa" w:w="576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readiness_business_score</w:t>
            </w:r>
          </w:p>
        </w:tc>
        <w:tc>
          <w:tcPr>
            <w:tcW w:type="dxa" w:w="403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Business Score (%)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readiness_business_level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Business Level</w:t>
            </w:r>
          </w:p>
        </w:tc>
      </w:tr>
      <w:tr>
        <w:tc>
          <w:tcPr>
            <w:tcW w:type="dxa" w:w="576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readiness_mindset_score</w:t>
            </w:r>
          </w:p>
        </w:tc>
        <w:tc>
          <w:tcPr>
            <w:tcW w:type="dxa" w:w="403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Mindset Score (%)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readiness_mindset_level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Mindset Level</w:t>
            </w:r>
          </w:p>
        </w:tc>
      </w:tr>
      <w:tr>
        <w:tc>
          <w:tcPr>
            <w:tcW w:type="dxa" w:w="576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readiness_safety_score</w:t>
            </w:r>
          </w:p>
        </w:tc>
        <w:tc>
          <w:tcPr>
            <w:tcW w:type="dxa" w:w="403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Safety Score (%)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readiness_safety_level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Readiness: Safety Level</w:t>
            </w:r>
          </w:p>
        </w:tc>
      </w:tr>
      <w:tr>
        <w:tc>
          <w:tcPr>
            <w:tcW w:type="dxa" w:w="576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readiness_q1_experience</w:t>
            </w:r>
          </w:p>
        </w:tc>
        <w:tc>
          <w:tcPr>
            <w:tcW w:type="dxa" w:w="403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Q1: Teaching Experience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readiness_q2_cpd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Q2: CPD</w:t>
            </w:r>
          </w:p>
        </w:tc>
      </w:tr>
      <w:tr>
        <w:tc>
          <w:tcPr>
            <w:tcW w:type="dxa" w:w="576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readiness_q3_accreditation</w:t>
            </w:r>
          </w:p>
        </w:tc>
        <w:tc>
          <w:tcPr>
            <w:tcW w:type="dxa" w:w="403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Q3: Accreditation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readiness_q4_income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Q4: Income</w:t>
            </w:r>
          </w:p>
        </w:tc>
      </w:tr>
      <w:tr>
        <w:tc>
          <w:tcPr>
            <w:tcW w:type="dxa" w:w="576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readiness_q5_model</w:t>
            </w:r>
          </w:p>
        </w:tc>
        <w:tc>
          <w:tcPr>
            <w:tcW w:type="dxa" w:w="403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Q5: Business Model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readiness_q6_pricing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Q6: Pricing Confidence</w:t>
            </w:r>
          </w:p>
        </w:tc>
      </w:tr>
      <w:tr>
        <w:tc>
          <w:tcPr>
            <w:tcW w:type="dxa" w:w="576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readiness_q7_visibility</w:t>
            </w:r>
          </w:p>
        </w:tc>
        <w:tc>
          <w:tcPr>
            <w:tcW w:type="dxa" w:w="403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Q7: Visibility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readiness_q8_money_beliefs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Q8: Money Beliefs</w:t>
            </w:r>
          </w:p>
        </w:tc>
      </w:tr>
      <w:tr>
        <w:tc>
          <w:tcPr>
            <w:tcW w:type="dxa" w:w="576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readiness_q9_investment</w:t>
            </w:r>
          </w:p>
        </w:tc>
        <w:tc>
          <w:tcPr>
            <w:tcW w:type="dxa" w:w="403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Q9: Career Investment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readiness_q10_industry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Q10: Industry Outlook</w:t>
            </w:r>
          </w:p>
        </w:tc>
      </w:tr>
      <w:tr>
        <w:tc>
          <w:tcPr>
            <w:tcW w:type="dxa" w:w="576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readiness_q11_insurance</w:t>
            </w:r>
          </w:p>
        </w:tc>
        <w:tc>
          <w:tcPr>
            <w:tcW w:type="dxa" w:w="4032"/>
            <w:shd w:fill="F6F5FF" w:color="auto" w:val="clear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Q11: Insurance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☐</w:t>
            </w:r>
          </w:p>
        </w:tc>
        <w:tc>
          <w:tcPr>
            <w:tcW w:type="dxa" w:w="3600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readiness_q12_protection</w:t>
            </w:r>
          </w:p>
        </w:tc>
        <w:tc>
          <w:tcPr>
            <w:tcW w:type="dxa" w:w="4032"/>
          </w:tcPr>
          <w:p>
            <w:r/>
            <w:r>
              <w:rPr>
                <w:rFonts w:ascii="Montserrat" w:hAnsi="Montserrat"/>
                <w:color w:val="333333"/>
                <w:sz w:val="17"/>
              </w:rPr>
              <w:t>Q12: Protection Level</w:t>
            </w:r>
          </w:p>
        </w:tc>
      </w:tr>
    </w:tbl>
    <w:p>
      <w:r>
        <w:br w:type="page"/>
      </w:r>
    </w:p>
    <w:p>
      <w:pPr>
        <w:pStyle w:val="Heading1"/>
      </w:pPr>
      <w:r>
        <w:t>Appendix: Files Included</w:t>
      </w:r>
    </w:p>
    <w:p>
      <w:pPr>
        <w:spacing w:after="120"/>
      </w:pPr>
      <w:r>
        <w:rPr>
          <w:rFonts w:ascii="Montserrat" w:hAnsi="Montserrat"/>
          <w:b w:val="0"/>
          <w:color w:val="333333"/>
          <w:sz w:val="20"/>
        </w:rPr>
        <w:t>You should have received two files alongside this document:</w:t>
      </w:r>
    </w:p>
    <w:p/>
    <w:p>
      <w:pPr>
        <w:spacing w:after="120"/>
      </w:pPr>
      <w:r>
        <w:rPr>
          <w:rFonts w:ascii="Montserrat" w:hAnsi="Montserrat"/>
          <w:b/>
          <w:color w:val="261F46"/>
          <w:sz w:val="22"/>
        </w:rPr>
        <w:t>readiness-check-hubspot.html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The complete quiz page with HubSpot Forms API integration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New YogaPros brand (Navy, Orange, Sage, Lavender)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Instrument Serif headlines, Montserrat body text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12 questions, instant results, background HubSpot submission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Two values to update: HUBSPOT_PORTAL_ID and HUBSPOT_FORM_GUID</w:t>
      </w:r>
    </w:p>
    <w:p/>
    <w:p>
      <w:pPr>
        <w:spacing w:after="120"/>
      </w:pPr>
      <w:r>
        <w:rPr>
          <w:rFonts w:ascii="Montserrat" w:hAnsi="Montserrat"/>
          <w:b/>
          <w:color w:val="261F46"/>
          <w:sz w:val="22"/>
        </w:rPr>
        <w:t>This document (HubSpot Integration Guide)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Step-by-step setup instructions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Properties checklist</w:t>
      </w:r>
    </w:p>
    <w:p>
      <w:pPr>
        <w:pStyle w:val="ListBullet"/>
        <w:spacing w:after="60"/>
      </w:pPr>
      <w:r>
        <w:rPr>
          <w:rFonts w:ascii="Montserrat" w:hAnsi="Montserrat"/>
          <w:color w:val="333333"/>
          <w:sz w:val="20"/>
        </w:rPr>
        <w:t>Workflow recommendations</w:t>
      </w:r>
    </w:p>
    <w:p/>
    <w:p/>
    <w:p>
      <w:pPr>
        <w:spacing w:after="120"/>
        <w:jc w:val="center"/>
      </w:pPr>
      <w:r>
        <w:rPr>
          <w:rFonts w:ascii="Montserrat" w:hAnsi="Montserrat"/>
          <w:b w:val="0"/>
          <w:color w:val="666666"/>
          <w:sz w:val="20"/>
        </w:rPr>
        <w:t>Questions? Reach out to Bruce.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Montserrat" w:hAnsi="Montserrat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ontserrat" w:hAnsi="Montserrat"/>
      <w:b/>
      <w:bCs/>
      <w:color w:val="261F4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Montserrat" w:hAnsi="Montserrat"/>
      <w:b/>
      <w:bCs/>
      <w:color w:val="261F4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Montserrat" w:hAnsi="Montserrat"/>
      <w:b/>
      <w:bCs/>
      <w:color w:val="261F4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