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rPr>
          <w:b/>
          <w:bCs/>
          <w:color w:val="6B7280"/>
          <w:sz w:val="18"/>
          <w:szCs w:val="18"/>
        </w:rPr>
        <w:t xml:space="preserve">MONAD BLITZ JOGJA · 24 OKTOBER 2026</w:t>
      </w:r>
    </w:p>
    <w:p>
      <w:pPr>
        <w:spacing w:after="60"/>
      </w:pPr>
      <w:r>
        <w:rPr>
          <w:b/>
          <w:bCs/>
          <w:color w:val="C2410C"/>
          <w:sz w:val="72"/>
          <w:szCs w:val="72"/>
        </w:rPr>
        <w:t xml:space="preserve">AgMon</w:t>
      </w:r>
    </w:p>
    <w:p>
      <w:pPr>
        <w:spacing w:after="360"/>
      </w:pPr>
      <w:r>
        <w:rPr>
          <w:color w:val="1F2937"/>
          <w:sz w:val="32"/>
          <w:szCs w:val="32"/>
        </w:rPr>
        <w:t xml:space="preserve">Agni Monad</w:t>
      </w:r>
    </w:p>
    <w:p>
      <w:pPr>
        <w:spacing w:after="120"/>
      </w:pPr>
      <w:r>
        <w:rPr>
          <w:b/>
          <w:bCs/>
          <w:sz w:val="28"/>
          <w:szCs w:val="28"/>
        </w:rPr>
        <w:t xml:space="preserve">Dokumen kebutuhan produk (PRD)</w:t>
      </w:r>
    </w:p>
    <w:p>
      <w:pPr>
        <w:spacing w:after="120" w:line="288"/>
      </w:pPr>
      <w:r>
        <w:rPr>
          <w:color w:val="6B7280"/>
          <w:sz w:val="22"/>
          <w:szCs w:val="22"/>
        </w:rPr>
        <w:t xml:space="preserve">Alat regulator untuk mengikat setiap titik api ke pemegang izin. Datanya tercatat permanen di Monad, dan jaminan kebakaran dipotong begitu petugas lapangan mengonfirmasi.</w:t>
      </w:r>
    </w:p>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Butir</w:t>
            </w:r>
          </w:p>
        </w:tc>
        <w:tc>
          <w:tcPr>
            <w:tcW w:type="dxa" w:w="722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Keterangan</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Versi</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0.2, hasil diskusi atas komentar v0.1</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Tanggal</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Sabtu, 24 Oktober 2026, diperbarui sekitar pukul 11.00 WIB</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Asal nama</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Agni adalah dewa api dalam mitologi Hindu. Nama ini juga sejalan dengan Manggala Agni, brigade pengendalian kebakaran hutan Kementerian Kehutanan, yang di produk ini berperan sebagai verifikator.</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Nama lama</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JejakApi. Repo, README, dan UI masih memakai nama ini.</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Repo</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github.com/yogasamsu/monad-blitz (per 10.10 WIB masih privat)</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Acara</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Monad Blitz Jogja, 08.00 sampai 20.00 WIB. Pengumpulan dikunci pukul 16.45 WIB di blitz.devnads.com</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Pembagian kerja</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teknis dan video. Yoga: keputusan, kunci dompet dan deploy, posting media sosial, pitching.</w:t>
            </w:r>
          </w:p>
        </w:tc>
      </w:tr>
    </w:tbl>
    <w:p>
      <w:r>
        <w:br w:type="page"/>
      </w:r>
    </w:p>
    <w:p>
      <w:pPr>
        <w:spacing w:after="200"/>
      </w:pPr>
      <w:r>
        <w:rPr>
          <w:b/>
          <w:bCs/>
          <w:sz w:val="32"/>
          <w:szCs w:val="32"/>
        </w:rPr>
        <w:t xml:space="preserve">Daftar isi</w:t>
      </w:r>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Perubahan dari v0.1</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Ringkasan</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Posisi hari ini</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Keputusan yang sudah diambil</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Yang masih terbuka</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Peta skor penjurian</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Rencana kerja sampai 16.45 WIB</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4. Masalah</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Skala kerugian</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Akar masalah</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5. Solusi dan cara kerja</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Prinsip</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Alur</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Arsitektur</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Kenapa Monad</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6. Sumber data izin dan pemetaannya</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Sumber data</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Langkah pemetaan</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7. Aliran uang jaminan</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8. Pengguna dan pemangku kepentingan</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9. User journey</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A. Juri dan masyarakat: dari tautan ke bukti</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B. Kemenhut: dari peta izin ke pencairan</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C. Verifikator Manggala Agni: dari notifikasi ke keputusan</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D. Pemegang izin: dari syarat izin ke jaminan kembali</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10. Aspek regulasi</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Dasar hukum yang relevan</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Posisi terhadap SiPongi</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Kedaulatan data dan sensitivitas blockchain</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11. Arahan desain antarmuka</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Warna</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Huruf</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Efek api dan layar gosong</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12. Kebutuhan fungsional dan nonfungsional</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13. Aspek komersial</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Siapa yang paling butuh</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Model pendapatan</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Ilustrasi satu provinsi</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Strategi masuk pasar</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Pembeda</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Hipotesis product-market fit</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14. Risiko dan mitigasi</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Risiko produk dan kebijakan</w:t>
            </w:r>
            <w:r>
              <w:tab/>
            </w:r>
            <w:r>
              <w:fldChar w:fldCharType="begin" w:dirty="true"/>
              <w:instrText xml:space="preserve">PAGEREF _Toc43 \h</w:instrText>
              <w:fldChar w:fldCharType="separate"/>
              <w:fldChar w:fldCharType="end"/>
            </w:r>
          </w:hyperlink>
        </w:p>
        <w:p>
          <w:pPr>
            <w:pStyle w:val="TOC2"/>
            <w:tabs>
              <w:tab w:val="right" w:pos="9638" w:leader="dot"/>
            </w:tabs>
          </w:pPr>
          <w:hyperlink w:history="1" w:anchor="_Toc44">
            <w:r>
              <w:t xml:space="preserve">Risiko hari ini</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15. Bottleneck dan strategi</w:t>
            </w:r>
            <w:r>
              <w:tab/>
            </w:r>
            <w:r>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16. Metrik keberhasilan</w:t>
            </w:r>
            <w:r>
              <w:tab/>
            </w:r>
            <w:r>
              <w:fldChar w:fldCharType="begin" w:dirty="true"/>
              <w:instrText xml:space="preserve">PAGEREF _Toc46 \h</w:instrText>
              <w:fldChar w:fldCharType="separate"/>
              <w:fldChar w:fldCharType="end"/>
            </w:r>
          </w:hyperlink>
        </w:p>
        <w:p>
          <w:pPr>
            <w:pStyle w:val="TOC2"/>
            <w:tabs>
              <w:tab w:val="right" w:pos="9638" w:leader="dot"/>
            </w:tabs>
          </w:pPr>
          <w:hyperlink w:history="1" w:anchor="_Toc47">
            <w:r>
              <w:t xml:space="preserve">Hari ini</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Pilot</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17. Naskah demo dan build in public</w:t>
            </w:r>
            <w:r>
              <w:tab/>
            </w:r>
            <w:r>
              <w:fldChar w:fldCharType="begin" w:dirty="true"/>
              <w:instrText xml:space="preserve">PAGEREF _Toc49 \h</w:instrText>
              <w:fldChar w:fldCharType="separate"/>
              <w:fldChar w:fldCharType="end"/>
            </w:r>
          </w:hyperlink>
        </w:p>
        <w:p>
          <w:pPr>
            <w:pStyle w:val="TOC2"/>
            <w:tabs>
              <w:tab w:val="right" w:pos="9638" w:leader="dot"/>
            </w:tabs>
          </w:pPr>
          <w:hyperlink w:history="1" w:anchor="_Toc50">
            <w:r>
              <w:t xml:space="preserve">Pitch tiga menit</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Rencana posting</w:t>
            </w:r>
            <w:r>
              <w:tab/>
            </w:r>
            <w:r>
              <w:fldChar w:fldCharType="begin" w:dirty="true"/>
              <w:instrText xml:space="preserve">PAGEREF _Toc51 \h</w:instrText>
              <w:fldChar w:fldCharType="separate"/>
              <w:fldChar w:fldCharType="end"/>
            </w:r>
          </w:hyperlink>
        </w:p>
        <w:p>
          <w:pPr>
            <w:pStyle w:val="TOC2"/>
            <w:tabs>
              <w:tab w:val="right" w:pos="9638" w:leader="dot"/>
            </w:tabs>
          </w:pPr>
          <w:hyperlink w:history="1" w:anchor="_Toc52">
            <w:r>
              <w:t xml:space="preserve">Konsep video iklan</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18. Di luar cakupan hari ini</w:t>
            </w:r>
            <w:r>
              <w:tab/>
            </w:r>
            <w:r>
              <w:fldChar w:fldCharType="begin" w:dirty="true"/>
              <w:instrText xml:space="preserve">PAGEREF _Toc53 \h</w:instrText>
              <w:fldChar w:fldCharType="separate"/>
              <w:fldChar w:fldCharType="end"/>
            </w:r>
          </w:hyperlink>
        </w:p>
        <w:p>
          <w:pPr>
            <w:pStyle w:val="TOC1"/>
            <w:tabs>
              <w:tab w:val="right" w:pos="9638" w:leader="dot"/>
            </w:tabs>
          </w:pPr>
          <w:hyperlink w:history="1" w:anchor="_Toc54">
            <w:r>
              <w:t xml:space="preserve">19. Pertanyaan terbuka</w:t>
            </w:r>
            <w:r>
              <w:tab/>
            </w:r>
            <w:r>
              <w:fldChar w:fldCharType="begin" w:dirty="true"/>
              <w:instrText xml:space="preserve">PAGEREF _Toc54 \h</w:instrText>
              <w:fldChar w:fldCharType="separate"/>
              <w:fldChar w:fldCharType="end"/>
            </w:r>
          </w:hyperlink>
        </w:p>
        <w:p>
          <w:pPr>
            <w:pStyle w:val="TOC1"/>
            <w:tabs>
              <w:tab w:val="right" w:pos="9638" w:leader="dot"/>
            </w:tabs>
          </w:pPr>
          <w:hyperlink w:history="1" w:anchor="_Toc55">
            <w:r>
              <w:t xml:space="preserve">Lampiran A. Parameter kontrak dan biaya gas</w:t>
            </w:r>
            <w:r>
              <w:tab/>
            </w:r>
            <w:r>
              <w:fldChar w:fldCharType="begin" w:dirty="true"/>
              <w:instrText xml:space="preserve">PAGEREF _Toc55 \h</w:instrText>
              <w:fldChar w:fldCharType="separate"/>
              <w:fldChar w:fldCharType="end"/>
            </w:r>
          </w:hyperlink>
        </w:p>
        <w:p>
          <w:pPr>
            <w:pStyle w:val="TOC1"/>
            <w:tabs>
              <w:tab w:val="right" w:pos="9638" w:leader="dot"/>
            </w:tabs>
          </w:pPr>
          <w:hyperlink w:history="1" w:anchor="_Toc56">
            <w:r>
              <w:t xml:space="preserve">Lampiran B. Glosarium</w:t>
            </w:r>
            <w:r>
              <w:tab/>
            </w:r>
            <w:r>
              <w:fldChar w:fldCharType="begin" w:dirty="true"/>
              <w:instrText xml:space="preserve">PAGEREF _Toc56 \h</w:instrText>
              <w:fldChar w:fldCharType="separate"/>
              <w:fldChar w:fldCharType="end"/>
            </w:r>
          </w:hyperlink>
        </w:p>
        <w:p>
          <w:r>
            <w:fldChar w:fldCharType="end"/>
          </w:r>
        </w:p>
      </w:sdtContent>
    </w:sdt>
    <w:p>
      <w:pPr>
        <w:spacing w:after="120" w:line="288"/>
      </w:pPr>
      <w:r>
        <w:rPr>
          <w:color w:val="6B7280"/>
          <w:sz w:val="18"/>
          <w:szCs w:val="18"/>
        </w:rPr>
        <w:t xml:space="preserve">Kalau daftar isi kosong, buka di Word lalu klik kanan di area ini dan pilih Update Field.</w:t>
      </w:r>
    </w:p>
    <w:p>
      <w:pPr>
        <w:pStyle w:val="Heading1"/>
        <w:pageBreakBefore/>
      </w:pPr>
      <w:bookmarkStart w:name="_Toc1" w:id="1"/>
      <w:r>
        <w:t xml:space="preserve">Perubahan dari v0.1</w:t>
      </w:r>
      <w:bookmarkEnd w:id="1"/>
    </w:p>
    <w:p>
      <w:pPr>
        <w:spacing w:after="120" w:line="288"/>
      </w:pPr>
      <w:r>
        <w:t xml:space="preserve">Setiap baris menjawab satu komentar di v0.1. File v0.1 yang berisi komentar tetap disimpan sebagai PRD-AgMon.docx.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4"/>
        <w:gridCol w:w="5622"/>
        <w:gridCol w:w="1072"/>
      </w:tblGrid>
      <w:tr>
        <w:trPr>
          <w:tblHeader/>
        </w:trPr>
        <w:tc>
          <w:tcPr>
            <w:tcW w:type="dxa" w:w="294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Komentar</w:t>
            </w:r>
          </w:p>
        </w:tc>
        <w:tc>
          <w:tcPr>
            <w:tcW w:type="dxa" w:w="562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dan perubahan</w:t>
            </w:r>
          </w:p>
        </w:tc>
        <w:tc>
          <w:tcPr>
            <w:tcW w:type="dxa" w:w="107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Bagian</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Apa dampak ganti nama hanya di permukaan?</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Kecil. Kontrak tetap bernama FireBond, jadi ABI dan kode tidak berubah. GitHub otomatis mengalihkan URL repo lama. Dampaknya hanya kesan tidak konsisten kalau juri membuka kode dan melihat nama FireBond atau jejakapi.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Mainnet: ok</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Tetap opsional. Hanya dikerjakan kalau semua poin Basic dan Advance aman pada 15.15.</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Peran: Claude urus teknis dan video</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Kolom PJ di rencana kerja sudah diisi.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Dari mana data konsesi? Data dummy dengan asumsi Dinas Kehutanan menyediakan?</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Sumber utama: peta izin PBPH dari Kementerian Kehutanan. Untuk sawit di luar kawasan hutan: data HGU dari ATR/BPN. Dinas Kehutanan provinsi dan KPH menjadi mitra lapangan. Hari ini memakai data dummy.</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6</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Atau dari Kementerian Kehutanan. Bagaimana pemetaannya?</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Poligon izin diubah menjadi daftar sel H3 resolusi 7, lalu didaftarkan ke kontrak. Langkahnya ada di bagian 6.</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6</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Kok tiba-tiba ada uang? Dari mana?</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disetor di muka oleh pemegang izin sebagai syarat izin, polanya sama dengan jaminan reklamasi tambang. Di produksi, uangnya tetap di bank (bank garansi), dan chain menjadi catatan serta pemicu pencairan.</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7</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Kok tidak ada pemerintah?</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Pemerintah sekarang menjadi aktor utama: Kemenhut sebagai regulator, Manggala Agni dan Polhut sebagai verifikator, BPDLH sebagai pengelola dana restorasi.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Pengelola dana restorasi: siapa ini?</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BPDLH (Badan Pengelola Dana Lingkungan Hidup) di skenario produksi. Di demo, satu dompet berlabel Dana Restorasi.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Verifikator: siapa dia?</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Manggala Agni dan Polisi Kehutanan, dibantu Masyarakat Peduli Api (MPA) binaan Manggala Agni.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8, 9</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Bagaimana aspek regulator?</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Bagian baru tentang dasar hukum dan posisi AgMon terhadap SiPongi.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10</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Yang membayar seharusnya pemerintah dan pemegang konsesi</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Model pendapatan diubah: pemerintah membayar platform, pemegang izin menyetor jaminan dan membayar biaya administrasi.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Strategi masuk pasar: dekati Kementerian Kehutanan</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Strategi dimulai dari Kemenhut dengan pilot satu provinsi.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Pengembang karbon: siapa? Yang butuh pemerintah dan masyarakat</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Pengembang karbon adalah perusahaan pengelola proyek kredit karbon. Sekarang diturunkan menjadi konsumen data sekunder. Masyarakat menjadi pengawas lewat dasbor publik.</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8, 13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Arahan UI: putih-oranye, efek api di bawah layar</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Bagian baru tentang arahan desain. Tinggi api mengikuti jumlah insiden.</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w:t>
            </w:r>
          </w:p>
        </w:tc>
      </w:tr>
    </w:tbl>
    <w:p>
      <w:pPr>
        <w:pStyle w:val="Heading1"/>
        <w:pageBreakBefore/>
      </w:pPr>
      <w:bookmarkStart w:name="_Toc2" w:id="2"/>
      <w:r>
        <w:t xml:space="preserve">1. Ringkasan</w:t>
      </w:r>
      <w:bookmarkEnd w:id="2"/>
    </w:p>
    <w:p>
      <w:pPr>
        <w:spacing w:after="120" w:line="288"/>
      </w:pPr>
      <w:r>
        <w:t xml:space="preserve">Kementerian Kehutanan sudah bisa melihat titik api lewat SiPongi, yang memakai data satelit seperti VIIRS milik NASA. Yang belum ada adalah rantai sebab akibat yang cepat: dari titik api, ke pemegang izin yang bertanggung jawab, ke konsekuensi finansial. Saat ini rantai itu bergantung pada proses hukum yang bisa memakan waktu bertahun-tahun, dan datanya bisa dibantah.</w:t>
      </w:r>
    </w:p>
    <w:p>
      <w:pPr>
        <w:spacing w:after="120" w:line="288"/>
      </w:pPr>
      <w:r>
        <w:rPr>
          <w:b/>
          <w:bCs/>
        </w:rPr>
        <w:t xml:space="preserve">AgMon</w:t>
      </w:r>
      <w:r>
        <w:t xml:space="preserve"> adalah alat regulator untuk memendekkan rantai itu. Kemenhut mendaftarkan batas izin dan mewajibkan jaminan kebakaran. Setiap titik api yang jatuh di dalam izin langsung tercatat atas nama pemegangnya, dengan sidik jari data yang tersimpan permanen di Monad. Begitu Manggala Agni mengonfirmasi di lapangan, 20% jaminan dicairkan ke dana restorasi. Masyarakat bisa memeriksa semuanya lewat dasbor publik.</w:t>
      </w:r>
    </w:p>
    <w:p>
      <w:pPr>
        <w:pStyle w:val="Heading2"/>
        <w:keepNext/>
      </w:pPr>
      <w:bookmarkStart w:name="_Toc3" w:id="3"/>
      <w:r>
        <w:t xml:space="preserve">Posisi hari ini</w:t>
      </w:r>
      <w:bookmarkEnd w:id="3"/>
    </w:p>
    <w:p>
      <w:pPr>
        <w:pStyle w:val="ListParagraph"/>
        <w:numPr>
          <w:ilvl w:val="0"/>
          <w:numId w:val="2"/>
        </w:numPr>
        <w:spacing w:after="60" w:line="276"/>
      </w:pPr>
      <w:r>
        <w:rPr>
          <w:b/>
          <w:bCs/>
        </w:rPr>
        <w:t xml:space="preserve">Sudah jalan:</w:t>
      </w:r>
      <w:r>
        <w:t xml:space="preserve"> kontrak FireBond dengan 18 tes Foundry lolos, oracle FIRMS, skema Supabase, dan dashboard Next.js dengan peta, tombol konfirmasi, serta cek integritas.</w:t>
      </w:r>
    </w:p>
    <w:p>
      <w:pPr>
        <w:pStyle w:val="ListParagraph"/>
        <w:numPr>
          <w:ilvl w:val="0"/>
          <w:numId w:val="2"/>
        </w:numPr>
        <w:spacing w:after="60" w:line="276"/>
      </w:pPr>
      <w:r>
        <w:rPr>
          <w:b/>
          <w:bCs/>
        </w:rPr>
        <w:t xml:space="preserve">Belum memenuhi syarat panitia:</w:t>
      </w:r>
      <w:r>
        <w:t xml:space="preserve"> repo masih privat, kontrak belum di-deploy pada hari acara, kontrak belum terverifikasi, README belum memuat URL live dan alamat kontrak, web publik belum dipastikan, dan belum ada posting media sosial.</w:t>
      </w:r>
    </w:p>
    <w:p>
      <w:pPr>
        <w:pStyle w:val="Heading2"/>
        <w:keepNext/>
      </w:pPr>
      <w:bookmarkStart w:name="_Toc4" w:id="4"/>
      <w:r>
        <w:t xml:space="preserve">Keputusan yang sudah diambil</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Topik</w:t>
            </w:r>
          </w:p>
        </w:tc>
        <w:tc>
          <w:tcPr>
            <w:tcW w:type="dxa" w:w="706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Keputusan</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Pengguna dan pembayar utama</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Pemerintah (Kemenhut dan pemerintah provinsi). Pemegang izin menyetor jaminan dan membayar biaya administrasi. Swasta lain menjadi konsumen data sekunder.</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hari ini</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Tidak diubah. Di demo, operator berperan sebagai Kemenhut dan menjalankan pendaftaran izin. Peran regulator di kontrak masuk roadmap.</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Bentuk uang jaminan di produksi</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 garansi atau rekening bersama. Chain menjadi catatan dan pemicu pencairan. Di demo memakai MON testnet yang tidak bernilai.</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api di UI</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 api mengikuti jumlah insiden Diduga, dan bekas gosong menebal saat ada kebakaran terkonfirmasi.</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Ganti nama</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Hanya di permukaan: judul web, README, nama repo. Kontrak dan nama paket tetap.</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Mainnet</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Opsional, hanya kalau semua poin lain aman pada 15.15.</w:t>
            </w:r>
          </w:p>
        </w:tc>
      </w:tr>
    </w:tbl>
    <w:p>
      <w:pPr>
        <w:pStyle w:val="Heading2"/>
        <w:keepNext/>
      </w:pPr>
      <w:bookmarkStart w:name="_Toc5" w:id="5"/>
      <w:r>
        <w:t xml:space="preserve">Yang masih terbuka</w:t>
      </w:r>
      <w:bookmarkEnd w:id="5"/>
    </w:p>
    <w:p>
      <w:pPr>
        <w:pStyle w:val="ListParagraph"/>
        <w:numPr>
          <w:ilvl w:val="0"/>
          <w:numId w:val="2"/>
        </w:numPr>
        <w:spacing w:after="60" w:line="276"/>
      </w:pPr>
      <w:r>
        <w:t xml:space="preserve">Domain untuk bonus 15 poin: nama dan siapa yang membayar.</w:t>
      </w:r>
    </w:p>
    <w:p>
      <w:pPr>
        <w:pStyle w:val="Heading1"/>
        <w:pageBreakBefore/>
      </w:pPr>
      <w:bookmarkStart w:name="_Toc6" w:id="6"/>
      <w:r>
        <w:t xml:space="preserve">2. Peta skor penjurian</w:t>
      </w:r>
      <w:bookmarkEnd w:id="6"/>
    </w:p>
    <w:p>
      <w:pPr>
        <w:spacing w:after="120" w:line="288"/>
      </w:pPr>
      <w:r>
        <w:t xml:space="preserve">Total ada 400 poin: Basic 100, Advance 200 (produk berjalan 100 dan build in public 100), Bonus 100. Tim boleh pitching tanpa poin Basic, tetapi tidak bisa menang. Yang terkumpul pukul 16.45 WIB itulah yang dinilai. Status dinilai dari isi repo pada 10.10 WIB.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8"/>
        <w:gridCol w:w="615"/>
        <w:gridCol w:w="2665"/>
        <w:gridCol w:w="2870"/>
        <w:gridCol w:w="1130"/>
      </w:tblGrid>
      <w:tr>
        <w:trPr>
          <w:tblHeader/>
        </w:trPr>
        <w:tc>
          <w:tcPr>
            <w:tcW w:type="dxa" w:w="235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Syarat</w:t>
            </w:r>
          </w:p>
        </w:tc>
        <w:tc>
          <w:tcPr>
            <w:tcW w:type="dxa" w:w="6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Poin</w:t>
            </w:r>
          </w:p>
        </w:tc>
        <w:tc>
          <w:tcPr>
            <w:tcW w:type="dxa" w:w="266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Kondisi sekarang</w:t>
            </w:r>
          </w:p>
        </w:tc>
        <w:tc>
          <w:tcPr>
            <w:tcW w:type="dxa" w:w="287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harus dikerjakan</w:t>
            </w:r>
          </w:p>
        </w:tc>
        <w:tc>
          <w:tcPr>
            <w:tcW w:type="dxa" w:w="113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Status</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Basic.</w:t>
            </w:r>
            <w:r>
              <w:rPr>
                <w:sz w:val="18"/>
                <w:szCs w:val="18"/>
              </w:rPr>
              <w:t xml:space="preserve"> Repo GitHub publik</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GitHub menjawab 404 tanpa login, artinya privat. Riwayat git bersih dari .env dan .wallets.json.</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Commit .gitignore, ganti nama repo ke agmon, jadikan publik.</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Basic.</w:t>
            </w:r>
            <w:r>
              <w:rPr>
                <w:sz w:val="18"/>
                <w:szCs w:val="18"/>
              </w:rPr>
              <w:t xml:space="preserve"> README memuat halaman live dan alamat kontrak</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README lengkap, tetapi masih JejakApi dan tanpa URL live atau alamat kontrak.</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Blok paling atas: URL live, alamat kontrak dengan tautan explorer, video demo.</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Basic.</w:t>
            </w:r>
            <w:r>
              <w:rPr>
                <w:sz w:val="18"/>
                <w:szCs w:val="18"/>
              </w:rPr>
              <w:t xml:space="preserve"> Kontrak di-deploy di testnet selama acara</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sebelumnya terjadi sebelum hari ini.</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ulang hari ini, catat hash transaksi dan jamnya.</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Deploy ulang</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Basic.</w:t>
            </w:r>
            <w:r>
              <w:rPr>
                <w:sz w:val="18"/>
                <w:szCs w:val="18"/>
              </w:rPr>
              <w:t xml:space="preserve"> Proyek di-host publik</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Web siap untuk Vercel. Supabase di VPS butuh HTTPS.</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ke Vercel, pasang HTTPS di depan Supabase.</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Perlu dicek</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Semua fungsi yang diumumkan berjalan</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insiden, konfirmasi atau tolak, cek integritas.</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Uji ujung ke ujung di URL publik.</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Perlu dicek</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Transaksi live saat demo</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Tombol Konfirmasi mengirim confirmFire dari MetaMask verifikator.</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Siapkan insiden Diduga sebelum pitching.</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Kontrak terverifikasi</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verifikasi Monad: satu panggilan untuk MonadVision, Socialscan, Monadscan.</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Bisa dijalankan orang lain dari README</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Butuh Supabase self-hosted dengan VPS 4 GB dan lima dompet.</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Jalur cepat dengan Supabase Cloud gratis dan data demo. Diuji satu orang luar.</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Posting X atau LinkedIn dengan tag @monad, @monad_dev, @geeky_kartikey</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Posting pertama paling lambat 12.30.</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Video demo minimal 30 detik</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merekam layar alur konfirmasi dan cek integritas.</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Video iklan kreatif</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membuat video 20 sampai 30 detik.</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Lebih dari 5.000 tayangan gabungan</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Semua anggota tim memosting, minta komunitas menyebarkan.</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Kontrak di mainnet</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Opsional, deploy sendiri dengan keystore.</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Domain sendiri</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Hubungkan domain ke Vercel.</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Product-market fit</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s.d. 20</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Narasi pemerintah sebagai pengguna utama.</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Bagian 13, diringkas di pitch.</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Strategi pendapatan</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s.d. 20</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Model pemerintah dan pemegang izin.</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Bagian 13.</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Inovasi</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s.d. 20</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yang dicairkan otomatis dari data satelit plus verifikasi lapangan.</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Sampaikan di 30 detik pertama pitch.</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C2410C" w:sz="24"/>
              <w:bottom w:val="single" w:color="D1D5DB" w:sz="4"/>
              <w:right w:val="single" w:color="D1D5DB" w:sz="4"/>
            </w:tcBorders>
            <w:shd w:fill="F3F4F6" w:color="auto" w:val="clear"/>
            <w:tcMar>
              <w:top w:type="dxa" w:w="120"/>
              <w:left w:type="dxa" w:w="200"/>
              <w:bottom w:type="dxa" w:w="120"/>
              <w:right w:type="dxa" w:w="200"/>
            </w:tcMar>
          </w:tcPr>
          <w:p>
            <w:pPr>
              <w:spacing w:after="80"/>
            </w:pPr>
            <w:r>
              <w:rPr>
                <w:b/>
                <w:bCs/>
                <w:color w:val="C2410C"/>
              </w:rPr>
              <w:t xml:space="preserve">Urutan yang paling menguntungkan</w:t>
            </w:r>
          </w:p>
          <w:p>
            <w:pPr>
              <w:spacing w:after="60" w:line="276"/>
            </w:pPr>
            <w:r>
              <w:t xml:space="preserve">Poin Basic dan tiga poin teknis Advance bernilai 175 poin dan hampir semuanya pekerjaan satu sampai dua jam. Kerjakan itu dulu.</w:t>
            </w:r>
          </w:p>
          <w:p>
            <w:pPr>
              <w:spacing w:after="60" w:line="276"/>
            </w:pPr>
            <w:r>
              <w:t xml:space="preserve">Poin 5.000 tayangan butuh waktu untuk terkumpul. Posting pertama harus keluar sebelum makan siang walaupun produknya belum sempurna.</w:t>
            </w:r>
          </w:p>
          <w:p>
            <w:pPr>
              <w:spacing w:after="60" w:line="276"/>
            </w:pPr>
            <w:r>
              <w:t xml:space="preserve">Urutan pengumpulan menentukan urutan pitching. Tanyakan ke panitia apakah kiriman bisa diubah setelah dikirim.</w:t>
            </w:r>
          </w:p>
        </w:tc>
      </w:tr>
    </w:tbl>
    <w:p>
      <w:pPr>
        <w:pStyle w:val="Heading1"/>
        <w:pageBreakBefore/>
      </w:pPr>
      <w:bookmarkStart w:name="_Toc7" w:id="7"/>
      <w:r>
        <w:t xml:space="preserve">3. Rencana kerja sampai 16.45 WIB</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5048"/>
        <w:gridCol w:w="1835"/>
        <w:gridCol w:w="1379"/>
      </w:tblGrid>
      <w:tr>
        <w:trPr>
          <w:tblHeader/>
        </w:trPr>
        <w:tc>
          <w:tcPr>
            <w:tcW w:type="dxa" w:w="137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Jam (WIB)</w:t>
            </w:r>
          </w:p>
        </w:tc>
        <w:tc>
          <w:tcPr>
            <w:tcW w:type="dxa" w:w="504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Pekerjaan</w:t>
            </w:r>
          </w:p>
        </w:tc>
        <w:tc>
          <w:tcPr>
            <w:tcW w:type="dxa" w:w="183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Poin</w:t>
            </w:r>
          </w:p>
        </w:tc>
        <w:tc>
          <w:tcPr>
            <w:tcW w:type="dxa" w:w="137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PJ</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11.00 sampai 11.30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ulang FireBond ke testnet (chain 10143) dengan keystore Foundry. Claude menyiapkan perintahnya, Yoga menjalankan.</w:t>
            </w:r>
          </w:p>
          <w:p>
            <w:pPr>
              <w:spacing w:after="30" w:line="252"/>
            </w:pPr>
            <w:r>
              <w:rPr>
                <w:sz w:val="18"/>
                <w:szCs w:val="18"/>
              </w:rPr>
              <w:t xml:space="preserve">Atur peran oracle dan verifikator, seed izin dummy.</w:t>
            </w:r>
          </w:p>
          <w:p>
            <w:pPr>
              <w:spacing w:after="30" w:line="252"/>
            </w:pPr>
            <w:r>
              <w:rPr>
                <w:sz w:val="18"/>
                <w:szCs w:val="18"/>
              </w:rPr>
              <w:t xml:space="preserve">Verifikasi kontrak lewat API verifikasi.</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(25), verifikasi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 Claude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11.00 sampai 12.00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Ganti nama ke AgMon di web dan README.</w:t>
            </w:r>
          </w:p>
          <w:p>
            <w:pPr>
              <w:spacing w:after="30" w:line="252"/>
            </w:pPr>
            <w:r>
              <w:rPr>
                <w:sz w:val="18"/>
                <w:szCs w:val="18"/>
              </w:rPr>
              <w:t xml:space="preserve">Tema putih-oranye dan efek api (bagian 11).</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Fungsi berjalan (25), kesan UI</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11.30 sampai 11.45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Commit .gitignore, ganti nama repo ke agmon, jadikan publik.</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Repo publik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12.00 sampai 12.30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web ke Vercel, pasang HTTPS di depan Supabase, uji alur di URL publik.</w:t>
            </w:r>
          </w:p>
          <w:p>
            <w:pPr>
              <w:spacing w:after="30" w:line="252"/>
            </w:pPr>
            <w:r>
              <w:rPr>
                <w:sz w:val="18"/>
                <w:szCs w:val="18"/>
              </w:rPr>
              <w:t xml:space="preserve">Posting pertama di X dan LinkedIn.</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Di-host (25), posting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Yoga</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12.30 sampai 13.00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Makan siang. Oracle tetap berjalan.</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13.00 sampai 13.45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Cron oracle 30 menit dengan data FIRMS asli.</w:t>
            </w:r>
          </w:p>
          <w:p>
            <w:pPr>
              <w:spacing w:after="30" w:line="252"/>
            </w:pPr>
            <w:r>
              <w:rPr>
                <w:sz w:val="18"/>
                <w:szCs w:val="18"/>
              </w:rPr>
              <w:t xml:space="preserve">README: URL live, alamat kontrak, jalur cepat. Satu peserta lain mencoba dari laptop sendiri.</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README (25), dijalankan orang lain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13.45 sampai 14.30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Rekam video demo 45 sampai 60 detik, lalu posting.</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demo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rekam, Yoga posting</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14.30 sampai 15.15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Buat video iklan 20 sampai 30 detik, lalu posting.</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iklan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buat, Yoga posting</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15.15 sampai 15.45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Bonus kalau semua aman: domain ke Vercel, lalu mainnet dengan jaminan kecil.</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Domain (15), mainnet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15.45 sampai 16.15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Siapkan panggung: sisakan tiga insiden Diduga, isi MetaMask verifikator. Gladi dua kali.</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Transaksi live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 Claude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16.15 sampai 16.30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Kirim di blitz.devnads.com dengan URL repo, alamat kontrak, URL live, bukti deploy.</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Semua</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bl>
    <w:p>
      <w:pPr>
        <w:spacing w:after="60"/>
      </w:pPr>
    </w:p>
    <w:p>
      <w:pPr>
        <w:spacing w:after="120" w:line="288"/>
      </w:pPr>
      <w:r>
        <w:rPr>
          <w:color w:val="6B7280"/>
          <w:sz w:val="18"/>
          <w:szCs w:val="18"/>
        </w:rPr>
        <w:t xml:space="preserve">Catatan dedup: kontrak menolak insiden kedua di sel yang sama dalam 24 jam. Data demo hanya bisa dipakai sekali per kontrak.</w:t>
      </w:r>
    </w:p>
    <w:p>
      <w:pPr>
        <w:pStyle w:val="Heading1"/>
        <w:pageBreakBefore/>
      </w:pPr>
      <w:bookmarkStart w:name="_Toc8" w:id="8"/>
      <w:r>
        <w:t xml:space="preserve">4. Masalah</w:t>
      </w:r>
      <w:bookmarkEnd w:id="8"/>
    </w:p>
    <w:p>
      <w:pPr>
        <w:pStyle w:val="Heading2"/>
        <w:keepNext/>
      </w:pPr>
      <w:bookmarkStart w:name="_Toc9" w:id="9"/>
      <w:r>
        <w:t xml:space="preserve">Skala kerugian</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8"/>
        <w:gridCol w:w="2336"/>
        <w:gridCol w:w="2336"/>
        <w:gridCol w:w="3798"/>
      </w:tblGrid>
      <w:tr>
        <w:trPr>
          <w:tblHeader/>
        </w:trPr>
        <w:tc>
          <w:tcPr>
            <w:tcW w:type="dxa" w:w="116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Tahun</w:t>
            </w:r>
          </w:p>
        </w:tc>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Luas terbakar</w:t>
            </w:r>
          </w:p>
        </w:tc>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Kerugian ekonomi</w:t>
            </w:r>
          </w:p>
        </w:tc>
        <w:tc>
          <w:tcPr>
            <w:tcW w:type="dxa" w:w="379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Sumber</w:t>
            </w:r>
          </w:p>
        </w:tc>
      </w:tr>
      <w:tr>
        <w:trPr>
          <w:cantSplit/>
        </w:trPr>
        <w:tc>
          <w:tcPr>
            <w:tcW w:type="dxa" w:w="1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2015</w:t>
            </w:r>
          </w:p>
        </w:tc>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2,6 juta ha</w:t>
            </w:r>
          </w:p>
        </w:tc>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US$16,1 miliar</w:t>
            </w:r>
          </w:p>
        </w:tc>
        <w:tc>
          <w:tcPr>
            <w:tcW w:type="dxa" w:w="379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 Dunia, 2016</w:t>
            </w:r>
          </w:p>
        </w:tc>
      </w:tr>
      <w:tr>
        <w:trPr>
          <w:cantSplit/>
        </w:trPr>
        <w:tc>
          <w:tcPr>
            <w:tcW w:type="dxa" w:w="1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2019</w:t>
            </w:r>
          </w:p>
        </w:tc>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1,6 juta ha</w:t>
            </w:r>
          </w:p>
        </w:tc>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US$5,2 miliar</w:t>
            </w:r>
          </w:p>
        </w:tc>
        <w:tc>
          <w:tcPr>
            <w:tcW w:type="dxa" w:w="379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KLHK (luas), Bank Dunia (kerugian)</w:t>
            </w:r>
          </w:p>
        </w:tc>
      </w:tr>
    </w:tbl>
    <w:p>
      <w:pPr>
        <w:spacing w:after="120" w:line="288"/>
      </w:pPr>
      <w:r>
        <w:rPr>
          <w:color w:val="6B7280"/>
          <w:sz w:val="18"/>
          <w:szCs w:val="18"/>
        </w:rPr>
        <w:t xml:space="preserve">Angka disusun dari ingatan atas laporan publik. Cek ulang ke dokumen asli sebelum dipakai di slide atau posting.</w:t>
      </w:r>
    </w:p>
    <w:p>
      <w:pPr>
        <w:pStyle w:val="Heading2"/>
        <w:keepNext/>
      </w:pPr>
      <w:bookmarkStart w:name="_Toc10" w:id="10"/>
      <w:r>
        <w:t xml:space="preserve">Akar masalah</w:t>
      </w:r>
      <w:bookmarkEnd w:id="10"/>
    </w:p>
    <w:p>
      <w:pPr>
        <w:pStyle w:val="ListParagraph"/>
        <w:numPr>
          <w:ilvl w:val="0"/>
          <w:numId w:val="2"/>
        </w:numPr>
        <w:spacing w:after="60" w:line="276"/>
      </w:pPr>
      <w:r>
        <w:rPr>
          <w:b/>
          <w:bCs/>
        </w:rPr>
        <w:t xml:space="preserve">Titik api terlihat, tanggung jawab tidak langsung terikat.</w:t>
      </w:r>
      <w:r>
        <w:t xml:space="preserve"> SiPongi dan FIRMS menunjukkan lokasi api. Mencocokkannya dengan pemegang izin, lalu menagih tanggung jawabnya, masih dikerjakan manual dan lewat jalur hukum.</w:t>
      </w:r>
    </w:p>
    <w:p>
      <w:pPr>
        <w:pStyle w:val="ListParagraph"/>
        <w:numPr>
          <w:ilvl w:val="0"/>
          <w:numId w:val="2"/>
        </w:numPr>
        <w:spacing w:after="60" w:line="276"/>
      </w:pPr>
      <w:r>
        <w:rPr>
          <w:b/>
          <w:bCs/>
        </w:rPr>
        <w:t xml:space="preserve">Data bisa dibantah.</w:t>
      </w:r>
      <w:r>
        <w:t xml:space="preserve"> Pemegang izin bisa berdalih api datang dari luar areanya atau datanya keliru. Tanpa catatan yang tidak bisa diubah sejak awal, perdebatan bergeser dari api ke data.</w:t>
      </w:r>
    </w:p>
    <w:p>
      <w:pPr>
        <w:pStyle w:val="ListParagraph"/>
        <w:numPr>
          <w:ilvl w:val="0"/>
          <w:numId w:val="2"/>
        </w:numPr>
        <w:spacing w:after="60" w:line="276"/>
      </w:pPr>
      <w:r>
        <w:rPr>
          <w:b/>
          <w:bCs/>
        </w:rPr>
        <w:t xml:space="preserve">Dana pemulihan tidak siap.</w:t>
      </w:r>
      <w:r>
        <w:t xml:space="preserve"> Saat kebakaran terjadi, tidak ada dana yang sudah disisihkan pemegang izin dan bisa langsung dipakai untuk restorasi. Gugatan perdata yang dimenangkan pun sering sulit dieksekusi.</w:t>
      </w:r>
    </w:p>
    <w:p>
      <w:pPr>
        <w:pStyle w:val="ListParagraph"/>
        <w:numPr>
          <w:ilvl w:val="0"/>
          <w:numId w:val="2"/>
        </w:numPr>
        <w:spacing w:after="60" w:line="276"/>
      </w:pPr>
      <w:r>
        <w:rPr>
          <w:b/>
          <w:bCs/>
        </w:rPr>
        <w:t xml:space="preserve">Masyarakat sulit mengawasi.</w:t>
      </w:r>
      <w:r>
        <w:t xml:space="preserve"> Warga terdampak asap tidak punya cara sederhana untuk melihat izin mana yang terbakar dan apa konsekuensinya.</w:t>
      </w:r>
    </w:p>
    <w:p>
      <w:pPr>
        <w:pStyle w:val="Heading1"/>
        <w:pageBreakBefore/>
      </w:pPr>
      <w:bookmarkStart w:name="_Toc11" w:id="11"/>
      <w:r>
        <w:t xml:space="preserve">5. Solusi dan cara kerja</w:t>
      </w:r>
      <w:bookmarkEnd w:id="11"/>
    </w:p>
    <w:p>
      <w:pPr>
        <w:pStyle w:val="Heading2"/>
        <w:keepNext/>
      </w:pPr>
      <w:bookmarkStart w:name="_Toc12" w:id="12"/>
      <w:r>
        <w:t xml:space="preserve">Prinsip</w:t>
      </w:r>
      <w:bookmarkEnd w:id="12"/>
    </w:p>
    <w:p>
      <w:pPr>
        <w:pStyle w:val="ListParagraph"/>
        <w:numPr>
          <w:ilvl w:val="0"/>
          <w:numId w:val="2"/>
        </w:numPr>
        <w:spacing w:after="60" w:line="276"/>
      </w:pPr>
      <w:r>
        <w:t xml:space="preserve">Data mentah tetap di server, sidik jarinya di chain publik. Satu hash keccak256 per batch cukup untuk membuktikan data belum diubah. Di produksi, server itu milik pemerintah.</w:t>
      </w:r>
    </w:p>
    <w:p>
      <w:pPr>
        <w:pStyle w:val="ListParagraph"/>
        <w:numPr>
          <w:ilvl w:val="0"/>
          <w:numId w:val="2"/>
        </w:numPr>
        <w:spacing w:after="60" w:line="276"/>
      </w:pPr>
      <w:r>
        <w:t xml:space="preserve">Lokasi memakai sel H3 resolusi 7, rata-rata sekitar 5,16 km² per sel. Satu sel hanya dimiliki satu izin.</w:t>
      </w:r>
    </w:p>
    <w:p>
      <w:pPr>
        <w:pStyle w:val="ListParagraph"/>
        <w:numPr>
          <w:ilvl w:val="0"/>
          <w:numId w:val="2"/>
        </w:numPr>
        <w:spacing w:after="60" w:line="276"/>
      </w:pPr>
      <w:r>
        <w:t xml:space="preserve">Uang baru bergerak setelah petugas lapangan memverifikasi. Oracle hanya bisa membuka insiden berstatus Diduga.</w:t>
      </w:r>
    </w:p>
    <w:p>
      <w:pPr>
        <w:pStyle w:val="Heading2"/>
        <w:keepNext/>
      </w:pPr>
      <w:bookmarkStart w:name="_Toc13" w:id="13"/>
      <w:r>
        <w:t xml:space="preserve">Alur</w:t>
      </w:r>
      <w:bookmarkEnd w:id="13"/>
    </w:p>
    <w:p>
      <w:pPr>
        <w:pStyle w:val="ListParagraph"/>
        <w:numPr>
          <w:ilvl w:val="0"/>
          <w:numId w:val="3"/>
        </w:numPr>
        <w:spacing w:after="60" w:line="276"/>
      </w:pPr>
      <w:r>
        <w:t xml:space="preserve">Kemenhut mendaftarkan batas izin ke AgMon (bagian 6). Pemegang izin menyetor jaminan kebakaran sebagai syarat izin (bagian 7).</w:t>
      </w:r>
    </w:p>
    <w:p>
      <w:pPr>
        <w:pStyle w:val="ListParagraph"/>
        <w:numPr>
          <w:ilvl w:val="0"/>
          <w:numId w:val="3"/>
        </w:numPr>
        <w:spacing w:after="60" w:line="276"/>
      </w:pPr>
      <w:r>
        <w:t xml:space="preserve">Oracle menarik titik api FIRMS setiap 30 menit untuk Riau dan Kalimantan Tengah.</w:t>
      </w:r>
    </w:p>
    <w:p>
      <w:pPr>
        <w:pStyle w:val="ListParagraph"/>
        <w:numPr>
          <w:ilvl w:val="0"/>
          <w:numId w:val="3"/>
        </w:numPr>
        <w:spacing w:after="60" w:line="276"/>
      </w:pPr>
      <w:r>
        <w:t xml:space="preserve">Oracle menghitung hash batch, mencatatnya di Monad (anchorBatch), lalu menyimpan data lengkap di database.</w:t>
      </w:r>
    </w:p>
    <w:p>
      <w:pPr>
        <w:pStyle w:val="ListParagraph"/>
        <w:numPr>
          <w:ilvl w:val="0"/>
          <w:numId w:val="3"/>
        </w:numPr>
        <w:spacing w:after="60" w:line="276"/>
      </w:pPr>
      <w:r>
        <w:t xml:space="preserve">Titik api dengan confidence nominal atau tinggi yang jatuh di sel milik izin menjadi insiden berstatus </w:t>
      </w:r>
      <w:r>
        <w:rPr>
          <w:b/>
          <w:bCs/>
        </w:rPr>
        <w:t xml:space="preserve">Diduga</w:t>
      </w:r>
      <w:r>
        <w:t xml:space="preserve"> (reportHotspot). Sel yang sama tidak dilaporkan lagi dalam 24 jam.</w:t>
      </w:r>
    </w:p>
    <w:p>
      <w:pPr>
        <w:pStyle w:val="ListParagraph"/>
        <w:numPr>
          <w:ilvl w:val="0"/>
          <w:numId w:val="3"/>
        </w:numPr>
        <w:spacing w:after="60" w:line="276"/>
      </w:pPr>
      <w:r>
        <w:t xml:space="preserve">Manggala Agni atau Polhut memeriksa lapangan, memotret bekas api (yang dicatat hanya hash fotonya), lalu memilih </w:t>
      </w:r>
      <w:r>
        <w:rPr>
          <w:b/>
          <w:bCs/>
        </w:rPr>
        <w:t xml:space="preserve">Konfirmasi</w:t>
      </w:r>
      <w:r>
        <w:t xml:space="preserve"> atau </w:t>
      </w:r>
      <w:r>
        <w:rPr>
          <w:b/>
          <w:bCs/>
        </w:rPr>
        <w:t xml:space="preserve">Tolak</w:t>
      </w:r>
      <w:r>
        <w:t xml:space="preserve">.</w:t>
      </w:r>
    </w:p>
    <w:p>
      <w:pPr>
        <w:pStyle w:val="ListParagraph"/>
        <w:numPr>
          <w:ilvl w:val="0"/>
          <w:numId w:val="3"/>
        </w:numPr>
        <w:spacing w:after="60" w:line="276"/>
      </w:pPr>
      <w:r>
        <w:t xml:space="preserve">Konfirmasi mencairkan 20% jaminan ke dana restorasi. Selama masih ada insiden terbuka, jaminan tidak bisa ditarik.</w:t>
      </w:r>
    </w:p>
    <w:p>
      <w:pPr>
        <w:pStyle w:val="ListParagraph"/>
        <w:numPr>
          <w:ilvl w:val="0"/>
          <w:numId w:val="3"/>
        </w:numPr>
        <w:spacing w:after="60" w:line="276"/>
      </w:pPr>
      <w:r>
        <w:t xml:space="preserve">Siapa pun bisa menekan </w:t>
      </w:r>
      <w:r>
        <w:rPr>
          <w:b/>
          <w:bCs/>
        </w:rPr>
        <w:t xml:space="preserve">Cek integritas</w:t>
      </w:r>
      <w:r>
        <w:t xml:space="preserve"> untuk membandingkan hash data di database dengan hash di chain.</w:t>
      </w:r>
    </w:p>
    <w:p>
      <w:pPr>
        <w:pStyle w:val="Heading2"/>
        <w:keepNext/>
      </w:pPr>
      <w:bookmarkStart w:name="_Toc14" w:id="14"/>
      <w:r>
        <w:t xml:space="preserve">Arsitektur</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2409"/>
        <w:gridCol w:w="2650"/>
        <w:gridCol w:w="2893"/>
      </w:tblGrid>
      <w:tr>
        <w:trPr>
          <w:tblHeader/>
        </w:trPr>
        <w:tc>
          <w:tcPr>
            <w:tcW w:type="dxa" w:w="168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Komponen</w:t>
            </w:r>
          </w:p>
        </w:tc>
        <w:tc>
          <w:tcPr>
            <w:tcW w:type="dxa" w:w="240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Teknologi</w:t>
            </w:r>
          </w:p>
        </w:tc>
        <w:tc>
          <w:tcPr>
            <w:tcW w:type="dxa" w:w="26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Tempat jalan</w:t>
            </w:r>
          </w:p>
        </w:tc>
        <w:tc>
          <w:tcPr>
            <w:tcW w:type="dxa" w:w="289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Tugas</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FireBond</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Solidity 0.8.24, Foundry</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Monad testnet (chain 10143), mainnet (chain 143)</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Izin, jaminan, batch, insiden, pencairan</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Node.js, viem, h3-js</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VPS, cron 30 menit. Di produksi: server pemerintah.</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Tarik FIRMS, hitung hash, catat batch, lapor insiden</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Database</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Supabase (Postgres dengan RLS)</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VPS. Di produksi: Pusat Data Nasional atau server Kemenhut.</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 titik api lengkap, geometri izin</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Web</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Next.js, Leaflet</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Vercel</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kartu insiden, konfirmasi, cek integritas</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Sumber data</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NASA FIRMS VIIRS NRT, peta izin Kemenhut</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dan shapefile</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Titik api dan batas izin</w:t>
            </w:r>
          </w:p>
        </w:tc>
      </w:tr>
    </w:tbl>
    <w:p>
      <w:pPr>
        <w:pStyle w:val="Heading2"/>
        <w:keepNext/>
      </w:pPr>
      <w:bookmarkStart w:name="_Toc15" w:id="15"/>
      <w:r>
        <w:t xml:space="preserve">Kenapa Monad</w:t>
      </w:r>
      <w:bookmarkEnd w:id="15"/>
    </w:p>
    <w:p>
      <w:pPr>
        <w:spacing w:after="120" w:line="288"/>
      </w:pPr>
      <w:r>
        <w:t xml:space="preserve">Setiap laporan titik api adalah satu transaksi sekitar 190 ribu gas, dan saat puncak musim kebakaran jumlahnya bisa ribuan per hari. Menurut panduan panitia, Monad memproses 10.000 TPS dengan blok 0,3 detik dan finalitas 0,6 detik, serta kompatibel penuh dengan EVM. Finalitas 0,6 detik juga terlihat saat demo: begitu verifikator menekan Konfirmasi, angka jaminan di layar langsung turun.</w:t>
      </w:r>
    </w:p>
    <w:p>
      <w:pPr>
        <w:pStyle w:val="Heading1"/>
        <w:pageBreakBefore/>
      </w:pPr>
      <w:bookmarkStart w:name="_Toc16" w:id="16"/>
      <w:r>
        <w:t xml:space="preserve">6. Sumber data izin dan pemetaannya</w:t>
      </w:r>
      <w:bookmarkEnd w:id="16"/>
    </w:p>
    <w:p>
      <w:pPr>
        <w:pStyle w:val="Heading2"/>
        <w:keepNext/>
      </w:pPr>
      <w:bookmarkStart w:name="_Toc17" w:id="17"/>
      <w:r>
        <w:t xml:space="preserve">Sumber data</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2478"/>
        <w:gridCol w:w="4131"/>
      </w:tblGrid>
      <w:tr>
        <w:trPr>
          <w:tblHeader/>
        </w:trPr>
        <w:tc>
          <w:tcPr>
            <w:tcW w:type="dxa" w:w="302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Jenis lahan</w:t>
            </w:r>
          </w:p>
        </w:tc>
        <w:tc>
          <w:tcPr>
            <w:tcW w:type="dxa" w:w="247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Sumber resmi</w:t>
            </w:r>
          </w:p>
        </w:tc>
        <w:tc>
          <w:tcPr>
            <w:tcW w:type="dxa" w:w="413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Catatan</w:t>
            </w:r>
          </w:p>
        </w:tc>
      </w:tr>
      <w:tr>
        <w:trPr>
          <w:cantSplit/>
        </w:trPr>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Izin di kawasan hutan (PBPH, dulu IUPHHK-HA dan HT)</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Kementerian Kehutanan</w:t>
            </w:r>
          </w:p>
        </w:tc>
        <w:tc>
          <w:tcPr>
            <w:tcW w:type="dxa" w:w="413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Sumber utama. Peta izin tersedia di geoportal kementerian.</w:t>
            </w:r>
          </w:p>
        </w:tc>
      </w:tr>
      <w:tr>
        <w:trPr>
          <w:cantSplit/>
        </w:trPr>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Perkebunan sawit di luar kawasan hutan (HGU)</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Kementerian ATR/BPN</w:t>
            </w:r>
          </w:p>
        </w:tc>
        <w:tc>
          <w:tcPr>
            <w:tcW w:type="dxa" w:w="413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Keterbukaan data HGU masih diperdebatkan. Masuk fase berikutnya.</w:t>
            </w:r>
          </w:p>
        </w:tc>
      </w:tr>
      <w:tr>
        <w:trPr>
          <w:cantSplit/>
        </w:trPr>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Pengelolaan tingkat tapak</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Dinas Kehutanan provinsi dan KPH</w:t>
            </w:r>
          </w:p>
        </w:tc>
        <w:tc>
          <w:tcPr>
            <w:tcW w:type="dxa" w:w="413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Mitra lapangan dan pemutakhiran batas</w:t>
            </w:r>
          </w:p>
        </w:tc>
      </w:tr>
      <w:tr>
        <w:trPr>
          <w:cantSplit/>
        </w:trPr>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Pembanding</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Global Forest Watch</w:t>
            </w:r>
          </w:p>
        </w:tc>
        <w:tc>
          <w:tcPr>
            <w:tcW w:type="dxa" w:w="413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Untuk memeriksa silang, bukan sumber resmi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C2410C" w:sz="24"/>
              <w:bottom w:val="single" w:color="D1D5DB" w:sz="4"/>
              <w:right w:val="single" w:color="D1D5DB" w:sz="4"/>
            </w:tcBorders>
            <w:shd w:fill="F3F4F6" w:color="auto" w:val="clear"/>
            <w:tcMar>
              <w:top w:type="dxa" w:w="120"/>
              <w:left w:type="dxa" w:w="200"/>
              <w:bottom w:type="dxa" w:w="120"/>
              <w:right w:type="dxa" w:w="200"/>
            </w:tcMar>
          </w:tcPr>
          <w:p>
            <w:pPr>
              <w:spacing w:after="80"/>
            </w:pPr>
            <w:r>
              <w:rPr>
                <w:b/>
                <w:bCs/>
                <w:color w:val="C2410C"/>
              </w:rPr>
              <w:t xml:space="preserve">Untuk hari ini</w:t>
            </w:r>
          </w:p>
          <w:p>
            <w:pPr>
              <w:spacing w:after="60" w:line="276"/>
            </w:pPr>
            <w:r>
              <w:t xml:space="preserve">Demo memakai satu izin dummy (data/demo-concession.geojson) dan titik api sintetis. Asumsinya: Kemenhut menyediakan peta izin dalam bentuk shapefile atau API. README dan pitch menyebut asumsi ini secara terang.</w:t>
            </w:r>
          </w:p>
        </w:tc>
      </w:tr>
    </w:tbl>
    <w:p>
      <w:pPr>
        <w:pStyle w:val="Heading2"/>
        <w:keepNext/>
      </w:pPr>
      <w:bookmarkStart w:name="_Toc18" w:id="18"/>
      <w:r>
        <w:t xml:space="preserve">Langkah pemetaan</w:t>
      </w:r>
      <w:bookmarkEnd w:id="18"/>
    </w:p>
    <w:p>
      <w:pPr>
        <w:pStyle w:val="ListParagraph"/>
        <w:numPr>
          <w:ilvl w:val="0"/>
          <w:numId w:val="4"/>
        </w:numPr>
        <w:spacing w:after="60" w:line="276"/>
      </w:pPr>
      <w:r>
        <w:t xml:space="preserve">Ambil poligon izin dari shapefile Kemenhut, ubah ke GeoJSON, simpan nomor SK izin dan nama pemegang di properties.</w:t>
      </w:r>
    </w:p>
    <w:p>
      <w:pPr>
        <w:pStyle w:val="ListParagraph"/>
        <w:numPr>
          <w:ilvl w:val="0"/>
          <w:numId w:val="4"/>
        </w:numPr>
        <w:spacing w:after="60" w:line="276"/>
      </w:pPr>
      <w:r>
        <w:t xml:space="preserve">Ubah poligon menjadi daftar sel H3 resolusi 7 dengan fungsi polygonToCells dari pustaka h3-js. Sel yang separuh masuk dihitung masuk kalau titik pusatnya di dalam poligon.</w:t>
      </w:r>
    </w:p>
    <w:p>
      <w:pPr>
        <w:pStyle w:val="ListParagraph"/>
        <w:numPr>
          <w:ilvl w:val="0"/>
          <w:numId w:val="4"/>
        </w:numPr>
        <w:spacing w:after="60" w:line="276"/>
      </w:pPr>
      <w:r>
        <w:t xml:space="preserve">Daftarkan daftar sel ke kontrak (registerConcession). Kontrak menolak sel yang sudah dimiliki izin lain, sehingga tumpang tindih izin langsung ketahuan.</w:t>
      </w:r>
    </w:p>
    <w:p>
      <w:pPr>
        <w:pStyle w:val="ListParagraph"/>
        <w:numPr>
          <w:ilvl w:val="0"/>
          <w:numId w:val="4"/>
        </w:numPr>
        <w:spacing w:after="60" w:line="276"/>
      </w:pPr>
      <w:r>
        <w:t xml:space="preserve">Simpan poligon asli di database untuk ditampilkan di peta dan untuk kasus perbatasan.</w:t>
      </w:r>
    </w:p>
    <w:p>
      <w:pPr>
        <w:pStyle w:val="ListParagraph"/>
        <w:numPr>
          <w:ilvl w:val="0"/>
          <w:numId w:val="4"/>
        </w:numPr>
        <w:spacing w:after="60" w:line="276"/>
      </w:pPr>
      <w:r>
        <w:t xml:space="preserve">Saat oracle menerima titik api, koordinatnya diubah ke sel H3 dengan resolusi yang sama, lalu dicocokkan dengan daftar sel izin.</w:t>
      </w:r>
    </w:p>
    <w:p>
      <w:pPr>
        <w:spacing w:after="120" w:line="288"/>
      </w:pPr>
      <w:r>
        <w:rPr>
          <w:color w:val="6B7280"/>
          <w:sz w:val="18"/>
          <w:szCs w:val="18"/>
        </w:rPr>
        <w:t xml:space="preserve">Langkah 1 sampai 4 sudah dikerjakan skrip oracle/src/seed.ts untuk file GeoJSON. Yang belum ada: impor langsung dari shapefile.</w:t>
      </w:r>
    </w:p>
    <w:p>
      <w:pPr>
        <w:pStyle w:val="Heading1"/>
        <w:pageBreakBefore/>
      </w:pPr>
      <w:bookmarkStart w:name="_Toc19" w:id="19"/>
      <w:r>
        <w:t xml:space="preserve">7. Aliran uang jaminan</w:t>
      </w:r>
      <w:bookmarkEnd w:id="19"/>
    </w:p>
    <w:p>
      <w:pPr>
        <w:spacing w:after="120" w:line="288"/>
      </w:pPr>
      <w:r>
        <w:t xml:space="preserve">Uang di AgMon tidak muncul tiba-tiba. Polanya meniru jaminan reklamasi tambang (PP 78/2010): pemegang izin tambang menyetor jaminan di muka, dan pemerintah mencairkannya kalau kewajiban reklamasi tidak dipenuhi. AgMon menerapkan pola yang sama untuk kebakaran.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3304"/>
        <w:gridCol w:w="2478"/>
        <w:gridCol w:w="2480"/>
      </w:tblGrid>
      <w:tr>
        <w:trPr>
          <w:tblHeader/>
        </w:trPr>
        <w:tc>
          <w:tcPr>
            <w:tcW w:type="dxa" w:w="137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330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terjadi</w:t>
            </w:r>
          </w:p>
        </w:tc>
        <w:tc>
          <w:tcPr>
            <w:tcW w:type="dxa" w:w="247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Di demo</w:t>
            </w:r>
          </w:p>
        </w:tc>
        <w:tc>
          <w:tcPr>
            <w:tcW w:type="dxa" w:w="248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Di produksi</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Syarat izin</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Kemenhut mewajibkan jaminan kebakaran saat izin terbit atau diperpanjang. Besarnya per hektare.</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Skrip seed menetapkan 10 MON per izin</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Diatur dalam Permen</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 Setor</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 menyetor jaminan</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depositBond dengan MON testnet</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 garansi atau rekening bersama atas nama pemegang izin</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 Tertahan</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terkunci selama periode izin. Tidak bisa ditarik saat ada insiden terbuka.</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Saldo di kontrak</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Saldo di bank, dicatat di kontrak</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4a. Bersih</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Kalau tidak ada kebakaran terkonfirmasi sampai akhir periode, jaminan kembali</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withdrawBond</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 garansi dilepas</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4b. Terbakar</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Setiap kebakaran terkonfirmasi mencairkan 20% jaminan ke dana restorasi</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confirmFire mengirim MON ke dompet Dana Restorasi</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memancarkan event, bank mencairkan ke rekening BPDLH</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5. Restorasi</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Dana restorasi membiayai pemulihan lahan terbakar</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Saldo dompet Dana Restorasi naik</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BPDLH menyalurkan ke program restorasi</w:t>
            </w:r>
          </w:p>
        </w:tc>
      </w:tr>
    </w:tbl>
    <w:p>
      <w:pPr>
        <w:spacing w:after="60"/>
      </w:pPr>
    </w:p>
    <w:p>
      <w:pPr>
        <w:spacing w:after="120" w:line="288"/>
      </w:pPr>
      <w:r>
        <w:t xml:space="preserve">Kenapa uangnya tetap di bank: pemerintah tidak menyimpan aset kripto, dan bank garansi sudah dikenal di pengadaan dan pertambangan. Peran chain adalah catatan yang tidak bisa diubah dan pemicu yang tidak bisa ditunda: begitu konfirmasi tercatat, kewajiban pencairan sudah pasti dan semua orang bisa melihatnya.</w:t>
      </w:r>
    </w:p>
    <w:p>
      <w:pPr>
        <w:pStyle w:val="Heading1"/>
        <w:pageBreakBefore/>
      </w:pPr>
      <w:bookmarkStart w:name="_Toc20" w:id="20"/>
      <w:r>
        <w:t xml:space="preserve">8. Pengguna dan pemangku kepentingan</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2536"/>
        <w:gridCol w:w="3297"/>
        <w:gridCol w:w="2030"/>
      </w:tblGrid>
      <w:tr>
        <w:trPr>
          <w:tblHeader/>
        </w:trPr>
        <w:tc>
          <w:tcPr>
            <w:tcW w:type="dxa" w:w="17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Peran</w:t>
            </w:r>
          </w:p>
        </w:tc>
        <w:tc>
          <w:tcPr>
            <w:tcW w:type="dxa" w:w="25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Siapa</w:t>
            </w:r>
          </w:p>
        </w:tc>
        <w:tc>
          <w:tcPr>
            <w:tcW w:type="dxa" w:w="329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Kebutuhan utama</w:t>
            </w:r>
          </w:p>
        </w:tc>
        <w:tc>
          <w:tcPr>
            <w:tcW w:type="dxa" w:w="203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Posisi</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Regulator (wasit)</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Kementerian Kehutanan, unit pengendalian kebakaran hutan</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Mengikat titik api ke pemegang izin dengan bukti yang tidak bisa dibantah. Dana pemulihan yang siap pakai.</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Pengguna dan pembayar utama</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Pemerintah daerah</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Dinas Kehutanan provinsi, KPH</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Pemantauan izin di wilayahnya, data untuk koordinasi pemadaman</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Pengguna, mitra pilot</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Verifikator</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Manggala Agni, Polisi Kehutanan, dibantu Masyarakat Peduli Api</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Daftar insiden yang jelas dengan koordinat, keputusan yang tercatat</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Pengguna lapangan</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Pengelola dana restorasi</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BPDLH (Badan Pengelola Dana Lingkungan Hidup)</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Dana masuk yang bisa ditelusuri</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Penerima pencairan jaminan</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Penanggulangan bencana</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BNPB dan BPBD</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Peringatan dini titik api di area izin</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Penerima notifikasi</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Perusahaan pemegang PBPH, perkebunan</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Kepastian aturan, jaminan kembali kalau bersih, bukti kepatuhan</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Menyetor jaminan, membayar biaya administrasi</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Masyarakat</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Warga terdampak asap, jurnalis, LSM</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izin mana yang terbakar dan apa konsekuensinya</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Pengawas, gratis</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Konsumen data sekunder</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Pembeli sawit, bank, pengembang proyek karbon</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Riwayat kebakaran per izin untuk uji tuntas</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Membayar akses API, fase berikutnya</w:t>
            </w:r>
          </w:p>
        </w:tc>
      </w:tr>
    </w:tbl>
    <w:p>
      <w:pPr>
        <w:pStyle w:val="Heading1"/>
        <w:pageBreakBefore/>
      </w:pPr>
      <w:bookmarkStart w:name="_Toc21" w:id="21"/>
      <w:r>
        <w:t xml:space="preserve">9. User journey</w:t>
      </w:r>
      <w:bookmarkEnd w:id="21"/>
    </w:p>
    <w:p>
      <w:pPr>
        <w:pStyle w:val="Heading2"/>
        <w:keepNext/>
      </w:pPr>
      <w:bookmarkStart w:name="_Toc22" w:id="22"/>
      <w:r>
        <w:t xml:space="preserve">A. Juri dan masyarakat: dari tautan ke bukti</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350"/>
        <w:gridCol w:w="1645"/>
        <w:gridCol w:w="2115"/>
        <w:gridCol w:w="2353"/>
      </w:tblGrid>
      <w:tr>
        <w:trPr>
          <w:tblHeader/>
        </w:trPr>
        <w:tc>
          <w:tcPr>
            <w:tcW w:type="dxa" w:w="11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23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dilakukan</w:t>
            </w:r>
          </w:p>
        </w:tc>
        <w:tc>
          <w:tcPr>
            <w:tcW w:type="dxa" w:w="164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Titik sentuh</w:t>
            </w:r>
          </w:p>
        </w:tc>
        <w:tc>
          <w:tcPr>
            <w:tcW w:type="dxa" w:w="21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Hambatan</w:t>
            </w:r>
          </w:p>
        </w:tc>
        <w:tc>
          <w:tcPr>
            <w:tcW w:type="dxa" w:w="23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desain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Datang</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Membuka tautan dari posting atau README</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Domain AgMon</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Halaman lambat atau kosong</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langsung tampil dengan data demo, satu kalimat penjelasan di atas peta</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Merasakan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api di bawah layar ikut naik</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api</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mengganggu kalau berlebihan</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tidak menutupi tombol dan peta, mati kalau animasi dimatikan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Memahami</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izin, titik api, dan jaminan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dan kartu izin</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Istilah H3, oracle, batch asing</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Bahasa sehari-hari, istilah teknis di tooltip</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Membuktikan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Membuka transaksi dan menekan Cek integritas</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Tautan explorer, tombol</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belum terverifikasi</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terverifikasi, kedua hash ditampilkan berdampingan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Menjalankan sendiri</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Mengikuti README</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GitHub</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Supabase self-hosted berat</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Jalur cepat 15 menit</w:t>
            </w:r>
          </w:p>
        </w:tc>
      </w:tr>
    </w:tbl>
    <w:p>
      <w:pPr>
        <w:pStyle w:val="Heading2"/>
        <w:keepNext/>
      </w:pPr>
      <w:bookmarkStart w:name="_Toc23" w:id="23"/>
      <w:r>
        <w:t xml:space="preserve">B. Kemenhut: dari peta izin ke pencairan</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350"/>
        <w:gridCol w:w="1645"/>
        <w:gridCol w:w="2115"/>
        <w:gridCol w:w="2353"/>
      </w:tblGrid>
      <w:tr>
        <w:trPr>
          <w:tblHeader/>
        </w:trPr>
        <w:tc>
          <w:tcPr>
            <w:tcW w:type="dxa" w:w="11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23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dilakukan</w:t>
            </w:r>
          </w:p>
        </w:tc>
        <w:tc>
          <w:tcPr>
            <w:tcW w:type="dxa" w:w="164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Titik sentuh</w:t>
            </w:r>
          </w:p>
        </w:tc>
        <w:tc>
          <w:tcPr>
            <w:tcW w:type="dxa" w:w="21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Hambatan</w:t>
            </w:r>
          </w:p>
        </w:tc>
        <w:tc>
          <w:tcPr>
            <w:tcW w:type="dxa" w:w="23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desain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Menyiapkan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Mengunggah peta izin dan menetapkan besaran jaminan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Konsol regulator</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Format shapefile beragam, batas izin tumpang tindih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Impor shapefile, tumpang tindih langsung ditandai kontrak</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Mewajibkan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Menjadikan jaminan syarat izin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Regulasi</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Butuh dasar hukum</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Mulai sebagai pilot sukarela, lalu Permen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Memantau</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insiden per izin dan per provinsi</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Dasbor</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Banjir titik api di puncak musim</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Hanya titik di dalam izin, diurutkan menurut FRP</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Menugaskan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Mengirim Manggala Agni ke lokasi</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Notifikasi</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Personel terbatas</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Prioritas otomatis, MPA sebagai pendukung</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Menindak</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pencairan jaminan dan riwayat izin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Dasbor, explorer</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 membantah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Catatan batch dan foto bukti yang tidak bisa diubah</w:t>
            </w:r>
          </w:p>
        </w:tc>
      </w:tr>
    </w:tbl>
    <w:p>
      <w:pPr>
        <w:pStyle w:val="Heading2"/>
        <w:keepNext/>
      </w:pPr>
      <w:bookmarkStart w:name="_Toc24" w:id="24"/>
      <w:r>
        <w:t xml:space="preserve">C. Verifikator Manggala Agni: dari notifikasi ke keputusan</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350"/>
        <w:gridCol w:w="1645"/>
        <w:gridCol w:w="2115"/>
        <w:gridCol w:w="2353"/>
      </w:tblGrid>
      <w:tr>
        <w:trPr>
          <w:tblHeader/>
        </w:trPr>
        <w:tc>
          <w:tcPr>
            <w:tcW w:type="dxa" w:w="11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23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dilakukan</w:t>
            </w:r>
          </w:p>
        </w:tc>
        <w:tc>
          <w:tcPr>
            <w:tcW w:type="dxa" w:w="164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Titik sentuh</w:t>
            </w:r>
          </w:p>
        </w:tc>
        <w:tc>
          <w:tcPr>
            <w:tcW w:type="dxa" w:w="21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Hambatan</w:t>
            </w:r>
          </w:p>
        </w:tc>
        <w:tc>
          <w:tcPr>
            <w:tcW w:type="dxa" w:w="23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desain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Diberi tahu</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Menerima koordinat insiden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Notifikasi</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Lokasi terpencil</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Tautan navigasi, prioritas berdasarkan FRP</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 lapangan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Memotret bekas api</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Ponsel</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Sinyal lemah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Foto disimpan dulu, hash dihitung di perangkat</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Memutuskan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Menekan Konfirmasi atau Tolak</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Web di ponsel</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Tekanan dari pemegang izin</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Fase berikut: dua dari tiga petugas, identitas dilindungi</w:t>
            </w:r>
          </w:p>
        </w:tc>
      </w:tr>
    </w:tbl>
    <w:p>
      <w:pPr>
        <w:pStyle w:val="Heading2"/>
        <w:keepNext/>
      </w:pPr>
      <w:bookmarkStart w:name="_Toc25" w:id="25"/>
      <w:r>
        <w:t xml:space="preserve">D. Pemegang izin: dari syarat izin ke jaminan kembali</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350"/>
        <w:gridCol w:w="1645"/>
        <w:gridCol w:w="2115"/>
        <w:gridCol w:w="2353"/>
      </w:tblGrid>
      <w:tr>
        <w:trPr>
          <w:tblHeader/>
        </w:trPr>
        <w:tc>
          <w:tcPr>
            <w:tcW w:type="dxa" w:w="11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23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dilakukan</w:t>
            </w:r>
          </w:p>
        </w:tc>
        <w:tc>
          <w:tcPr>
            <w:tcW w:type="dxa" w:w="164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Titik sentuh</w:t>
            </w:r>
          </w:p>
        </w:tc>
        <w:tc>
          <w:tcPr>
            <w:tcW w:type="dxa" w:w="21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Hambatan</w:t>
            </w:r>
          </w:p>
        </w:tc>
        <w:tc>
          <w:tcPr>
            <w:tcW w:type="dxa" w:w="23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desain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Diwajibkan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Menerima syarat jaminan dari Kemenhut</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Surat izin</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Merasa biaya bertambah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kembali penuh kalau bersih, insentif peringkat PROPER</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Menyetor</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Menyerahkan bank garansi</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Prosedur bank</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Memakai produk bank garansi yang sudah ada</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Mendapat insiden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Menerima notifikasi Diduga</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Email</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Merasa datanya salah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Fase berikut: masa sanggah dengan bukti tandingan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Akhir periode</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dilepas</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Tertahan karena insiden terbuka</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Tenggat verifikasi yang jelas</w:t>
            </w:r>
          </w:p>
        </w:tc>
      </w:tr>
    </w:tbl>
    <w:p>
      <w:pPr>
        <w:pStyle w:val="Heading1"/>
        <w:pageBreakBefore/>
      </w:pPr>
      <w:bookmarkStart w:name="_Toc26" w:id="26"/>
      <w:r>
        <w:t xml:space="preserve">10. Aspek regulasi</w:t>
      </w:r>
      <w:bookmarkEnd w:id="26"/>
    </w:p>
    <w:p>
      <w:pPr>
        <w:pStyle w:val="Heading2"/>
        <w:keepNext/>
      </w:pPr>
      <w:bookmarkStart w:name="_Toc27" w:id="27"/>
      <w:r>
        <w:t xml:space="preserve">Dasar hukum yang relevan</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9"/>
        <w:gridCol w:w="6059"/>
      </w:tblGrid>
      <w:tr>
        <w:trPr>
          <w:tblHeader/>
        </w:trPr>
        <w:tc>
          <w:tcPr>
            <w:tcW w:type="dxa" w:w="357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Aturan</w:t>
            </w:r>
          </w:p>
        </w:tc>
        <w:tc>
          <w:tcPr>
            <w:tcW w:type="dxa" w:w="605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Relevansi</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UU 41/1999 tentang Kehutanan</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Kewenangan Kemenhut atas kawasan hutan dan perizinannya</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UU 32/2009 tentang PPLH, Pasal 88</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Tanggung jawab mutlak atas kerusakan lingkungan, termasuk kebakaran di area izin</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PP 22/2021 dan PP 23/2021</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Penyelenggaraan perlindungan lingkungan dan penyelenggaraan kehutanan, termasuk kewajiban pemegang PBPH</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Peraturan menteri tentang pengendalian kebakaran hutan dan lahan</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Kewajiban pemegang izin mencegah dan menanggulangi kebakaran, peran Manggala Agni dan MPA</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PP 78/2010 tentang reklamasi dan pascatambang</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Preseden jaminan di muka yang bisa dicairkan pemerintah</w:t>
            </w:r>
          </w:p>
        </w:tc>
      </w:tr>
    </w:tbl>
    <w:p>
      <w:pPr>
        <w:spacing w:after="120" w:line="288"/>
      </w:pPr>
      <w:r>
        <w:rPr>
          <w:color w:val="6B7280"/>
          <w:sz w:val="18"/>
          <w:szCs w:val="18"/>
        </w:rPr>
        <w:t xml:space="preserve">Nomor dan isi aturan perlu dicek ulang oleh orang yang paham hukum kehutanan sebelum dipakai di pitch.</w:t>
      </w:r>
    </w:p>
    <w:p>
      <w:pPr>
        <w:pStyle w:val="Heading2"/>
        <w:keepNext/>
      </w:pPr>
      <w:bookmarkStart w:name="_Toc28" w:id="28"/>
      <w:r>
        <w:t xml:space="preserve">Posisi terhadap SiPongi</w:t>
      </w:r>
      <w:bookmarkEnd w:id="28"/>
    </w:p>
    <w:p>
      <w:pPr>
        <w:spacing w:after="120" w:line="288"/>
      </w:pPr>
      <w:r>
        <w:t xml:space="preserve">SiPongi adalah sistem pemantauan karhutla milik pemerintah. AgMon tidak menggantikannya. AgMon mengambil titik api yang sama, lalu menambahkan tiga hal yang belum ada di SiPongi: ikatan otomatis ke pemegang izin, catatan yang tidak bisa diubah siapa pun termasuk operator, dan konsekuensi finansial yang langsung jalan setelah verifikasi. Di produksi, SiPongi bisa menjadi salah satu sumber data oracle.</w:t>
      </w:r>
    </w:p>
    <w:p>
      <w:pPr>
        <w:pStyle w:val="Heading2"/>
        <w:keepNext/>
      </w:pPr>
      <w:bookmarkStart w:name="_Toc29" w:id="29"/>
      <w:r>
        <w:t xml:space="preserve">Kedaulatan data dan sensitivitas blockchain</w:t>
      </w:r>
      <w:bookmarkEnd w:id="29"/>
    </w:p>
    <w:p>
      <w:pPr>
        <w:pStyle w:val="ListParagraph"/>
        <w:numPr>
          <w:ilvl w:val="0"/>
          <w:numId w:val="2"/>
        </w:numPr>
        <w:spacing w:after="60" w:line="276"/>
      </w:pPr>
      <w:r>
        <w:t xml:space="preserve">Yang masuk ke chain publik hanya hash batch, nomor sel H3, waktu, dan keputusan verifikasi. Data mentah dan peta izin tetap di server pemerintah.</w:t>
      </w:r>
    </w:p>
    <w:p>
      <w:pPr>
        <w:pStyle w:val="ListParagraph"/>
        <w:numPr>
          <w:ilvl w:val="0"/>
          <w:numId w:val="2"/>
        </w:numPr>
        <w:spacing w:after="60" w:line="276"/>
      </w:pPr>
      <w:r>
        <w:t xml:space="preserve">Uang tidak disimpan dalam kripto (bagian 7), sehingga AgMon tidak bersinggungan dengan aturan aset kripto.</w:t>
      </w:r>
    </w:p>
    <w:p>
      <w:pPr>
        <w:pStyle w:val="ListParagraph"/>
        <w:numPr>
          <w:ilvl w:val="0"/>
          <w:numId w:val="2"/>
        </w:numPr>
        <w:spacing w:after="60" w:line="276"/>
      </w:pPr>
      <w:r>
        <w:t xml:space="preserve">Chain publik dipilih karena tidak ada satu pihak pun, termasuk pemerintah, yang bisa mengubah catatan diam-diam. Itulah yang membuat data sulit dibantah di pengadilan.</w:t>
      </w:r>
    </w:p>
    <w:p>
      <w:pPr>
        <w:pStyle w:val="Heading1"/>
        <w:pageBreakBefore/>
      </w:pPr>
      <w:bookmarkStart w:name="_Toc30" w:id="30"/>
      <w:r>
        <w:t xml:space="preserve">11. Arahan desain antarmuka</w:t>
      </w:r>
      <w:bookmarkEnd w:id="30"/>
    </w:p>
    <w:p>
      <w:pPr>
        <w:spacing w:after="120" w:line="288"/>
      </w:pPr>
      <w:r>
        <w:t xml:space="preserve">Tema putih dengan oranye api. Kesannya terang dan bersih di atas, panas dan gosong di bawah. Panduan panitia mengingatkan agar UI tidak terlihat seperti hasil generate tanpa arahan, jadi warna dan huruf dikunci di sini.</w:t>
      </w:r>
    </w:p>
    <w:p>
      <w:pPr>
        <w:pStyle w:val="Heading2"/>
        <w:keepNext/>
      </w:pPr>
      <w:bookmarkStart w:name="_Toc31" w:id="31"/>
      <w:r>
        <w:t xml:space="preserve">Warna</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652"/>
        <w:gridCol w:w="5784"/>
      </w:tblGrid>
      <w:tr>
        <w:trPr>
          <w:tblHeader/>
        </w:trPr>
        <w:tc>
          <w:tcPr>
            <w:tcW w:type="dxa" w:w="220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Token</w:t>
            </w:r>
          </w:p>
        </w:tc>
        <w:tc>
          <w:tcPr>
            <w:tcW w:type="dxa" w:w="165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Hex</w:t>
            </w:r>
          </w:p>
        </w:tc>
        <w:tc>
          <w:tcPr>
            <w:tcW w:type="dxa" w:w="578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Dipakai untuk</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Putih</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#FFFFFF</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Latar utama</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Krem api</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#FFF7ED</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Latar kartu dan panel</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Oranye api</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#EA580C</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Warna merek, tombol utama, judul</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Oranye terang</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#F97316</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Hover, sorotan, lidah api</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Kuning bara</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#FBBF24</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Status Diduga, inti api</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Merah bara</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#DC2626</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Status Terkonfirmasi, pencairan jaminan</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Arang</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#1C1917</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Teks utama, bekas gosong</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Abu gosong</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#57534E</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Teks sekunder, status Ditolak</w:t>
            </w:r>
          </w:p>
        </w:tc>
      </w:tr>
    </w:tbl>
    <w:p>
      <w:pPr>
        <w:pStyle w:val="Heading2"/>
        <w:keepNext/>
      </w:pPr>
      <w:bookmarkStart w:name="_Toc32" w:id="32"/>
      <w:r>
        <w:t xml:space="preserve">Huruf</w:t>
      </w:r>
      <w:bookmarkEnd w:id="32"/>
    </w:p>
    <w:p>
      <w:pPr>
        <w:pStyle w:val="ListParagraph"/>
        <w:numPr>
          <w:ilvl w:val="0"/>
          <w:numId w:val="2"/>
        </w:numPr>
        <w:spacing w:after="60" w:line="276"/>
      </w:pPr>
      <w:r>
        <w:t xml:space="preserve">Plus Jakarta Sans untuk judul dan teks. Huruf ini dirancang di Indonesia oleh Tokotype dan tersedia gratis di Google Fonts.</w:t>
      </w:r>
    </w:p>
    <w:p>
      <w:pPr>
        <w:pStyle w:val="ListParagraph"/>
        <w:numPr>
          <w:ilvl w:val="0"/>
          <w:numId w:val="2"/>
        </w:numPr>
        <w:spacing w:after="60" w:line="276"/>
      </w:pPr>
      <w:r>
        <w:t xml:space="preserve">Huruf monospace untuk hash, alamat, dan angka MON.</w:t>
      </w:r>
    </w:p>
    <w:p>
      <w:pPr>
        <w:pStyle w:val="Heading2"/>
        <w:keepNext/>
      </w:pPr>
      <w:bookmarkStart w:name="_Toc33" w:id="33"/>
      <w:r>
        <w:t xml:space="preserve">Efek api dan layar gosong</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Aspek</w:t>
            </w:r>
          </w:p>
        </w:tc>
        <w:tc>
          <w:tcPr>
            <w:tcW w:type="dxa" w:w="771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Spesifikasi</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Letak</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Pita di tepi bawah layar, selebar layar, di atas peta tetapi tidak menerima klik (pointer-events: none)</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 api</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Tanpa insiden: hanya bara kecil, sekitar 4% tinggi layar. Setiap insiden Diduga menaikkan api, maksimal sekitar 25% tinggi layar.</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Bekas gosong</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Gradasi arang dari tepi bawah. Makin tebal untuk setiap kebakaran terkonfirmasi, dengan tepi bergerigi seperti kertas terbakar.</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Saat demo</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Begitu Konfirmasi ditekan, api menyala besar sesaat, lalu turun dan meninggalkan bekas gosong yang lebih tebal</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Partikel</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Percikan bara naik perlahan, jumlahnya mengikuti tinggi api</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Teknik</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Canvas 2D atau CSS, tanpa pustaka berat. Target 60 fps di laptop biasa.</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Aksesibilitas</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Kalau pengguna mematikan animasi (prefers-reduced-motion), tampil gradasi statis tanpa gerak. Teks dan tombol tetap kontras di atas efek.</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Batasan</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Tidak menutupi tombol Konfirmasi, kontrol peta, atau atribusi peta. Di layar ponsel tinggi maksimum diturunkan.</w:t>
            </w:r>
          </w:p>
        </w:tc>
      </w:tr>
    </w:tbl>
    <w:p>
      <w:pPr>
        <w:pStyle w:val="Heading1"/>
        <w:pageBreakBefore/>
      </w:pPr>
      <w:bookmarkStart w:name="_Toc34" w:id="34"/>
      <w:r>
        <w:t xml:space="preserve">12. Kebutuhan fungsional dan nonfungsional</w:t>
      </w:r>
      <w:bookmarkEnd w:id="34"/>
    </w:p>
    <w:p>
      <w:pPr>
        <w:spacing w:after="120" w:line="288"/>
      </w:pPr>
      <w:r>
        <w:t xml:space="preserve">P0 wajib untuk penjurian hari ini. P1 untuk sebulan setelah Blitz. P2 untuk produksi.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1"/>
        <w:gridCol w:w="6258"/>
        <w:gridCol w:w="1126"/>
        <w:gridCol w:w="1503"/>
      </w:tblGrid>
      <w:tr>
        <w:trPr>
          <w:tblHeader/>
        </w:trPr>
        <w:tc>
          <w:tcPr>
            <w:tcW w:type="dxa" w:w="75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ID</w:t>
            </w:r>
          </w:p>
        </w:tc>
        <w:tc>
          <w:tcPr>
            <w:tcW w:type="dxa" w:w="625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Kebutuhan</w:t>
            </w:r>
          </w:p>
        </w:tc>
        <w:tc>
          <w:tcPr>
            <w:tcW w:type="dxa" w:w="112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Prioritas</w:t>
            </w:r>
          </w:p>
        </w:tc>
        <w:tc>
          <w:tcPr>
            <w:tcW w:type="dxa" w:w="150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Status</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F01</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Mendaftarkan izin dari GeoJSON menjadi sel H3 resolusi 7</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F02</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Menyetor dan menarik jaminan. Penarikan diblok selama ada insiden terbuka.</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F03</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 menarik FIRMS dan mencatat hash batch setiap 30 menit</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Perlu dicek</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F04</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Melaporkan titik api di dalam izin dengan confidence minimum dan dedup 24 jam</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F05</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izin dan titik api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F06</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Konfirmasi atau tolak oleh verifikator, dengan hash foto bukti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F07</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Pencairan 20% jaminan ke dana restorasi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F08</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Cek integritas batch</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F09</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Setiap transaksi bertaut ke explorer</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F10</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Nama AgMon, tema putih-oranye, huruf Plus Jakarta Sans</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F11</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api di bawah layar yang mengikuti jumlah insiden</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F12</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Label peran pemerintah di UI: regulator, verifikator Manggala Agni, dana restorasi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F13</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Angka ringkas di halaman depan: batch, insiden, jaminan dicairkan</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F14</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Peran regulator di kontrak: hanya Kemenhut yang mendaftarkan izin atas nama pemegangnya</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F15</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Impor shapefile izin</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F16</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Notifikasi ke Manggala Agni, pemegang izin, dan BPBD</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F17</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Laporan banyak titik api dalam satu transaksi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F18</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Masa sanggah, dua dari tiga verifikator, integrasi bank garansi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P2</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Aspek</w:t>
            </w:r>
          </w:p>
        </w:tc>
        <w:tc>
          <w:tcPr>
            <w:tcW w:type="dxa" w:w="771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Target</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Keamanan kunci</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Kunci privat tidak pernah ditempel ke agen AI atau di-commit. Deployer memakai keystore Foundry. Satu dompet per peran.</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Biaya gas</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Gas limit ketat. Monad menagih berdasarkan gas limit, bukan gas terpakai.</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Integritas</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Perubahan satu nilai pun terdeteksi lewat hash batch (sudah)</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Kedaulatan data</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 mentah di server pemerintah, hanya sidik jari di chain</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Kecepatan</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tampil dalam 3 detik, efek api 60 fps</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Keterulangan</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Orang luar bisa menjalankan dalam 15 menit dengan data demo</w:t>
            </w:r>
          </w:p>
        </w:tc>
      </w:tr>
    </w:tbl>
    <w:p>
      <w:pPr>
        <w:pStyle w:val="Heading1"/>
        <w:pageBreakBefore/>
      </w:pPr>
      <w:bookmarkStart w:name="_Toc35" w:id="35"/>
      <w:r>
        <w:t xml:space="preserve">13. Aspek komersial</w:t>
      </w:r>
      <w:bookmarkEnd w:id="35"/>
    </w:p>
    <w:p>
      <w:pPr>
        <w:pStyle w:val="Heading2"/>
        <w:keepNext/>
      </w:pPr>
      <w:bookmarkStart w:name="_Toc36" w:id="36"/>
      <w:r>
        <w:t xml:space="preserve">Siapa yang paling butuh</w:t>
      </w:r>
      <w:bookmarkEnd w:id="36"/>
    </w:p>
    <w:p>
      <w:pPr>
        <w:spacing w:after="120" w:line="288"/>
      </w:pPr>
      <w:r>
        <w:t xml:space="preserve">Pemerintah sebagai wasit regulasi paling butuh AgMon, karena pemerintah yang menanggung biaya pemadaman, kerugian ekonomi, dan tekanan publik saat asap datang. Masyarakat butuh transparansi. Pemegang izin butuh kepastian aturan dan bukti bahwa lahannya bersih.</w:t>
      </w:r>
    </w:p>
    <w:p>
      <w:pPr>
        <w:pStyle w:val="Heading2"/>
        <w:keepNext/>
      </w:pPr>
      <w:bookmarkStart w:name="_Toc37" w:id="37"/>
      <w:r>
        <w:t xml:space="preserve">Model pendapatan</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2083"/>
        <w:gridCol w:w="3386"/>
        <w:gridCol w:w="2346"/>
      </w:tblGrid>
      <w:tr>
        <w:trPr>
          <w:tblHeader/>
        </w:trPr>
        <w:tc>
          <w:tcPr>
            <w:tcW w:type="dxa" w:w="182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Sumber</w:t>
            </w:r>
          </w:p>
        </w:tc>
        <w:tc>
          <w:tcPr>
            <w:tcW w:type="dxa" w:w="208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membayar</w:t>
            </w:r>
          </w:p>
        </w:tc>
        <w:tc>
          <w:tcPr>
            <w:tcW w:type="dxa" w:w="338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Bentuk</w:t>
            </w:r>
          </w:p>
        </w:tc>
        <w:tc>
          <w:tcPr>
            <w:tcW w:type="dxa" w:w="234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Harga hipotesis</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Lisensi platform</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Kemenhut atau pemerintah provinsi</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tahunan lewat pengadaan pemerintah (misalnya e-katalog)</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Rp500 juta sampai Rp1,5 miliar per provinsi per tahun</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Biaya administrasi jaminan</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 hektare per tahun, ditetapkan bersama Kemenhut (bisa lewat skema PNBP yang lalu membiayai platform)</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Rp500 sampai Rp1.500 per ha per tahun</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Verifikasi lapangan</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Anggaran pemerintah</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 kunjungan, sebagian besar untuk operasional Manggala Agni dan MPA</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 ditetapkan</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Akses data</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Pembeli sawit, bank, pengembang karbon</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berbayar</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Fase berikutnya</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Hibah awal</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Program ekosistem Monad, BPDLH, dana iklim</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Hibah untuk pilot</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Untuk fase awal</w:t>
            </w:r>
          </w:p>
        </w:tc>
      </w:tr>
    </w:tbl>
    <w:p>
      <w:pPr>
        <w:spacing w:after="120" w:line="288"/>
      </w:pPr>
      <w:r>
        <w:rPr>
          <w:color w:val="6B7280"/>
          <w:sz w:val="18"/>
          <w:szCs w:val="18"/>
        </w:rPr>
        <w:t xml:space="preserve">Semua harga adalah hipotesis untuk diuji, belum hasil riset.</w:t>
      </w:r>
    </w:p>
    <w:p>
      <w:pPr>
        <w:pStyle w:val="Heading2"/>
        <w:keepNext/>
      </w:pPr>
      <w:bookmarkStart w:name="_Toc38" w:id="38"/>
      <w:r>
        <w:t xml:space="preserve">Ilustrasi satu provinsi</w:t>
      </w:r>
      <w:bookmarkEnd w:id="38"/>
    </w:p>
    <w:p>
      <w:pPr>
        <w:spacing w:after="120" w:line="288"/>
      </w:pPr>
      <w:r>
        <w:t xml:space="preserve">Ini ilustrasi dengan angka bulat, bukan proyeksi. Satu provinsi dengan 1 juta ha izin.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4965"/>
        <w:gridCol w:w="2337"/>
      </w:tblGrid>
      <w:tr>
        <w:trPr>
          <w:tblHeader/>
        </w:trPr>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Komponen</w:t>
            </w:r>
          </w:p>
        </w:tc>
        <w:tc>
          <w:tcPr>
            <w:tcW w:type="dxa" w:w="496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Hitungan</w:t>
            </w:r>
          </w:p>
        </w:tc>
        <w:tc>
          <w:tcPr>
            <w:tcW w:type="dxa" w:w="233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Per tahun</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Lisensi platform</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provinsi</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Rp1 miliar</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Biaya administrasi</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1.000.000 ha × Rp1.000</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Rp1 miliar</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Total</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Rp2 miliar</w:t>
            </w:r>
          </w:p>
        </w:tc>
      </w:tr>
    </w:tbl>
    <w:p>
      <w:pPr>
        <w:spacing w:after="120" w:line="288"/>
      </w:pPr>
      <w:r>
        <w:t xml:space="preserve">Biaya utama: server, gas oracle (sekitar 0,45 MON per hari untuk 48 batch), tim teknis, dan dukungan lapangan.</w:t>
      </w:r>
    </w:p>
    <w:p>
      <w:pPr>
        <w:pStyle w:val="Heading2"/>
        <w:keepNext/>
      </w:pPr>
      <w:bookmarkStart w:name="_Toc39" w:id="39"/>
      <w:r>
        <w:t xml:space="preserve">Strategi masuk pasar</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2"/>
        <w:gridCol w:w="1562"/>
        <w:gridCol w:w="3646"/>
        <w:gridCol w:w="3128"/>
      </w:tblGrid>
      <w:tr>
        <w:trPr>
          <w:tblHeader/>
        </w:trPr>
        <w:tc>
          <w:tcPr>
            <w:tcW w:type="dxa" w:w="130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Fase</w:t>
            </w:r>
          </w:p>
        </w:tc>
        <w:tc>
          <w:tcPr>
            <w:tcW w:type="dxa" w:w="156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Waktu</w:t>
            </w:r>
          </w:p>
        </w:tc>
        <w:tc>
          <w:tcPr>
            <w:tcW w:type="dxa" w:w="364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Langkah</w:t>
            </w:r>
          </w:p>
        </w:tc>
        <w:tc>
          <w:tcPr>
            <w:tcW w:type="dxa" w:w="312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Bukti keberhasilan</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0. Blitz</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Hari ini</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Demo live, posting media sosial</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Skor penjurian, satu kontak di lingkungan Kemenhut atau dinas</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Audiensi</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Bulan 1 sampai 3</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Presentasi ke unit pengendalian kebakaran hutan Kemenhut dan Dinas Kehutanan Riau atau Kalteng</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Surat dukungan atau nota kesepahaman</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 Pilot sukarela</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Bulan 3 sampai 12</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provinsi, 5 sampai 10 pemegang izin sukarela, insentif peringkat PROPER</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Median verifikasi di bawah 48 jam, rasio penolakan di bawah 30%</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 Regulasi</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Tahun 2</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Usulan Permen yang mewajibkan jaminan kebakaran</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Draf regulasi masuk pembahasan</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4. Perluasan</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Tahun 2 ke atas</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Provinsi rawan lain, data untuk swasta</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lisensi tahunan</w:t>
            </w:r>
          </w:p>
        </w:tc>
      </w:tr>
    </w:tbl>
    <w:p>
      <w:pPr>
        <w:pStyle w:val="Heading2"/>
        <w:keepNext/>
      </w:pPr>
      <w:bookmarkStart w:name="_Toc40" w:id="40"/>
      <w:r>
        <w:t xml:space="preserve">Pembeda</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212"/>
        <w:gridCol w:w="4017"/>
      </w:tblGrid>
      <w:tr>
        <w:trPr>
          <w:tblHeader/>
        </w:trPr>
        <w:tc>
          <w:tcPr>
            <w:tcW w:type="dxa" w:w="240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Alternatif</w:t>
            </w:r>
          </w:p>
        </w:tc>
        <w:tc>
          <w:tcPr>
            <w:tcW w:type="dxa" w:w="321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diberikan</w:t>
            </w:r>
          </w:p>
        </w:tc>
        <w:tc>
          <w:tcPr>
            <w:tcW w:type="dxa" w:w="401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tidak diberikan</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SiPongi</w:t>
            </w:r>
          </w:p>
        </w:tc>
        <w:tc>
          <w:tcPr>
            <w:tcW w:type="dxa" w:w="321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Pemantauan titik api nasional</w:t>
            </w:r>
          </w:p>
        </w:tc>
        <w:tc>
          <w:tcPr>
            <w:tcW w:type="dxa" w:w="401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Ikatan otomatis ke pemegang izin, catatan anti-ubah, konsekuensi finansial</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Gugatan perdata</w:t>
            </w:r>
          </w:p>
        </w:tc>
        <w:tc>
          <w:tcPr>
            <w:tcW w:type="dxa" w:w="321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Ganti rugi lewat pengadilan</w:t>
            </w:r>
          </w:p>
        </w:tc>
        <w:tc>
          <w:tcPr>
            <w:tcW w:type="dxa" w:w="401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Kecepatan. Dana sudah tersedia sebelum kebakaran.</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Global Forest Watch</w:t>
            </w:r>
          </w:p>
        </w:tc>
        <w:tc>
          <w:tcPr>
            <w:tcW w:type="dxa" w:w="321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 dan peta terbuka</w:t>
            </w:r>
          </w:p>
        </w:tc>
        <w:tc>
          <w:tcPr>
            <w:tcW w:type="dxa" w:w="401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Peran resmi dalam penegakan aturan</w:t>
            </w:r>
          </w:p>
        </w:tc>
      </w:tr>
    </w:tbl>
    <w:p>
      <w:pPr>
        <w:pStyle w:val="Heading2"/>
        <w:keepNext/>
      </w:pPr>
      <w:bookmarkStart w:name="_Toc41" w:id="41"/>
      <w:r>
        <w:t xml:space="preserve">Hipotesis product-market fit</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3480"/>
        <w:gridCol w:w="2143"/>
      </w:tblGrid>
      <w:tr>
        <w:trPr>
          <w:tblHeader/>
        </w:trPr>
        <w:tc>
          <w:tcPr>
            <w:tcW w:type="dxa" w:w="40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Hipotesis</w:t>
            </w:r>
          </w:p>
        </w:tc>
        <w:tc>
          <w:tcPr>
            <w:tcW w:type="dxa" w:w="348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Cara menguji</w:t>
            </w:r>
          </w:p>
        </w:tc>
        <w:tc>
          <w:tcPr>
            <w:tcW w:type="dxa" w:w="214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Lulus bila</w:t>
            </w:r>
          </w:p>
        </w:tc>
      </w:tr>
      <w:tr>
        <w:trPr>
          <w:cantSplit/>
        </w:trPr>
        <w:tc>
          <w:tcPr>
            <w:tcW w:type="dxa" w:w="40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H1. Kemenhut atau satu dinas provinsi mau menjalankan pilot</w:t>
            </w:r>
          </w:p>
        </w:tc>
        <w:tc>
          <w:tcPr>
            <w:tcW w:type="dxa" w:w="3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Audiensi dalam tiga bulan</w:t>
            </w:r>
          </w:p>
        </w:tc>
        <w:tc>
          <w:tcPr>
            <w:tcW w:type="dxa" w:w="214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Surat dukungan</w:t>
            </w:r>
          </w:p>
        </w:tc>
      </w:tr>
      <w:tr>
        <w:trPr>
          <w:cantSplit/>
        </w:trPr>
        <w:tc>
          <w:tcPr>
            <w:tcW w:type="dxa" w:w="40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H2. Pemegang izin mau ikut sukarela dengan insentif PROPER</w:t>
            </w:r>
          </w:p>
        </w:tc>
        <w:tc>
          <w:tcPr>
            <w:tcW w:type="dxa" w:w="3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Undang 20 pemegang izin di satu provinsi</w:t>
            </w:r>
          </w:p>
        </w:tc>
        <w:tc>
          <w:tcPr>
            <w:tcW w:type="dxa" w:w="214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Minimal 5 ikut</w:t>
            </w:r>
          </w:p>
        </w:tc>
      </w:tr>
      <w:tr>
        <w:trPr>
          <w:cantSplit/>
        </w:trPr>
        <w:tc>
          <w:tcPr>
            <w:tcW w:type="dxa" w:w="40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H3. Manggala Agni bisa memverifikasi dalam 48 jam</w:t>
            </w:r>
          </w:p>
        </w:tc>
        <w:tc>
          <w:tcPr>
            <w:tcW w:type="dxa" w:w="3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Uji di satu daerah operasi</w:t>
            </w:r>
          </w:p>
        </w:tc>
        <w:tc>
          <w:tcPr>
            <w:tcW w:type="dxa" w:w="214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Median di bawah 48 jam</w:t>
            </w:r>
          </w:p>
        </w:tc>
      </w:tr>
      <w:tr>
        <w:trPr>
          <w:cantSplit/>
        </w:trPr>
        <w:tc>
          <w:tcPr>
            <w:tcW w:type="dxa" w:w="40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H4. Positif palsu bisa diterima</w:t>
            </w:r>
          </w:p>
        </w:tc>
        <w:tc>
          <w:tcPr>
            <w:tcW w:type="dxa" w:w="3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Hitung insiden ditolak dibanding total selama pilot</w:t>
            </w:r>
          </w:p>
        </w:tc>
        <w:tc>
          <w:tcPr>
            <w:tcW w:type="dxa" w:w="214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 bawah 30%</w:t>
            </w:r>
          </w:p>
        </w:tc>
      </w:tr>
    </w:tbl>
    <w:p>
      <w:pPr>
        <w:pStyle w:val="Heading1"/>
        <w:pageBreakBefore/>
      </w:pPr>
      <w:bookmarkStart w:name="_Toc42" w:id="42"/>
      <w:r>
        <w:t xml:space="preserve">14. Risiko dan mitigasi</w:t>
      </w:r>
      <w:bookmarkEnd w:id="42"/>
    </w:p>
    <w:p>
      <w:pPr>
        <w:pStyle w:val="Heading2"/>
        <w:keepNext/>
      </w:pPr>
      <w:bookmarkStart w:name="_Toc43" w:id="43"/>
      <w:r>
        <w:t xml:space="preserve">Risiko produk dan kebijakan</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963"/>
        <w:gridCol w:w="3857"/>
      </w:tblGrid>
      <w:tr>
        <w:trPr>
          <w:tblHeader/>
        </w:trPr>
        <w:tc>
          <w:tcPr>
            <w:tcW w:type="dxa" w:w="385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Risiko</w:t>
            </w:r>
          </w:p>
        </w:tc>
        <w:tc>
          <w:tcPr>
            <w:tcW w:type="dxa" w:w="96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Dampak</w:t>
            </w:r>
          </w:p>
        </w:tc>
        <w:tc>
          <w:tcPr>
            <w:tcW w:type="dxa" w:w="96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Peluang</w:t>
            </w:r>
          </w:p>
        </w:tc>
        <w:tc>
          <w:tcPr>
            <w:tcW w:type="dxa" w:w="385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Mitigasi</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R1. Positif palsu: suar gas, pembakaran sah, atap seng panas</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Confidence minimal nominal, uang hanya bergerak setelah verifikasi lapangan, masa sanggah (P2)</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R2. Negatif palsu: awan, asap, api gambut di bawah permukaan</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Tambah sumber data (SiPongi, satelit geostasioner), laporan warga. Sampaikan terbuka sebagai batas sistem.</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R3. Batas izin tidak presisi: sel resolusi 7 sekitar 5,16 km²</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Resolusi 8 atau 9 di perbatasan, poligon asli disimpan, verifikator memutuskan</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R4. Siklus anggaran dan pengadaan pemerintah panjang</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Pilot didanai hibah, masuk lewat dinas provinsi, siapkan produk untuk e-katalog</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R5. Pemerintah enggan memakai blockchain publik</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Hanya hash di chain, uang di bank, data di server pemerintah (bagian 10)</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R6. Pergantian pejabat mengubah prioritas</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Dukungan di dua tingkat (pusat dan provinsi), rekam jejak pilot yang terukur</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R7. Dianggap tumpang tindih dengan SiPongi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Posisikan sebagai lapisan di atas SiPongi, bukan pengganti</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R8. Verifikator ditekan atau disuap</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Dua dari tiga petugas, rotasi, foto berlokasi dan berwaktu, identitas dilindungi</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R9. Pemegang izin menolak ikut sebelum ada regulasi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Insentif PROPER, prioritas layanan perizinan, mulai dari pemegang izin yang ingin terlihat patuh</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R10. Kunci oracle atau admin bocor</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Rendah</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dompet per peran (sudah), peran bisa dicabut, multisig admin (P2)</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R11. Kontrak belum diaudit</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Tes unit dan fuzz (sudah), audit sebelum pilot dengan uang sungguhan</w:t>
            </w:r>
          </w:p>
        </w:tc>
      </w:tr>
    </w:tbl>
    <w:p>
      <w:pPr>
        <w:pStyle w:val="Heading2"/>
        <w:keepNext/>
      </w:pPr>
      <w:bookmarkStart w:name="_Toc44" w:id="44"/>
      <w:r>
        <w:t xml:space="preserve">Risiko hari ini</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9"/>
        <w:gridCol w:w="6059"/>
      </w:tblGrid>
      <w:tr>
        <w:trPr>
          <w:tblHeader/>
        </w:trPr>
        <w:tc>
          <w:tcPr>
            <w:tcW w:type="dxa" w:w="357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Risiko</w:t>
            </w:r>
          </w:p>
        </w:tc>
        <w:tc>
          <w:tcPr>
            <w:tcW w:type="dxa" w:w="605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Mitigasi</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Demo gagal di panggung karena Wi-Fi, RPC, atau MetaMask</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cadangan, hotspot ponsel, login dan formulir disiapkan sebelum naik panggung</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Insiden Diduga habis sebelum pitching</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Jalankan data demo sekali setelah deploy ulang, sisakan tiga insiden</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api membuat halaman berat atau menutupi tombol</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Uji di laptop panitia atau laptop biasa, fps dipantau, pointer-events: none</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Saldo MON oracle habis</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Cek saldo sebelum makan siang dan sebelum pitching, isi dari faucet.monad.xyz</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Target 5.000 tayangan tidak tercapai</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Posting lebih awal, semua anggota tim memosting, video vertikal pendek</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Kunci bocor ke transkrip agen AI</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 menjalankan deploy sendiri dengan keystore. Claude hanya menerima alamat kontrak, chain ID, dan ABI.</w:t>
            </w:r>
          </w:p>
        </w:tc>
      </w:tr>
    </w:tbl>
    <w:p>
      <w:pPr>
        <w:pStyle w:val="Heading1"/>
        <w:pageBreakBefore/>
      </w:pPr>
      <w:bookmarkStart w:name="_Toc45" w:id="45"/>
      <w:r>
        <w:t xml:space="preserve">15. Bottleneck dan strategi</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3029"/>
        <w:gridCol w:w="4407"/>
      </w:tblGrid>
      <w:tr>
        <w:trPr>
          <w:tblHeader/>
        </w:trPr>
        <w:tc>
          <w:tcPr>
            <w:tcW w:type="dxa" w:w="220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Bottleneck</w:t>
            </w:r>
          </w:p>
        </w:tc>
        <w:tc>
          <w:tcPr>
            <w:tcW w:type="dxa" w:w="302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Kenapa menghambat</w:t>
            </w:r>
          </w:p>
        </w:tc>
        <w:tc>
          <w:tcPr>
            <w:tcW w:type="dxa" w:w="440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Strategi</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B1. Dasar hukum jaminan kebakaran belum ada</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Tanpa regulasi, pemegang izin tidak wajib menyetor</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Pilot sukarela dengan insentif PROPER, data pilot dipakai untuk menyusun usulan Permen</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B2. Akses peta izin resmi</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 izin tidak selalu terbuka dan formatnya beragam</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Kerja sama data dengan Kemenhut atau dinas provinsi, impor shapefile, Global Forest Watch sebagai pembanding</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B3. Kapasitas verifikasi lapangan</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Personel Manggala Agni terbatas, lokasi terpencil</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Prioritas otomatis berdasarkan FRP, MPA sebagai pendukung, citra Sentinel-2 sebelum dan sesudah sebagai bukti kedua</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B4. Sulit dijalankan orang lain</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Supabase self-hosted butuh VPS 4 GB. Ini memengaruhi 25 poin hari ini.</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Jalur cepat di README dengan Supabase Cloud gratis dan data demo, diuji satu orang luar sebelum 14.00</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B5. Throughput laporan</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transaksi per titik api, maksimal 25 per putaran</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Laporan batch, prioritas confidence tinggi, eth_sendRawTransactionSync</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B6. Integrasi bank garansi</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Butuh mitra bank dan prosedur pencairan</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Mulai dengan bank BUMN yang sudah melayani jaminan reklamasi</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B7. Distribusi konten hari ini</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5.000 tayangan dalam beberapa jam sulit untuk akun baru</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Posting dari semua anggota tim, kait visual asap dan api, dua bahasa, tag komunitas</w:t>
            </w:r>
          </w:p>
        </w:tc>
      </w:tr>
    </w:tbl>
    <w:p>
      <w:pPr>
        <w:pStyle w:val="Heading1"/>
        <w:pageBreakBefore/>
      </w:pPr>
      <w:bookmarkStart w:name="_Toc46" w:id="46"/>
      <w:r>
        <w:t xml:space="preserve">16. Metrik keberhasilan</w:t>
      </w:r>
      <w:bookmarkEnd w:id="46"/>
    </w:p>
    <w:p>
      <w:pPr>
        <w:pStyle w:val="Heading2"/>
        <w:keepNext/>
      </w:pPr>
      <w:bookmarkStart w:name="_Toc47" w:id="47"/>
      <w:r>
        <w:t xml:space="preserve">Hari ini</w:t>
      </w:r>
      <w:bookmarkEnd w:id="47"/>
    </w:p>
    <w:p>
      <w:pPr>
        <w:pStyle w:val="ListParagraph"/>
        <w:numPr>
          <w:ilvl w:val="0"/>
          <w:numId w:val="2"/>
        </w:numPr>
        <w:spacing w:after="60" w:line="276"/>
      </w:pPr>
      <w:r>
        <w:t xml:space="preserve">Basic 100 dari 100, Advance teknis 100 dari 100.</w:t>
      </w:r>
    </w:p>
    <w:p>
      <w:pPr>
        <w:pStyle w:val="ListParagraph"/>
        <w:numPr>
          <w:ilvl w:val="0"/>
          <w:numId w:val="2"/>
        </w:numPr>
        <w:spacing w:after="60" w:line="276"/>
      </w:pPr>
      <w:r>
        <w:t xml:space="preserve">Kontrak terverifikasi di tiga explorer.</w:t>
      </w:r>
    </w:p>
    <w:p>
      <w:pPr>
        <w:pStyle w:val="ListParagraph"/>
        <w:numPr>
          <w:ilvl w:val="0"/>
          <w:numId w:val="2"/>
        </w:numPr>
        <w:spacing w:after="60" w:line="276"/>
      </w:pPr>
      <w:r>
        <w:t xml:space="preserve">Minimal 15 transaksi oracle sampai 16.45, ditambah satu transaksi confirmFire live saat pitching.</w:t>
      </w:r>
    </w:p>
    <w:p>
      <w:pPr>
        <w:pStyle w:val="ListParagraph"/>
        <w:numPr>
          <w:ilvl w:val="0"/>
          <w:numId w:val="2"/>
        </w:numPr>
        <w:spacing w:after="60" w:line="276"/>
      </w:pPr>
      <w:r>
        <w:t xml:space="preserve">Satu orang di luar tim berhasil menjalankan proyek dari README tanpa bertanya.</w:t>
      </w:r>
    </w:p>
    <w:p>
      <w:pPr>
        <w:pStyle w:val="ListParagraph"/>
        <w:numPr>
          <w:ilvl w:val="0"/>
          <w:numId w:val="2"/>
        </w:numPr>
        <w:spacing w:after="60" w:line="276"/>
      </w:pPr>
      <w:r>
        <w:t xml:space="preserve">Minimal 5.000 tayangan gabungan.</w:t>
      </w:r>
    </w:p>
    <w:p>
      <w:pPr>
        <w:pStyle w:val="Heading2"/>
        <w:keepNext/>
      </w:pPr>
      <w:bookmarkStart w:name="_Toc48" w:id="48"/>
      <w:r>
        <w:t xml:space="preserve">Pilot</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4965"/>
        <w:gridCol w:w="2337"/>
      </w:tblGrid>
      <w:tr>
        <w:trPr>
          <w:tblHeader/>
        </w:trPr>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Metrik</w:t>
            </w:r>
          </w:p>
        </w:tc>
        <w:tc>
          <w:tcPr>
            <w:tcW w:type="dxa" w:w="496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Definisi</w:t>
            </w:r>
          </w:p>
        </w:tc>
        <w:tc>
          <w:tcPr>
            <w:tcW w:type="dxa" w:w="233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Target</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Hektare dipantau</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Total luas izin terdaftar</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juta ha di satu provinsi</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Waktu ke chain</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Dari data FIRMS tersedia sampai insiden tercatat</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Median di bawah 1 jam</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Waktu verifikasi</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Dari insiden Diduga sampai keputusan</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Median di bawah 48 jam</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Rasio penolakan</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Insiden ditolak dibagi total insiden</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 bawah 30%</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Partisipasi</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 yang ikut dibagi yang diundang</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Minimal 25%</w:t>
            </w:r>
          </w:p>
        </w:tc>
      </w:tr>
    </w:tbl>
    <w:p>
      <w:pPr>
        <w:pStyle w:val="Heading1"/>
        <w:pageBreakBefore/>
      </w:pPr>
      <w:bookmarkStart w:name="_Toc49" w:id="49"/>
      <w:r>
        <w:t xml:space="preserve">17. Naskah demo dan build in public</w:t>
      </w:r>
      <w:bookmarkEnd w:id="49"/>
    </w:p>
    <w:p>
      <w:pPr>
        <w:pStyle w:val="Heading2"/>
        <w:keepNext/>
      </w:pPr>
      <w:bookmarkStart w:name="_Toc50" w:id="50"/>
      <w:r>
        <w:t xml:space="preserve">Pitch tiga menit</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5507"/>
        <w:gridCol w:w="2755"/>
      </w:tblGrid>
      <w:tr>
        <w:trPr>
          <w:tblHeader/>
        </w:trPr>
        <w:tc>
          <w:tcPr>
            <w:tcW w:type="dxa" w:w="137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Detik</w:t>
            </w:r>
          </w:p>
        </w:tc>
        <w:tc>
          <w:tcPr>
            <w:tcW w:type="dxa" w:w="550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Isi</w:t>
            </w:r>
          </w:p>
        </w:tc>
        <w:tc>
          <w:tcPr>
            <w:tcW w:type="dxa" w:w="275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Layar</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0 sampai 20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Agni, dewa api. Kebakaran 2019 menghanguskan sekitar 1,6 juta ha. Pemerintah sudah bisa melihat apinya. Yang belum ada: siapa yang menanggung, dan seberapa cepat.</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slide: foto asap dan satu angka</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20 sampai 60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izin dari Kemenhut (dummy), titik api FIRMS, jaminan 10 MON. Api di bawah layar ikut naik saat insiden bertambah.</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Dashboard AgMon</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60 sampai 110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Transaksi live: petugas Manggala Agni menekan Konfirmasi. Jaminan turun ke 8 MON, dana restorasi naik 2 MON, layar meninggalkan bekas gosong. Buka transaksinya di explorer.</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MetaMask, lalu explorer</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110 sampai 140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Cek integritas: Cocok. Ubah satu nilai di database, cek lagi: Tidak cocok.</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Dashboard dan Supabase Studio</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140 sampai 170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Kemenhut membayar platformnya, pemegang izin menyetor jaminan lewat bank garansi, masyarakat mengawasi gratis. Mulai dari pilot satu provinsi.</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slide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170 sampai 180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Repo, alamat kontrak, URL live, disebutkan dengan suara</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Slide penutup dengan QR</w:t>
            </w:r>
          </w:p>
        </w:tc>
      </w:tr>
    </w:tbl>
    <w:p>
      <w:pPr>
        <w:pStyle w:val="Heading2"/>
        <w:keepNext/>
      </w:pPr>
      <w:bookmarkStart w:name="_Toc51" w:id="51"/>
      <w:r>
        <w:t xml:space="preserve">Rencana posting</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2344"/>
        <w:gridCol w:w="4428"/>
        <w:gridCol w:w="1825"/>
      </w:tblGrid>
      <w:tr>
        <w:trPr>
          <w:tblHeader/>
        </w:trPr>
        <w:tc>
          <w:tcPr>
            <w:tcW w:type="dxa" w:w="104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Jam</w:t>
            </w:r>
          </w:p>
        </w:tc>
        <w:tc>
          <w:tcPr>
            <w:tcW w:type="dxa" w:w="234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Kanal</w:t>
            </w:r>
          </w:p>
        </w:tc>
        <w:tc>
          <w:tcPr>
            <w:tcW w:type="dxa" w:w="442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Isi</w:t>
            </w:r>
          </w:p>
        </w:tc>
        <w:tc>
          <w:tcPr>
            <w:tcW w:type="dxa" w:w="182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PJ</w:t>
            </w:r>
          </w:p>
        </w:tc>
      </w:tr>
      <w:tr>
        <w:trPr>
          <w:cantSplit/>
        </w:trPr>
        <w:tc>
          <w:tcPr>
            <w:tcW w:type="dxa" w:w="10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12.30</w:t>
            </w:r>
          </w:p>
        </w:tc>
        <w:tc>
          <w:tcPr>
            <w:tcW w:type="dxa" w:w="23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X dan LinkedIn</w:t>
            </w:r>
          </w:p>
        </w:tc>
        <w:tc>
          <w:tcPr>
            <w:tcW w:type="dxa" w:w="44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Masalah, perkenalan AgMon, tautan live, tag @monad @monad_dev @geeky_kartikey</w:t>
            </w:r>
          </w:p>
        </w:tc>
        <w:tc>
          <w:tcPr>
            <w:tcW w:type="dxa" w:w="18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r>
        <w:trPr>
          <w:cantSplit/>
        </w:trPr>
        <w:tc>
          <w:tcPr>
            <w:tcW w:type="dxa" w:w="10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14.30</w:t>
            </w:r>
          </w:p>
        </w:tc>
        <w:tc>
          <w:tcPr>
            <w:tcW w:type="dxa" w:w="23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X, LinkedIn, Reels atau TikTok</w:t>
            </w:r>
          </w:p>
        </w:tc>
        <w:tc>
          <w:tcPr>
            <w:tcW w:type="dxa" w:w="44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demo 45 sampai 60 detik</w:t>
            </w:r>
          </w:p>
        </w:tc>
        <w:tc>
          <w:tcPr>
            <w:tcW w:type="dxa" w:w="18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buat, Yoga posting</w:t>
            </w:r>
          </w:p>
        </w:tc>
      </w:tr>
      <w:tr>
        <w:trPr>
          <w:cantSplit/>
        </w:trPr>
        <w:tc>
          <w:tcPr>
            <w:tcW w:type="dxa" w:w="10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15.15</w:t>
            </w:r>
          </w:p>
        </w:tc>
        <w:tc>
          <w:tcPr>
            <w:tcW w:type="dxa" w:w="23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Semua kanal</w:t>
            </w:r>
          </w:p>
        </w:tc>
        <w:tc>
          <w:tcPr>
            <w:tcW w:type="dxa" w:w="44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iklan 20 sampai 30 detik</w:t>
            </w:r>
          </w:p>
        </w:tc>
        <w:tc>
          <w:tcPr>
            <w:tcW w:type="dxa" w:w="18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buat, Yoga posting</w:t>
            </w:r>
          </w:p>
        </w:tc>
      </w:tr>
      <w:tr>
        <w:trPr>
          <w:cantSplit/>
        </w:trPr>
        <w:tc>
          <w:tcPr>
            <w:tcW w:type="dxa" w:w="10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16.30</w:t>
            </w:r>
          </w:p>
        </w:tc>
        <w:tc>
          <w:tcPr>
            <w:tcW w:type="dxa" w:w="23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X</w:t>
            </w:r>
          </w:p>
        </w:tc>
        <w:tc>
          <w:tcPr>
            <w:tcW w:type="dxa" w:w="44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Utas penutup: alamat kontrak terverifikasi, jumlah transaksi hari ini, tautan repo</w:t>
            </w:r>
          </w:p>
        </w:tc>
        <w:tc>
          <w:tcPr>
            <w:tcW w:type="dxa" w:w="18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bl>
    <w:p>
      <w:pPr>
        <w:pStyle w:val="Heading2"/>
        <w:keepNext/>
      </w:pPr>
      <w:bookmarkStart w:name="_Toc52" w:id="52"/>
      <w:r>
        <w:t xml:space="preserve">Konsep video iklan</w:t>
      </w:r>
      <w:bookmarkEnd w:id="52"/>
    </w:p>
    <w:p>
      <w:pPr>
        <w:pStyle w:val="ListParagraph"/>
        <w:numPr>
          <w:ilvl w:val="0"/>
          <w:numId w:val="5"/>
        </w:numPr>
        <w:spacing w:after="60" w:line="276"/>
      </w:pPr>
      <w:r>
        <w:t xml:space="preserve">Layar putih bersih. Teks oranye: Agni. Dewa api.</w:t>
      </w:r>
    </w:p>
    <w:p>
      <w:pPr>
        <w:pStyle w:val="ListParagraph"/>
        <w:numPr>
          <w:ilvl w:val="0"/>
          <w:numId w:val="5"/>
        </w:numPr>
        <w:spacing w:after="60" w:line="276"/>
      </w:pPr>
      <w:r>
        <w:t xml:space="preserve">Peta, titik api muncul di dalam batas izin. Teks: Satelit melihatnya tiga jam lalu. Siapa yang bertanggung jawab?</w:t>
      </w:r>
    </w:p>
    <w:p>
      <w:pPr>
        <w:pStyle w:val="ListParagraph"/>
        <w:numPr>
          <w:ilvl w:val="0"/>
          <w:numId w:val="5"/>
        </w:numPr>
        <w:spacing w:after="60" w:line="276"/>
      </w:pPr>
      <w:r>
        <w:t xml:space="preserve">Api naik dari bawah layar, penghitung jaminan turun dari 10 ke 8 MON. Teks: Sekarang api punya harga.</w:t>
      </w:r>
    </w:p>
    <w:p>
      <w:pPr>
        <w:pStyle w:val="ListParagraph"/>
        <w:numPr>
          <w:ilvl w:val="0"/>
          <w:numId w:val="5"/>
        </w:numPr>
        <w:spacing w:after="60" w:line="276"/>
      </w:pPr>
      <w:r>
        <w:t xml:space="preserve">Layar menyisakan bekas gosong di bawah, logo AgMon. Teks: Api tercatat. Jaminan dicairkan. Dibangun di Monad.</w:t>
      </w:r>
    </w:p>
    <w:p>
      <w:pPr>
        <w:pStyle w:val="Heading1"/>
        <w:pageBreakBefore/>
      </w:pPr>
      <w:bookmarkStart w:name="_Toc53" w:id="53"/>
      <w:r>
        <w:t xml:space="preserve">18. Di luar cakupan hari ini</w:t>
      </w:r>
      <w:bookmarkEnd w:id="53"/>
    </w:p>
    <w:p>
      <w:pPr>
        <w:pStyle w:val="ListParagraph"/>
        <w:numPr>
          <w:ilvl w:val="0"/>
          <w:numId w:val="2"/>
        </w:numPr>
        <w:spacing w:after="60" w:line="276"/>
      </w:pPr>
      <w:r>
        <w:t xml:space="preserve">Peran regulator di kontrak, impor shapefile, integrasi bank garansi.</w:t>
      </w:r>
    </w:p>
    <w:p>
      <w:pPr>
        <w:pStyle w:val="ListParagraph"/>
        <w:numPr>
          <w:ilvl w:val="0"/>
          <w:numId w:val="2"/>
        </w:numPr>
        <w:spacing w:after="60" w:line="276"/>
      </w:pPr>
      <w:r>
        <w:t xml:space="preserve">Token AgMon sendiri dan tata kelola DAO.</w:t>
      </w:r>
    </w:p>
    <w:p>
      <w:pPr>
        <w:pStyle w:val="ListParagraph"/>
        <w:numPr>
          <w:ilvl w:val="0"/>
          <w:numId w:val="2"/>
        </w:numPr>
        <w:spacing w:after="60" w:line="276"/>
      </w:pPr>
      <w:r>
        <w:t xml:space="preserve">Masa sanggah, beberapa oracle, beberapa verifikator.</w:t>
      </w:r>
    </w:p>
    <w:p>
      <w:pPr>
        <w:pStyle w:val="ListParagraph"/>
        <w:numPr>
          <w:ilvl w:val="0"/>
          <w:numId w:val="2"/>
        </w:numPr>
        <w:spacing w:after="60" w:line="276"/>
      </w:pPr>
      <w:r>
        <w:t xml:space="preserve">Izin sungguhan. Demo memakai izin dummy dan titik api sintetis, disebutkan terang di README dan saat pitching.</w:t>
      </w:r>
    </w:p>
    <w:p>
      <w:pPr>
        <w:pStyle w:val="Heading1"/>
      </w:pPr>
      <w:bookmarkStart w:name="_Toc54" w:id="54"/>
      <w:r>
        <w:t xml:space="preserve">19. Pertanyaan terbuka</w:t>
      </w:r>
      <w:bookmarkEnd w:id="54"/>
    </w:p>
    <w:p>
      <w:pPr>
        <w:pStyle w:val="ListParagraph"/>
        <w:numPr>
          <w:ilvl w:val="0"/>
          <w:numId w:val="6"/>
        </w:numPr>
        <w:spacing w:after="60" w:line="276"/>
      </w:pPr>
      <w:r>
        <w:t xml:space="preserve">Apakah kiriman di blitz.devnads.com bisa diubah setelah dikirim?</w:t>
      </w:r>
    </w:p>
    <w:p>
      <w:pPr>
        <w:pStyle w:val="ListParagraph"/>
        <w:numPr>
          <w:ilvl w:val="0"/>
          <w:numId w:val="6"/>
        </w:numPr>
        <w:spacing w:after="60" w:line="276"/>
      </w:pPr>
      <w:r>
        <w:t xml:space="preserve">Apakah deploy ulang hari ini cukup sebagai bukti deploy selama acara?</w:t>
      </w:r>
    </w:p>
    <w:p>
      <w:pPr>
        <w:pStyle w:val="ListParagraph"/>
        <w:numPr>
          <w:ilvl w:val="0"/>
          <w:numId w:val="6"/>
        </w:numPr>
        <w:spacing w:after="60" w:line="276"/>
      </w:pPr>
      <w:r>
        <w:t xml:space="preserve">Domain mana yang dipakai, dan siapa yang membayar?</w:t>
      </w:r>
    </w:p>
    <w:p>
      <w:pPr>
        <w:pStyle w:val="ListParagraph"/>
        <w:numPr>
          <w:ilvl w:val="0"/>
          <w:numId w:val="6"/>
        </w:numPr>
        <w:spacing w:after="60" w:line="276"/>
      </w:pPr>
      <w:r>
        <w:t xml:space="preserve">Siapa yang memegang dompet verifikator saat pitching?</w:t>
      </w:r>
    </w:p>
    <w:p>
      <w:pPr>
        <w:pStyle w:val="ListParagraph"/>
        <w:numPr>
          <w:ilvl w:val="0"/>
          <w:numId w:val="6"/>
        </w:numPr>
        <w:spacing w:after="60" w:line="276"/>
      </w:pPr>
      <w:r>
        <w:t xml:space="preserve">Adakah kenalan di Kemenhut atau Dinas Kehutanan yang bisa diajak bicara setelah Blitz?</w:t>
      </w:r>
    </w:p>
    <w:p>
      <w:pPr>
        <w:pStyle w:val="Heading1"/>
        <w:pageBreakBefore/>
      </w:pPr>
      <w:bookmarkStart w:name="_Toc55" w:id="55"/>
      <w:r>
        <w:t xml:space="preserve">Lampiran A. Parameter kontrak dan biaya gas</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4380"/>
        <w:gridCol w:w="2922"/>
      </w:tblGrid>
      <w:tr>
        <w:trPr>
          <w:tblHeader/>
        </w:trPr>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Parameter</w:t>
            </w:r>
          </w:p>
        </w:tc>
        <w:tc>
          <w:tcPr>
            <w:tcW w:type="dxa" w:w="438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Nilai</w:t>
            </w:r>
          </w:p>
        </w:tc>
        <w:tc>
          <w:tcPr>
            <w:tcW w:type="dxa" w:w="292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Letak</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SLASH_BPS</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2000 (20% per kebakaran terkonfirmasi)</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FireBond.sol</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DEDUP_WINDOW</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hari per sel</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FireBond.sol</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MIN_CONFIDENCE</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(nominal)</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FireBond.sol</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Resolusi H3</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7</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oracle/src/config.ts</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BOND_MON</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10 MON per izin saat seed</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oracle/.env</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MAX_REPORTS</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 laporan per putaran</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oracle/.env</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FIRMS_AREAS</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Riau dan Kalimantan Tengah</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oracle/.env</w:t>
            </w:r>
          </w:p>
        </w:tc>
      </w:tr>
    </w:tbl>
    <w:p>
      <w:pPr>
        <w:spacing w:after="60"/>
      </w:pPr>
    </w:p>
    <w:p>
      <w:pPr>
        <w:spacing w:after="120" w:line="288"/>
      </w:pPr>
      <w:r>
        <w:t xml:space="preserve">Gas diukur dengan forge test --gas-report pada 24 Oktober 2026. Biaya dihitung pada base fee minimum Monad, 100 MON-gwei, tanpa tip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614"/>
        <w:gridCol w:w="3013"/>
      </w:tblGrid>
      <w:tr>
        <w:trPr>
          <w:tblHeader/>
        </w:trPr>
        <w:tc>
          <w:tcPr>
            <w:tcW w:type="dxa" w:w="301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Fungsi</w:t>
            </w:r>
          </w:p>
        </w:tc>
        <w:tc>
          <w:tcPr>
            <w:tcW w:type="dxa" w:w="361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Gas (median)</w:t>
            </w:r>
          </w:p>
        </w:tc>
        <w:tc>
          <w:tcPr>
            <w:tcW w:type="dxa" w:w="301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Perkiraan biaya</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anchorBatch</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93.952</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0,0094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reportHotspot</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190.035</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0,019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confirmFire</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83.136</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0,0083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rejectFire</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50.944</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0,0051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registerConcession</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188.900 (bergantung jumlah sel)</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0,019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depositBond</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31.002</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0,0031 MON</w:t>
            </w:r>
          </w:p>
        </w:tc>
      </w:tr>
    </w:tbl>
    <w:p>
      <w:pPr>
        <w:spacing w:after="120" w:line="288"/>
      </w:pPr>
      <w:r>
        <w:rPr>
          <w:color w:val="6B7280"/>
          <w:sz w:val="18"/>
          <w:szCs w:val="18"/>
        </w:rPr>
        <w:t xml:space="preserve">Foundry mengukur dengan harga opcode Ethereum. Di Monad, akses state dingin lebih mahal, dan yang ditagih adalah gas limit. Ukur ulang di testnet.</w:t>
      </w:r>
    </w:p>
    <w:p>
      <w:pPr>
        <w:pStyle w:val="Heading1"/>
      </w:pPr>
      <w:bookmarkStart w:name="_Toc56" w:id="56"/>
      <w:r>
        <w:t xml:space="preserve">Lampiran B. Glosarium</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Istilah</w:t>
            </w:r>
          </w:p>
        </w:tc>
        <w:tc>
          <w:tcPr>
            <w:tcW w:type="dxa" w:w="688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Arti</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Agni</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Dewa api dalam mitologi Hindu, asal nama AgMon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Manggala Agni</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Brigade pengendalian kebakaran hutan di bawah Kementerian Kehutanan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MPA</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Masyarakat Peduli Api, kelompok warga binaan Manggala Agni</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BPDLH</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Badan Pengelola Dana Lingkungan Hidup</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PBPH</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Perizinan Berusaha Pemanfaatan Hutan, izin pengelolaan di kawasan hutan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SiPongi</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Sistem pemantauan kebakaran hutan dan lahan milik pemerintah</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PROPER</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Program penilaian peringkat kinerja lingkungan perusahaan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Titik api (hotspot)</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Piksel citra satelit yang jauh lebih panas dari sekitarnya. Belum tentu kebakaran.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FRP</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Fire radiative power, daya pancar api dalam megawatt</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H3</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Sistem sel heksagonal untuk membagi permukaan bumi. Resolusi 7 sekitar 5,16 km² per sel.</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kebakaran (fire bond)</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Dana yang disetor pemegang izin dan dicairkan sebagian bila terjadi kebakaran terkonfirmasi</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Program yang membawa data dari luar chain ke kontrak</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Batch dan hash</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kumpulan titik api dari satu putaran oracle, dan sidik jari keccak256-nya di chain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Halaman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dari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AgMon · PRD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rFonts w:ascii="Arial" w:cs="Arial" w:eastAsia="Arial" w:hAnsi="Arial"/>
      <w:b/>
      <w:bCs/>
      <w:color w:val="C2410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5"/>
      <w:szCs w:val="25"/>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AgMon (Agni Monad)</dc:title>
  <dc:creator>Tim AgMon</dc:creator>
  <dc:description>Dokumen kebutuhan produk AgMon untuk Monad Blitz Jogja 2026</dc:description>
  <cp:lastModifiedBy>Un-named</cp:lastModifiedBy>
  <cp:revision>1</cp:revision>
  <dcterms:created xsi:type="dcterms:W3CDTF">2026-10-24T03:38:19.327Z</dcterms:created>
  <dcterms:modified xsi:type="dcterms:W3CDTF">2026-10-24T03:38:19.329Z</dcterms:modified>
</cp:coreProperties>
</file>

<file path=docProps/custom.xml><?xml version="1.0" encoding="utf-8"?>
<Properties xmlns="http://schemas.openxmlformats.org/officeDocument/2006/custom-properties" xmlns:vt="http://schemas.openxmlformats.org/officeDocument/2006/docPropsVTypes"/>
</file>