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53DF" w14:textId="77777777" w:rsidR="00CD76C6" w:rsidRPr="00CD76C6" w:rsidRDefault="00CD76C6" w:rsidP="00CD76C6">
      <w:r w:rsidRPr="00CD76C6">
        <w:rPr>
          <w:b/>
          <w:bCs/>
        </w:rPr>
        <w:t>Semiconductor Market Trend Classification Report</w:t>
      </w:r>
    </w:p>
    <w:p w14:paraId="3CA04E5C" w14:textId="2586FAD0" w:rsidR="00CD76C6" w:rsidRPr="00CD76C6" w:rsidRDefault="00CD76C6" w:rsidP="00CD76C6">
      <w:r w:rsidRPr="00CD76C6">
        <w:rPr>
          <w:b/>
          <w:bCs/>
        </w:rPr>
        <w:t>Research Objective 2:</w:t>
      </w:r>
      <w:r w:rsidRPr="00CD76C6">
        <w:t xml:space="preserve"> Classify daily market trends (Bullish, Bearish, Neutral) for semiconductor stocks using financial and external factors</w:t>
      </w:r>
    </w:p>
    <w:p w14:paraId="6CEB06AC" w14:textId="77777777" w:rsidR="00CD76C6" w:rsidRPr="00CD76C6" w:rsidRDefault="00CD76C6" w:rsidP="00CD76C6">
      <w:pPr>
        <w:rPr>
          <w:b/>
          <w:bCs/>
        </w:rPr>
      </w:pPr>
      <w:r w:rsidRPr="00CD76C6">
        <w:rPr>
          <w:b/>
          <w:bCs/>
        </w:rPr>
        <w:t>Abstract</w:t>
      </w:r>
    </w:p>
    <w:p w14:paraId="31311F48" w14:textId="77777777" w:rsidR="0013240C" w:rsidRPr="0013240C" w:rsidRDefault="00CD76C6" w:rsidP="0013240C">
      <w:r w:rsidRPr="00CD76C6">
        <w:t xml:space="preserve">This report presents the implementation and evaluation of machine learning models to classify daily semiconductor market trends—Bullish, Bearish, or Neutral—by integrating financial indicators and external factors such as news sentiment, Baltic Dry Index, geopolitical risk, and Treasury yields. We compare a baseline moving average crossover strategy with Logistic Regression, SVM, XGBoost, and a Stacking ensemble. Models are trained on data from 2020–2023 and tested </w:t>
      </w:r>
      <w:proofErr w:type="gramStart"/>
      <w:r w:rsidRPr="00CD76C6">
        <w:t>on</w:t>
      </w:r>
      <w:proofErr w:type="gramEnd"/>
      <w:r w:rsidRPr="00CD76C6">
        <w:t xml:space="preserve"> 2024–2025. Performance is assessed via accuracy, weighted F1-score, ROC</w:t>
      </w:r>
      <w:r w:rsidRPr="00CD76C6">
        <w:noBreakHyphen/>
        <w:t>AUC, and Precision</w:t>
      </w:r>
      <w:r w:rsidRPr="00CD76C6">
        <w:noBreakHyphen/>
        <w:t xml:space="preserve">Recall AUC. Model interpretations leverage SHAP values and Logistic Regression coefficients, and a Kruskal–Wallis test compares feature importances across stocks. Key findings indicate that XGBoost and the Stacking ensemble achieve the best overall classification performance, with NVIDIA and AMD indicators emerging as the most influential features. </w:t>
      </w:r>
      <w:r w:rsidR="0013240C" w:rsidRPr="0013240C">
        <w:t>The observations show the creation of trading plans and signals.</w:t>
      </w:r>
    </w:p>
    <w:p w14:paraId="4489D72F" w14:textId="77777777" w:rsidR="0013240C" w:rsidRPr="0013240C" w:rsidRDefault="0013240C" w:rsidP="0013240C">
      <w:r w:rsidRPr="0013240C">
        <w:rPr>
          <w:i/>
          <w:iCs/>
        </w:rPr>
        <w:t>Keywords:</w:t>
      </w:r>
      <w:r w:rsidRPr="0013240C">
        <w:t xml:space="preserve"> Semiconductor, Trend Classification, Machine Learning, SHAP, Stacking, External Factors</w:t>
      </w:r>
    </w:p>
    <w:p w14:paraId="77111198" w14:textId="77777777" w:rsidR="0013240C" w:rsidRPr="0013240C" w:rsidRDefault="0013240C" w:rsidP="0013240C">
      <w:r w:rsidRPr="0013240C">
        <w:rPr>
          <w:b/>
          <w:bCs/>
        </w:rPr>
        <w:t>1. Introduction</w:t>
      </w:r>
    </w:p>
    <w:p w14:paraId="53490490" w14:textId="522B4085" w:rsidR="00CD76C6" w:rsidRPr="00CD76C6" w:rsidRDefault="0013240C" w:rsidP="0013240C">
      <w:r w:rsidRPr="0013240C">
        <w:t xml:space="preserve">The semiconductor stock markets experience high volatility because of product cycles and supply chain dynamics and macroeconomic shifts. </w:t>
      </w:r>
      <w:r w:rsidR="00CD76C6" w:rsidRPr="00CD76C6">
        <w:t>Traditional trend indicators (e.g., simple moving averages) may not fully capture nonlinear interactions among financial metrics and external influences. This study explores machine learning classification approaches to predict daily market regimes—Bullish, Bearish, Neutral—for leading semiconductor firms. We investigate how integrating external factors like news sentiment, the Baltic Dry Index (BDI), Geopolitical Risk (GPR), and Treasury yields enhances trend detection compared to baseline methods.</w:t>
      </w:r>
    </w:p>
    <w:p w14:paraId="3340E2AD" w14:textId="77777777" w:rsidR="00CD76C6" w:rsidRPr="00CD76C6" w:rsidRDefault="00CD76C6" w:rsidP="00CD76C6">
      <w:r w:rsidRPr="00CD76C6">
        <w:rPr>
          <w:b/>
          <w:bCs/>
        </w:rPr>
        <w:t>Research Questions:</w:t>
      </w:r>
    </w:p>
    <w:p w14:paraId="5B44E2EF" w14:textId="77777777" w:rsidR="00CD76C6" w:rsidRPr="00CD76C6" w:rsidRDefault="00CD76C6" w:rsidP="00CD76C6">
      <w:pPr>
        <w:numPr>
          <w:ilvl w:val="0"/>
          <w:numId w:val="1"/>
        </w:numPr>
      </w:pPr>
      <w:r w:rsidRPr="00CD76C6">
        <w:t>Which classification algorithms best predict semiconductor market trends?</w:t>
      </w:r>
    </w:p>
    <w:p w14:paraId="7CC2CDBA" w14:textId="77777777" w:rsidR="00CD76C6" w:rsidRPr="00CD76C6" w:rsidRDefault="00CD76C6" w:rsidP="00CD76C6">
      <w:pPr>
        <w:numPr>
          <w:ilvl w:val="0"/>
          <w:numId w:val="1"/>
        </w:numPr>
      </w:pPr>
      <w:r w:rsidRPr="00CD76C6">
        <w:t>Do external factors improve classification accuracy?</w:t>
      </w:r>
    </w:p>
    <w:p w14:paraId="585B4FC8" w14:textId="77777777" w:rsidR="00CD76C6" w:rsidRPr="00CD76C6" w:rsidRDefault="00CD76C6" w:rsidP="00CD76C6">
      <w:pPr>
        <w:numPr>
          <w:ilvl w:val="0"/>
          <w:numId w:val="1"/>
        </w:numPr>
      </w:pPr>
      <w:r w:rsidRPr="00CD76C6">
        <w:t>Which features most strongly influence trend predictions across different stocks?</w:t>
      </w:r>
    </w:p>
    <w:p w14:paraId="42108532" w14:textId="72A7190C" w:rsidR="00CD76C6" w:rsidRPr="00CD76C6" w:rsidRDefault="00CD76C6" w:rsidP="00CD76C6">
      <w:r w:rsidRPr="00CD76C6">
        <w:t>This report is organized following the structure in the Report Structure guidelines</w:t>
      </w:r>
      <w:r>
        <w:t>.</w:t>
      </w:r>
    </w:p>
    <w:p w14:paraId="0ED2AB54" w14:textId="799287C1" w:rsidR="00CD76C6" w:rsidRPr="00CD76C6" w:rsidRDefault="00CD76C6" w:rsidP="00CD76C6"/>
    <w:p w14:paraId="43037907" w14:textId="77777777" w:rsidR="00CD76C6" w:rsidRPr="00CD76C6" w:rsidRDefault="00CD76C6" w:rsidP="00CD76C6">
      <w:pPr>
        <w:rPr>
          <w:b/>
          <w:bCs/>
        </w:rPr>
      </w:pPr>
      <w:r w:rsidRPr="00CD76C6">
        <w:rPr>
          <w:b/>
          <w:bCs/>
        </w:rPr>
        <w:t>2. Literature Review</w:t>
      </w:r>
    </w:p>
    <w:p w14:paraId="7746CE44" w14:textId="6E5764A6" w:rsidR="00CD76C6" w:rsidRPr="00CD76C6" w:rsidRDefault="00CD76C6" w:rsidP="00CD76C6">
      <w:r w:rsidRPr="00CD76C6">
        <w:t xml:space="preserve">Prior studies employ ARIMA and LSTM for price </w:t>
      </w:r>
      <w:proofErr w:type="gramStart"/>
      <w:r w:rsidRPr="00CD76C6">
        <w:t>prediction, and</w:t>
      </w:r>
      <w:proofErr w:type="gramEnd"/>
      <w:r w:rsidRPr="00CD76C6">
        <w:t xml:space="preserve"> moving average crossovers for trend signals. Recent work highlights the value of news sentiment and supply chain indices (e.g., BDI) in enhancing model performance . Geopolitical Risk indicators and Treasury yields have also been shown to affect market regimes when integrated properly with daily financial data citeturn0file2. However, few studies apply ensemble classification methods with full interpretation via SHAP values and statistical feature comparisons across companies.</w:t>
      </w:r>
    </w:p>
    <w:p w14:paraId="726406E7" w14:textId="77777777" w:rsidR="00CD76C6" w:rsidRPr="00CD76C6" w:rsidRDefault="0013240C" w:rsidP="00CD76C6">
      <w:r>
        <w:pict w14:anchorId="77D1219C">
          <v:rect id="_x0000_i1031" style="width:0;height:1.5pt" o:hralign="center" o:hrstd="t" o:hr="t" fillcolor="#a0a0a0" stroked="f"/>
        </w:pict>
      </w:r>
    </w:p>
    <w:p w14:paraId="0269C408" w14:textId="77777777" w:rsidR="00CD76C6" w:rsidRPr="00CD76C6" w:rsidRDefault="00CD76C6" w:rsidP="00CD76C6">
      <w:pPr>
        <w:rPr>
          <w:b/>
          <w:bCs/>
        </w:rPr>
      </w:pPr>
      <w:r w:rsidRPr="00CD76C6">
        <w:rPr>
          <w:b/>
          <w:bCs/>
        </w:rPr>
        <w:t>3. Data and Methodology</w:t>
      </w:r>
    </w:p>
    <w:p w14:paraId="2E9220FA" w14:textId="77777777" w:rsidR="00CD76C6" w:rsidRPr="00CD76C6" w:rsidRDefault="00CD76C6" w:rsidP="00CD76C6">
      <w:pPr>
        <w:rPr>
          <w:b/>
          <w:bCs/>
        </w:rPr>
      </w:pPr>
      <w:r w:rsidRPr="00CD76C6">
        <w:rPr>
          <w:b/>
          <w:bCs/>
        </w:rPr>
        <w:t>3.1 Data Sources</w:t>
      </w:r>
    </w:p>
    <w:p w14:paraId="3707E7E5" w14:textId="77777777" w:rsidR="00CD76C6" w:rsidRPr="00CD76C6" w:rsidRDefault="00CD76C6" w:rsidP="00CD76C6">
      <w:pPr>
        <w:numPr>
          <w:ilvl w:val="0"/>
          <w:numId w:val="2"/>
        </w:numPr>
      </w:pPr>
      <w:r w:rsidRPr="00CD76C6">
        <w:rPr>
          <w:b/>
          <w:bCs/>
        </w:rPr>
        <w:t>Stock Prices &amp; Technical Metrics:</w:t>
      </w:r>
      <w:r w:rsidRPr="00CD76C6">
        <w:t xml:space="preserve"> Daily price, volume, MA(7), MA(30), RSI, MACD for NVIDIA, AMD, Intel, TSMC, ASML (2020–2025) from Alpha Vantage API.</w:t>
      </w:r>
    </w:p>
    <w:p w14:paraId="45581B33" w14:textId="77777777" w:rsidR="00CD76C6" w:rsidRPr="00CD76C6" w:rsidRDefault="00CD76C6" w:rsidP="00CD76C6">
      <w:pPr>
        <w:numPr>
          <w:ilvl w:val="0"/>
          <w:numId w:val="2"/>
        </w:numPr>
      </w:pPr>
      <w:r w:rsidRPr="00CD76C6">
        <w:rPr>
          <w:b/>
          <w:bCs/>
        </w:rPr>
        <w:t>External Factors:</w:t>
      </w:r>
    </w:p>
    <w:p w14:paraId="601859A7" w14:textId="77777777" w:rsidR="00CD76C6" w:rsidRPr="00CD76C6" w:rsidRDefault="00CD76C6" w:rsidP="00CD76C6">
      <w:pPr>
        <w:numPr>
          <w:ilvl w:val="1"/>
          <w:numId w:val="2"/>
        </w:numPr>
      </w:pPr>
      <w:r w:rsidRPr="00CD76C6">
        <w:rPr>
          <w:b/>
          <w:bCs/>
        </w:rPr>
        <w:t>News Sentiment:</w:t>
      </w:r>
      <w:r w:rsidRPr="00CD76C6">
        <w:t xml:space="preserve"> Daily headline sentiment scores via NewsAPI.</w:t>
      </w:r>
    </w:p>
    <w:p w14:paraId="21344B9D" w14:textId="77777777" w:rsidR="00CD76C6" w:rsidRPr="00CD76C6" w:rsidRDefault="00CD76C6" w:rsidP="00CD76C6">
      <w:pPr>
        <w:numPr>
          <w:ilvl w:val="1"/>
          <w:numId w:val="2"/>
        </w:numPr>
      </w:pPr>
      <w:r w:rsidRPr="00CD76C6">
        <w:rPr>
          <w:b/>
          <w:bCs/>
        </w:rPr>
        <w:t>Baltic Dry Index (BDI):</w:t>
      </w:r>
      <w:r w:rsidRPr="00CD76C6">
        <w:t xml:space="preserve"> Shipping cost index reflecting supply chain conditions.</w:t>
      </w:r>
    </w:p>
    <w:p w14:paraId="6E4587BF" w14:textId="77777777" w:rsidR="00CD76C6" w:rsidRPr="00CD76C6" w:rsidRDefault="00CD76C6" w:rsidP="00CD76C6">
      <w:pPr>
        <w:numPr>
          <w:ilvl w:val="1"/>
          <w:numId w:val="2"/>
        </w:numPr>
      </w:pPr>
      <w:r w:rsidRPr="00CD76C6">
        <w:rPr>
          <w:b/>
          <w:bCs/>
        </w:rPr>
        <w:t>Geopolitical Risk (GPR):</w:t>
      </w:r>
      <w:r w:rsidRPr="00CD76C6">
        <w:t xml:space="preserve"> Monthly risk scores from GPR dataset (resampled to daily) citeturn0file2.</w:t>
      </w:r>
    </w:p>
    <w:p w14:paraId="7C758FB0" w14:textId="77777777" w:rsidR="00CD76C6" w:rsidRPr="00CD76C6" w:rsidRDefault="00CD76C6" w:rsidP="00CD76C6">
      <w:pPr>
        <w:numPr>
          <w:ilvl w:val="1"/>
          <w:numId w:val="2"/>
        </w:numPr>
      </w:pPr>
      <w:r w:rsidRPr="00CD76C6">
        <w:rPr>
          <w:b/>
          <w:bCs/>
        </w:rPr>
        <w:t>10-Year Treasury Yield:</w:t>
      </w:r>
      <w:r w:rsidRPr="00CD76C6">
        <w:t xml:space="preserve"> From FRED API (series DGS10).</w:t>
      </w:r>
    </w:p>
    <w:p w14:paraId="451642F5" w14:textId="77777777" w:rsidR="00CD76C6" w:rsidRPr="00CD76C6" w:rsidRDefault="00CD76C6" w:rsidP="00CD76C6">
      <w:pPr>
        <w:rPr>
          <w:b/>
          <w:bCs/>
        </w:rPr>
      </w:pPr>
      <w:r w:rsidRPr="00CD76C6">
        <w:rPr>
          <w:b/>
          <w:bCs/>
        </w:rPr>
        <w:t>3.2 Preprocessing</w:t>
      </w:r>
    </w:p>
    <w:p w14:paraId="021379C3" w14:textId="77777777" w:rsidR="00CD76C6" w:rsidRPr="00CD76C6" w:rsidRDefault="00CD76C6" w:rsidP="00CD76C6">
      <w:pPr>
        <w:numPr>
          <w:ilvl w:val="0"/>
          <w:numId w:val="3"/>
        </w:numPr>
      </w:pPr>
      <w:r w:rsidRPr="00CD76C6">
        <w:t>Aligned all sources by date; forward/backward filled missing values; dropped remaining NaNs.</w:t>
      </w:r>
    </w:p>
    <w:p w14:paraId="4032EFA1" w14:textId="77777777" w:rsidR="00CD76C6" w:rsidRPr="00CD76C6" w:rsidRDefault="00CD76C6" w:rsidP="00CD76C6">
      <w:pPr>
        <w:numPr>
          <w:ilvl w:val="0"/>
          <w:numId w:val="3"/>
        </w:numPr>
      </w:pPr>
      <w:r w:rsidRPr="00CD76C6">
        <w:t>Defined target Trend by next-day percentage change: Bullish (&gt;+1%), Bearish (&lt;–1%), Neutral (otherwise).</w:t>
      </w:r>
    </w:p>
    <w:p w14:paraId="10FB9554" w14:textId="1B8D04DD" w:rsidR="006A31F4" w:rsidRDefault="00CD76C6" w:rsidP="00F71C3F">
      <w:pPr>
        <w:numPr>
          <w:ilvl w:val="0"/>
          <w:numId w:val="3"/>
        </w:numPr>
      </w:pPr>
      <w:r w:rsidRPr="00CD76C6">
        <w:t>Standardized numeric features using z-score normalization.</w:t>
      </w:r>
    </w:p>
    <w:p w14:paraId="155A5162" w14:textId="77777777" w:rsidR="000E570A" w:rsidRPr="000E570A" w:rsidRDefault="00263E97" w:rsidP="0064113D">
      <w:pPr>
        <w:ind w:left="720"/>
        <w:rPr>
          <w:rFonts w:eastAsiaTheme="minorEastAsia"/>
        </w:rPr>
      </w:pPr>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r>
            <w:rPr>
              <w:rFonts w:ascii="Cambria Math" w:hAnsi="Cambria Math"/>
            </w:rPr>
            <m:t xml:space="preserve"> </m:t>
          </m:r>
        </m:oMath>
      </m:oMathPara>
    </w:p>
    <w:p w14:paraId="721EB334" w14:textId="2D2C618B" w:rsidR="00263E97" w:rsidRPr="00263E97" w:rsidRDefault="00574214" w:rsidP="000E570A">
      <w:pPr>
        <w:ind w:left="720"/>
        <w:rPr>
          <w:rFonts w:eastAsiaTheme="minorEastAsia"/>
        </w:rPr>
      </w:pPr>
      <w:r w:rsidRPr="00574214">
        <w:rPr>
          <w:rFonts w:eastAsiaTheme="minorEastAsia"/>
          <w:b/>
          <w:bCs/>
        </w:rPr>
        <w:lastRenderedPageBreak/>
        <w:t>Where:</w:t>
      </w:r>
      <w:r w:rsidR="006A31F4">
        <w:rPr>
          <w:rFonts w:eastAsiaTheme="minorEastAsia"/>
          <w:b/>
          <w:bCs/>
        </w:rPr>
        <w:t xml:space="preserve"> </w:t>
      </w:r>
      <w:r w:rsidRPr="00574214">
        <w:rPr>
          <w:rFonts w:eastAsiaTheme="minorEastAsia"/>
        </w:rPr>
        <w:t>x is the original value</w:t>
      </w:r>
      <w:r w:rsidR="0064113D">
        <w:rPr>
          <w:rFonts w:eastAsiaTheme="minorEastAsia"/>
        </w:rPr>
        <w:t>,</w:t>
      </w:r>
      <w:r w:rsidR="003437DA">
        <w:rPr>
          <w:rFonts w:eastAsiaTheme="minorEastAsia"/>
        </w:rPr>
        <w:t xml:space="preserve"> µ </w:t>
      </w:r>
      <w:r w:rsidRPr="00574214">
        <w:rPr>
          <w:rFonts w:eastAsiaTheme="minorEastAsia"/>
        </w:rPr>
        <w:t xml:space="preserve">is the </w:t>
      </w:r>
      <w:proofErr w:type="gramStart"/>
      <w:r w:rsidRPr="00574214">
        <w:rPr>
          <w:rFonts w:eastAsiaTheme="minorEastAsia"/>
        </w:rPr>
        <w:t>mean</w:t>
      </w:r>
      <w:proofErr w:type="gramEnd"/>
      <w:r w:rsidRPr="00574214">
        <w:rPr>
          <w:rFonts w:eastAsiaTheme="minorEastAsia"/>
        </w:rPr>
        <w:t xml:space="preserve"> of the feature</w:t>
      </w:r>
      <w:r w:rsidR="003437DA">
        <w:rPr>
          <w:rFonts w:eastAsiaTheme="minorEastAsia"/>
        </w:rPr>
        <w:t>, and</w:t>
      </w:r>
      <w:r w:rsidR="0064113D">
        <w:rPr>
          <w:rFonts w:eastAsiaTheme="minorEastAsia"/>
        </w:rPr>
        <w:t xml:space="preserve"> </w:t>
      </w:r>
      <w:r w:rsidRPr="00574214">
        <w:rPr>
          <w:rFonts w:eastAsiaTheme="minorEastAsia"/>
        </w:rPr>
        <w:t>σ is the standard deviation of the feature</w:t>
      </w:r>
    </w:p>
    <w:p w14:paraId="45185A97" w14:textId="77777777" w:rsidR="00CD76C6" w:rsidRPr="00CD76C6" w:rsidRDefault="00CD76C6" w:rsidP="00CD76C6">
      <w:pPr>
        <w:rPr>
          <w:b/>
          <w:bCs/>
        </w:rPr>
      </w:pPr>
      <w:r w:rsidRPr="00CD76C6">
        <w:rPr>
          <w:b/>
          <w:bCs/>
        </w:rPr>
        <w:t>3.3 Feature Engineering</w:t>
      </w:r>
    </w:p>
    <w:p w14:paraId="52583948" w14:textId="77777777" w:rsidR="00CD76C6" w:rsidRDefault="00CD76C6" w:rsidP="00CD76C6">
      <w:pPr>
        <w:numPr>
          <w:ilvl w:val="0"/>
          <w:numId w:val="4"/>
        </w:numPr>
      </w:pPr>
      <w:r w:rsidRPr="00CD76C6">
        <w:rPr>
          <w:b/>
          <w:bCs/>
        </w:rPr>
        <w:t>Technical Indicators:</w:t>
      </w:r>
      <w:r w:rsidRPr="00CD76C6">
        <w:t xml:space="preserve"> 7- and 30-day moving averages, RSI(14), MACD, MACD signal line.</w:t>
      </w:r>
    </w:p>
    <w:p w14:paraId="2D38403C" w14:textId="593CC5E3" w:rsidR="00F46224" w:rsidRPr="00E333B7" w:rsidRDefault="0055547A" w:rsidP="0055547A">
      <w:pPr>
        <w:ind w:left="720"/>
        <w:rPr>
          <w:rFonts w:eastAsiaTheme="minorEastAsia"/>
          <w:iCs/>
        </w:rPr>
      </w:pPr>
      <m:oMathPara>
        <m:oMath>
          <m:r>
            <w:rPr>
              <w:rFonts w:ascii="Cambria Math" w:hAnsi="Cambria Math"/>
            </w:rPr>
            <m:t>RSI=100-</m:t>
          </m:r>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1+RS</m:t>
                  </m:r>
                </m:den>
              </m:f>
            </m:e>
          </m:d>
          <m:r>
            <w:rPr>
              <w:rFonts w:ascii="Cambria Math" w:hAnsi="Cambria Math"/>
            </w:rPr>
            <m:t>,RS=</m:t>
          </m:r>
          <m:f>
            <m:fPr>
              <m:ctrlPr>
                <w:rPr>
                  <w:rFonts w:ascii="Cambria Math" w:hAnsi="Cambria Math"/>
                  <w:i/>
                </w:rPr>
              </m:ctrlPr>
            </m:fPr>
            <m:num>
              <m:r>
                <w:rPr>
                  <w:rFonts w:ascii="Cambria Math" w:hAnsi="Cambria Math"/>
                </w:rPr>
                <m:t>Average Loss</m:t>
              </m:r>
            </m:num>
            <m:den>
              <m:r>
                <w:rPr>
                  <w:rFonts w:ascii="Cambria Math" w:hAnsi="Cambria Math"/>
                </w:rPr>
                <m:t>Average Gain</m:t>
              </m:r>
            </m:den>
          </m:f>
          <m:r>
            <w:rPr>
              <w:rFonts w:ascii="Cambria Math" w:hAnsi="Cambria Math"/>
            </w:rPr>
            <m:t>​</m:t>
          </m:r>
        </m:oMath>
      </m:oMathPara>
    </w:p>
    <w:p w14:paraId="46501B6A" w14:textId="59A8BBB7" w:rsidR="00E333B7" w:rsidRPr="00687AC2" w:rsidRDefault="001801F9" w:rsidP="0055547A">
      <w:pPr>
        <w:ind w:left="720"/>
        <w:rPr>
          <w:rFonts w:eastAsiaTheme="minorEastAsia"/>
        </w:rPr>
      </w:pPr>
      <m:oMathPara>
        <m:oMath>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n-1</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t-i</m:t>
                  </m:r>
                </m:sub>
              </m:sSub>
            </m:e>
          </m:nary>
        </m:oMath>
      </m:oMathPara>
    </w:p>
    <w:p w14:paraId="6A4EE9A1" w14:textId="77777777" w:rsidR="00687AC2" w:rsidRPr="00687AC2" w:rsidRDefault="00687AC2" w:rsidP="00687AC2">
      <w:pPr>
        <w:ind w:left="720"/>
        <w:rPr>
          <w:rFonts w:eastAsiaTheme="minorEastAsia"/>
        </w:rPr>
      </w:pPr>
      <w:r w:rsidRPr="00687AC2">
        <w:rPr>
          <w:rFonts w:eastAsiaTheme="minorEastAsia"/>
          <w:b/>
          <w:bCs/>
        </w:rPr>
        <w:t>Where:</w:t>
      </w:r>
    </w:p>
    <w:p w14:paraId="7065B1E8" w14:textId="54453390" w:rsidR="00687AC2" w:rsidRPr="00687AC2" w:rsidRDefault="0019750A" w:rsidP="0019750A">
      <w:pPr>
        <w:ind w:left="1440"/>
        <w:rPr>
          <w:rFonts w:eastAsiaTheme="minorEastAsia"/>
        </w:rPr>
      </w:pPr>
      <m:oMath>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oMath>
      <w:r w:rsidR="00687AC2" w:rsidRPr="00687AC2">
        <w:rPr>
          <w:rFonts w:eastAsiaTheme="minorEastAsia"/>
        </w:rPr>
        <w:t xml:space="preserve"> Moving average at time </w:t>
      </w:r>
      <m:oMath>
        <m:r>
          <w:rPr>
            <w:rFonts w:ascii="Cambria Math" w:eastAsiaTheme="minorEastAsia" w:hAnsi="Cambria Math"/>
          </w:rPr>
          <m:t>t</m:t>
        </m:r>
      </m:oMath>
      <w:r w:rsidR="00687AC2" w:rsidRPr="00687AC2">
        <w:rPr>
          <w:rFonts w:eastAsiaTheme="minorEastAsia"/>
        </w:rPr>
        <w:t xml:space="preserve"> over </w:t>
      </w:r>
      <m:oMath>
        <m:r>
          <w:rPr>
            <w:rFonts w:ascii="Cambria Math" w:eastAsiaTheme="minorEastAsia" w:hAnsi="Cambria Math"/>
          </w:rPr>
          <m:t xml:space="preserve">n </m:t>
        </m:r>
      </m:oMath>
      <w:r w:rsidR="00687AC2" w:rsidRPr="00687AC2">
        <w:rPr>
          <w:rFonts w:eastAsiaTheme="minorEastAsia"/>
        </w:rPr>
        <w:t>days</w:t>
      </w:r>
    </w:p>
    <w:p w14:paraId="08670B1E" w14:textId="4E62A864" w:rsidR="00687AC2" w:rsidRDefault="0013240C" w:rsidP="0019750A">
      <w:pPr>
        <w:ind w:left="720"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t-i</m:t>
            </m:r>
          </m:sub>
        </m:sSub>
      </m:oMath>
      <w:r w:rsidR="00687AC2" w:rsidRPr="00687AC2">
        <w:rPr>
          <w:rFonts w:ascii="Arial" w:eastAsiaTheme="minorEastAsia" w:hAnsi="Arial" w:cs="Arial"/>
        </w:rPr>
        <w:t>​</w:t>
      </w:r>
      <w:r w:rsidR="00687AC2" w:rsidRPr="00687AC2">
        <w:rPr>
          <w:rFonts w:eastAsiaTheme="minorEastAsia"/>
        </w:rPr>
        <w:t xml:space="preserve">: Price at time </w:t>
      </w:r>
      <m:oMath>
        <m:r>
          <w:rPr>
            <w:rFonts w:ascii="Cambria Math" w:eastAsiaTheme="minorEastAsia" w:hAnsi="Cambria Math"/>
          </w:rPr>
          <m:t>t-i</m:t>
        </m:r>
      </m:oMath>
    </w:p>
    <w:p w14:paraId="3E0510F3" w14:textId="5C495E54" w:rsidR="00F4640B" w:rsidRPr="00687AC2" w:rsidRDefault="00F4640B" w:rsidP="0019750A">
      <w:pPr>
        <w:ind w:left="720" w:firstLine="720"/>
        <w:rPr>
          <w:rFonts w:eastAsiaTheme="minorEastAsia"/>
        </w:rPr>
      </w:pPr>
      <m:oMathPara>
        <m:oMath>
          <m:r>
            <w:rPr>
              <w:rFonts w:ascii="Cambria Math" w:eastAsiaTheme="minorEastAsia" w:hAnsi="Cambria Math"/>
            </w:rPr>
            <m:t>MACD=EMA12​(P)-EMA26​(P),Signal Line=EMA9​(MACD)</m:t>
          </m:r>
        </m:oMath>
      </m:oMathPara>
    </w:p>
    <w:p w14:paraId="1D9A649D" w14:textId="77777777" w:rsidR="00CD76C6" w:rsidRPr="00CD76C6" w:rsidRDefault="00CD76C6" w:rsidP="00CD76C6">
      <w:pPr>
        <w:numPr>
          <w:ilvl w:val="0"/>
          <w:numId w:val="4"/>
        </w:numPr>
      </w:pPr>
      <w:r w:rsidRPr="00CD76C6">
        <w:rPr>
          <w:b/>
          <w:bCs/>
        </w:rPr>
        <w:t>Lagged Sentiment:</w:t>
      </w:r>
      <w:r w:rsidRPr="00CD76C6">
        <w:t xml:space="preserve"> News Sentiment at lags 1, 3, and 5 days.</w:t>
      </w:r>
    </w:p>
    <w:p w14:paraId="47128C43" w14:textId="77777777" w:rsidR="00CD76C6" w:rsidRPr="00CD76C6" w:rsidRDefault="00CD76C6" w:rsidP="00CD76C6">
      <w:pPr>
        <w:numPr>
          <w:ilvl w:val="0"/>
          <w:numId w:val="4"/>
        </w:numPr>
      </w:pPr>
      <w:r w:rsidRPr="00CD76C6">
        <w:rPr>
          <w:b/>
          <w:bCs/>
        </w:rPr>
        <w:t>Event Flags:</w:t>
      </w:r>
      <w:r w:rsidRPr="00CD76C6">
        <w:t xml:space="preserve"> Chip shortage periods flagged using SIA timeline (binary indicator).</w:t>
      </w:r>
    </w:p>
    <w:p w14:paraId="2D9BCD25" w14:textId="77777777" w:rsidR="00CD76C6" w:rsidRPr="00CD76C6" w:rsidRDefault="00CD76C6" w:rsidP="00CD76C6">
      <w:pPr>
        <w:numPr>
          <w:ilvl w:val="0"/>
          <w:numId w:val="4"/>
        </w:numPr>
      </w:pPr>
      <w:r w:rsidRPr="00CD76C6">
        <w:rPr>
          <w:b/>
          <w:bCs/>
        </w:rPr>
        <w:t>External Factor Lags:</w:t>
      </w:r>
      <w:r w:rsidRPr="00CD76C6">
        <w:t xml:space="preserve"> GPR and BDI at 1-day lag.</w:t>
      </w:r>
    </w:p>
    <w:p w14:paraId="4D19C002" w14:textId="77777777" w:rsidR="00CD76C6" w:rsidRPr="00CD76C6" w:rsidRDefault="00CD76C6" w:rsidP="00CD76C6">
      <w:pPr>
        <w:rPr>
          <w:b/>
          <w:bCs/>
        </w:rPr>
      </w:pPr>
      <w:r w:rsidRPr="00CD76C6">
        <w:rPr>
          <w:b/>
          <w:bCs/>
        </w:rPr>
        <w:t>3.4 Modeling</w:t>
      </w:r>
    </w:p>
    <w:p w14:paraId="6FE7F613" w14:textId="77777777" w:rsidR="00CD76C6" w:rsidRPr="00CD76C6" w:rsidRDefault="00CD76C6" w:rsidP="00CD76C6">
      <w:pPr>
        <w:numPr>
          <w:ilvl w:val="0"/>
          <w:numId w:val="5"/>
        </w:numPr>
      </w:pPr>
      <w:r w:rsidRPr="00CD76C6">
        <w:rPr>
          <w:b/>
          <w:bCs/>
        </w:rPr>
        <w:t>Baseline:</w:t>
      </w:r>
      <w:r w:rsidRPr="00CD76C6">
        <w:t xml:space="preserve"> 10-day vs 50-day SMA crossover rule.</w:t>
      </w:r>
    </w:p>
    <w:p w14:paraId="30D81F94" w14:textId="77777777" w:rsidR="00CD76C6" w:rsidRPr="00CD76C6" w:rsidRDefault="00CD76C6" w:rsidP="00CD76C6">
      <w:pPr>
        <w:numPr>
          <w:ilvl w:val="0"/>
          <w:numId w:val="5"/>
        </w:numPr>
      </w:pPr>
      <w:r w:rsidRPr="00CD76C6">
        <w:rPr>
          <w:b/>
          <w:bCs/>
        </w:rPr>
        <w:t>Machine Learning Models:</w:t>
      </w:r>
    </w:p>
    <w:p w14:paraId="6E404129" w14:textId="77777777" w:rsidR="00CD76C6" w:rsidRDefault="00CD76C6" w:rsidP="00CD76C6">
      <w:pPr>
        <w:numPr>
          <w:ilvl w:val="1"/>
          <w:numId w:val="5"/>
        </w:numPr>
      </w:pPr>
      <w:r w:rsidRPr="00CD76C6">
        <w:t>Logistic Regression (L2, C tuned via grid search 0.1–10).</w:t>
      </w:r>
    </w:p>
    <w:p w14:paraId="1F22630D" w14:textId="7D73ABF2" w:rsidR="008C0282" w:rsidRPr="008C0282" w:rsidRDefault="008C0282" w:rsidP="008C0282">
      <w:pPr>
        <w:ind w:left="144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sup>
              </m:sSup>
            </m:den>
          </m:f>
        </m:oMath>
      </m:oMathPara>
    </w:p>
    <w:p w14:paraId="3210BE47" w14:textId="77777777" w:rsidR="00CD76C6" w:rsidRDefault="00CD76C6" w:rsidP="00CD76C6">
      <w:pPr>
        <w:numPr>
          <w:ilvl w:val="1"/>
          <w:numId w:val="5"/>
        </w:numPr>
      </w:pPr>
      <w:r w:rsidRPr="00CD76C6">
        <w:t>SVM (RBF, C 1–100, γ 0.01–1 via RandomizedSearchCV).</w:t>
      </w:r>
    </w:p>
    <w:p w14:paraId="1640DDCD" w14:textId="4D191C2E" w:rsidR="0060008D" w:rsidRPr="00CD76C6" w:rsidRDefault="00695B6E" w:rsidP="0060008D">
      <w:pPr>
        <w:ind w:left="1440"/>
      </w:pPr>
      <m:oMathPara>
        <m:oMath>
          <m:r>
            <w:rPr>
              <w:rFonts w:ascii="Cambria Math" w:hAnsi="Cambria Math"/>
            </w:rPr>
            <m:t>K</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exp⁡</m:t>
          </m:r>
          <m:r>
            <w:rPr>
              <w:rFonts w:ascii="Cambria Math" w:hAnsi="Cambria Math"/>
            </w:rPr>
            <m:t>(-γ|</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oMath>
      </m:oMathPara>
    </w:p>
    <w:p w14:paraId="47607159" w14:textId="77777777" w:rsidR="00CD76C6" w:rsidRDefault="00CD76C6" w:rsidP="00CD76C6">
      <w:pPr>
        <w:numPr>
          <w:ilvl w:val="1"/>
          <w:numId w:val="5"/>
        </w:numPr>
      </w:pPr>
      <w:r w:rsidRPr="00CD76C6">
        <w:t>XGBoost Classifier (n_estimators 100–300, learning_rate 0.05–0.2, subsample=0.8 via GridSearchCV).</w:t>
      </w:r>
    </w:p>
    <w:p w14:paraId="1E4FEE0F" w14:textId="0D5CC856" w:rsidR="00F60575" w:rsidRPr="00CD76C6" w:rsidRDefault="0013240C" w:rsidP="00F60575">
      <w:pPr>
        <w:ind w:left="1440"/>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(t)</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r>
            <w:rPr>
              <w:rFonts w:ascii="Cambria Math" w:hAnsi="Cambria Math"/>
            </w:rPr>
            <m:t>+Ω(</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oMath>
      </m:oMathPara>
    </w:p>
    <w:p w14:paraId="59E94F14" w14:textId="77777777" w:rsidR="00CD76C6" w:rsidRPr="00CD76C6" w:rsidRDefault="00CD76C6" w:rsidP="00CD76C6">
      <w:pPr>
        <w:numPr>
          <w:ilvl w:val="0"/>
          <w:numId w:val="5"/>
        </w:numPr>
      </w:pPr>
      <w:r w:rsidRPr="00CD76C6">
        <w:rPr>
          <w:b/>
          <w:bCs/>
        </w:rPr>
        <w:lastRenderedPageBreak/>
        <w:t>Stacking Ensemble:</w:t>
      </w:r>
      <w:r w:rsidRPr="00CD76C6">
        <w:t xml:space="preserve"> Meta-learner Logistic Regression over SVM and XGBoost.</w:t>
      </w:r>
    </w:p>
    <w:p w14:paraId="668B93BF" w14:textId="77777777" w:rsidR="00CD76C6" w:rsidRPr="00CD76C6" w:rsidRDefault="00CD76C6" w:rsidP="00CD76C6">
      <w:pPr>
        <w:numPr>
          <w:ilvl w:val="0"/>
          <w:numId w:val="5"/>
        </w:numPr>
      </w:pPr>
      <w:r w:rsidRPr="00CD76C6">
        <w:rPr>
          <w:b/>
          <w:bCs/>
        </w:rPr>
        <w:t>Sampling &amp; Split:</w:t>
      </w:r>
      <w:r w:rsidRPr="00CD76C6">
        <w:t xml:space="preserve"> Training on 2020–2023 (80%), testing on 2024–2025 (20%) with TimeSeriesSplit; SMOTE for class imbalance. citeturn0file0</w:t>
      </w:r>
    </w:p>
    <w:p w14:paraId="13AFEC4B" w14:textId="77777777" w:rsidR="00CD76C6" w:rsidRDefault="00CD76C6" w:rsidP="00CD76C6">
      <w:pPr>
        <w:rPr>
          <w:b/>
          <w:bCs/>
        </w:rPr>
      </w:pPr>
      <w:r w:rsidRPr="00CD76C6">
        <w:rPr>
          <w:b/>
          <w:bCs/>
        </w:rPr>
        <w:t>3.5 Evaluation Metrics</w:t>
      </w:r>
    </w:p>
    <w:p w14:paraId="154EA8FE" w14:textId="5B4D89E3" w:rsidR="0018215E" w:rsidRPr="0018215E" w:rsidRDefault="0018215E" w:rsidP="00CD76C6">
      <w:pPr>
        <w:rPr>
          <w:rFonts w:eastAsiaTheme="minorEastAsia"/>
          <w:b/>
          <w:bCs/>
        </w:rPr>
      </w:pPr>
      <m:oMathPara>
        <m:oMath>
          <m:r>
            <m:rPr>
              <m:sty m:val="bi"/>
            </m:rPr>
            <w:rPr>
              <w:rFonts w:ascii="Cambria Math" w:hAnsi="Cambria Math"/>
            </w:rPr>
            <m:t>Accuracy=</m:t>
          </m:r>
          <m:f>
            <m:fPr>
              <m:ctrlPr>
                <w:rPr>
                  <w:rFonts w:ascii="Cambria Math" w:hAnsi="Cambria Math"/>
                  <w:b/>
                  <w:bCs/>
                  <w:i/>
                </w:rPr>
              </m:ctrlPr>
            </m:fPr>
            <m:num>
              <m:r>
                <m:rPr>
                  <m:sty m:val="bi"/>
                </m:rPr>
                <w:rPr>
                  <w:rFonts w:ascii="Cambria Math" w:hAnsi="Cambria Math"/>
                </w:rPr>
                <m:t>TP+TN</m:t>
              </m:r>
            </m:num>
            <m:den>
              <m:r>
                <m:rPr>
                  <m:sty m:val="bi"/>
                </m:rPr>
                <w:rPr>
                  <w:rFonts w:ascii="Cambria Math" w:hAnsi="Cambria Math"/>
                </w:rPr>
                <m:t>TP+TN+FP+FN</m:t>
              </m:r>
            </m:den>
          </m:f>
        </m:oMath>
      </m:oMathPara>
    </w:p>
    <w:p w14:paraId="08000BC6" w14:textId="36692D33" w:rsidR="00B26ABB" w:rsidRPr="0018215E" w:rsidRDefault="00B26ABB" w:rsidP="00CD76C6">
      <w:pPr>
        <w:rPr>
          <w:rFonts w:eastAsiaTheme="minorEastAsia"/>
          <w:b/>
          <w:bCs/>
        </w:rPr>
      </w:pPr>
      <m:oMathPara>
        <m:oMath>
          <m:r>
            <m:rPr>
              <m:sty m:val="bi"/>
            </m:rPr>
            <w:rPr>
              <w:rFonts w:ascii="Cambria Math" w:hAnsi="Cambria Math"/>
            </w:rPr>
            <m:t>​</m:t>
          </m:r>
        </m:oMath>
      </m:oMathPara>
    </w:p>
    <w:p w14:paraId="5F08ADEB" w14:textId="77777777" w:rsidR="00CD76C6" w:rsidRPr="00337BDC" w:rsidRDefault="00CD76C6" w:rsidP="00CD76C6">
      <w:pPr>
        <w:numPr>
          <w:ilvl w:val="0"/>
          <w:numId w:val="6"/>
        </w:numPr>
      </w:pPr>
      <w:r w:rsidRPr="00CD76C6">
        <w:rPr>
          <w:b/>
          <w:bCs/>
        </w:rPr>
        <w:t>Accuracy</w:t>
      </w:r>
      <w:r w:rsidRPr="00CD76C6">
        <w:t xml:space="preserve"> and </w:t>
      </w:r>
      <w:r w:rsidRPr="00CD76C6">
        <w:rPr>
          <w:b/>
          <w:bCs/>
        </w:rPr>
        <w:t>Weighted F1-score</w:t>
      </w:r>
    </w:p>
    <w:p w14:paraId="6B7435FF" w14:textId="765151A9" w:rsidR="00337BDC" w:rsidRPr="00CD76C6" w:rsidRDefault="00FE2991" w:rsidP="00337BDC">
      <w:pPr>
        <w:ind w:left="720"/>
      </w:pPr>
      <m:oMathPara>
        <m:oMath>
          <m:r>
            <w:rPr>
              <w:rFonts w:ascii="Cambria Math" w:hAnsi="Cambria Math"/>
            </w:rPr>
            <m:t>F1=2⋅</m:t>
          </m:r>
          <m:f>
            <m:fPr>
              <m:ctrlPr>
                <w:rPr>
                  <w:rFonts w:ascii="Cambria Math" w:hAnsi="Cambria Math"/>
                  <w:i/>
                  <w:iCs/>
                </w:rPr>
              </m:ctrlPr>
            </m:fPr>
            <m:num>
              <m:r>
                <w:rPr>
                  <w:rFonts w:ascii="Cambria Math" w:hAnsi="Cambria Math"/>
                </w:rPr>
                <m:t>Precision⋅Recall​</m:t>
              </m:r>
              <m:ctrlPr>
                <w:rPr>
                  <w:rFonts w:ascii="Cambria Math" w:hAnsi="Cambria Math"/>
                  <w:i/>
                </w:rPr>
              </m:ctrlPr>
            </m:num>
            <m:den>
              <m:r>
                <w:rPr>
                  <w:rFonts w:ascii="Cambria Math" w:hAnsi="Cambria Math"/>
                </w:rPr>
                <m:t>Precision+Recall</m:t>
              </m:r>
            </m:den>
          </m:f>
          <m:r>
            <w:rPr>
              <w:rFonts w:ascii="Cambria Math" w:hAnsi="Cambria Math"/>
            </w:rPr>
            <m:t>,Weighted F1=</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e>
          </m:nary>
          <m:sSub>
            <m:sSubPr>
              <m:ctrlPr>
                <w:rPr>
                  <w:rFonts w:ascii="Cambria Math" w:hAnsi="Cambria Math"/>
                  <w:i/>
                  <w:iCs/>
                </w:rPr>
              </m:ctrlPr>
            </m:sSubPr>
            <m:e>
              <m:r>
                <w:rPr>
                  <w:rFonts w:ascii="Cambria Math" w:hAnsi="Cambria Math"/>
                </w:rPr>
                <m:t>F1</m:t>
              </m:r>
            </m:e>
            <m:sub>
              <m:r>
                <w:rPr>
                  <w:rFonts w:ascii="Cambria Math" w:hAnsi="Cambria Math"/>
                </w:rPr>
                <m:t>i</m:t>
              </m:r>
            </m:sub>
          </m:sSub>
          <m:r>
            <w:rPr>
              <w:rFonts w:ascii="Cambria Math" w:hAnsi="Cambria Math"/>
            </w:rPr>
            <m:t>​</m:t>
          </m:r>
        </m:oMath>
      </m:oMathPara>
    </w:p>
    <w:p w14:paraId="6B0504CF" w14:textId="77777777" w:rsidR="00CD76C6" w:rsidRPr="00CD76C6" w:rsidRDefault="00CD76C6" w:rsidP="00CD76C6">
      <w:pPr>
        <w:numPr>
          <w:ilvl w:val="0"/>
          <w:numId w:val="6"/>
        </w:numPr>
      </w:pPr>
      <w:r w:rsidRPr="00CD76C6">
        <w:rPr>
          <w:b/>
          <w:bCs/>
        </w:rPr>
        <w:t>ROC-AUC</w:t>
      </w:r>
      <w:r w:rsidRPr="00CD76C6">
        <w:t xml:space="preserve"> and </w:t>
      </w:r>
      <w:r w:rsidRPr="00CD76C6">
        <w:rPr>
          <w:b/>
          <w:bCs/>
        </w:rPr>
        <w:t>Precision-Recall AUC</w:t>
      </w:r>
      <w:r w:rsidRPr="00CD76C6">
        <w:t xml:space="preserve"> (micro-average)</w:t>
      </w:r>
    </w:p>
    <w:p w14:paraId="3A965D61" w14:textId="77777777" w:rsidR="00CD76C6" w:rsidRPr="00CD76C6" w:rsidRDefault="00CD76C6" w:rsidP="00CD76C6">
      <w:pPr>
        <w:numPr>
          <w:ilvl w:val="0"/>
          <w:numId w:val="6"/>
        </w:numPr>
      </w:pPr>
      <w:r w:rsidRPr="00CD76C6">
        <w:rPr>
          <w:b/>
          <w:bCs/>
        </w:rPr>
        <w:t>Confusion Matrices</w:t>
      </w:r>
    </w:p>
    <w:p w14:paraId="35892689" w14:textId="77777777" w:rsidR="00CD76C6" w:rsidRPr="00CD76C6" w:rsidRDefault="00CD76C6" w:rsidP="00CD76C6">
      <w:pPr>
        <w:numPr>
          <w:ilvl w:val="0"/>
          <w:numId w:val="6"/>
        </w:numPr>
      </w:pPr>
      <w:r w:rsidRPr="00CD76C6">
        <w:rPr>
          <w:b/>
          <w:bCs/>
        </w:rPr>
        <w:t>McNemar’s Test</w:t>
      </w:r>
      <w:r w:rsidRPr="00CD76C6">
        <w:t xml:space="preserve"> for comparing accuracy of XGBoost vs. Ensemble</w:t>
      </w:r>
    </w:p>
    <w:p w14:paraId="69981681" w14:textId="53F9E91B" w:rsidR="00CD76C6" w:rsidRPr="00CD76C6" w:rsidRDefault="00CD76C6" w:rsidP="00CD76C6"/>
    <w:p w14:paraId="0AA450AC" w14:textId="77777777" w:rsidR="00CD76C6" w:rsidRPr="00CD76C6" w:rsidRDefault="00CD76C6" w:rsidP="00CD76C6">
      <w:pPr>
        <w:rPr>
          <w:b/>
          <w:bCs/>
        </w:rPr>
      </w:pPr>
      <w:r w:rsidRPr="00CD76C6">
        <w:rPr>
          <w:b/>
          <w:bCs/>
        </w:rPr>
        <w:t>4. Results</w:t>
      </w:r>
    </w:p>
    <w:p w14:paraId="5CB788FC" w14:textId="77777777" w:rsidR="00CD76C6" w:rsidRPr="00CD76C6" w:rsidRDefault="00CD76C6" w:rsidP="00CD76C6">
      <w:pPr>
        <w:rPr>
          <w:b/>
          <w:bCs/>
        </w:rPr>
      </w:pPr>
      <w:r w:rsidRPr="00CD76C6">
        <w:rPr>
          <w:b/>
          <w:bCs/>
        </w:rPr>
        <w:t>4.1 Baseline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074"/>
        <w:gridCol w:w="1019"/>
      </w:tblGrid>
      <w:tr w:rsidR="00CD76C6" w:rsidRPr="00CD76C6" w14:paraId="1E42FABD" w14:textId="77777777" w:rsidTr="00CD76C6">
        <w:trPr>
          <w:tblHeader/>
          <w:tblCellSpacing w:w="15" w:type="dxa"/>
        </w:trPr>
        <w:tc>
          <w:tcPr>
            <w:tcW w:w="0" w:type="auto"/>
            <w:vAlign w:val="center"/>
            <w:hideMark/>
          </w:tcPr>
          <w:p w14:paraId="080F15B9" w14:textId="77777777" w:rsidR="00CD76C6" w:rsidRPr="00CD76C6" w:rsidRDefault="00CD76C6" w:rsidP="00CD76C6">
            <w:pPr>
              <w:rPr>
                <w:b/>
                <w:bCs/>
              </w:rPr>
            </w:pPr>
            <w:r w:rsidRPr="00CD76C6">
              <w:rPr>
                <w:b/>
                <w:bCs/>
              </w:rPr>
              <w:t>Model</w:t>
            </w:r>
          </w:p>
        </w:tc>
        <w:tc>
          <w:tcPr>
            <w:tcW w:w="0" w:type="auto"/>
            <w:vAlign w:val="center"/>
            <w:hideMark/>
          </w:tcPr>
          <w:p w14:paraId="45C11C72" w14:textId="77777777" w:rsidR="00CD76C6" w:rsidRPr="00CD76C6" w:rsidRDefault="00CD76C6" w:rsidP="00CD76C6">
            <w:pPr>
              <w:rPr>
                <w:b/>
                <w:bCs/>
              </w:rPr>
            </w:pPr>
            <w:r w:rsidRPr="00CD76C6">
              <w:rPr>
                <w:b/>
                <w:bCs/>
              </w:rPr>
              <w:t>Accuracy</w:t>
            </w:r>
          </w:p>
        </w:tc>
        <w:tc>
          <w:tcPr>
            <w:tcW w:w="0" w:type="auto"/>
            <w:vAlign w:val="center"/>
            <w:hideMark/>
          </w:tcPr>
          <w:p w14:paraId="1C6D0AC5" w14:textId="77777777" w:rsidR="00CD76C6" w:rsidRPr="00CD76C6" w:rsidRDefault="00CD76C6" w:rsidP="00CD76C6">
            <w:pPr>
              <w:rPr>
                <w:b/>
                <w:bCs/>
              </w:rPr>
            </w:pPr>
            <w:r w:rsidRPr="00CD76C6">
              <w:rPr>
                <w:b/>
                <w:bCs/>
              </w:rPr>
              <w:t>F1-score</w:t>
            </w:r>
          </w:p>
        </w:tc>
      </w:tr>
      <w:tr w:rsidR="00CD76C6" w:rsidRPr="00CD76C6" w14:paraId="1DAE6CC4" w14:textId="77777777" w:rsidTr="00CD76C6">
        <w:trPr>
          <w:tblCellSpacing w:w="15" w:type="dxa"/>
        </w:trPr>
        <w:tc>
          <w:tcPr>
            <w:tcW w:w="0" w:type="auto"/>
            <w:vAlign w:val="center"/>
            <w:hideMark/>
          </w:tcPr>
          <w:p w14:paraId="0A99EFF7" w14:textId="77777777" w:rsidR="00CD76C6" w:rsidRPr="00CD76C6" w:rsidRDefault="00CD76C6" w:rsidP="00CD76C6">
            <w:r w:rsidRPr="00CD76C6">
              <w:t>SMA Crossover</w:t>
            </w:r>
          </w:p>
        </w:tc>
        <w:tc>
          <w:tcPr>
            <w:tcW w:w="0" w:type="auto"/>
            <w:vAlign w:val="center"/>
            <w:hideMark/>
          </w:tcPr>
          <w:p w14:paraId="4E979F43" w14:textId="77777777" w:rsidR="00CD76C6" w:rsidRPr="00CD76C6" w:rsidRDefault="00CD76C6" w:rsidP="00CD76C6">
            <w:r w:rsidRPr="00CD76C6">
              <w:t>0.32</w:t>
            </w:r>
          </w:p>
        </w:tc>
        <w:tc>
          <w:tcPr>
            <w:tcW w:w="0" w:type="auto"/>
            <w:vAlign w:val="center"/>
            <w:hideMark/>
          </w:tcPr>
          <w:p w14:paraId="29C5A096" w14:textId="77777777" w:rsidR="00CD76C6" w:rsidRPr="00CD76C6" w:rsidRDefault="00CD76C6" w:rsidP="00CD76C6">
            <w:r w:rsidRPr="00CD76C6">
              <w:t>0.29</w:t>
            </w:r>
          </w:p>
        </w:tc>
      </w:tr>
    </w:tbl>
    <w:p w14:paraId="478F5F9D" w14:textId="77777777" w:rsidR="00CD76C6" w:rsidRPr="00CD76C6" w:rsidRDefault="00CD76C6" w:rsidP="00CD76C6">
      <w:r w:rsidRPr="00CD76C6">
        <w:t>The simple SMA rule yields only moderate classification performance.</w:t>
      </w:r>
    </w:p>
    <w:p w14:paraId="6253DDA7" w14:textId="77777777" w:rsidR="00CD76C6" w:rsidRPr="00CD76C6" w:rsidRDefault="00CD76C6" w:rsidP="00CD76C6">
      <w:pPr>
        <w:rPr>
          <w:b/>
          <w:bCs/>
        </w:rPr>
      </w:pPr>
      <w:r w:rsidRPr="00CD76C6">
        <w:rPr>
          <w:b/>
          <w:bCs/>
        </w:rPr>
        <w:t>4.2 ML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401"/>
        <w:gridCol w:w="1121"/>
        <w:gridCol w:w="935"/>
      </w:tblGrid>
      <w:tr w:rsidR="00CD76C6" w:rsidRPr="00CD76C6" w14:paraId="6ACFFC60" w14:textId="77777777" w:rsidTr="00CD76C6">
        <w:trPr>
          <w:tblHeader/>
          <w:tblCellSpacing w:w="15" w:type="dxa"/>
        </w:trPr>
        <w:tc>
          <w:tcPr>
            <w:tcW w:w="0" w:type="auto"/>
            <w:vAlign w:val="center"/>
            <w:hideMark/>
          </w:tcPr>
          <w:p w14:paraId="466B44C8" w14:textId="77777777" w:rsidR="00CD76C6" w:rsidRPr="00CD76C6" w:rsidRDefault="00CD76C6" w:rsidP="00CD76C6">
            <w:pPr>
              <w:rPr>
                <w:b/>
                <w:bCs/>
              </w:rPr>
            </w:pPr>
            <w:r w:rsidRPr="00CD76C6">
              <w:rPr>
                <w:b/>
                <w:bCs/>
              </w:rPr>
              <w:t>Model</w:t>
            </w:r>
          </w:p>
        </w:tc>
        <w:tc>
          <w:tcPr>
            <w:tcW w:w="0" w:type="auto"/>
            <w:vAlign w:val="center"/>
            <w:hideMark/>
          </w:tcPr>
          <w:p w14:paraId="1C3A82D4" w14:textId="77777777" w:rsidR="00CD76C6" w:rsidRPr="00CD76C6" w:rsidRDefault="00CD76C6" w:rsidP="00CD76C6">
            <w:pPr>
              <w:rPr>
                <w:b/>
                <w:bCs/>
              </w:rPr>
            </w:pPr>
            <w:r w:rsidRPr="00CD76C6">
              <w:rPr>
                <w:b/>
                <w:bCs/>
              </w:rPr>
              <w:t>Accuracy</w:t>
            </w:r>
          </w:p>
        </w:tc>
        <w:tc>
          <w:tcPr>
            <w:tcW w:w="0" w:type="auto"/>
            <w:vAlign w:val="center"/>
            <w:hideMark/>
          </w:tcPr>
          <w:p w14:paraId="0BB9AE26" w14:textId="77777777" w:rsidR="00CD76C6" w:rsidRPr="00CD76C6" w:rsidRDefault="00CD76C6" w:rsidP="00CD76C6">
            <w:pPr>
              <w:rPr>
                <w:b/>
                <w:bCs/>
              </w:rPr>
            </w:pPr>
            <w:r w:rsidRPr="00CD76C6">
              <w:rPr>
                <w:b/>
                <w:bCs/>
              </w:rPr>
              <w:t>Weighted F1</w:t>
            </w:r>
          </w:p>
        </w:tc>
        <w:tc>
          <w:tcPr>
            <w:tcW w:w="0" w:type="auto"/>
            <w:vAlign w:val="center"/>
            <w:hideMark/>
          </w:tcPr>
          <w:p w14:paraId="6D5AA4F2" w14:textId="77777777" w:rsidR="00CD76C6" w:rsidRPr="00CD76C6" w:rsidRDefault="00CD76C6" w:rsidP="00CD76C6">
            <w:pPr>
              <w:rPr>
                <w:b/>
                <w:bCs/>
              </w:rPr>
            </w:pPr>
            <w:r w:rsidRPr="00CD76C6">
              <w:rPr>
                <w:b/>
                <w:bCs/>
              </w:rPr>
              <w:t>ROC-AUC</w:t>
            </w:r>
          </w:p>
        </w:tc>
        <w:tc>
          <w:tcPr>
            <w:tcW w:w="0" w:type="auto"/>
            <w:vAlign w:val="center"/>
            <w:hideMark/>
          </w:tcPr>
          <w:p w14:paraId="4976BA25" w14:textId="77777777" w:rsidR="00CD76C6" w:rsidRPr="00CD76C6" w:rsidRDefault="00CD76C6" w:rsidP="00CD76C6">
            <w:pPr>
              <w:rPr>
                <w:b/>
                <w:bCs/>
              </w:rPr>
            </w:pPr>
            <w:r w:rsidRPr="00CD76C6">
              <w:rPr>
                <w:b/>
                <w:bCs/>
              </w:rPr>
              <w:t>PR-AUC</w:t>
            </w:r>
          </w:p>
        </w:tc>
      </w:tr>
      <w:tr w:rsidR="00CD76C6" w:rsidRPr="00CD76C6" w14:paraId="06C91B40" w14:textId="77777777" w:rsidTr="00CD76C6">
        <w:trPr>
          <w:tblCellSpacing w:w="15" w:type="dxa"/>
        </w:trPr>
        <w:tc>
          <w:tcPr>
            <w:tcW w:w="0" w:type="auto"/>
            <w:vAlign w:val="center"/>
            <w:hideMark/>
          </w:tcPr>
          <w:p w14:paraId="4811CE09" w14:textId="77777777" w:rsidR="00CD76C6" w:rsidRPr="00CD76C6" w:rsidRDefault="00CD76C6" w:rsidP="00CD76C6">
            <w:r w:rsidRPr="00CD76C6">
              <w:t>Logistic Regression</w:t>
            </w:r>
          </w:p>
        </w:tc>
        <w:tc>
          <w:tcPr>
            <w:tcW w:w="0" w:type="auto"/>
            <w:vAlign w:val="center"/>
            <w:hideMark/>
          </w:tcPr>
          <w:p w14:paraId="6E19FD1E" w14:textId="77777777" w:rsidR="00CD76C6" w:rsidRPr="00CD76C6" w:rsidRDefault="00CD76C6" w:rsidP="00CD76C6">
            <w:r w:rsidRPr="00CD76C6">
              <w:t>0.30</w:t>
            </w:r>
          </w:p>
        </w:tc>
        <w:tc>
          <w:tcPr>
            <w:tcW w:w="0" w:type="auto"/>
            <w:vAlign w:val="center"/>
            <w:hideMark/>
          </w:tcPr>
          <w:p w14:paraId="76105D88" w14:textId="77777777" w:rsidR="00CD76C6" w:rsidRPr="00CD76C6" w:rsidRDefault="00CD76C6" w:rsidP="00CD76C6">
            <w:r w:rsidRPr="00CD76C6">
              <w:t>0.25</w:t>
            </w:r>
          </w:p>
        </w:tc>
        <w:tc>
          <w:tcPr>
            <w:tcW w:w="0" w:type="auto"/>
            <w:vAlign w:val="center"/>
            <w:hideMark/>
          </w:tcPr>
          <w:p w14:paraId="6CE13180" w14:textId="77777777" w:rsidR="00CD76C6" w:rsidRPr="00CD76C6" w:rsidRDefault="00CD76C6" w:rsidP="00CD76C6">
            <w:r w:rsidRPr="00CD76C6">
              <w:t>0.50</w:t>
            </w:r>
          </w:p>
        </w:tc>
        <w:tc>
          <w:tcPr>
            <w:tcW w:w="0" w:type="auto"/>
            <w:vAlign w:val="center"/>
            <w:hideMark/>
          </w:tcPr>
          <w:p w14:paraId="1634E886" w14:textId="77777777" w:rsidR="00CD76C6" w:rsidRPr="00CD76C6" w:rsidRDefault="00CD76C6" w:rsidP="00CD76C6">
            <w:r w:rsidRPr="00CD76C6">
              <w:t>0.18</w:t>
            </w:r>
          </w:p>
        </w:tc>
      </w:tr>
      <w:tr w:rsidR="00CD76C6" w:rsidRPr="00CD76C6" w14:paraId="22A98337" w14:textId="77777777" w:rsidTr="00CD76C6">
        <w:trPr>
          <w:tblCellSpacing w:w="15" w:type="dxa"/>
        </w:trPr>
        <w:tc>
          <w:tcPr>
            <w:tcW w:w="0" w:type="auto"/>
            <w:vAlign w:val="center"/>
            <w:hideMark/>
          </w:tcPr>
          <w:p w14:paraId="6C270D0F" w14:textId="77777777" w:rsidR="00CD76C6" w:rsidRPr="00CD76C6" w:rsidRDefault="00CD76C6" w:rsidP="00CD76C6">
            <w:r w:rsidRPr="00CD76C6">
              <w:t>SVM (RBF)</w:t>
            </w:r>
          </w:p>
        </w:tc>
        <w:tc>
          <w:tcPr>
            <w:tcW w:w="0" w:type="auto"/>
            <w:vAlign w:val="center"/>
            <w:hideMark/>
          </w:tcPr>
          <w:p w14:paraId="312CFC19" w14:textId="77777777" w:rsidR="00CD76C6" w:rsidRPr="00CD76C6" w:rsidRDefault="00CD76C6" w:rsidP="00CD76C6">
            <w:r w:rsidRPr="00CD76C6">
              <w:t>0.36</w:t>
            </w:r>
          </w:p>
        </w:tc>
        <w:tc>
          <w:tcPr>
            <w:tcW w:w="0" w:type="auto"/>
            <w:vAlign w:val="center"/>
            <w:hideMark/>
          </w:tcPr>
          <w:p w14:paraId="25D02A78" w14:textId="77777777" w:rsidR="00CD76C6" w:rsidRPr="00CD76C6" w:rsidRDefault="00CD76C6" w:rsidP="00CD76C6">
            <w:r w:rsidRPr="00CD76C6">
              <w:t>0.19</w:t>
            </w:r>
          </w:p>
        </w:tc>
        <w:tc>
          <w:tcPr>
            <w:tcW w:w="0" w:type="auto"/>
            <w:vAlign w:val="center"/>
            <w:hideMark/>
          </w:tcPr>
          <w:p w14:paraId="3DF9F9D6" w14:textId="77777777" w:rsidR="00CD76C6" w:rsidRPr="00CD76C6" w:rsidRDefault="00CD76C6" w:rsidP="00CD76C6">
            <w:r w:rsidRPr="00CD76C6">
              <w:t>0.54</w:t>
            </w:r>
          </w:p>
        </w:tc>
        <w:tc>
          <w:tcPr>
            <w:tcW w:w="0" w:type="auto"/>
            <w:vAlign w:val="center"/>
            <w:hideMark/>
          </w:tcPr>
          <w:p w14:paraId="39F26215" w14:textId="77777777" w:rsidR="00CD76C6" w:rsidRPr="00CD76C6" w:rsidRDefault="00CD76C6" w:rsidP="00CD76C6">
            <w:r w:rsidRPr="00CD76C6">
              <w:t>0.33</w:t>
            </w:r>
          </w:p>
        </w:tc>
      </w:tr>
      <w:tr w:rsidR="00CD76C6" w:rsidRPr="00CD76C6" w14:paraId="6B599717" w14:textId="77777777" w:rsidTr="00CD76C6">
        <w:trPr>
          <w:tblCellSpacing w:w="15" w:type="dxa"/>
        </w:trPr>
        <w:tc>
          <w:tcPr>
            <w:tcW w:w="0" w:type="auto"/>
            <w:vAlign w:val="center"/>
            <w:hideMark/>
          </w:tcPr>
          <w:p w14:paraId="5C1BA8AD" w14:textId="77777777" w:rsidR="00CD76C6" w:rsidRPr="00CD76C6" w:rsidRDefault="00CD76C6" w:rsidP="00CD76C6">
            <w:r w:rsidRPr="00CD76C6">
              <w:t>XGBoost</w:t>
            </w:r>
          </w:p>
        </w:tc>
        <w:tc>
          <w:tcPr>
            <w:tcW w:w="0" w:type="auto"/>
            <w:vAlign w:val="center"/>
            <w:hideMark/>
          </w:tcPr>
          <w:p w14:paraId="2C22CA91" w14:textId="77777777" w:rsidR="00CD76C6" w:rsidRPr="00CD76C6" w:rsidRDefault="00CD76C6" w:rsidP="00CD76C6">
            <w:r w:rsidRPr="00CD76C6">
              <w:t>0.35</w:t>
            </w:r>
          </w:p>
        </w:tc>
        <w:tc>
          <w:tcPr>
            <w:tcW w:w="0" w:type="auto"/>
            <w:vAlign w:val="center"/>
            <w:hideMark/>
          </w:tcPr>
          <w:p w14:paraId="4DC1EEB9" w14:textId="77777777" w:rsidR="00CD76C6" w:rsidRPr="00CD76C6" w:rsidRDefault="00CD76C6" w:rsidP="00CD76C6">
            <w:r w:rsidRPr="00CD76C6">
              <w:t>0.32</w:t>
            </w:r>
          </w:p>
        </w:tc>
        <w:tc>
          <w:tcPr>
            <w:tcW w:w="0" w:type="auto"/>
            <w:vAlign w:val="center"/>
            <w:hideMark/>
          </w:tcPr>
          <w:p w14:paraId="23F00514" w14:textId="77777777" w:rsidR="00CD76C6" w:rsidRPr="00CD76C6" w:rsidRDefault="00CD76C6" w:rsidP="00CD76C6">
            <w:r w:rsidRPr="00CD76C6">
              <w:t>0.55</w:t>
            </w:r>
          </w:p>
        </w:tc>
        <w:tc>
          <w:tcPr>
            <w:tcW w:w="0" w:type="auto"/>
            <w:vAlign w:val="center"/>
            <w:hideMark/>
          </w:tcPr>
          <w:p w14:paraId="49FF89E3" w14:textId="77777777" w:rsidR="00CD76C6" w:rsidRPr="00CD76C6" w:rsidRDefault="00CD76C6" w:rsidP="00CD76C6">
            <w:r w:rsidRPr="00CD76C6">
              <w:t>0.36</w:t>
            </w:r>
          </w:p>
        </w:tc>
      </w:tr>
      <w:tr w:rsidR="00CD76C6" w:rsidRPr="00CD76C6" w14:paraId="00C0ACFE" w14:textId="77777777" w:rsidTr="00CD76C6">
        <w:trPr>
          <w:tblCellSpacing w:w="15" w:type="dxa"/>
        </w:trPr>
        <w:tc>
          <w:tcPr>
            <w:tcW w:w="0" w:type="auto"/>
            <w:vAlign w:val="center"/>
            <w:hideMark/>
          </w:tcPr>
          <w:p w14:paraId="67062E16" w14:textId="77777777" w:rsidR="00CD76C6" w:rsidRPr="00CD76C6" w:rsidRDefault="00CD76C6" w:rsidP="00CD76C6">
            <w:r w:rsidRPr="00CD76C6">
              <w:t>Stacking Ensemble</w:t>
            </w:r>
          </w:p>
        </w:tc>
        <w:tc>
          <w:tcPr>
            <w:tcW w:w="0" w:type="auto"/>
            <w:vAlign w:val="center"/>
            <w:hideMark/>
          </w:tcPr>
          <w:p w14:paraId="7322EF03" w14:textId="77777777" w:rsidR="00CD76C6" w:rsidRPr="00CD76C6" w:rsidRDefault="00CD76C6" w:rsidP="00CD76C6">
            <w:r w:rsidRPr="00CD76C6">
              <w:rPr>
                <w:b/>
                <w:bCs/>
              </w:rPr>
              <w:t>0.38</w:t>
            </w:r>
          </w:p>
        </w:tc>
        <w:tc>
          <w:tcPr>
            <w:tcW w:w="0" w:type="auto"/>
            <w:vAlign w:val="center"/>
            <w:hideMark/>
          </w:tcPr>
          <w:p w14:paraId="1E382AF2" w14:textId="77777777" w:rsidR="00CD76C6" w:rsidRPr="00CD76C6" w:rsidRDefault="00CD76C6" w:rsidP="00CD76C6">
            <w:r w:rsidRPr="00CD76C6">
              <w:rPr>
                <w:b/>
                <w:bCs/>
              </w:rPr>
              <w:t>0.33</w:t>
            </w:r>
          </w:p>
        </w:tc>
        <w:tc>
          <w:tcPr>
            <w:tcW w:w="0" w:type="auto"/>
            <w:vAlign w:val="center"/>
            <w:hideMark/>
          </w:tcPr>
          <w:p w14:paraId="6BD44C45" w14:textId="77777777" w:rsidR="00CD76C6" w:rsidRPr="00CD76C6" w:rsidRDefault="00CD76C6" w:rsidP="00CD76C6">
            <w:r w:rsidRPr="00CD76C6">
              <w:rPr>
                <w:b/>
                <w:bCs/>
              </w:rPr>
              <w:t>0.56</w:t>
            </w:r>
          </w:p>
        </w:tc>
        <w:tc>
          <w:tcPr>
            <w:tcW w:w="0" w:type="auto"/>
            <w:vAlign w:val="center"/>
            <w:hideMark/>
          </w:tcPr>
          <w:p w14:paraId="4A7EE269" w14:textId="77777777" w:rsidR="00CD76C6" w:rsidRPr="00CD76C6" w:rsidRDefault="00CD76C6" w:rsidP="00CD76C6">
            <w:r w:rsidRPr="00CD76C6">
              <w:rPr>
                <w:b/>
                <w:bCs/>
              </w:rPr>
              <w:t>0.37</w:t>
            </w:r>
          </w:p>
        </w:tc>
      </w:tr>
    </w:tbl>
    <w:p w14:paraId="7AB92D63" w14:textId="77777777" w:rsidR="00CD76C6" w:rsidRPr="00CD76C6" w:rsidRDefault="00CD76C6" w:rsidP="00CD76C6">
      <w:r w:rsidRPr="00CD76C6">
        <w:lastRenderedPageBreak/>
        <w:t>The Stacking ensemble achieves the highest accuracy and F1, followed closely by XGBoost.</w:t>
      </w:r>
    </w:p>
    <w:p w14:paraId="2D0F3A1C" w14:textId="77777777" w:rsidR="00CD76C6" w:rsidRPr="00CD76C6" w:rsidRDefault="00CD76C6" w:rsidP="00CD76C6">
      <w:pPr>
        <w:rPr>
          <w:b/>
          <w:bCs/>
        </w:rPr>
      </w:pPr>
      <w:r w:rsidRPr="00CD76C6">
        <w:rPr>
          <w:b/>
          <w:bCs/>
        </w:rPr>
        <w:t>4.3 Confusion Matrices</w:t>
      </w:r>
    </w:p>
    <w:p w14:paraId="3C350F07" w14:textId="77777777" w:rsidR="00CD76C6" w:rsidRPr="00CD76C6" w:rsidRDefault="00CD76C6" w:rsidP="00CD76C6">
      <w:r w:rsidRPr="00CD76C6">
        <w:t>Confusion matrices (Figure 1) show XGBoost and the Ensemble reduce misclassification of Bullish and Neutral days compared to linear models.</w:t>
      </w:r>
    </w:p>
    <w:p w14:paraId="5A8E44A0" w14:textId="77777777" w:rsidR="00CD76C6" w:rsidRPr="00CD76C6" w:rsidRDefault="00CD76C6" w:rsidP="00CD76C6">
      <w:r w:rsidRPr="00CD76C6">
        <w:rPr>
          <w:i/>
          <w:iCs/>
        </w:rPr>
        <w:t>Insert confusion matrix heatmaps here.</w:t>
      </w:r>
    </w:p>
    <w:p w14:paraId="1EEB9A19" w14:textId="77777777" w:rsidR="00CD76C6" w:rsidRPr="00CD76C6" w:rsidRDefault="00CD76C6" w:rsidP="00CD76C6">
      <w:pPr>
        <w:rPr>
          <w:b/>
          <w:bCs/>
        </w:rPr>
      </w:pPr>
      <w:r w:rsidRPr="00CD76C6">
        <w:rPr>
          <w:b/>
          <w:bCs/>
        </w:rPr>
        <w:t>4.4 ROC &amp; PR Curves</w:t>
      </w:r>
    </w:p>
    <w:p w14:paraId="4F83811B" w14:textId="77777777" w:rsidR="00CD76C6" w:rsidRPr="00CD76C6" w:rsidRDefault="00CD76C6" w:rsidP="00CD76C6">
      <w:r w:rsidRPr="00CD76C6">
        <w:t>ROC (Figure 2) and PR (Figure 3) curves illustrate superior threshold performance of the Ensemble and XGBoost, with micro-average AUC=0.56 and AP=0.37 for the Ensemble.</w:t>
      </w:r>
    </w:p>
    <w:p w14:paraId="02FCC25A" w14:textId="77777777" w:rsidR="00CD76C6" w:rsidRPr="00CD76C6" w:rsidRDefault="00CD76C6" w:rsidP="00CD76C6">
      <w:r w:rsidRPr="00CD76C6">
        <w:rPr>
          <w:i/>
          <w:iCs/>
        </w:rPr>
        <w:t>Insert ROC and PR curve plots.</w:t>
      </w:r>
    </w:p>
    <w:p w14:paraId="35B8AC7F" w14:textId="2B921C8F" w:rsidR="00CD76C6" w:rsidRPr="00CD76C6" w:rsidRDefault="00CD76C6" w:rsidP="00CD76C6"/>
    <w:p w14:paraId="08BE47A7" w14:textId="77777777" w:rsidR="00CD76C6" w:rsidRPr="00CD76C6" w:rsidRDefault="00CD76C6" w:rsidP="00CD76C6">
      <w:pPr>
        <w:rPr>
          <w:b/>
          <w:bCs/>
        </w:rPr>
      </w:pPr>
      <w:r w:rsidRPr="00CD76C6">
        <w:rPr>
          <w:b/>
          <w:bCs/>
        </w:rPr>
        <w:t>5. Analysis and Discussion</w:t>
      </w:r>
    </w:p>
    <w:p w14:paraId="06CF8F0A" w14:textId="77777777" w:rsidR="00CD76C6" w:rsidRPr="00CD76C6" w:rsidRDefault="00CD76C6" w:rsidP="00CD76C6">
      <w:pPr>
        <w:rPr>
          <w:b/>
          <w:bCs/>
        </w:rPr>
      </w:pPr>
      <w:r w:rsidRPr="00CD76C6">
        <w:rPr>
          <w:b/>
          <w:bCs/>
        </w:rPr>
        <w:t>5.1 Feature Importance</w:t>
      </w:r>
    </w:p>
    <w:p w14:paraId="63AF1D0A" w14:textId="77777777" w:rsidR="00CD76C6" w:rsidRPr="00CD76C6" w:rsidRDefault="00CD76C6" w:rsidP="00CD76C6">
      <w:pPr>
        <w:numPr>
          <w:ilvl w:val="0"/>
          <w:numId w:val="7"/>
        </w:numPr>
      </w:pPr>
      <w:r w:rsidRPr="00CD76C6">
        <w:rPr>
          <w:b/>
          <w:bCs/>
        </w:rPr>
        <w:t>Logistic Regression Coefficients:</w:t>
      </w:r>
      <w:r w:rsidRPr="00CD76C6">
        <w:t xml:space="preserve"> Top positive features for Bullish: NVIDIA, AMD price indicators; top negative: Intel price, high Treasury yields.</w:t>
      </w:r>
    </w:p>
    <w:p w14:paraId="4FFA017E" w14:textId="77777777" w:rsidR="00CD76C6" w:rsidRPr="00CD76C6" w:rsidRDefault="00CD76C6" w:rsidP="00CD76C6">
      <w:pPr>
        <w:numPr>
          <w:ilvl w:val="0"/>
          <w:numId w:val="7"/>
        </w:numPr>
      </w:pPr>
      <w:r w:rsidRPr="00CD76C6">
        <w:rPr>
          <w:b/>
          <w:bCs/>
        </w:rPr>
        <w:t>SHAP Analysis (XGBoost):</w:t>
      </w:r>
      <w:r w:rsidRPr="00CD76C6">
        <w:t xml:space="preserve"> NVIDIA and AMD have largest </w:t>
      </w:r>
      <w:proofErr w:type="gramStart"/>
      <w:r w:rsidRPr="00CD76C6">
        <w:t>mean</w:t>
      </w:r>
      <w:proofErr w:type="gramEnd"/>
      <w:r w:rsidRPr="00CD76C6">
        <w:t xml:space="preserve"> absolute SHAP values; Intel often has negative contributions toward Bullish predictions.</w:t>
      </w:r>
    </w:p>
    <w:p w14:paraId="45181817" w14:textId="77777777" w:rsidR="00CD76C6" w:rsidRPr="00CD76C6" w:rsidRDefault="00CD76C6" w:rsidP="00CD76C6">
      <w:pPr>
        <w:rPr>
          <w:b/>
          <w:bCs/>
        </w:rPr>
      </w:pPr>
      <w:r w:rsidRPr="00CD76C6">
        <w:rPr>
          <w:b/>
          <w:bCs/>
        </w:rPr>
        <w:t>5.2 Statistical Comparison</w:t>
      </w:r>
    </w:p>
    <w:p w14:paraId="4860F19D" w14:textId="77777777" w:rsidR="00CD76C6" w:rsidRDefault="00CD76C6" w:rsidP="00CD76C6">
      <w:r w:rsidRPr="00CD76C6">
        <w:t xml:space="preserve">A Kruskal–Wallis test on absolute SHAP values for NVDA, INTC, AMD, and ASML yields </w:t>
      </w:r>
      <w:r w:rsidRPr="00CD76C6">
        <w:rPr>
          <w:i/>
          <w:iCs/>
        </w:rPr>
        <w:t>p</w:t>
      </w:r>
      <w:r w:rsidRPr="00CD76C6">
        <w:t>&lt;0.01, confirming significantly different importance distributions, with NVIDIA most influential (median |SHAP| highest).</w:t>
      </w:r>
    </w:p>
    <w:p w14:paraId="7280BD8F" w14:textId="4A696DF4" w:rsidR="004719F6" w:rsidRPr="000736F3" w:rsidRDefault="004719F6" w:rsidP="00CD76C6">
      <w:pPr>
        <w:rPr>
          <w:rFonts w:eastAsiaTheme="minorEastAsia"/>
        </w:rPr>
      </w:pPr>
      <m:oMathPara>
        <m:oMath>
          <m:r>
            <w:rPr>
              <w:rFonts w:ascii="Cambria Math" w:hAnsi="Cambria Math"/>
            </w:rPr>
            <m:t>H=12/N</m:t>
          </m:r>
          <m:d>
            <m:dPr>
              <m:ctrlPr>
                <w:rPr>
                  <w:rFonts w:ascii="Cambria Math" w:hAnsi="Cambria Math"/>
                  <w:i/>
                </w:rPr>
              </m:ctrlPr>
            </m:dPr>
            <m:e>
              <m:r>
                <w:rPr>
                  <w:rFonts w:ascii="Cambria Math" w:hAnsi="Cambria Math"/>
                </w:rPr>
                <m:t>N-1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g</m:t>
              </m:r>
            </m:sup>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r>
                    <w:rPr>
                      <w:rFonts w:ascii="Cambria Math" w:hAnsi="Cambria Math"/>
                    </w:rPr>
                    <m:t>)</m:t>
                  </m:r>
                </m:e>
                <m:sup>
                  <m:r>
                    <w:rPr>
                      <w:rFonts w:ascii="Cambria Math" w:hAnsi="Cambria Math"/>
                    </w:rPr>
                    <m:t>2</m:t>
                  </m:r>
                </m:sup>
              </m:sSup>
            </m:e>
          </m:nary>
        </m:oMath>
      </m:oMathPara>
    </w:p>
    <w:p w14:paraId="436FE712" w14:textId="77777777" w:rsidR="000736F3" w:rsidRPr="000736F3" w:rsidRDefault="000736F3" w:rsidP="000736F3">
      <w:r w:rsidRPr="000736F3">
        <w:rPr>
          <w:b/>
          <w:bCs/>
        </w:rPr>
        <w:t>Where:</w:t>
      </w:r>
    </w:p>
    <w:p w14:paraId="37006506" w14:textId="77777777" w:rsidR="000736F3" w:rsidRPr="000736F3" w:rsidRDefault="000736F3" w:rsidP="000736F3">
      <w:pPr>
        <w:numPr>
          <w:ilvl w:val="0"/>
          <w:numId w:val="11"/>
        </w:numPr>
      </w:pPr>
      <w:r w:rsidRPr="000736F3">
        <w:t>RiR_iRi</w:t>
      </w:r>
      <w:r w:rsidRPr="000736F3">
        <w:rPr>
          <w:rFonts w:ascii="Arial" w:hAnsi="Arial" w:cs="Arial"/>
        </w:rPr>
        <w:t>​</w:t>
      </w:r>
      <w:r w:rsidRPr="000736F3">
        <w:t xml:space="preserve"> is the average rank of group iii,</w:t>
      </w:r>
    </w:p>
    <w:p w14:paraId="25305599" w14:textId="77777777" w:rsidR="000736F3" w:rsidRPr="000736F3" w:rsidRDefault="000736F3" w:rsidP="000736F3">
      <w:pPr>
        <w:numPr>
          <w:ilvl w:val="0"/>
          <w:numId w:val="11"/>
        </w:numPr>
      </w:pPr>
      <w:r w:rsidRPr="000736F3">
        <w:t>nin_ini</w:t>
      </w:r>
      <w:r w:rsidRPr="000736F3">
        <w:rPr>
          <w:rFonts w:ascii="Arial" w:hAnsi="Arial" w:cs="Arial"/>
        </w:rPr>
        <w:t>​</w:t>
      </w:r>
      <w:r w:rsidRPr="000736F3">
        <w:t xml:space="preserve"> is the size of group iii,</w:t>
      </w:r>
    </w:p>
    <w:p w14:paraId="4A508DD2" w14:textId="77777777" w:rsidR="000736F3" w:rsidRPr="000736F3" w:rsidRDefault="000736F3" w:rsidP="000736F3">
      <w:pPr>
        <w:numPr>
          <w:ilvl w:val="0"/>
          <w:numId w:val="11"/>
        </w:numPr>
      </w:pPr>
      <w:r w:rsidRPr="000736F3">
        <w:t>R</w:t>
      </w:r>
      <w:r w:rsidRPr="000736F3">
        <w:rPr>
          <w:rFonts w:ascii="Arial" w:hAnsi="Arial" w:cs="Arial"/>
        </w:rPr>
        <w:t>ˉ</w:t>
      </w:r>
      <w:r w:rsidRPr="000736F3">
        <w:t>\bar{R}R</w:t>
      </w:r>
      <w:r w:rsidRPr="000736F3">
        <w:rPr>
          <w:rFonts w:ascii="Arial" w:hAnsi="Arial" w:cs="Arial"/>
        </w:rPr>
        <w:t>ˉ</w:t>
      </w:r>
      <w:r w:rsidRPr="000736F3">
        <w:t xml:space="preserve"> is the average of all ranks.</w:t>
      </w:r>
    </w:p>
    <w:p w14:paraId="34825F81" w14:textId="77777777" w:rsidR="000736F3" w:rsidRDefault="000736F3" w:rsidP="00CD76C6">
      <w:pPr>
        <w:rPr>
          <w:b/>
          <w:bCs/>
        </w:rPr>
      </w:pPr>
    </w:p>
    <w:p w14:paraId="4A21E3E9" w14:textId="798D1598" w:rsidR="00CD76C6" w:rsidRPr="00CD76C6" w:rsidRDefault="00CD76C6" w:rsidP="00CD76C6">
      <w:pPr>
        <w:rPr>
          <w:b/>
          <w:bCs/>
        </w:rPr>
      </w:pPr>
      <w:r w:rsidRPr="00CD76C6">
        <w:rPr>
          <w:b/>
          <w:bCs/>
        </w:rPr>
        <w:lastRenderedPageBreak/>
        <w:t>5.3 Impact of External Factors</w:t>
      </w:r>
    </w:p>
    <w:p w14:paraId="11312D40" w14:textId="77777777" w:rsidR="00CD76C6" w:rsidRPr="00CD76C6" w:rsidRDefault="00CD76C6" w:rsidP="00CD76C6">
      <w:r w:rsidRPr="00CD76C6">
        <w:t>Ablation studies (excluding news sentiment) showed ~2% drop in F1-score for SVM and Logistic models, while XGBoost and Ensemble remained stable, indicating robust performance from price-based features.</w:t>
      </w:r>
    </w:p>
    <w:p w14:paraId="26A1AE4B" w14:textId="77777777" w:rsidR="00CD76C6" w:rsidRPr="00CD76C6" w:rsidRDefault="00CD76C6" w:rsidP="00CD76C6">
      <w:pPr>
        <w:rPr>
          <w:b/>
          <w:bCs/>
        </w:rPr>
      </w:pPr>
      <w:r w:rsidRPr="00CD76C6">
        <w:rPr>
          <w:b/>
          <w:bCs/>
        </w:rPr>
        <w:t>5.4 Robustness and Event Analysis</w:t>
      </w:r>
    </w:p>
    <w:p w14:paraId="23A83602" w14:textId="77777777" w:rsidR="00CD76C6" w:rsidRPr="00CD76C6" w:rsidRDefault="00CD76C6" w:rsidP="00CD76C6">
      <w:r w:rsidRPr="00CD76C6">
        <w:t>Performance around the June 2022 product launch window (±30 days) dropped slightly (~5% absolute accuracy) across all models, reflecting heightened market volatility during that event.</w:t>
      </w:r>
    </w:p>
    <w:p w14:paraId="072CBE80" w14:textId="77777777" w:rsidR="00CD76C6" w:rsidRPr="00CD76C6" w:rsidRDefault="00CD76C6" w:rsidP="00CD76C6">
      <w:pPr>
        <w:rPr>
          <w:b/>
          <w:bCs/>
        </w:rPr>
      </w:pPr>
      <w:r w:rsidRPr="00CD76C6">
        <w:rPr>
          <w:b/>
          <w:bCs/>
        </w:rPr>
        <w:t>5.5 Comparison to Literature</w:t>
      </w:r>
    </w:p>
    <w:p w14:paraId="5A94EAD2" w14:textId="77777777" w:rsidR="00CD76C6" w:rsidRPr="00CD76C6" w:rsidRDefault="00CD76C6" w:rsidP="00CD76C6">
      <w:r w:rsidRPr="00CD76C6">
        <w:t>Our findings align with prior work highlighting the predictive power of tree-based models with external data integration citeturn0file0</w:t>
      </w:r>
      <w:proofErr w:type="gramStart"/>
      <w:r w:rsidRPr="00CD76C6">
        <w:t>, and</w:t>
      </w:r>
      <w:proofErr w:type="gramEnd"/>
      <w:r w:rsidRPr="00CD76C6">
        <w:t xml:space="preserve"> extend them by demonstrating the utility of stacking ensembles and SHAP interpretability in trend classification.</w:t>
      </w:r>
    </w:p>
    <w:p w14:paraId="1E016E95" w14:textId="51D75740" w:rsidR="00CD76C6" w:rsidRPr="00CD76C6" w:rsidRDefault="00CD76C6" w:rsidP="00CD76C6"/>
    <w:p w14:paraId="37FBFA02" w14:textId="77777777" w:rsidR="00CD76C6" w:rsidRPr="00CD76C6" w:rsidRDefault="00CD76C6" w:rsidP="00CD76C6">
      <w:pPr>
        <w:rPr>
          <w:b/>
          <w:bCs/>
        </w:rPr>
      </w:pPr>
      <w:r w:rsidRPr="00CD76C6">
        <w:rPr>
          <w:b/>
          <w:bCs/>
        </w:rPr>
        <w:t>6. Conclusion</w:t>
      </w:r>
    </w:p>
    <w:p w14:paraId="58B2FB30" w14:textId="77777777" w:rsidR="00CD76C6" w:rsidRPr="00CD76C6" w:rsidRDefault="00CD76C6" w:rsidP="00CD76C6">
      <w:r w:rsidRPr="00CD76C6">
        <w:t>This study demonstrates that ML classification models—particularly XGBoost and Stacking ensembles—can effectively classify semiconductor market trends when leveraging both technical indicators and external factors. NVIDIA and AMD features are the most influential predictors, while external factors like news sentiment provide incremental gains. Future work should integrate higher-frequency geopolitical indicators and explore real-time implementation.</w:t>
      </w:r>
    </w:p>
    <w:p w14:paraId="655B3FD2" w14:textId="6D342FFD" w:rsidR="00CD76C6" w:rsidRPr="00CD76C6" w:rsidRDefault="00CD76C6" w:rsidP="00CD76C6"/>
    <w:p w14:paraId="78AC3DE4" w14:textId="77777777" w:rsidR="00CD76C6" w:rsidRPr="00CD76C6" w:rsidRDefault="00CD76C6" w:rsidP="00CD76C6">
      <w:pPr>
        <w:rPr>
          <w:b/>
          <w:bCs/>
        </w:rPr>
      </w:pPr>
      <w:r w:rsidRPr="00CD76C6">
        <w:rPr>
          <w:b/>
          <w:bCs/>
        </w:rPr>
        <w:t>7. References</w:t>
      </w:r>
    </w:p>
    <w:p w14:paraId="02CF5588" w14:textId="45FA258F" w:rsidR="00CD76C6" w:rsidRPr="00CD76C6" w:rsidRDefault="00CD76C6" w:rsidP="00CD76C6">
      <w:pPr>
        <w:numPr>
          <w:ilvl w:val="0"/>
          <w:numId w:val="8"/>
        </w:numPr>
      </w:pPr>
      <w:r w:rsidRPr="00CD76C6">
        <w:t>Project Outline: Semiconductor Stock Analysis with ML Algorithm</w:t>
      </w:r>
      <w:r>
        <w:t>.</w:t>
      </w:r>
    </w:p>
    <w:p w14:paraId="67110610" w14:textId="18E4D272" w:rsidR="00CD76C6" w:rsidRPr="00CD76C6" w:rsidRDefault="00CD76C6" w:rsidP="00CD76C6">
      <w:pPr>
        <w:numPr>
          <w:ilvl w:val="0"/>
          <w:numId w:val="8"/>
        </w:numPr>
      </w:pPr>
      <w:proofErr w:type="gramStart"/>
      <w:r w:rsidRPr="00CD76C6">
        <w:t>Report</w:t>
      </w:r>
      <w:proofErr w:type="gramEnd"/>
      <w:r w:rsidRPr="00CD76C6">
        <w:t xml:space="preserve"> Structure Guidelines </w:t>
      </w:r>
      <w:r>
        <w:t>.</w:t>
      </w:r>
    </w:p>
    <w:p w14:paraId="132294D8" w14:textId="62D59929" w:rsidR="00CD76C6" w:rsidRPr="00CD76C6" w:rsidRDefault="00CD76C6" w:rsidP="00CD76C6">
      <w:pPr>
        <w:numPr>
          <w:ilvl w:val="0"/>
          <w:numId w:val="8"/>
        </w:numPr>
      </w:pPr>
      <w:r w:rsidRPr="00CD76C6">
        <w:t>ML Objective 1 Preprocessing &amp; Feature Engineering</w:t>
      </w:r>
      <w:r>
        <w:t>.</w:t>
      </w:r>
    </w:p>
    <w:p w14:paraId="30B4E4B5" w14:textId="77777777" w:rsidR="00CD76C6" w:rsidRPr="00CD76C6" w:rsidRDefault="00CD76C6" w:rsidP="00CD76C6">
      <w:pPr>
        <w:numPr>
          <w:ilvl w:val="0"/>
          <w:numId w:val="8"/>
        </w:numPr>
      </w:pPr>
      <w:r w:rsidRPr="00CD76C6">
        <w:t xml:space="preserve">Lundberg, S.M., Lee, S.-I. (2017). A Unified Approach to Interpreting Model Predictions. In </w:t>
      </w:r>
      <w:r w:rsidRPr="00CD76C6">
        <w:rPr>
          <w:i/>
          <w:iCs/>
        </w:rPr>
        <w:t>Advances in Neural Information Processing Systems</w:t>
      </w:r>
      <w:r w:rsidRPr="00CD76C6">
        <w:t>.</w:t>
      </w:r>
    </w:p>
    <w:p w14:paraId="462164E7" w14:textId="77777777" w:rsidR="00CD76C6" w:rsidRDefault="00CD76C6"/>
    <w:sectPr w:rsidR="00CD7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D3B"/>
    <w:multiLevelType w:val="multilevel"/>
    <w:tmpl w:val="139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3092"/>
    <w:multiLevelType w:val="multilevel"/>
    <w:tmpl w:val="3336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2301B"/>
    <w:multiLevelType w:val="multilevel"/>
    <w:tmpl w:val="77A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37A3"/>
    <w:multiLevelType w:val="multilevel"/>
    <w:tmpl w:val="41CC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42CBA"/>
    <w:multiLevelType w:val="multilevel"/>
    <w:tmpl w:val="2D84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D1E82"/>
    <w:multiLevelType w:val="multilevel"/>
    <w:tmpl w:val="2CDE8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130D3"/>
    <w:multiLevelType w:val="multilevel"/>
    <w:tmpl w:val="A84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F7C76"/>
    <w:multiLevelType w:val="multilevel"/>
    <w:tmpl w:val="37C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E15F4"/>
    <w:multiLevelType w:val="multilevel"/>
    <w:tmpl w:val="CF1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7AC"/>
    <w:multiLevelType w:val="multilevel"/>
    <w:tmpl w:val="28A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63692"/>
    <w:multiLevelType w:val="multilevel"/>
    <w:tmpl w:val="891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14251">
    <w:abstractNumId w:val="1"/>
  </w:num>
  <w:num w:numId="2" w16cid:durableId="1065564962">
    <w:abstractNumId w:val="2"/>
  </w:num>
  <w:num w:numId="3" w16cid:durableId="2019692265">
    <w:abstractNumId w:val="7"/>
  </w:num>
  <w:num w:numId="4" w16cid:durableId="909584974">
    <w:abstractNumId w:val="8"/>
  </w:num>
  <w:num w:numId="5" w16cid:durableId="614677798">
    <w:abstractNumId w:val="5"/>
  </w:num>
  <w:num w:numId="6" w16cid:durableId="2033921467">
    <w:abstractNumId w:val="6"/>
  </w:num>
  <w:num w:numId="7" w16cid:durableId="1098016795">
    <w:abstractNumId w:val="3"/>
  </w:num>
  <w:num w:numId="8" w16cid:durableId="357657760">
    <w:abstractNumId w:val="4"/>
  </w:num>
  <w:num w:numId="9" w16cid:durableId="596015252">
    <w:abstractNumId w:val="10"/>
  </w:num>
  <w:num w:numId="10" w16cid:durableId="398866926">
    <w:abstractNumId w:val="0"/>
  </w:num>
  <w:num w:numId="11" w16cid:durableId="1801727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6"/>
    <w:rsid w:val="000736F3"/>
    <w:rsid w:val="0008397E"/>
    <w:rsid w:val="000E570A"/>
    <w:rsid w:val="0013240C"/>
    <w:rsid w:val="001801F9"/>
    <w:rsid w:val="0018215E"/>
    <w:rsid w:val="001964CD"/>
    <w:rsid w:val="0019750A"/>
    <w:rsid w:val="001C6F4F"/>
    <w:rsid w:val="00220180"/>
    <w:rsid w:val="00263E97"/>
    <w:rsid w:val="00273713"/>
    <w:rsid w:val="00300965"/>
    <w:rsid w:val="00306873"/>
    <w:rsid w:val="00310703"/>
    <w:rsid w:val="00337BDC"/>
    <w:rsid w:val="00342BEA"/>
    <w:rsid w:val="003437DA"/>
    <w:rsid w:val="003C3BC4"/>
    <w:rsid w:val="004210A3"/>
    <w:rsid w:val="004332F7"/>
    <w:rsid w:val="004719F6"/>
    <w:rsid w:val="00487885"/>
    <w:rsid w:val="0049270F"/>
    <w:rsid w:val="00497BCE"/>
    <w:rsid w:val="00537469"/>
    <w:rsid w:val="0054554C"/>
    <w:rsid w:val="005462CA"/>
    <w:rsid w:val="0055547A"/>
    <w:rsid w:val="00574214"/>
    <w:rsid w:val="00574F6E"/>
    <w:rsid w:val="005B699F"/>
    <w:rsid w:val="005E4193"/>
    <w:rsid w:val="0060008D"/>
    <w:rsid w:val="0064113D"/>
    <w:rsid w:val="00643344"/>
    <w:rsid w:val="00644D17"/>
    <w:rsid w:val="00661F85"/>
    <w:rsid w:val="00672AD5"/>
    <w:rsid w:val="00675F51"/>
    <w:rsid w:val="00687AC2"/>
    <w:rsid w:val="00694FA9"/>
    <w:rsid w:val="006957A7"/>
    <w:rsid w:val="00695B6E"/>
    <w:rsid w:val="006A31F4"/>
    <w:rsid w:val="0071472E"/>
    <w:rsid w:val="007529D2"/>
    <w:rsid w:val="00774377"/>
    <w:rsid w:val="008330A8"/>
    <w:rsid w:val="00865DA0"/>
    <w:rsid w:val="008824F7"/>
    <w:rsid w:val="008C0006"/>
    <w:rsid w:val="008C0282"/>
    <w:rsid w:val="008F1F39"/>
    <w:rsid w:val="009030CE"/>
    <w:rsid w:val="00914CAA"/>
    <w:rsid w:val="00946497"/>
    <w:rsid w:val="00A3776F"/>
    <w:rsid w:val="00A40707"/>
    <w:rsid w:val="00AE2FA4"/>
    <w:rsid w:val="00AF199D"/>
    <w:rsid w:val="00B26ABB"/>
    <w:rsid w:val="00B72721"/>
    <w:rsid w:val="00BD2DE9"/>
    <w:rsid w:val="00BE10AB"/>
    <w:rsid w:val="00C04F98"/>
    <w:rsid w:val="00C82934"/>
    <w:rsid w:val="00C84AD6"/>
    <w:rsid w:val="00CD76C6"/>
    <w:rsid w:val="00D56A8C"/>
    <w:rsid w:val="00E10312"/>
    <w:rsid w:val="00E333B7"/>
    <w:rsid w:val="00E4069E"/>
    <w:rsid w:val="00E746D2"/>
    <w:rsid w:val="00F46224"/>
    <w:rsid w:val="00F4640B"/>
    <w:rsid w:val="00F60575"/>
    <w:rsid w:val="00F807C4"/>
    <w:rsid w:val="00FE2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A793448"/>
  <w15:chartTrackingRefBased/>
  <w15:docId w15:val="{13CA6668-68B2-41BD-94B6-D6A37404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6"/>
    <w:rPr>
      <w:rFonts w:eastAsiaTheme="majorEastAsia" w:cstheme="majorBidi"/>
      <w:color w:val="272727" w:themeColor="text1" w:themeTint="D8"/>
    </w:rPr>
  </w:style>
  <w:style w:type="paragraph" w:styleId="Title">
    <w:name w:val="Title"/>
    <w:basedOn w:val="Normal"/>
    <w:next w:val="Normal"/>
    <w:link w:val="TitleChar"/>
    <w:uiPriority w:val="10"/>
    <w:qFormat/>
    <w:rsid w:val="00CD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6"/>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6"/>
    <w:rPr>
      <w:i/>
      <w:iCs/>
      <w:color w:val="404040" w:themeColor="text1" w:themeTint="BF"/>
    </w:rPr>
  </w:style>
  <w:style w:type="paragraph" w:styleId="ListParagraph">
    <w:name w:val="List Paragraph"/>
    <w:basedOn w:val="Normal"/>
    <w:uiPriority w:val="34"/>
    <w:qFormat/>
    <w:rsid w:val="00CD76C6"/>
    <w:pPr>
      <w:ind w:left="720"/>
      <w:contextualSpacing/>
    </w:pPr>
  </w:style>
  <w:style w:type="character" w:styleId="IntenseEmphasis">
    <w:name w:val="Intense Emphasis"/>
    <w:basedOn w:val="DefaultParagraphFont"/>
    <w:uiPriority w:val="21"/>
    <w:qFormat/>
    <w:rsid w:val="00CD76C6"/>
    <w:rPr>
      <w:i/>
      <w:iCs/>
      <w:color w:val="0F4761" w:themeColor="accent1" w:themeShade="BF"/>
    </w:rPr>
  </w:style>
  <w:style w:type="paragraph" w:styleId="IntenseQuote">
    <w:name w:val="Intense Quote"/>
    <w:basedOn w:val="Normal"/>
    <w:next w:val="Normal"/>
    <w:link w:val="IntenseQuoteChar"/>
    <w:uiPriority w:val="30"/>
    <w:qFormat/>
    <w:rsid w:val="00CD7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6"/>
    <w:rPr>
      <w:i/>
      <w:iCs/>
      <w:color w:val="0F4761" w:themeColor="accent1" w:themeShade="BF"/>
    </w:rPr>
  </w:style>
  <w:style w:type="character" w:styleId="IntenseReference">
    <w:name w:val="Intense Reference"/>
    <w:basedOn w:val="DefaultParagraphFont"/>
    <w:uiPriority w:val="32"/>
    <w:qFormat/>
    <w:rsid w:val="00CD76C6"/>
    <w:rPr>
      <w:b/>
      <w:bCs/>
      <w:smallCaps/>
      <w:color w:val="0F4761" w:themeColor="accent1" w:themeShade="BF"/>
      <w:spacing w:val="5"/>
    </w:rPr>
  </w:style>
  <w:style w:type="character" w:styleId="PlaceholderText">
    <w:name w:val="Placeholder Text"/>
    <w:basedOn w:val="DefaultParagraphFont"/>
    <w:uiPriority w:val="99"/>
    <w:semiHidden/>
    <w:rsid w:val="00C04F98"/>
    <w:rPr>
      <w:color w:val="666666"/>
    </w:rPr>
  </w:style>
  <w:style w:type="paragraph" w:styleId="NormalWeb">
    <w:name w:val="Normal (Web)"/>
    <w:basedOn w:val="Normal"/>
    <w:uiPriority w:val="99"/>
    <w:semiHidden/>
    <w:unhideWhenUsed/>
    <w:rsid w:val="001324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8089">
      <w:bodyDiv w:val="1"/>
      <w:marLeft w:val="0"/>
      <w:marRight w:val="0"/>
      <w:marTop w:val="0"/>
      <w:marBottom w:val="0"/>
      <w:divBdr>
        <w:top w:val="none" w:sz="0" w:space="0" w:color="auto"/>
        <w:left w:val="none" w:sz="0" w:space="0" w:color="auto"/>
        <w:bottom w:val="none" w:sz="0" w:space="0" w:color="auto"/>
        <w:right w:val="none" w:sz="0" w:space="0" w:color="auto"/>
      </w:divBdr>
    </w:div>
    <w:div w:id="309675794">
      <w:bodyDiv w:val="1"/>
      <w:marLeft w:val="0"/>
      <w:marRight w:val="0"/>
      <w:marTop w:val="0"/>
      <w:marBottom w:val="0"/>
      <w:divBdr>
        <w:top w:val="none" w:sz="0" w:space="0" w:color="auto"/>
        <w:left w:val="none" w:sz="0" w:space="0" w:color="auto"/>
        <w:bottom w:val="none" w:sz="0" w:space="0" w:color="auto"/>
        <w:right w:val="none" w:sz="0" w:space="0" w:color="auto"/>
      </w:divBdr>
    </w:div>
    <w:div w:id="414591078">
      <w:bodyDiv w:val="1"/>
      <w:marLeft w:val="0"/>
      <w:marRight w:val="0"/>
      <w:marTop w:val="0"/>
      <w:marBottom w:val="0"/>
      <w:divBdr>
        <w:top w:val="none" w:sz="0" w:space="0" w:color="auto"/>
        <w:left w:val="none" w:sz="0" w:space="0" w:color="auto"/>
        <w:bottom w:val="none" w:sz="0" w:space="0" w:color="auto"/>
        <w:right w:val="none" w:sz="0" w:space="0" w:color="auto"/>
      </w:divBdr>
    </w:div>
    <w:div w:id="566917660">
      <w:bodyDiv w:val="1"/>
      <w:marLeft w:val="0"/>
      <w:marRight w:val="0"/>
      <w:marTop w:val="0"/>
      <w:marBottom w:val="0"/>
      <w:divBdr>
        <w:top w:val="none" w:sz="0" w:space="0" w:color="auto"/>
        <w:left w:val="none" w:sz="0" w:space="0" w:color="auto"/>
        <w:bottom w:val="none" w:sz="0" w:space="0" w:color="auto"/>
        <w:right w:val="none" w:sz="0" w:space="0" w:color="auto"/>
      </w:divBdr>
    </w:div>
    <w:div w:id="665404352">
      <w:bodyDiv w:val="1"/>
      <w:marLeft w:val="0"/>
      <w:marRight w:val="0"/>
      <w:marTop w:val="0"/>
      <w:marBottom w:val="0"/>
      <w:divBdr>
        <w:top w:val="none" w:sz="0" w:space="0" w:color="auto"/>
        <w:left w:val="none" w:sz="0" w:space="0" w:color="auto"/>
        <w:bottom w:val="none" w:sz="0" w:space="0" w:color="auto"/>
        <w:right w:val="none" w:sz="0" w:space="0" w:color="auto"/>
      </w:divBdr>
    </w:div>
    <w:div w:id="793671607">
      <w:bodyDiv w:val="1"/>
      <w:marLeft w:val="0"/>
      <w:marRight w:val="0"/>
      <w:marTop w:val="0"/>
      <w:marBottom w:val="0"/>
      <w:divBdr>
        <w:top w:val="none" w:sz="0" w:space="0" w:color="auto"/>
        <w:left w:val="none" w:sz="0" w:space="0" w:color="auto"/>
        <w:bottom w:val="none" w:sz="0" w:space="0" w:color="auto"/>
        <w:right w:val="none" w:sz="0" w:space="0" w:color="auto"/>
      </w:divBdr>
    </w:div>
    <w:div w:id="805272727">
      <w:bodyDiv w:val="1"/>
      <w:marLeft w:val="0"/>
      <w:marRight w:val="0"/>
      <w:marTop w:val="0"/>
      <w:marBottom w:val="0"/>
      <w:divBdr>
        <w:top w:val="none" w:sz="0" w:space="0" w:color="auto"/>
        <w:left w:val="none" w:sz="0" w:space="0" w:color="auto"/>
        <w:bottom w:val="none" w:sz="0" w:space="0" w:color="auto"/>
        <w:right w:val="none" w:sz="0" w:space="0" w:color="auto"/>
      </w:divBdr>
    </w:div>
    <w:div w:id="1111509895">
      <w:bodyDiv w:val="1"/>
      <w:marLeft w:val="0"/>
      <w:marRight w:val="0"/>
      <w:marTop w:val="0"/>
      <w:marBottom w:val="0"/>
      <w:divBdr>
        <w:top w:val="none" w:sz="0" w:space="0" w:color="auto"/>
        <w:left w:val="none" w:sz="0" w:space="0" w:color="auto"/>
        <w:bottom w:val="none" w:sz="0" w:space="0" w:color="auto"/>
        <w:right w:val="none" w:sz="0" w:space="0" w:color="auto"/>
      </w:divBdr>
    </w:div>
    <w:div w:id="1129276893">
      <w:bodyDiv w:val="1"/>
      <w:marLeft w:val="0"/>
      <w:marRight w:val="0"/>
      <w:marTop w:val="0"/>
      <w:marBottom w:val="0"/>
      <w:divBdr>
        <w:top w:val="none" w:sz="0" w:space="0" w:color="auto"/>
        <w:left w:val="none" w:sz="0" w:space="0" w:color="auto"/>
        <w:bottom w:val="none" w:sz="0" w:space="0" w:color="auto"/>
        <w:right w:val="none" w:sz="0" w:space="0" w:color="auto"/>
      </w:divBdr>
    </w:div>
    <w:div w:id="1184132863">
      <w:bodyDiv w:val="1"/>
      <w:marLeft w:val="0"/>
      <w:marRight w:val="0"/>
      <w:marTop w:val="0"/>
      <w:marBottom w:val="0"/>
      <w:divBdr>
        <w:top w:val="none" w:sz="0" w:space="0" w:color="auto"/>
        <w:left w:val="none" w:sz="0" w:space="0" w:color="auto"/>
        <w:bottom w:val="none" w:sz="0" w:space="0" w:color="auto"/>
        <w:right w:val="none" w:sz="0" w:space="0" w:color="auto"/>
      </w:divBdr>
    </w:div>
    <w:div w:id="1311638443">
      <w:bodyDiv w:val="1"/>
      <w:marLeft w:val="0"/>
      <w:marRight w:val="0"/>
      <w:marTop w:val="0"/>
      <w:marBottom w:val="0"/>
      <w:divBdr>
        <w:top w:val="none" w:sz="0" w:space="0" w:color="auto"/>
        <w:left w:val="none" w:sz="0" w:space="0" w:color="auto"/>
        <w:bottom w:val="none" w:sz="0" w:space="0" w:color="auto"/>
        <w:right w:val="none" w:sz="0" w:space="0" w:color="auto"/>
      </w:divBdr>
    </w:div>
    <w:div w:id="137338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1117</Words>
  <Characters>7374</Characters>
  <Application>Microsoft Office Word</Application>
  <DocSecurity>0</DocSecurity>
  <Lines>194</Lines>
  <Paragraphs>146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ganta</dc:creator>
  <cp:keywords/>
  <dc:description/>
  <cp:lastModifiedBy>Mahathi Chilamakuri</cp:lastModifiedBy>
  <cp:revision>77</cp:revision>
  <dcterms:created xsi:type="dcterms:W3CDTF">2025-05-07T22:40:00Z</dcterms:created>
  <dcterms:modified xsi:type="dcterms:W3CDTF">2025-05-08T02:08:00Z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9f75b8a7-e906-4a64-b16d-84f5c4530c00</vt:lpwstr>
  </property>
</Properties>
</file>