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5758" w14:textId="760DF322" w:rsidR="00282178" w:rsidRDefault="00000000" w:rsidP="003C2F85">
      <w:pPr>
        <w:pStyle w:val="Heading1"/>
      </w:pPr>
      <w:r>
        <w:t xml:space="preserve">Objective 3 Report: </w:t>
      </w:r>
    </w:p>
    <w:p w14:paraId="21861FAC" w14:textId="77D93BA0" w:rsidR="00D23BF9" w:rsidRDefault="00282178">
      <w:pPr>
        <w:pStyle w:val="Heading2"/>
      </w:pPr>
      <w:r>
        <w:t>Abstract</w:t>
      </w:r>
    </w:p>
    <w:p w14:paraId="2A23226F" w14:textId="77777777" w:rsidR="00282178" w:rsidRDefault="00000000" w:rsidP="00282178">
      <w:r>
        <w:br/>
      </w:r>
      <w:r w:rsidR="00282178" w:rsidRPr="00282178">
        <w:t>This report explores unsupervised clustering of major semiconductor stocks (e.g., NVIDIA, AMD, Intel, TSMC, ASML) using both financial indicators and macroeconomic drivers. Clustering methods include K-Means, DBSCAN, and Hierarchical Clustering, with PCA used for dimensionality reduction. The evaluation involves Silhouette Score, Davies-Bouldin Index, Adjusted Rand Index, and ANOVA-based driver ranking. Results show that external factors significantly contribute to cluster separability. The clusters reveal behavioral groupings (e.g., sentiment-driven stocks vs. stable IDMs), supporting data-driven portfolio segmentation.</w:t>
      </w:r>
    </w:p>
    <w:p w14:paraId="20ECB98B" w14:textId="738346C4" w:rsidR="00282178" w:rsidRDefault="00282178" w:rsidP="00282178">
      <w:pPr>
        <w:pStyle w:val="Heading2"/>
      </w:pPr>
      <w:r>
        <w:t>1. Introduction</w:t>
      </w:r>
    </w:p>
    <w:p w14:paraId="3179C282" w14:textId="5DEBEE7F" w:rsidR="00D23BF9" w:rsidRDefault="00282178" w:rsidP="00282178">
      <w:r>
        <w:br/>
      </w:r>
      <w:r w:rsidRPr="00282178">
        <w:t>Semiconductor companies respond dynamically to global macroeconomic conditions, supply chain disruptions, and investor sentiment. Traditional industry classifications (e.g., "foundry" or "</w:t>
      </w:r>
      <w:proofErr w:type="gramStart"/>
      <w:r w:rsidRPr="00282178">
        <w:t>fabless</w:t>
      </w:r>
      <w:proofErr w:type="gramEnd"/>
      <w:r w:rsidRPr="00282178">
        <w:t>") may overlook behavioral similarities across financial indicators. This study clusters semiconductor stocks using financial features (returns, volatility) and macroeconomic factors (Interest Rate, CPI, Sentiment).</w:t>
      </w:r>
    </w:p>
    <w:p w14:paraId="2727B179" w14:textId="77777777" w:rsidR="00D23BF9" w:rsidRDefault="00000000">
      <w:pPr>
        <w:pStyle w:val="Heading2"/>
      </w:pPr>
      <w:r>
        <w:t>2. Methodology</w:t>
      </w:r>
    </w:p>
    <w:p w14:paraId="38D023EF" w14:textId="6DD13F91" w:rsidR="00D23BF9" w:rsidRDefault="00000000" w:rsidP="00282178">
      <w:r>
        <w:br/>
        <w:t>1. Data Collection:</w:t>
      </w:r>
      <w:r>
        <w:br/>
        <w:t xml:space="preserve">   - Financial Data (Yahoo Finance): Weekly stock prices for INTC, NVDA, AMD, TSM, TXN, ASML, QCOM, AVGO, AMAT.</w:t>
      </w:r>
      <w:r>
        <w:br/>
        <w:t xml:space="preserve">   - External Factors:</w:t>
      </w:r>
      <w:r>
        <w:br/>
        <w:t xml:space="preserve">     • Interest Rate (FRED: DGS10)</w:t>
      </w:r>
      <w:r>
        <w:br/>
        <w:t xml:space="preserve">     • CPI (FRED: CPIAUCSL)</w:t>
      </w:r>
      <w:r>
        <w:br/>
        <w:t xml:space="preserve">     • News Sentiment (NewsAPI, weekly average polarity)</w:t>
      </w:r>
      <w:r>
        <w:br/>
      </w:r>
      <w:r>
        <w:br/>
        <w:t>2. Preprocessing:</w:t>
      </w:r>
      <w:r>
        <w:br/>
        <w:t xml:space="preserve">   - Data aggregated to weekly level.</w:t>
      </w:r>
      <w:r>
        <w:br/>
        <w:t xml:space="preserve">   - Features standardized using z-score normalization.</w:t>
      </w:r>
      <w:r>
        <w:br/>
        <w:t xml:space="preserve">   - Outliers removed using the IQR method.</w:t>
      </w:r>
      <w:r>
        <w:br/>
      </w:r>
      <w:r>
        <w:br/>
        <w:t>3. Feature Engineering:</w:t>
      </w:r>
      <w:r>
        <w:br/>
        <w:t xml:space="preserve">  </w:t>
      </w:r>
      <w:r w:rsidR="00282178">
        <w:t xml:space="preserve"> - </w:t>
      </w:r>
      <w:r w:rsidR="00282178" w:rsidRPr="00282178">
        <w:t>Weekly returns per ticker</w:t>
      </w:r>
      <w:r w:rsidR="00282178">
        <w:br/>
        <w:t xml:space="preserve">   - </w:t>
      </w:r>
      <w:r w:rsidR="00282178" w:rsidRPr="00282178">
        <w:t>Weekly volatility per ticker (std dev of 5-day rolling return)</w:t>
      </w:r>
      <w:r w:rsidR="00282178">
        <w:t>.</w:t>
      </w:r>
      <w:r w:rsidR="00282178">
        <w:br/>
        <w:t xml:space="preserve">   - </w:t>
      </w:r>
      <w:r w:rsidR="00282178" w:rsidRPr="00282178">
        <w:t>External drivers (lagged and smoothed averages)</w:t>
      </w:r>
    </w:p>
    <w:p w14:paraId="70FCE74D" w14:textId="31425EEC" w:rsidR="00282178" w:rsidRPr="00282178" w:rsidRDefault="00000000" w:rsidP="00282178">
      <w:pPr>
        <w:pStyle w:val="Heading2"/>
      </w:pPr>
      <w:r>
        <w:lastRenderedPageBreak/>
        <w:t>3. Modeling</w:t>
      </w:r>
    </w:p>
    <w:p w14:paraId="0403C38C" w14:textId="77777777" w:rsidR="00282178" w:rsidRPr="00282178" w:rsidRDefault="00282178" w:rsidP="00282178">
      <w:r w:rsidRPr="00282178">
        <w:rPr>
          <w:b/>
          <w:bCs/>
        </w:rPr>
        <w:t>3.1 PCA for Dimensionality Reduction</w:t>
      </w:r>
    </w:p>
    <w:p w14:paraId="1F7175FA" w14:textId="77777777" w:rsidR="00282178" w:rsidRPr="00282178" w:rsidRDefault="00282178" w:rsidP="00282178">
      <w:pPr>
        <w:numPr>
          <w:ilvl w:val="0"/>
          <w:numId w:val="10"/>
        </w:numPr>
      </w:pPr>
      <w:r w:rsidRPr="00282178">
        <w:t>PCA applied to 20+ features</w:t>
      </w:r>
    </w:p>
    <w:p w14:paraId="5EC7C06D" w14:textId="77777777" w:rsidR="00282178" w:rsidRPr="00282178" w:rsidRDefault="00282178" w:rsidP="00282178">
      <w:pPr>
        <w:numPr>
          <w:ilvl w:val="0"/>
          <w:numId w:val="10"/>
        </w:numPr>
      </w:pPr>
      <w:r w:rsidRPr="00282178">
        <w:t>First 2 components retained: where is the matrix of top eigenvectors</w:t>
      </w:r>
    </w:p>
    <w:p w14:paraId="302DEFD0" w14:textId="77777777" w:rsidR="00282178" w:rsidRPr="00282178" w:rsidRDefault="00282178" w:rsidP="00282178">
      <w:r w:rsidRPr="00282178">
        <w:rPr>
          <w:b/>
          <w:bCs/>
        </w:rPr>
        <w:t>3.2 Clustering Algorithms</w:t>
      </w:r>
    </w:p>
    <w:p w14:paraId="6D55CCB6" w14:textId="77777777" w:rsidR="00282178" w:rsidRPr="00282178" w:rsidRDefault="00282178" w:rsidP="00282178">
      <w:pPr>
        <w:numPr>
          <w:ilvl w:val="0"/>
          <w:numId w:val="11"/>
        </w:numPr>
      </w:pPr>
      <w:r w:rsidRPr="00282178">
        <w:rPr>
          <w:b/>
          <w:bCs/>
        </w:rPr>
        <w:t>K-Means (k=2–6)</w:t>
      </w:r>
      <w:r w:rsidRPr="00282178">
        <w:t>:</w:t>
      </w:r>
    </w:p>
    <w:p w14:paraId="0F9B4D45" w14:textId="77777777" w:rsidR="00282178" w:rsidRPr="00282178" w:rsidRDefault="00282178" w:rsidP="00282178">
      <w:pPr>
        <w:numPr>
          <w:ilvl w:val="1"/>
          <w:numId w:val="11"/>
        </w:numPr>
      </w:pPr>
      <w:r w:rsidRPr="00282178">
        <w:t xml:space="preserve">Elbow method and Silhouette Score to select </w:t>
      </w:r>
    </w:p>
    <w:p w14:paraId="53EFF9F3" w14:textId="77777777" w:rsidR="00282178" w:rsidRPr="00282178" w:rsidRDefault="00282178" w:rsidP="00282178">
      <w:pPr>
        <w:numPr>
          <w:ilvl w:val="1"/>
          <w:numId w:val="11"/>
        </w:numPr>
      </w:pPr>
      <w:r w:rsidRPr="00282178">
        <w:t>Stability tested across 10 random splits (80% sampling)</w:t>
      </w:r>
    </w:p>
    <w:p w14:paraId="3854CDB9" w14:textId="77777777" w:rsidR="00282178" w:rsidRPr="00282178" w:rsidRDefault="00282178" w:rsidP="00282178">
      <w:pPr>
        <w:numPr>
          <w:ilvl w:val="0"/>
          <w:numId w:val="11"/>
        </w:numPr>
      </w:pPr>
      <w:r w:rsidRPr="00282178">
        <w:rPr>
          <w:b/>
          <w:bCs/>
        </w:rPr>
        <w:t>DBSCAN</w:t>
      </w:r>
      <w:r w:rsidRPr="00282178">
        <w:t>:</w:t>
      </w:r>
    </w:p>
    <w:p w14:paraId="28650202" w14:textId="77777777" w:rsidR="00282178" w:rsidRPr="00282178" w:rsidRDefault="00282178" w:rsidP="00282178">
      <w:pPr>
        <w:numPr>
          <w:ilvl w:val="1"/>
          <w:numId w:val="11"/>
        </w:numPr>
      </w:pPr>
      <w:r w:rsidRPr="00282178">
        <w:t xml:space="preserve">Parameters tuned: , </w:t>
      </w:r>
    </w:p>
    <w:p w14:paraId="460ACB5C" w14:textId="77777777" w:rsidR="00282178" w:rsidRPr="00282178" w:rsidRDefault="00282178" w:rsidP="00282178">
      <w:pPr>
        <w:numPr>
          <w:ilvl w:val="1"/>
          <w:numId w:val="11"/>
        </w:numPr>
      </w:pPr>
      <w:r w:rsidRPr="00282178">
        <w:t xml:space="preserve">Many noise points labeled </w:t>
      </w:r>
    </w:p>
    <w:p w14:paraId="272870F3" w14:textId="77777777" w:rsidR="00282178" w:rsidRPr="00282178" w:rsidRDefault="00282178" w:rsidP="00282178">
      <w:pPr>
        <w:numPr>
          <w:ilvl w:val="0"/>
          <w:numId w:val="11"/>
        </w:numPr>
      </w:pPr>
      <w:r w:rsidRPr="00282178">
        <w:rPr>
          <w:b/>
          <w:bCs/>
        </w:rPr>
        <w:t>Hierarchical Clustering</w:t>
      </w:r>
      <w:r w:rsidRPr="00282178">
        <w:t>:</w:t>
      </w:r>
    </w:p>
    <w:p w14:paraId="13FCCED8" w14:textId="079F5544" w:rsidR="00D23BF9" w:rsidRDefault="00282178" w:rsidP="00282178">
      <w:pPr>
        <w:numPr>
          <w:ilvl w:val="1"/>
          <w:numId w:val="11"/>
        </w:numPr>
      </w:pPr>
      <w:r w:rsidRPr="00282178">
        <w:t>Ward linkage, dendrogram cut at 3 clusters</w:t>
      </w:r>
    </w:p>
    <w:p w14:paraId="4C62A879" w14:textId="275A2F73" w:rsidR="00282178" w:rsidRPr="00282178" w:rsidRDefault="00000000" w:rsidP="00282178">
      <w:pPr>
        <w:pStyle w:val="Heading2"/>
      </w:pPr>
      <w:r>
        <w:t>4. Evaluation</w:t>
      </w:r>
    </w:p>
    <w:p w14:paraId="7FE610FB" w14:textId="77777777" w:rsidR="00282178" w:rsidRPr="00282178" w:rsidRDefault="00282178" w:rsidP="00282178">
      <w:r w:rsidRPr="00282178">
        <w:rPr>
          <w:b/>
          <w:bCs/>
        </w:rPr>
        <w:t>4.1 Metrics</w:t>
      </w:r>
    </w:p>
    <w:p w14:paraId="38266405" w14:textId="77777777" w:rsidR="00282178" w:rsidRPr="00282178" w:rsidRDefault="00282178" w:rsidP="00282178">
      <w:pPr>
        <w:numPr>
          <w:ilvl w:val="0"/>
          <w:numId w:val="12"/>
        </w:numPr>
      </w:pPr>
      <w:r w:rsidRPr="00282178">
        <w:t>Silhouette Score: where = intra-cluster distance, = nearest-cluster distance</w:t>
      </w:r>
    </w:p>
    <w:p w14:paraId="33D7F0F4" w14:textId="77777777" w:rsidR="00282178" w:rsidRPr="00282178" w:rsidRDefault="00282178" w:rsidP="00282178">
      <w:pPr>
        <w:numPr>
          <w:ilvl w:val="0"/>
          <w:numId w:val="12"/>
        </w:numPr>
      </w:pPr>
      <w:r w:rsidRPr="00282178">
        <w:t>Davies-Bouldin Index: lower is better</w:t>
      </w:r>
    </w:p>
    <w:p w14:paraId="7E439202" w14:textId="77777777" w:rsidR="00282178" w:rsidRPr="00282178" w:rsidRDefault="00282178" w:rsidP="00282178">
      <w:pPr>
        <w:numPr>
          <w:ilvl w:val="0"/>
          <w:numId w:val="12"/>
        </w:numPr>
      </w:pPr>
      <w:r w:rsidRPr="00282178">
        <w:t>Adjusted Rand Index (baseline vs. ML clusters)</w:t>
      </w:r>
    </w:p>
    <w:p w14:paraId="014560F9" w14:textId="77777777" w:rsidR="00282178" w:rsidRPr="00282178" w:rsidRDefault="00282178" w:rsidP="00282178">
      <w:r w:rsidRPr="00282178">
        <w:rPr>
          <w:b/>
          <w:bCs/>
        </w:rPr>
        <w:t>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3"/>
        <w:gridCol w:w="681"/>
      </w:tblGrid>
      <w:tr w:rsidR="00282178" w:rsidRPr="00282178" w14:paraId="7ED44EC5" w14:textId="77777777" w:rsidTr="00282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E8E0" w14:textId="77777777" w:rsidR="00282178" w:rsidRPr="00282178" w:rsidRDefault="00282178" w:rsidP="00282178">
            <w:r w:rsidRPr="00282178">
              <w:t>Metric</w:t>
            </w:r>
          </w:p>
        </w:tc>
        <w:tc>
          <w:tcPr>
            <w:tcW w:w="0" w:type="auto"/>
            <w:vAlign w:val="center"/>
            <w:hideMark/>
          </w:tcPr>
          <w:p w14:paraId="40E3D0F6" w14:textId="77777777" w:rsidR="00282178" w:rsidRPr="00282178" w:rsidRDefault="00282178" w:rsidP="00282178">
            <w:r w:rsidRPr="00282178">
              <w:t>Value</w:t>
            </w:r>
          </w:p>
        </w:tc>
      </w:tr>
      <w:tr w:rsidR="00282178" w:rsidRPr="00282178" w14:paraId="21C18BFD" w14:textId="77777777" w:rsidTr="00282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E0DD" w14:textId="77777777" w:rsidR="00282178" w:rsidRPr="00282178" w:rsidRDefault="00282178" w:rsidP="00282178">
            <w:r w:rsidRPr="00282178">
              <w:t>Silhouette Score (</w:t>
            </w:r>
            <w:proofErr w:type="spellStart"/>
            <w:r w:rsidRPr="00282178">
              <w:t>KMeans</w:t>
            </w:r>
            <w:proofErr w:type="spellEnd"/>
            <w:r w:rsidRPr="00282178">
              <w:t>)</w:t>
            </w:r>
          </w:p>
        </w:tc>
        <w:tc>
          <w:tcPr>
            <w:tcW w:w="0" w:type="auto"/>
            <w:vAlign w:val="center"/>
            <w:hideMark/>
          </w:tcPr>
          <w:p w14:paraId="4E655D85" w14:textId="77777777" w:rsidR="00282178" w:rsidRPr="00282178" w:rsidRDefault="00282178" w:rsidP="00282178">
            <w:r w:rsidRPr="00282178">
              <w:t>0.358</w:t>
            </w:r>
          </w:p>
        </w:tc>
      </w:tr>
      <w:tr w:rsidR="00282178" w:rsidRPr="00282178" w14:paraId="58C2B364" w14:textId="77777777" w:rsidTr="00282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2621" w14:textId="77777777" w:rsidR="00282178" w:rsidRPr="00282178" w:rsidRDefault="00282178" w:rsidP="00282178">
            <w:r w:rsidRPr="00282178">
              <w:t>Davies-Bouldin Index</w:t>
            </w:r>
          </w:p>
        </w:tc>
        <w:tc>
          <w:tcPr>
            <w:tcW w:w="0" w:type="auto"/>
            <w:vAlign w:val="center"/>
            <w:hideMark/>
          </w:tcPr>
          <w:p w14:paraId="1AD782D4" w14:textId="77777777" w:rsidR="00282178" w:rsidRPr="00282178" w:rsidRDefault="00282178" w:rsidP="00282178">
            <w:r w:rsidRPr="00282178">
              <w:t>1.109</w:t>
            </w:r>
          </w:p>
        </w:tc>
      </w:tr>
      <w:tr w:rsidR="00282178" w:rsidRPr="00282178" w14:paraId="5ADAEA7E" w14:textId="77777777" w:rsidTr="00282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8DBE5" w14:textId="77777777" w:rsidR="00282178" w:rsidRPr="00282178" w:rsidRDefault="00282178" w:rsidP="00282178">
            <w:r w:rsidRPr="00282178">
              <w:t>Adjusted Rand (with/without external factors)</w:t>
            </w:r>
          </w:p>
        </w:tc>
        <w:tc>
          <w:tcPr>
            <w:tcW w:w="0" w:type="auto"/>
            <w:vAlign w:val="center"/>
            <w:hideMark/>
          </w:tcPr>
          <w:p w14:paraId="11C8AE7F" w14:textId="77777777" w:rsidR="00282178" w:rsidRPr="00282178" w:rsidRDefault="00282178" w:rsidP="00282178">
            <w:r w:rsidRPr="00282178">
              <w:t>0.878</w:t>
            </w:r>
          </w:p>
        </w:tc>
      </w:tr>
      <w:tr w:rsidR="00282178" w:rsidRPr="00282178" w14:paraId="704BD867" w14:textId="77777777" w:rsidTr="002821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D1FF" w14:textId="77777777" w:rsidR="00282178" w:rsidRPr="00282178" w:rsidRDefault="00282178" w:rsidP="00282178">
            <w:r w:rsidRPr="00282178">
              <w:t>Temporal ARI (pre/post-2022)</w:t>
            </w:r>
          </w:p>
        </w:tc>
        <w:tc>
          <w:tcPr>
            <w:tcW w:w="0" w:type="auto"/>
            <w:vAlign w:val="center"/>
            <w:hideMark/>
          </w:tcPr>
          <w:p w14:paraId="391EDE88" w14:textId="77777777" w:rsidR="00282178" w:rsidRPr="00282178" w:rsidRDefault="00282178" w:rsidP="00282178">
            <w:r w:rsidRPr="00282178">
              <w:t>-0.068</w:t>
            </w:r>
          </w:p>
        </w:tc>
      </w:tr>
    </w:tbl>
    <w:p w14:paraId="64AA4E07" w14:textId="77777777" w:rsidR="00282178" w:rsidRDefault="00282178" w:rsidP="00282178">
      <w:pPr>
        <w:rPr>
          <w:b/>
          <w:bCs/>
        </w:rPr>
      </w:pPr>
    </w:p>
    <w:p w14:paraId="776E03B3" w14:textId="77777777" w:rsidR="00282178" w:rsidRDefault="00282178" w:rsidP="00282178">
      <w:pPr>
        <w:rPr>
          <w:b/>
          <w:bCs/>
        </w:rPr>
      </w:pPr>
    </w:p>
    <w:p w14:paraId="511BCA33" w14:textId="748041EC" w:rsidR="00282178" w:rsidRDefault="00282178" w:rsidP="00282178">
      <w:r w:rsidRPr="00282178">
        <w:rPr>
          <w:b/>
          <w:bCs/>
        </w:rPr>
        <w:lastRenderedPageBreak/>
        <w:t>4.2 Driver Importance (ANOVA)</w:t>
      </w:r>
      <w:r w:rsidRPr="00282178">
        <w:t xml:space="preserve"> </w:t>
      </w:r>
    </w:p>
    <w:p w14:paraId="2A9FB1B6" w14:textId="356365A5" w:rsidR="00282178" w:rsidRPr="00282178" w:rsidRDefault="00282178" w:rsidP="00282178">
      <w:pPr>
        <w:numPr>
          <w:ilvl w:val="0"/>
          <w:numId w:val="14"/>
        </w:numPr>
      </w:pPr>
      <w:r w:rsidRPr="00282178">
        <w:t>Interest Rate:</w:t>
      </w:r>
      <w:r>
        <w:t xml:space="preserve"> F = 30.66, p &lt; 0.001</w:t>
      </w:r>
    </w:p>
    <w:p w14:paraId="4B715940" w14:textId="62B741B6" w:rsidR="00282178" w:rsidRPr="00282178" w:rsidRDefault="00282178" w:rsidP="00282178">
      <w:pPr>
        <w:numPr>
          <w:ilvl w:val="0"/>
          <w:numId w:val="14"/>
        </w:numPr>
      </w:pPr>
      <w:r w:rsidRPr="00282178">
        <w:t xml:space="preserve">CPI: </w:t>
      </w:r>
      <w:r>
        <w:t>F = 92.16, P &lt; 0.001</w:t>
      </w:r>
    </w:p>
    <w:p w14:paraId="5679C6B0" w14:textId="3A6A2D4C" w:rsidR="00282178" w:rsidRPr="00282178" w:rsidRDefault="00282178" w:rsidP="00282178">
      <w:pPr>
        <w:numPr>
          <w:ilvl w:val="0"/>
          <w:numId w:val="14"/>
        </w:numPr>
      </w:pPr>
      <w:r w:rsidRPr="00282178">
        <w:t xml:space="preserve">Sentiment: </w:t>
      </w:r>
      <w:r>
        <w:t>F = 74.27, p &lt; 0.001</w:t>
      </w:r>
    </w:p>
    <w:p w14:paraId="320BE7B3" w14:textId="747BEC0E" w:rsidR="00D23BF9" w:rsidRDefault="00000000" w:rsidP="00282178">
      <w:r>
        <w:br/>
      </w:r>
    </w:p>
    <w:p w14:paraId="0DC493E6" w14:textId="77777777" w:rsidR="00D23BF9" w:rsidRDefault="00000000">
      <w:pPr>
        <w:pStyle w:val="Heading2"/>
      </w:pPr>
      <w:r>
        <w:t>5. Analysis</w:t>
      </w:r>
    </w:p>
    <w:p w14:paraId="366A2D28" w14:textId="77777777" w:rsidR="003C2F85" w:rsidRDefault="003C2F85"/>
    <w:p w14:paraId="7BC9CA21" w14:textId="77777777" w:rsidR="003C2F85" w:rsidRPr="003C2F85" w:rsidRDefault="003C2F85" w:rsidP="003C2F85">
      <w:r w:rsidRPr="003C2F85">
        <w:rPr>
          <w:b/>
          <w:bCs/>
        </w:rPr>
        <w:t>5.1 Cluster Characteristics</w:t>
      </w:r>
    </w:p>
    <w:p w14:paraId="075C431C" w14:textId="77777777" w:rsidR="003C2F85" w:rsidRPr="003C2F85" w:rsidRDefault="003C2F85" w:rsidP="003C2F85">
      <w:pPr>
        <w:numPr>
          <w:ilvl w:val="0"/>
          <w:numId w:val="15"/>
        </w:numPr>
      </w:pPr>
      <w:r w:rsidRPr="003C2F85">
        <w:t>Cluster 0: Stable IDMs (e.g., INTC, TXN) with low volatility, negative sentiment exposure</w:t>
      </w:r>
    </w:p>
    <w:p w14:paraId="79874B08" w14:textId="77777777" w:rsidR="003C2F85" w:rsidRPr="003C2F85" w:rsidRDefault="003C2F85" w:rsidP="003C2F85">
      <w:pPr>
        <w:numPr>
          <w:ilvl w:val="0"/>
          <w:numId w:val="15"/>
        </w:numPr>
      </w:pPr>
      <w:r w:rsidRPr="003C2F85">
        <w:t>Cluster 1: Volatile Fabless (e.g., NVDA, AMD), sentiment- and rate-sensitive</w:t>
      </w:r>
    </w:p>
    <w:p w14:paraId="56566525" w14:textId="77777777" w:rsidR="003C2F85" w:rsidRPr="003C2F85" w:rsidRDefault="003C2F85" w:rsidP="003C2F85">
      <w:r w:rsidRPr="003C2F85">
        <w:rPr>
          <w:b/>
          <w:bCs/>
        </w:rPr>
        <w:t>5.2 Feature Separation</w:t>
      </w:r>
    </w:p>
    <w:p w14:paraId="4B73245E" w14:textId="77777777" w:rsidR="003C2F85" w:rsidRPr="003C2F85" w:rsidRDefault="003C2F85" w:rsidP="003C2F85">
      <w:pPr>
        <w:numPr>
          <w:ilvl w:val="0"/>
          <w:numId w:val="16"/>
        </w:numPr>
      </w:pPr>
      <w:r w:rsidRPr="003C2F85">
        <w:t>Clustered feature means show NVDA, AMD, Sentiment as dominant signals</w:t>
      </w:r>
    </w:p>
    <w:p w14:paraId="1B470184" w14:textId="77777777" w:rsidR="003C2F85" w:rsidRPr="003C2F85" w:rsidRDefault="003C2F85" w:rsidP="003C2F85">
      <w:pPr>
        <w:numPr>
          <w:ilvl w:val="0"/>
          <w:numId w:val="16"/>
        </w:numPr>
      </w:pPr>
      <w:r w:rsidRPr="003C2F85">
        <w:t>External drivers significantly influence behavioral separation</w:t>
      </w:r>
    </w:p>
    <w:p w14:paraId="0E11F6DA" w14:textId="77777777" w:rsidR="003C2F85" w:rsidRPr="003C2F85" w:rsidRDefault="003C2F85" w:rsidP="003C2F85">
      <w:r w:rsidRPr="003C2F85">
        <w:rPr>
          <w:b/>
          <w:bCs/>
        </w:rPr>
        <w:t>5.3 Temporal Consistency</w:t>
      </w:r>
    </w:p>
    <w:p w14:paraId="6237D120" w14:textId="77777777" w:rsidR="003C2F85" w:rsidRPr="003C2F85" w:rsidRDefault="003C2F85" w:rsidP="003C2F85">
      <w:pPr>
        <w:numPr>
          <w:ilvl w:val="0"/>
          <w:numId w:val="17"/>
        </w:numPr>
      </w:pPr>
      <w:r w:rsidRPr="003C2F85">
        <w:t>Post-2022 clusters differ significantly (ARI = -0.068), indicating market regime shifts</w:t>
      </w:r>
    </w:p>
    <w:p w14:paraId="125EA0DA" w14:textId="77777777" w:rsidR="003C2F85" w:rsidRPr="003C2F85" w:rsidRDefault="003C2F85" w:rsidP="003C2F85">
      <w:r w:rsidRPr="003C2F85">
        <w:rPr>
          <w:b/>
          <w:bCs/>
        </w:rPr>
        <w:t>5.4 Use Cases</w:t>
      </w:r>
    </w:p>
    <w:p w14:paraId="534D9812" w14:textId="77777777" w:rsidR="003C2F85" w:rsidRPr="003C2F85" w:rsidRDefault="003C2F85" w:rsidP="003C2F85">
      <w:pPr>
        <w:numPr>
          <w:ilvl w:val="0"/>
          <w:numId w:val="18"/>
        </w:numPr>
      </w:pPr>
      <w:r w:rsidRPr="003C2F85">
        <w:t>Investors can target clusters by macro-sensitivity</w:t>
      </w:r>
    </w:p>
    <w:p w14:paraId="62CFD250" w14:textId="77777777" w:rsidR="003C2F85" w:rsidRPr="003C2F85" w:rsidRDefault="003C2F85" w:rsidP="003C2F85">
      <w:pPr>
        <w:numPr>
          <w:ilvl w:val="0"/>
          <w:numId w:val="18"/>
        </w:numPr>
      </w:pPr>
      <w:r w:rsidRPr="003C2F85">
        <w:t>Portfolio diversification via behavioral segments</w:t>
      </w:r>
    </w:p>
    <w:p w14:paraId="496A982D" w14:textId="10EE0597" w:rsidR="00D23BF9" w:rsidRDefault="003C2F85" w:rsidP="003C2F85">
      <w:pPr>
        <w:numPr>
          <w:ilvl w:val="0"/>
          <w:numId w:val="18"/>
        </w:numPr>
      </w:pPr>
      <w:r w:rsidRPr="003C2F85">
        <w:t>Market monitoring dashboards via cluster transitions</w:t>
      </w:r>
      <w:r>
        <w:br/>
      </w:r>
    </w:p>
    <w:p w14:paraId="195CC3FA" w14:textId="77777777" w:rsidR="00D23BF9" w:rsidRDefault="00000000">
      <w:pPr>
        <w:pStyle w:val="Heading2"/>
      </w:pPr>
      <w:r>
        <w:lastRenderedPageBreak/>
        <w:t>6. Visualization</w:t>
      </w:r>
    </w:p>
    <w:p w14:paraId="16D70831" w14:textId="77777777" w:rsidR="00D23BF9" w:rsidRDefault="00000000">
      <w:r>
        <w:rPr>
          <w:noProof/>
        </w:rPr>
        <w:drawing>
          <wp:inline distT="0" distB="0" distL="0" distR="0" wp14:anchorId="705D08C7" wp14:editId="3C269F60">
            <wp:extent cx="5029200" cy="3017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feature_ba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0662" w14:textId="77777777" w:rsidR="00D23BF9" w:rsidRDefault="00000000">
      <w:r>
        <w:t>Figure 1: Average Feature Values per Cluster</w:t>
      </w:r>
    </w:p>
    <w:p w14:paraId="159BBB7D" w14:textId="77777777" w:rsidR="00D23BF9" w:rsidRDefault="00000000">
      <w:r>
        <w:rPr>
          <w:noProof/>
        </w:rPr>
        <w:drawing>
          <wp:inline distT="0" distB="0" distL="0" distR="0" wp14:anchorId="30BCF1A1" wp14:editId="5B8E7977">
            <wp:extent cx="5029200" cy="251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dro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474BE" w14:textId="77777777" w:rsidR="00D23BF9" w:rsidRDefault="00000000">
      <w:r>
        <w:t>Figure 2: Hierarchical Clustering Dendrogram</w:t>
      </w:r>
    </w:p>
    <w:p w14:paraId="18AF57B2" w14:textId="77777777" w:rsidR="00D23BF9" w:rsidRDefault="00000000">
      <w:r>
        <w:rPr>
          <w:noProof/>
        </w:rPr>
        <w:lastRenderedPageBreak/>
        <w:drawing>
          <wp:inline distT="0" distB="0" distL="0" distR="0" wp14:anchorId="03D6AB1E" wp14:editId="5D6F4C0E">
            <wp:extent cx="4572000" cy="2857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clust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03C2" w14:textId="77777777" w:rsidR="00D23BF9" w:rsidRDefault="00000000">
      <w:r>
        <w:t>Figure 3: PCA Visualization of Clusters</w:t>
      </w:r>
    </w:p>
    <w:p w14:paraId="0FD0F6E1" w14:textId="77777777" w:rsidR="00D23BF9" w:rsidRDefault="00000000">
      <w:pPr>
        <w:pStyle w:val="Heading2"/>
      </w:pPr>
      <w:r>
        <w:t>7. Mathematical Formulas</w:t>
      </w:r>
    </w:p>
    <w:p w14:paraId="5E9BE190" w14:textId="77777777" w:rsidR="00D23BF9" w:rsidRDefault="00000000">
      <w:r>
        <w:br/>
        <w:t>1. Z-score Normalization:</w:t>
      </w:r>
      <w:r>
        <w:br/>
        <w:t xml:space="preserve">   z = (x - μ) / σ</w:t>
      </w:r>
      <w:r>
        <w:br/>
      </w:r>
      <w:r>
        <w:br/>
        <w:t>2. Silhouette Score:</w:t>
      </w:r>
      <w:r>
        <w:br/>
        <w:t xml:space="preserve">   s(i) = (b(i) - a(i)) / max(a(i), b(i))</w:t>
      </w:r>
      <w:r>
        <w:br/>
        <w:t xml:space="preserve">   where a(i) is intra-cluster distance, b(i) is nearest-cluster distance.</w:t>
      </w:r>
      <w:r>
        <w:br/>
      </w:r>
      <w:r>
        <w:br/>
        <w:t>3. ANOVA F-statistic:</w:t>
      </w:r>
      <w:r>
        <w:br/>
        <w:t xml:space="preserve">   F = MST / MSE</w:t>
      </w:r>
      <w:r>
        <w:br/>
        <w:t xml:space="preserve">   where MST = variance between group means, MSE = within-group variance.</w:t>
      </w:r>
      <w:r>
        <w:br/>
      </w:r>
      <w:r>
        <w:br/>
        <w:t>4. Adjusted Rand Index:</w:t>
      </w:r>
      <w:r>
        <w:br/>
        <w:t xml:space="preserve">   ARI = (RI - Expected RI) / (max(RI) - Expected RI)</w:t>
      </w:r>
      <w:r>
        <w:br/>
      </w:r>
      <w:r>
        <w:br/>
        <w:t>5. Davies-Bouldin Index:</w:t>
      </w:r>
      <w:r>
        <w:br/>
        <w:t xml:space="preserve">   DB = (1/n) * Σ max(R_ij)</w:t>
      </w:r>
      <w:r>
        <w:br/>
        <w:t xml:space="preserve">   R_ij = (S_i + S_j) / M_ij, where S = intra-cluster distance, M = inter-cluster distance.</w:t>
      </w:r>
      <w:r>
        <w:br/>
      </w:r>
    </w:p>
    <w:p w14:paraId="1D294AA0" w14:textId="77777777" w:rsidR="00D23BF9" w:rsidRDefault="00000000">
      <w:pPr>
        <w:pStyle w:val="Heading2"/>
      </w:pPr>
      <w:r>
        <w:t>8. Conclusion</w:t>
      </w:r>
    </w:p>
    <w:p w14:paraId="54209286" w14:textId="77777777" w:rsidR="00D23BF9" w:rsidRDefault="00000000">
      <w:r>
        <w:br/>
        <w:t>The analysis revealed two core clusters in the semiconductor market based on price and external factors.</w:t>
      </w:r>
      <w:r>
        <w:br/>
        <w:t xml:space="preserve">Macroeconomic indicators, particularly CPI and sentiment, significantly influenced cluster </w:t>
      </w:r>
      <w:r>
        <w:lastRenderedPageBreak/>
        <w:t>boundaries.</w:t>
      </w:r>
      <w:r>
        <w:br/>
        <w:t>The methodology provides valuable insights for investment strategies and risk diversification by aligning clusters with industry roles and external signals.</w:t>
      </w:r>
      <w:r>
        <w:br/>
      </w:r>
    </w:p>
    <w:p w14:paraId="00A1F394" w14:textId="77777777" w:rsidR="00D23BF9" w:rsidRDefault="00000000">
      <w:pPr>
        <w:pStyle w:val="Heading1"/>
      </w:pPr>
      <w:r>
        <w:t>Supplementary Analysis</w:t>
      </w:r>
    </w:p>
    <w:p w14:paraId="600A2086" w14:textId="77777777" w:rsidR="00D23BF9" w:rsidRDefault="00000000">
      <w:pPr>
        <w:pStyle w:val="Heading2"/>
      </w:pPr>
      <w:r>
        <w:t>Mathematical Formulas</w:t>
      </w:r>
    </w:p>
    <w:p w14:paraId="7F8E9183" w14:textId="77777777" w:rsidR="00D23BF9" w:rsidRDefault="00000000">
      <w:r>
        <w:br/>
        <w:t>1. Silhouette Score:</w:t>
      </w:r>
      <w:r>
        <w:br/>
        <w:t xml:space="preserve">   s(i) = (b(i) - a(i)) / max(a(i), b(i))</w:t>
      </w:r>
      <w:r>
        <w:br/>
        <w:t xml:space="preserve">   Where:</w:t>
      </w:r>
      <w:r>
        <w:br/>
        <w:t xml:space="preserve">   - a(i) is the average distance between point i and all other points in the same cluster</w:t>
      </w:r>
      <w:r>
        <w:br/>
        <w:t xml:space="preserve">   - b(i) is the average distance between point i and all other points in the nearest cluster</w:t>
      </w:r>
      <w:r>
        <w:br/>
      </w:r>
      <w:r>
        <w:br/>
        <w:t>2. Davies-Bouldin Index:</w:t>
      </w:r>
      <w:r>
        <w:br/>
        <w:t xml:space="preserve">   DBI = (1/n) * Σ max((σi + σj) / dij)</w:t>
      </w:r>
      <w:r>
        <w:br/>
        <w:t xml:space="preserve">   Where:</w:t>
      </w:r>
      <w:r>
        <w:br/>
        <w:t xml:space="preserve">   - σi and σj are the within-cluster distances</w:t>
      </w:r>
      <w:r>
        <w:br/>
        <w:t xml:space="preserve">   - dij is the distance between the cluster centroids i and j</w:t>
      </w:r>
      <w:r>
        <w:br/>
      </w:r>
      <w:r>
        <w:br/>
        <w:t>3. Adjusted Rand Index (ARI):</w:t>
      </w:r>
      <w:r>
        <w:br/>
        <w:t xml:space="preserve">   ARI = (RI - Expected RI) / (max(RI) - Expected RI)</w:t>
      </w:r>
      <w:r>
        <w:br/>
        <w:t xml:space="preserve">   Where:</w:t>
      </w:r>
      <w:r>
        <w:br/>
        <w:t xml:space="preserve">   - RI is the Rand Index</w:t>
      </w:r>
      <w:r>
        <w:br/>
        <w:t xml:space="preserve">   - ARI adjusts for chance groupings</w:t>
      </w:r>
      <w:r>
        <w:br/>
      </w:r>
      <w:r>
        <w:br/>
        <w:t>4. One-way ANOVA:</w:t>
      </w:r>
      <w:r>
        <w:br/>
        <w:t xml:space="preserve">   F = MST / MSE</w:t>
      </w:r>
      <w:r>
        <w:br/>
        <w:t xml:space="preserve">   Where:</w:t>
      </w:r>
      <w:r>
        <w:br/>
        <w:t xml:space="preserve">   - MST = mean square for treatment (between-group variability)</w:t>
      </w:r>
      <w:r>
        <w:br/>
        <w:t xml:space="preserve">   - MSE = mean square for error (within-group variability)</w:t>
      </w:r>
      <w:r>
        <w:br/>
      </w:r>
      <w:r>
        <w:br/>
        <w:t>5. Principal Component Analysis (PCA):</w:t>
      </w:r>
      <w:r>
        <w:br/>
        <w:t xml:space="preserve">   - X' = X * W</w:t>
      </w:r>
      <w:r>
        <w:br/>
        <w:t xml:space="preserve">   Where:</w:t>
      </w:r>
      <w:r>
        <w:br/>
        <w:t xml:space="preserve">   - X is the original normalized data</w:t>
      </w:r>
      <w:r>
        <w:br/>
        <w:t xml:space="preserve">   - W is the matrix of eigenvectors (principal components)</w:t>
      </w:r>
      <w:r>
        <w:br/>
        <w:t xml:space="preserve">   - X' is the projected data in reduced dimensions</w:t>
      </w:r>
      <w:r>
        <w:br/>
      </w:r>
    </w:p>
    <w:p w14:paraId="1B715C48" w14:textId="77777777" w:rsidR="00D23BF9" w:rsidRDefault="00000000">
      <w:pPr>
        <w:pStyle w:val="Heading2"/>
      </w:pPr>
      <w:r>
        <w:lastRenderedPageBreak/>
        <w:t>Interpretation of Clusters</w:t>
      </w:r>
    </w:p>
    <w:p w14:paraId="66EDFC36" w14:textId="77777777" w:rsidR="00D23BF9" w:rsidRDefault="00000000">
      <w:r>
        <w:br/>
        <w:t>From the PCA scatter plot and bar chart of feature means per cluster, we observe:</w:t>
      </w:r>
      <w:r>
        <w:br/>
        <w:t>- Cluster 0 contains stocks with relatively lower average returns and negative sentiment. It likely represents conservative or stable stocks.</w:t>
      </w:r>
      <w:r>
        <w:br/>
        <w:t>- Cluster 1 includes companies like AMD, NVDA, and QCOM which show higher sentiment scores and higher average returns, indicative of growth-oriented or volatile behavior.</w:t>
      </w:r>
      <w:r>
        <w:br/>
      </w:r>
    </w:p>
    <w:p w14:paraId="52F19D73" w14:textId="77777777" w:rsidR="00D23BF9" w:rsidRDefault="00000000">
      <w:pPr>
        <w:pStyle w:val="Heading2"/>
      </w:pPr>
      <w:r>
        <w:t>Temporal Insights</w:t>
      </w:r>
    </w:p>
    <w:p w14:paraId="1A322BF5" w14:textId="77777777" w:rsidR="00D23BF9" w:rsidRDefault="00000000">
      <w:r>
        <w:br/>
        <w:t>Temporal ARI score (-0.068) implies the presence of concept drift or evolving behavior patterns post the 2022 chip shortage.</w:t>
      </w:r>
      <w:r>
        <w:br/>
        <w:t>This supports the hypothesis that macroeconomic and supply chain events significantly affect semiconductor cluster dynamics.</w:t>
      </w:r>
      <w:r>
        <w:br/>
      </w:r>
    </w:p>
    <w:p w14:paraId="11CD0E0E" w14:textId="77777777" w:rsidR="00D23BF9" w:rsidRDefault="00000000">
      <w:pPr>
        <w:pStyle w:val="Heading2"/>
      </w:pPr>
      <w:r>
        <w:t>Use Cases</w:t>
      </w:r>
    </w:p>
    <w:p w14:paraId="02A0DD78" w14:textId="77777777" w:rsidR="00D23BF9" w:rsidRDefault="00000000">
      <w:r>
        <w:br/>
        <w:t>1. Investment Strategy: Align portfolios based on behavior clusters (e.g., high sentiment-driven vs. stable conservative).</w:t>
      </w:r>
      <w:r>
        <w:br/>
        <w:t>2. Risk Segmentation: Monitor volatility-based grouping for market timing decisions.</w:t>
      </w:r>
      <w:r>
        <w:br/>
        <w:t>3. Macroeconomic Sensitivity: Identify which companies react more strongly to CPI or interest rate changes.</w:t>
      </w:r>
      <w:r>
        <w:br/>
      </w:r>
    </w:p>
    <w:p w14:paraId="51DF9F7A" w14:textId="4542126B" w:rsidR="00804726" w:rsidRDefault="00804726" w:rsidP="00804726">
      <w:pPr>
        <w:pStyle w:val="Heading2"/>
      </w:pPr>
      <w:r w:rsidRPr="00804726">
        <w:t>References</w:t>
      </w:r>
    </w:p>
    <w:p w14:paraId="4FAF556F" w14:textId="77777777" w:rsidR="00804726" w:rsidRPr="00804726" w:rsidRDefault="00804726" w:rsidP="00804726"/>
    <w:p w14:paraId="7A17755D" w14:textId="77777777" w:rsidR="00804726" w:rsidRDefault="00804726" w:rsidP="00804726">
      <w:pPr>
        <w:numPr>
          <w:ilvl w:val="0"/>
          <w:numId w:val="19"/>
        </w:numPr>
      </w:pPr>
      <w:r w:rsidRPr="00804726">
        <w:t>FRED API (</w:t>
      </w:r>
      <w:hyperlink r:id="rId9" w:history="1">
        <w:r w:rsidRPr="00804726">
          <w:rPr>
            <w:rStyle w:val="Hyperlink"/>
          </w:rPr>
          <w:t>https://fred.stlouisfed.org</w:t>
        </w:r>
      </w:hyperlink>
      <w:r w:rsidRPr="00804726">
        <w:t>)</w:t>
      </w:r>
    </w:p>
    <w:p w14:paraId="4B677D4B" w14:textId="30567B23" w:rsidR="009B0C42" w:rsidRDefault="009B0C42" w:rsidP="00804726">
      <w:pPr>
        <w:numPr>
          <w:ilvl w:val="0"/>
          <w:numId w:val="19"/>
        </w:numPr>
      </w:pPr>
      <w:proofErr w:type="spellStart"/>
      <w:r w:rsidRPr="009B0C42">
        <w:t>Thongnim</w:t>
      </w:r>
      <w:proofErr w:type="spellEnd"/>
      <w:r w:rsidRPr="009B0C42">
        <w:t xml:space="preserve">, P., </w:t>
      </w:r>
      <w:proofErr w:type="spellStart"/>
      <w:r w:rsidRPr="009B0C42">
        <w:t>Srinil</w:t>
      </w:r>
      <w:proofErr w:type="spellEnd"/>
      <w:r w:rsidRPr="009B0C42">
        <w:t xml:space="preserve">, P., &amp; </w:t>
      </w:r>
      <w:proofErr w:type="spellStart"/>
      <w:r w:rsidRPr="009B0C42">
        <w:t>Pukseng</w:t>
      </w:r>
      <w:proofErr w:type="spellEnd"/>
      <w:r w:rsidRPr="009B0C42">
        <w:t xml:space="preserve">, T. (2025). Data-driven clustering of smart farming to optimize agricultural practices through machine learning. </w:t>
      </w:r>
      <w:hyperlink r:id="rId10" w:history="1">
        <w:r w:rsidR="00EE48A4" w:rsidRPr="00003582">
          <w:rPr>
            <w:rStyle w:val="Hyperlink"/>
          </w:rPr>
          <w:t>https://doi.org/10.11591/eei.v14i2.9343</w:t>
        </w:r>
      </w:hyperlink>
    </w:p>
    <w:p w14:paraId="393F5F90" w14:textId="0A9E1BBC" w:rsidR="00EE48A4" w:rsidRDefault="00EE48A4" w:rsidP="00804726">
      <w:pPr>
        <w:numPr>
          <w:ilvl w:val="0"/>
          <w:numId w:val="19"/>
        </w:numPr>
      </w:pPr>
      <w:r w:rsidRPr="00EE48A4">
        <w:t xml:space="preserve">Frontiers | Predictive Maintenance for Injection Molding Machines Enabled by Cognitive Analytics for Industry 4.0. </w:t>
      </w:r>
      <w:hyperlink r:id="rId11" w:history="1">
        <w:r w:rsidRPr="00003582">
          <w:rPr>
            <w:rStyle w:val="Hyperlink"/>
          </w:rPr>
          <w:t>https://www.frontiersin.org/articles/10.3389/frai.2020.578152/full</w:t>
        </w:r>
      </w:hyperlink>
    </w:p>
    <w:p w14:paraId="1069666B" w14:textId="36450475" w:rsidR="00EE48A4" w:rsidRDefault="00EE48A4" w:rsidP="00804726">
      <w:pPr>
        <w:numPr>
          <w:ilvl w:val="0"/>
          <w:numId w:val="19"/>
        </w:numPr>
      </w:pPr>
      <w:r w:rsidRPr="00EE48A4">
        <w:t>Han, Y. (2024). Enhancing Machine Learning Models Through PCA, SMOTE-ENN, and Stochastic Weighted Averaging. Applied Sciences, 14(21), 9772.</w:t>
      </w:r>
    </w:p>
    <w:p w14:paraId="67026234" w14:textId="5F587748" w:rsidR="00EE48A4" w:rsidRPr="00804726" w:rsidRDefault="00EE48A4" w:rsidP="00804726">
      <w:pPr>
        <w:numPr>
          <w:ilvl w:val="0"/>
          <w:numId w:val="19"/>
        </w:numPr>
      </w:pPr>
      <w:r w:rsidRPr="00EE48A4">
        <w:t>Matias-Guiu, J., Díaz-Álvarez, J., Ayala, J., Risco-Martín, J., Moreno-Ramos, T., Pytel, V., Matias-Guiu, J., Carreras, J., &amp; Cabrera-Martín, M. (2018). Clustering Analysis of FDG-</w:t>
      </w:r>
      <w:r w:rsidRPr="00EE48A4">
        <w:lastRenderedPageBreak/>
        <w:t>PET Imaging in Primary Progressive Aphasia. Frontiers in Aging Neuroscience, (), n/a.</w:t>
      </w:r>
    </w:p>
    <w:p w14:paraId="70FE685E" w14:textId="77777777" w:rsidR="00804726" w:rsidRPr="00804726" w:rsidRDefault="00804726" w:rsidP="00804726">
      <w:pPr>
        <w:numPr>
          <w:ilvl w:val="0"/>
          <w:numId w:val="19"/>
        </w:numPr>
      </w:pPr>
      <w:proofErr w:type="spellStart"/>
      <w:r w:rsidRPr="00804726">
        <w:t>NewsAPI</w:t>
      </w:r>
      <w:proofErr w:type="spellEnd"/>
      <w:r w:rsidRPr="00804726">
        <w:t xml:space="preserve"> (</w:t>
      </w:r>
      <w:hyperlink r:id="rId12" w:history="1">
        <w:r w:rsidRPr="00804726">
          <w:rPr>
            <w:rStyle w:val="Hyperlink"/>
          </w:rPr>
          <w:t>https://newsapi.org</w:t>
        </w:r>
      </w:hyperlink>
      <w:r w:rsidRPr="00804726">
        <w:t>)</w:t>
      </w:r>
    </w:p>
    <w:p w14:paraId="6AF6DA74" w14:textId="77777777" w:rsidR="00804726" w:rsidRPr="00804726" w:rsidRDefault="00804726" w:rsidP="00804726">
      <w:pPr>
        <w:numPr>
          <w:ilvl w:val="0"/>
          <w:numId w:val="19"/>
        </w:numPr>
      </w:pPr>
      <w:r w:rsidRPr="00804726">
        <w:t>Semiconductor Industry Association (</w:t>
      </w:r>
      <w:hyperlink r:id="rId13" w:history="1">
        <w:r w:rsidRPr="00804726">
          <w:rPr>
            <w:rStyle w:val="Hyperlink"/>
          </w:rPr>
          <w:t>https://www.semiconductors.org</w:t>
        </w:r>
      </w:hyperlink>
      <w:r w:rsidRPr="00804726">
        <w:t>)</w:t>
      </w:r>
    </w:p>
    <w:p w14:paraId="1B277B2B" w14:textId="77777777" w:rsidR="00804726" w:rsidRPr="00804726" w:rsidRDefault="00804726" w:rsidP="00804726">
      <w:pPr>
        <w:numPr>
          <w:ilvl w:val="0"/>
          <w:numId w:val="19"/>
        </w:numPr>
      </w:pPr>
      <w:r w:rsidRPr="00804726">
        <w:t>PCA and Clustering: Jolliffe, I.T. (2002). Principal Component Analysis.</w:t>
      </w:r>
    </w:p>
    <w:p w14:paraId="54ACF12B" w14:textId="77777777" w:rsidR="00804726" w:rsidRPr="00804726" w:rsidRDefault="00804726" w:rsidP="00804726">
      <w:pPr>
        <w:numPr>
          <w:ilvl w:val="0"/>
          <w:numId w:val="19"/>
        </w:numPr>
      </w:pPr>
      <w:r w:rsidRPr="00804726">
        <w:t>ANOVA: Montgomery, D. (2012). Design and Analysis of Experiments.</w:t>
      </w:r>
    </w:p>
    <w:p w14:paraId="09ACE294" w14:textId="77777777" w:rsidR="00804726" w:rsidRPr="00804726" w:rsidRDefault="00804726" w:rsidP="00804726">
      <w:pPr>
        <w:numPr>
          <w:ilvl w:val="0"/>
          <w:numId w:val="19"/>
        </w:numPr>
      </w:pPr>
      <w:r w:rsidRPr="00804726">
        <w:t>Davies, D.L. and Bouldin, D.W. (1979). A cluster separation measure.</w:t>
      </w:r>
    </w:p>
    <w:p w14:paraId="487D0714" w14:textId="77777777" w:rsidR="00804726" w:rsidRPr="00804726" w:rsidRDefault="00804726" w:rsidP="00804726">
      <w:pPr>
        <w:numPr>
          <w:ilvl w:val="0"/>
          <w:numId w:val="19"/>
        </w:numPr>
      </w:pPr>
      <w:proofErr w:type="spellStart"/>
      <w:r w:rsidRPr="00804726">
        <w:t>sklearn</w:t>
      </w:r>
      <w:proofErr w:type="spellEnd"/>
      <w:r w:rsidRPr="00804726">
        <w:t xml:space="preserve"> Documentation (</w:t>
      </w:r>
      <w:hyperlink r:id="rId14" w:history="1">
        <w:r w:rsidRPr="00804726">
          <w:rPr>
            <w:rStyle w:val="Hyperlink"/>
          </w:rPr>
          <w:t>https://scikit-learn.org</w:t>
        </w:r>
      </w:hyperlink>
      <w:r w:rsidRPr="00804726">
        <w:t>)</w:t>
      </w:r>
    </w:p>
    <w:p w14:paraId="242B7941" w14:textId="77777777" w:rsidR="00804726" w:rsidRDefault="00804726"/>
    <w:sectPr w:rsidR="008047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681A14"/>
    <w:multiLevelType w:val="multilevel"/>
    <w:tmpl w:val="3A30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7F37CD"/>
    <w:multiLevelType w:val="multilevel"/>
    <w:tmpl w:val="CAC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D45A0"/>
    <w:multiLevelType w:val="multilevel"/>
    <w:tmpl w:val="9EAC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4D04C7"/>
    <w:multiLevelType w:val="multilevel"/>
    <w:tmpl w:val="058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B82CFA"/>
    <w:multiLevelType w:val="multilevel"/>
    <w:tmpl w:val="42B8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F3281"/>
    <w:multiLevelType w:val="multilevel"/>
    <w:tmpl w:val="6B5A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23050"/>
    <w:multiLevelType w:val="multilevel"/>
    <w:tmpl w:val="552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6421D"/>
    <w:multiLevelType w:val="multilevel"/>
    <w:tmpl w:val="245C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7F7D68"/>
    <w:multiLevelType w:val="multilevel"/>
    <w:tmpl w:val="8EC0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23422"/>
    <w:multiLevelType w:val="multilevel"/>
    <w:tmpl w:val="9A4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466187">
    <w:abstractNumId w:val="8"/>
  </w:num>
  <w:num w:numId="2" w16cid:durableId="1087461092">
    <w:abstractNumId w:val="6"/>
  </w:num>
  <w:num w:numId="3" w16cid:durableId="793910654">
    <w:abstractNumId w:val="5"/>
  </w:num>
  <w:num w:numId="4" w16cid:durableId="850680172">
    <w:abstractNumId w:val="4"/>
  </w:num>
  <w:num w:numId="5" w16cid:durableId="1960841388">
    <w:abstractNumId w:val="7"/>
  </w:num>
  <w:num w:numId="6" w16cid:durableId="1978755003">
    <w:abstractNumId w:val="3"/>
  </w:num>
  <w:num w:numId="7" w16cid:durableId="1743746696">
    <w:abstractNumId w:val="2"/>
  </w:num>
  <w:num w:numId="8" w16cid:durableId="2096708275">
    <w:abstractNumId w:val="1"/>
  </w:num>
  <w:num w:numId="9" w16cid:durableId="686903001">
    <w:abstractNumId w:val="0"/>
  </w:num>
  <w:num w:numId="10" w16cid:durableId="1576432371">
    <w:abstractNumId w:val="18"/>
  </w:num>
  <w:num w:numId="11" w16cid:durableId="1941721163">
    <w:abstractNumId w:val="14"/>
  </w:num>
  <w:num w:numId="12" w16cid:durableId="1149134973">
    <w:abstractNumId w:val="10"/>
  </w:num>
  <w:num w:numId="13" w16cid:durableId="46223398">
    <w:abstractNumId w:val="15"/>
  </w:num>
  <w:num w:numId="14" w16cid:durableId="1402170381">
    <w:abstractNumId w:val="9"/>
  </w:num>
  <w:num w:numId="15" w16cid:durableId="1690521919">
    <w:abstractNumId w:val="13"/>
  </w:num>
  <w:num w:numId="16" w16cid:durableId="177693175">
    <w:abstractNumId w:val="11"/>
  </w:num>
  <w:num w:numId="17" w16cid:durableId="1792286505">
    <w:abstractNumId w:val="17"/>
  </w:num>
  <w:num w:numId="18" w16cid:durableId="2012952871">
    <w:abstractNumId w:val="12"/>
  </w:num>
  <w:num w:numId="19" w16cid:durableId="204964078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178"/>
    <w:rsid w:val="0029639D"/>
    <w:rsid w:val="00326F90"/>
    <w:rsid w:val="003C2F85"/>
    <w:rsid w:val="005D2D23"/>
    <w:rsid w:val="00804726"/>
    <w:rsid w:val="009B0C42"/>
    <w:rsid w:val="00AA1D8D"/>
    <w:rsid w:val="00B47730"/>
    <w:rsid w:val="00C54EBF"/>
    <w:rsid w:val="00CB0664"/>
    <w:rsid w:val="00D23BF9"/>
    <w:rsid w:val="00DD3821"/>
    <w:rsid w:val="00EE48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E29414"/>
  <w14:defaultImageDpi w14:val="300"/>
  <w15:docId w15:val="{B59F7B0C-99D8-4F93-96FA-E2944B31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8217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047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7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3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0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3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semiconductors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newsapi.or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frontiersin.org/articles/10.3389/frai.2020.578152/ful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oi.org/10.11591/eei.v14i2.9343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red.stlouisfed.org" TargetMode="External"/><Relationship Id="rId14" Type="http://schemas.openxmlformats.org/officeDocument/2006/relationships/hyperlink" Target="https://scikit-lear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1110</Words>
  <Characters>6784</Characters>
  <Application>Microsoft Office Word</Application>
  <DocSecurity>0</DocSecurity>
  <Lines>226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Mahathi Chilamakuri</cp:lastModifiedBy>
  <cp:revision>5</cp:revision>
  <dcterms:created xsi:type="dcterms:W3CDTF">2013-12-23T23:15:00Z</dcterms:created>
  <dcterms:modified xsi:type="dcterms:W3CDTF">2025-05-08T02:11:00Z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f5fb7ada-c7f7-4b2c-9b4d-0034016d056a</vt:lpwstr>
  </property>
</Properties>
</file>