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Board Meeting Notes</w:t>
      </w:r>
    </w:p>
    <w:p>
      <w:r>
        <w:t xml:space="preserve">Project Bolt - Quarterly Board Meeting</w:t>
      </w:r>
    </w:p>
    <w:p>
      <w:r>
        <w:t xml:space="preserve">August 21, 2026</w:t>
      </w:r>
    </w:p>
    <w:p>
      <w:pPr>
        <w:pStyle w:val="Heading2"/>
      </w:pPr>
      <w:r>
        <w:t xml:space="preserve">1. Attendance</w:t>
      </w:r>
    </w:p>
    <w:p>
      <w:pPr>
        <w:numPr>
          <w:ilvl w:val="0"/>
          <w:numId w:val="1"/>
        </w:numPr>
      </w:pPr>
      <w:r>
        <w:t xml:space="preserve">Nadia Putri - Chief Executive Officer</w:t>
      </w:r>
    </w:p>
    <w:p>
      <w:pPr>
        <w:numPr>
          <w:ilvl w:val="0"/>
          <w:numId w:val="1"/>
        </w:numPr>
      </w:pPr>
      <w:r>
        <w:t xml:space="preserve">Bram Sutanto - Independent Director</w:t>
      </w:r>
    </w:p>
    <w:p>
      <w:pPr>
        <w:numPr>
          <w:ilvl w:val="0"/>
          <w:numId w:val="1"/>
        </w:numPr>
      </w:pPr>
      <w:r>
        <w:t xml:space="preserve">Sari Wulandari - Chief Financial Officer</w:t>
      </w:r>
    </w:p>
    <w:p>
      <w:pPr>
        <w:numPr>
          <w:ilvl w:val="0"/>
          <w:numId w:val="1"/>
        </w:numPr>
      </w:pPr>
      <w:r>
        <w:t xml:space="preserve">Dedi Prasetyo - Legal Counsel</w:t>
      </w:r>
    </w:p>
    <w:p>
      <w:pPr>
        <w:pStyle w:val="Heading2"/>
      </w:pPr>
      <w:r>
        <w:t xml:space="preserve">2. Agenda</w:t>
      </w:r>
    </w:p>
    <w:p>
      <w:pPr>
        <w:numPr>
          <w:ilvl w:val="0"/>
          <w:numId w:val="1"/>
        </w:numPr>
      </w:pPr>
      <w:r>
        <w:t xml:space="preserve">Restructuring timeline and milestones</w:t>
      </w:r>
    </w:p>
    <w:p>
      <w:pPr>
        <w:numPr>
          <w:ilvl w:val="0"/>
          <w:numId w:val="1"/>
        </w:numPr>
      </w:pPr>
      <w:r>
        <w:t xml:space="preserve">Q3 financial position and runway</w:t>
      </w:r>
    </w:p>
    <w:p>
      <w:pPr>
        <w:numPr>
          <w:ilvl w:val="0"/>
          <w:numId w:val="1"/>
        </w:numPr>
      </w:pPr>
      <w:r>
        <w:t xml:space="preserve">Data room access governance for external advisors</w:t>
      </w:r>
    </w:p>
    <w:p>
      <w:pPr>
        <w:pStyle w:val="Heading2"/>
      </w:pPr>
      <w:r>
        <w:t xml:space="preserve">3. Key resolutions</w:t>
      </w:r>
    </w:p>
    <w:p>
      <w:r>
        <w:t xml:space="preserve">The board approved the restructuring timeline presented by management, targeting completion before the end of Q4 2026. Management is authorized to engage external advisors under the approved budget.</w:t>
      </w:r>
    </w:p>
    <w:p>
      <w:r>
        <w:t xml:space="preserve">Access to the Project Bolt data room will be limited to named individuals, time-boxed, and reviewed monthly by the CFO.</w:t>
      </w:r>
    </w:p>
    <w:p>
      <w:pPr>
        <w:pStyle w:val="Heading2"/>
      </w:pPr>
      <w:r>
        <w:t xml:space="preserve">4. Next steps</w:t>
      </w:r>
    </w:p>
    <w:p>
      <w:pPr>
        <w:numPr>
          <w:ilvl w:val="0"/>
          <w:numId w:val="1"/>
        </w:numPr>
      </w:pPr>
      <w:r>
        <w:t xml:space="preserve">CFO to circulate the advisor access list for approval</w:t>
      </w:r>
    </w:p>
    <w:p>
      <w:pPr>
        <w:numPr>
          <w:ilvl w:val="0"/>
          <w:numId w:val="1"/>
        </w:numPr>
      </w:pPr>
      <w:r>
        <w:t xml:space="preserve">Legal counsel to finalize the draft engagement letters</w:t>
      </w:r>
    </w:p>
    <w:p>
      <w:pPr>
        <w:numPr>
          <w:ilvl w:val="0"/>
          <w:numId w:val="1"/>
        </w:numPr>
      </w:pPr>
      <w:r>
        <w:t xml:space="preserve">Next board check-in scheduled for September 18, 2026</w:t>
      </w:r>
    </w:p>
    <w:p>
      <w:r>
        <w:t xml:space="preserve">Adopted and signed - August 21, 2026</w:t>
      </w:r>
    </w:p>
    <w:sectPr>
      <w:pgSz w:w="12240" w:h="158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  <w:pPr>
      <w:spacing w:after="120"/>
    </w:pPr>
    <w:rPr>
      <w:b/>
      <w:sz w:val="36"/>
    </w:rPr>
  </w:style>
  <w:style w:type="paragraph" w:styleId="Heading2">
    <w:name w:val="heading 2"/>
    <w:pPr>
      <w:spacing w:before="240" w:after="80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