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rFonts w:ascii="Cambria" w:cs="Cambria" w:eastAsia="Cambria" w:hAnsi="Cambria"/>
          <w:b/>
          <w:bCs/>
          <w:color w:val="A88848"/>
          <w:spacing w:val="80"/>
          <w:sz w:val="96"/>
          <w:szCs w:val="96"/>
        </w:rPr>
        <w:t xml:space="preserve">LUMEN</w:t>
      </w:r>
    </w:p>
    <w:p>
      <w:pPr>
        <w:pBdr>
          <w:top w:val="single" w:color="C8A96E" w:sz="8" w:space="10"/>
          <w:bottom w:val="single" w:color="C8A96E" w:sz="8" w:space="10"/>
        </w:pBdr>
        <w:spacing w:after="40"/>
        <w:jc w:val="center"/>
      </w:pPr>
      <w:r>
        <w:rPr>
          <w:rFonts w:ascii="Calibri" w:cs="Calibri" w:eastAsia="Calibri" w:hAnsi="Calibri"/>
          <w:color w:val="6B6459"/>
          <w:spacing w:val="40"/>
          <w:sz w:val="20"/>
          <w:szCs w:val="20"/>
        </w:rPr>
        <w:t xml:space="preserve">I L L U M I N A T E   Y O U R   P R A C T I C E</w:t>
      </w:r>
    </w:p>
    <w:p>
      <w:pPr>
        <w:spacing w:before="900"/>
        <w:jc w:val="center"/>
      </w:pPr>
      <w:r>
        <w:rPr>
          <w:rFonts w:ascii="Cambria" w:cs="Cambria" w:eastAsia="Cambria" w:hAnsi="Cambria"/>
          <w:color w:val="1A1A18"/>
          <w:sz w:val="52"/>
          <w:szCs w:val="52"/>
        </w:rPr>
        <w:t xml:space="preserve">Business Plan</w:t>
      </w:r>
    </w:p>
    <w:p>
      <w:pPr>
        <w:spacing w:before="120"/>
        <w:jc w:val="center"/>
      </w:pPr>
      <w:r>
        <w:rPr>
          <w:rFonts w:ascii="Calibri" w:cs="Calibri" w:eastAsia="Calibri" w:hAnsi="Calibri"/>
          <w:i/>
          <w:iCs/>
          <w:color w:val="6B6459"/>
          <w:sz w:val="22"/>
          <w:szCs w:val="22"/>
        </w:rPr>
        <w:t xml:space="preserve">A body-aware practice companion connecting students, teachers &amp; studios</w:t>
      </w:r>
    </w:p>
    <w:p>
      <w:pPr>
        <w:spacing w:before="2800"/>
        <w:jc w:val="center"/>
      </w:pPr>
      <w:r>
        <w:rPr>
          <w:rFonts w:ascii="Calibri" w:cs="Calibri" w:eastAsia="Calibri" w:hAnsi="Calibri"/>
          <w:color w:val="1A1A18"/>
          <w:sz w:val="20"/>
          <w:szCs w:val="20"/>
        </w:rPr>
        <w:t xml:space="preserve">Prepared for AgnesC, Founder</w:t>
      </w:r>
    </w:p>
    <w:p>
      <w:pPr>
        <w:spacing w:before="40"/>
        <w:jc w:val="center"/>
      </w:pPr>
      <w:r>
        <w:rPr>
          <w:rFonts w:ascii="Calibri" w:cs="Calibri" w:eastAsia="Calibri" w:hAnsi="Calibri"/>
          <w:color w:val="6B6459"/>
          <w:sz w:val="20"/>
          <w:szCs w:val="20"/>
        </w:rPr>
        <w:t xml:space="preserve">July 2026  ·  Version 1.0</w:t>
      </w:r>
    </w:p>
    <w:p>
      <w:pPr>
        <w:spacing w:before="40"/>
        <w:jc w:val="center"/>
      </w:pPr>
      <w:r>
        <w:rPr>
          <w:rFonts w:ascii="Calibri" w:cs="Calibri" w:eastAsia="Calibri" w:hAnsi="Calibri"/>
          <w:color w:val="6B6459"/>
          <w:spacing w:val="20"/>
          <w:sz w:val="16"/>
          <w:szCs w:val="16"/>
        </w:rPr>
        <w:t xml:space="preserve">CONFIDENTIAL — for internal planning</w:t>
      </w:r>
    </w:p>
    <w:p>
      <w:pPr>
        <w:sectPr>
          <w:pgSz w:w="12240" w:h="15840" w:orient="portrait"/>
          <w:pgMar w:top="1440" w:right="1440" w:bottom="1440" w:left="1440" w:header="708" w:footer="708" w:gutter="0"/>
          <w:pgNumType/>
          <w:docGrid w:linePitch="360"/>
        </w:sectPr>
      </w:pPr>
    </w:p>
    <w:p>
      <w:pPr>
        <w:spacing w:after="120"/>
      </w:pPr>
      <w:r>
        <w:rPr>
          <w:rFonts w:ascii="Cambria" w:cs="Cambria" w:eastAsia="Cambria" w:hAnsi="Cambria"/>
          <w:b/>
          <w:bCs/>
          <w:color w:val="A88848"/>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C8A96E" w:sz="12" w:space="6"/>
        </w:pBdr>
        <w:spacing w:after="140" w:before="320"/>
      </w:pPr>
      <w:r>
        <w:rPr>
          <w:rFonts w:ascii="Cambria" w:cs="Cambria" w:eastAsia="Cambria" w:hAnsi="Cambria"/>
          <w:b/>
          <w:bCs/>
          <w:color w:val="A88848"/>
          <w:sz w:val="32"/>
          <w:szCs w:val="32"/>
        </w:rPr>
        <w:t xml:space="preserve">1.  Executive Summary</w:t>
      </w:r>
    </w:p>
    <w:p>
      <w:pPr>
        <w:spacing w:after="120" w:line="264"/>
      </w:pPr>
      <w:r>
        <w:rPr>
          <w:rFonts w:ascii="Calibri" w:cs="Calibri" w:eastAsia="Calibri" w:hAnsi="Calibri"/>
          <w:color w:val="1A1A18"/>
          <w:sz w:val="21"/>
          <w:szCs w:val="21"/>
        </w:rPr>
        <w:t xml:space="preserve">Lumen is a mobile-first practice-tracking companion for the yoga world. Where the incumbents are either </w:t>
      </w:r>
      <w:r>
        <w:rPr>
          <w:rFonts w:ascii="Calibri" w:cs="Calibri" w:eastAsia="Calibri" w:hAnsi="Calibri"/>
          <w:i/>
          <w:iCs/>
          <w:color w:val="1A1A18"/>
          <w:sz w:val="21"/>
          <w:szCs w:val="21"/>
        </w:rPr>
        <w:t xml:space="preserve">content catalogues</w:t>
      </w:r>
      <w:r>
        <w:rPr>
          <w:rFonts w:ascii="Calibri" w:cs="Calibri" w:eastAsia="Calibri" w:hAnsi="Calibri"/>
          <w:color w:val="1A1A18"/>
          <w:sz w:val="21"/>
          <w:szCs w:val="21"/>
        </w:rPr>
        <w:t xml:space="preserve"> (Down Dog, Alo Moves, Glo) or </w:t>
      </w:r>
      <w:r>
        <w:rPr>
          <w:rFonts w:ascii="Calibri" w:cs="Calibri" w:eastAsia="Calibri" w:hAnsi="Calibri"/>
          <w:i/>
          <w:iCs/>
          <w:color w:val="1A1A18"/>
          <w:sz w:val="21"/>
          <w:szCs w:val="21"/>
        </w:rPr>
        <w:t xml:space="preserve">studio back-office tools</w:t>
      </w:r>
      <w:r>
        <w:rPr>
          <w:rFonts w:ascii="Calibri" w:cs="Calibri" w:eastAsia="Calibri" w:hAnsi="Calibri"/>
          <w:color w:val="1A1A18"/>
          <w:sz w:val="21"/>
          <w:szCs w:val="21"/>
        </w:rPr>
        <w:t xml:space="preserve"> (Mindbody, Momence, Arketa), Lumen owns the space neither occupies: a body-aware, injury-conscious record of the practice itself — and a consent-based bridge that lets teachers and studios finally see how their students are actually doing between classes.</w:t>
      </w:r>
    </w:p>
    <w:p>
      <w:pPr>
        <w:spacing w:after="120" w:line="264"/>
      </w:pPr>
      <w:r>
        <w:rPr>
          <w:rFonts w:ascii="Calibri" w:cs="Calibri" w:eastAsia="Calibri" w:hAnsi="Calibri"/>
          <w:color w:val="1A1A18"/>
          <w:sz w:val="21"/>
          <w:szCs w:val="21"/>
        </w:rPr>
        <w:t xml:space="preserve">The commercial thesis is a </w:t>
      </w:r>
      <w:r>
        <w:rPr>
          <w:rFonts w:ascii="Calibri" w:cs="Calibri" w:eastAsia="Calibri" w:hAnsi="Calibri"/>
          <w:b/>
          <w:bCs/>
          <w:color w:val="1A1A18"/>
          <w:sz w:val="21"/>
          <w:szCs w:val="21"/>
        </w:rPr>
        <w:t xml:space="preserve">B2B2C wedge</w:t>
      </w:r>
      <w:r>
        <w:rPr>
          <w:rFonts w:ascii="Calibri" w:cs="Calibri" w:eastAsia="Calibri" w:hAnsi="Calibri"/>
          <w:color w:val="1A1A18"/>
          <w:sz w:val="21"/>
          <w:szCs w:val="21"/>
        </w:rPr>
        <w:t xml:space="preserve">: students use Lumen free forever and become the data supply and the distribution channel; teachers and studios pay for the tools that help them retain and grow those students. This targets the yoga studio-platform software niche — roughly </w:t>
      </w:r>
      <w:r>
        <w:rPr>
          <w:rFonts w:ascii="Calibri" w:cs="Calibri" w:eastAsia="Calibri" w:hAnsi="Calibri"/>
          <w:b/>
          <w:bCs/>
          <w:color w:val="1A1A18"/>
          <w:sz w:val="21"/>
          <w:szCs w:val="21"/>
        </w:rPr>
        <w:t xml:space="preserve">US$2.7B in 2025, growing to US$5.5B by 2035</w:t>
      </w:r>
      <w:r>
        <w:rPr>
          <w:rFonts w:ascii="Calibri" w:cs="Calibri" w:eastAsia="Calibri" w:hAnsi="Calibri"/>
          <w:color w:val="1A1A18"/>
          <w:sz w:val="21"/>
          <w:szCs w:val="21"/>
        </w:rPr>
        <w:t xml:space="preserve"> — from an angle its incumbents structurally ignore: the student’s body.</w:t>
      </w:r>
    </w:p>
    <w:tbl>
      <w:tblPr>
        <w:tblW w:type="dxa" w:w="9360"/>
        <w:tblBorders>
          <w:top w:val="none"/>
          <w:left w:val="single" w:color="C8A96E" w:sz="18"/>
          <w:bottom w:val="none"/>
          <w:right w:val="none"/>
          <w:insideH w:val="none"/>
          <w:insideV w:val="none"/>
        </w:tblBorders>
      </w:tblPr>
      <w:tblGrid>
        <w:gridCol w:w="9360"/>
      </w:tblGrid>
      <w:tr>
        <w:tc>
          <w:tcPr>
            <w:tcW w:type="dxa" w:w="9360"/>
            <w:shd w:fill="F3ECDD" w:color="auto" w:val="clear"/>
            <w:tcMar>
              <w:top w:type="dxa" w:w="120"/>
              <w:left w:type="dxa" w:w="200"/>
              <w:bottom w:type="dxa" w:w="120"/>
              <w:right w:type="dxa" w:w="160"/>
            </w:tcMar>
          </w:tcPr>
          <w:p>
            <w:pPr>
              <w:spacing w:after="120" w:line="264"/>
              <w:jc w:val="left"/>
            </w:pPr>
            <w:r>
              <w:rPr>
                <w:rFonts w:ascii="Calibri" w:cs="Calibri" w:eastAsia="Calibri" w:hAnsi="Calibri"/>
                <w:b/>
                <w:bCs/>
                <w:color w:val="A88848"/>
                <w:sz w:val="21"/>
                <w:szCs w:val="21"/>
              </w:rPr>
              <w:t xml:space="preserve">The one-line pitch  —  </w:t>
            </w:r>
            <w:r>
              <w:rPr>
                <w:rFonts w:ascii="Calibri" w:cs="Calibri" w:eastAsia="Calibri" w:hAnsi="Calibri"/>
                <w:i/>
                <w:iCs/>
                <w:color w:val="1A1A18"/>
                <w:sz w:val="23"/>
                <w:szCs w:val="23"/>
              </w:rPr>
              <w:t xml:space="preserve">“See how your students’ bodies are actually doing between classes.”</w:t>
            </w:r>
          </w:p>
        </w:tc>
      </w:tr>
    </w:tbl>
    <w:p>
      <w:pPr>
        <w:pStyle w:val="Heading2"/>
        <w:spacing w:after="90" w:before="220"/>
      </w:pPr>
      <w:r>
        <w:rPr>
          <w:rFonts w:ascii="Calibri" w:cs="Calibri" w:eastAsia="Calibri" w:hAnsi="Calibri"/>
          <w:b/>
          <w:bCs/>
          <w:color w:val="1A1A18"/>
          <w:sz w:val="25"/>
          <w:szCs w:val="25"/>
        </w:rPr>
        <w:t xml:space="preserve">The opportunity in three numbers</w:t>
      </w:r>
    </w:p>
    <w:tbl>
      <w:tblPr>
        <w:tblW w:type="dxa" w:w="9360"/>
        <w:tblBorders>
          <w:top w:val="single" w:color="D8CFBE" w:sz="2"/>
          <w:left w:val="none"/>
          <w:bottom w:val="single" w:color="D8CFBE" w:sz="2"/>
          <w:right w:val="none"/>
          <w:insideH w:val="single" w:color="D8CFBE" w:sz="1"/>
          <w:insideV w:val="single" w:color="ECE6D9" w:sz="1"/>
        </w:tblBorders>
      </w:tblPr>
      <w:tblGrid>
        <w:gridCol w:w="3120"/>
        <w:gridCol w:w="3120"/>
        <w:gridCol w:w="3120"/>
      </w:tblGrid>
      <w:tr>
        <w:trPr>
          <w:tblHeader/>
        </w:trPr>
        <w:tc>
          <w:tcPr>
            <w:tcW w:type="dxa" w:w="3120"/>
            <w:shd w:fill="111110" w:color="auto" w:val="clear"/>
            <w:tcMar>
              <w:top w:type="dxa" w:w="60"/>
              <w:left w:type="dxa" w:w="90"/>
              <w:bottom w:type="dxa" w:w="60"/>
              <w:right w:type="dxa" w:w="90"/>
            </w:tcMar>
          </w:tcPr>
          <w:p>
            <w:pPr>
              <w:spacing w:after="20" w:line="240"/>
              <w:jc w:val="center"/>
            </w:pPr>
            <w:r>
              <w:rPr>
                <w:rFonts w:ascii="Calibri" w:cs="Calibri" w:eastAsia="Calibri" w:hAnsi="Calibri"/>
                <w:b/>
                <w:bCs/>
                <w:color w:val="FFFFFF"/>
                <w:sz w:val="18"/>
                <w:szCs w:val="18"/>
              </w:rPr>
              <w:t xml:space="preserve">Global yoga market (2025)</w:t>
            </w:r>
          </w:p>
        </w:tc>
        <w:tc>
          <w:tcPr>
            <w:tcW w:type="dxa" w:w="3120"/>
            <w:shd w:fill="111110" w:color="auto" w:val="clear"/>
            <w:tcMar>
              <w:top w:type="dxa" w:w="60"/>
              <w:left w:type="dxa" w:w="90"/>
              <w:bottom w:type="dxa" w:w="60"/>
              <w:right w:type="dxa" w:w="90"/>
            </w:tcMar>
          </w:tcPr>
          <w:p>
            <w:pPr>
              <w:spacing w:after="20" w:line="240"/>
              <w:jc w:val="center"/>
            </w:pPr>
            <w:r>
              <w:rPr>
                <w:rFonts w:ascii="Calibri" w:cs="Calibri" w:eastAsia="Calibri" w:hAnsi="Calibri"/>
                <w:b/>
                <w:bCs/>
                <w:color w:val="FFFFFF"/>
                <w:sz w:val="18"/>
                <w:szCs w:val="18"/>
              </w:rPr>
              <w:t xml:space="preserve">Online-yoga segment</w:t>
            </w:r>
          </w:p>
        </w:tc>
        <w:tc>
          <w:tcPr>
            <w:tcW w:type="dxa" w:w="3120"/>
            <w:shd w:fill="111110" w:color="auto" w:val="clear"/>
            <w:tcMar>
              <w:top w:type="dxa" w:w="60"/>
              <w:left w:type="dxa" w:w="90"/>
              <w:bottom w:type="dxa" w:w="60"/>
              <w:right w:type="dxa" w:w="90"/>
            </w:tcMar>
          </w:tcPr>
          <w:p>
            <w:pPr>
              <w:spacing w:after="20" w:line="240"/>
              <w:jc w:val="center"/>
            </w:pPr>
            <w:r>
              <w:rPr>
                <w:rFonts w:ascii="Calibri" w:cs="Calibri" w:eastAsia="Calibri" w:hAnsi="Calibri"/>
                <w:b/>
                <w:bCs/>
                <w:color w:val="FFFFFF"/>
                <w:sz w:val="18"/>
                <w:szCs w:val="18"/>
              </w:rPr>
              <w:t xml:space="preserve">Studio-platform software niche</w:t>
            </w:r>
          </w:p>
        </w:tc>
      </w:tr>
      <w:tr>
        <w:tc>
          <w:tcPr>
            <w:tcW w:type="dxa" w:w="3120"/>
            <w:shd w:fill="FFFFFF" w:color="auto" w:val="clear"/>
            <w:tcMar>
              <w:top w:type="dxa" w:w="60"/>
              <w:left w:type="dxa" w:w="90"/>
              <w:bottom w:type="dxa" w:w="60"/>
              <w:right w:type="dxa" w:w="90"/>
            </w:tcMar>
          </w:tcPr>
          <w:p>
            <w:pPr>
              <w:jc w:val="center"/>
            </w:pPr>
            <w:r>
              <w:rPr>
                <w:rFonts w:ascii="Calibri" w:cs="Calibri" w:eastAsia="Calibri" w:hAnsi="Calibri"/>
                <w:b/>
                <w:bCs/>
                <w:color w:val="A88848"/>
                <w:sz w:val="30"/>
                <w:szCs w:val="30"/>
              </w:rPr>
              <w:t xml:space="preserve">US$127B</w:t>
            </w:r>
          </w:p>
          <w:p>
            <w:pPr>
              <w:jc w:val="center"/>
            </w:pPr>
            <w:r>
              <w:rPr>
                <w:rFonts w:ascii="Calibri" w:cs="Calibri" w:eastAsia="Calibri" w:hAnsi="Calibri"/>
                <w:color w:val="6B6459"/>
                <w:sz w:val="16"/>
                <w:szCs w:val="16"/>
              </w:rPr>
              <w:t xml:space="preserve">~9.9% CAGR to 2033</w:t>
            </w:r>
          </w:p>
        </w:tc>
        <w:tc>
          <w:tcPr>
            <w:tcW w:type="dxa" w:w="3120"/>
            <w:shd w:fill="FFFFFF" w:color="auto" w:val="clear"/>
            <w:tcMar>
              <w:top w:type="dxa" w:w="60"/>
              <w:left w:type="dxa" w:w="90"/>
              <w:bottom w:type="dxa" w:w="60"/>
              <w:right w:type="dxa" w:w="90"/>
            </w:tcMar>
          </w:tcPr>
          <w:p>
            <w:pPr>
              <w:jc w:val="center"/>
            </w:pPr>
            <w:r>
              <w:rPr>
                <w:rFonts w:ascii="Calibri" w:cs="Calibri" w:eastAsia="Calibri" w:hAnsi="Calibri"/>
                <w:b/>
                <w:bCs/>
                <w:color w:val="A88848"/>
                <w:sz w:val="30"/>
                <w:szCs w:val="30"/>
              </w:rPr>
              <w:t xml:space="preserve">US$20B → 60B</w:t>
            </w:r>
          </w:p>
          <w:p>
            <w:pPr>
              <w:jc w:val="center"/>
            </w:pPr>
            <w:r>
              <w:rPr>
                <w:rFonts w:ascii="Calibri" w:cs="Calibri" w:eastAsia="Calibri" w:hAnsi="Calibri"/>
                <w:color w:val="6B6459"/>
                <w:sz w:val="16"/>
                <w:szCs w:val="16"/>
              </w:rPr>
              <w:t xml:space="preserve">~18% CAGR to 2033</w:t>
            </w:r>
          </w:p>
        </w:tc>
        <w:tc>
          <w:tcPr>
            <w:tcW w:type="dxa" w:w="3120"/>
            <w:shd w:fill="FFFFFF" w:color="auto" w:val="clear"/>
            <w:tcMar>
              <w:top w:type="dxa" w:w="60"/>
              <w:left w:type="dxa" w:w="90"/>
              <w:bottom w:type="dxa" w:w="60"/>
              <w:right w:type="dxa" w:w="90"/>
            </w:tcMar>
          </w:tcPr>
          <w:p>
            <w:pPr>
              <w:jc w:val="center"/>
            </w:pPr>
            <w:r>
              <w:rPr>
                <w:rFonts w:ascii="Calibri" w:cs="Calibri" w:eastAsia="Calibri" w:hAnsi="Calibri"/>
                <w:b/>
                <w:bCs/>
                <w:color w:val="A88848"/>
                <w:sz w:val="30"/>
                <w:szCs w:val="30"/>
              </w:rPr>
              <w:t xml:space="preserve">US$2.7B → 5.5B</w:t>
            </w:r>
          </w:p>
          <w:p>
            <w:pPr>
              <w:jc w:val="center"/>
            </w:pPr>
            <w:r>
              <w:rPr>
                <w:rFonts w:ascii="Calibri" w:cs="Calibri" w:eastAsia="Calibri" w:hAnsi="Calibri"/>
                <w:color w:val="6B6459"/>
                <w:sz w:val="16"/>
                <w:szCs w:val="16"/>
              </w:rPr>
              <w:t xml:space="preserve">our beachhead, ~7% CAGR</w:t>
            </w:r>
          </w:p>
        </w:tc>
      </w:tr>
    </w:tbl>
    <w:p>
      <w:pPr>
        <w:spacing w:after="60"/>
      </w:pPr>
    </w:p>
    <w:p>
      <w:pPr>
        <w:pStyle w:val="Heading2"/>
        <w:spacing w:after="90" w:before="220"/>
      </w:pPr>
      <w:r>
        <w:rPr>
          <w:rFonts w:ascii="Calibri" w:cs="Calibri" w:eastAsia="Calibri" w:hAnsi="Calibri"/>
          <w:b/>
          <w:bCs/>
          <w:color w:val="1A1A18"/>
          <w:sz w:val="25"/>
          <w:szCs w:val="25"/>
        </w:rPr>
        <w:t xml:space="preserve">What we are asking the plan to prove</w:t>
      </w:r>
    </w:p>
    <w:p>
      <w:pPr>
        <w:pStyle w:val="ListParagraph"/>
        <w:numPr>
          <w:ilvl w:val="0"/>
          <w:numId w:val="2"/>
        </w:numPr>
        <w:spacing w:after="70" w:line="260"/>
      </w:pPr>
      <w:r>
        <w:rPr>
          <w:rFonts w:ascii="Calibri" w:cs="Calibri" w:eastAsia="Calibri" w:hAnsi="Calibri"/>
          <w:color w:val="1A1A18"/>
          <w:sz w:val="21"/>
          <w:szCs w:val="21"/>
        </w:rPr>
        <w:t xml:space="preserve">That teachers will adopt a free student-progress tool and, past a usage threshold, pay for booking, payments and analytics on top of it.</w:t>
      </w:r>
    </w:p>
    <w:p>
      <w:pPr>
        <w:pStyle w:val="ListParagraph"/>
        <w:numPr>
          <w:ilvl w:val="0"/>
          <w:numId w:val="2"/>
        </w:numPr>
        <w:spacing w:after="70" w:line="260"/>
      </w:pPr>
      <w:r>
        <w:rPr>
          <w:rFonts w:ascii="Calibri" w:cs="Calibri" w:eastAsia="Calibri" w:hAnsi="Calibri"/>
          <w:color w:val="1A1A18"/>
          <w:sz w:val="21"/>
          <w:szCs w:val="21"/>
        </w:rPr>
        <w:t xml:space="preserve">That a Hong Kong–first, Cantonese-first go-to-market can reach ~50 paying teachers (≈ break-even) without paid acquisition.</w:t>
      </w:r>
    </w:p>
    <w:p>
      <w:pPr>
        <w:pStyle w:val="ListParagraph"/>
        <w:numPr>
          <w:ilvl w:val="0"/>
          <w:numId w:val="2"/>
        </w:numPr>
        <w:spacing w:after="70" w:line="260"/>
      </w:pPr>
      <w:r>
        <w:rPr>
          <w:rFonts w:ascii="Calibri" w:cs="Calibri" w:eastAsia="Calibri" w:hAnsi="Calibri"/>
          <w:color w:val="1A1A18"/>
          <w:sz w:val="21"/>
          <w:szCs w:val="21"/>
        </w:rPr>
        <w:t xml:space="preserve">That the longitudinal body/practice dataset compounds into a switching-cost moat the content and booking incumbents cannot easily copy.</w:t>
      </w:r>
    </w:p>
    <w:p>
      <w:pPr>
        <w:spacing w:after="120" w:line="264"/>
      </w:pPr>
      <w:r>
        <w:rPr>
          <w:rFonts w:ascii="Calibri" w:cs="Calibri" w:eastAsia="Calibri" w:hAnsi="Calibri"/>
          <w:b/>
          <w:bCs/>
          <w:color w:val="1A1A18"/>
          <w:sz w:val="21"/>
          <w:szCs w:val="21"/>
        </w:rPr>
        <w:t xml:space="preserve">Near-term goal: </w:t>
      </w:r>
      <w:r>
        <w:rPr>
          <w:rFonts w:ascii="Calibri" w:cs="Calibri" w:eastAsia="Calibri" w:hAnsi="Calibri"/>
          <w:color w:val="1A1A18"/>
          <w:sz w:val="21"/>
          <w:szCs w:val="21"/>
        </w:rPr>
        <w:t xml:space="preserve">reach 50 paying teachers (≈ HK$8–10K MRR, ramen-sustainable) within 12 months of monetization, on an infrastructure base that costs roughly US$0 today and ~US$110/month at 1,000 active users.</w:t>
      </w:r>
    </w:p>
    <w:p>
      <w:pPr>
        <w:pStyle w:val="Heading1"/>
        <w:pBdr>
          <w:bottom w:val="single" w:color="C8A96E" w:sz="12" w:space="6"/>
        </w:pBdr>
        <w:spacing w:after="140" w:before="320"/>
      </w:pPr>
      <w:r>
        <w:rPr>
          <w:rFonts w:ascii="Cambria" w:cs="Cambria" w:eastAsia="Cambria" w:hAnsi="Cambria"/>
          <w:b/>
          <w:bCs/>
          <w:color w:val="A88848"/>
          <w:sz w:val="32"/>
          <w:szCs w:val="32"/>
        </w:rPr>
        <w:t xml:space="preserve">2.  Product Overview</w:t>
      </w:r>
    </w:p>
    <w:p>
      <w:pPr>
        <w:spacing w:after="120" w:line="264"/>
      </w:pPr>
      <w:r>
        <w:rPr>
          <w:rFonts w:ascii="Calibri" w:cs="Calibri" w:eastAsia="Calibri" w:hAnsi="Calibri"/>
          <w:color w:val="1A1A18"/>
          <w:sz w:val="21"/>
          <w:szCs w:val="21"/>
        </w:rPr>
        <w:t xml:space="preserve">Lumen is deliberately built as zero-build, single-file HTML pages on Vercel with Supabase (Postgres, Auth, Realtime, Storage) as the backend. This keeps iteration fast and running costs near zero, at the expense of some future engineering ceiling (see §9).</w:t>
      </w:r>
    </w:p>
    <w:p>
      <w:pPr>
        <w:pStyle w:val="Heading2"/>
        <w:spacing w:after="90" w:before="220"/>
      </w:pPr>
      <w:r>
        <w:rPr>
          <w:rFonts w:ascii="Calibri" w:cs="Calibri" w:eastAsia="Calibri" w:hAnsi="Calibri"/>
          <w:b/>
          <w:bCs/>
          <w:color w:val="1A1A18"/>
          <w:sz w:val="25"/>
          <w:szCs w:val="25"/>
        </w:rPr>
        <w:t xml:space="preserve">What exists and works today</w:t>
      </w:r>
    </w:p>
    <w:p>
      <w:pPr>
        <w:pStyle w:val="ListParagraph"/>
        <w:numPr>
          <w:ilvl w:val="0"/>
          <w:numId w:val="2"/>
        </w:numPr>
        <w:spacing w:after="70" w:line="260"/>
      </w:pPr>
      <w:r>
        <w:rPr>
          <w:rFonts w:ascii="Calibri" w:cs="Calibri" w:eastAsia="Calibri" w:hAnsi="Calibri"/>
          <w:b/>
          <w:bCs/>
          <w:color w:val="1A1A18"/>
          <w:sz w:val="21"/>
          <w:szCs w:val="21"/>
        </w:rPr>
        <w:t xml:space="preserve">Practice logging</w:t>
      </w:r>
      <w:r>
        <w:rPr>
          <w:rFonts w:ascii="Calibri" w:cs="Calibri" w:eastAsia="Calibri" w:hAnsi="Calibri"/>
          <w:color w:val="1A1A18"/>
          <w:sz w:val="21"/>
          <w:szCs w:val="21"/>
        </w:rPr>
        <w:t xml:space="preserve"> with a detailed, muscle-level anatomical body map (front/back, 40+ named muscles, 7-state feeling scale from Relax to Injured).</w:t>
      </w:r>
    </w:p>
    <w:p>
      <w:pPr>
        <w:pStyle w:val="ListParagraph"/>
        <w:numPr>
          <w:ilvl w:val="0"/>
          <w:numId w:val="2"/>
        </w:numPr>
        <w:spacing w:after="70" w:line="260"/>
      </w:pPr>
      <w:r>
        <w:rPr>
          <w:rFonts w:ascii="Calibri" w:cs="Calibri" w:eastAsia="Calibri" w:hAnsi="Calibri"/>
          <w:b/>
          <w:bCs/>
          <w:color w:val="1A1A18"/>
          <w:sz w:val="21"/>
          <w:szCs w:val="21"/>
        </w:rPr>
        <w:t xml:space="preserve">14-day rolling rest engine</w:t>
      </w:r>
      <w:r>
        <w:rPr>
          <w:rFonts w:ascii="Calibri" w:cs="Calibri" w:eastAsia="Calibri" w:hAnsi="Calibri"/>
          <w:color w:val="1A1A18"/>
          <w:sz w:val="21"/>
          <w:szCs w:val="21"/>
        </w:rPr>
        <w:t xml:space="preserve"> — flags a muscle sore/pain/injured 3+ times in two weeks and surfaces a contextual rest / Yin / Mindfulness suggestion.</w:t>
      </w:r>
    </w:p>
    <w:p>
      <w:pPr>
        <w:pStyle w:val="ListParagraph"/>
        <w:numPr>
          <w:ilvl w:val="0"/>
          <w:numId w:val="2"/>
        </w:numPr>
        <w:spacing w:after="70" w:line="260"/>
      </w:pPr>
      <w:r>
        <w:rPr>
          <w:rFonts w:ascii="Calibri" w:cs="Calibri" w:eastAsia="Calibri" w:hAnsi="Calibri"/>
          <w:b/>
          <w:bCs/>
          <w:color w:val="1A1A18"/>
          <w:sz w:val="21"/>
          <w:szCs w:val="21"/>
        </w:rPr>
        <w:t xml:space="preserve">Streaks, session and minute counters</w:t>
      </w:r>
      <w:r>
        <w:rPr>
          <w:rFonts w:ascii="Calibri" w:cs="Calibri" w:eastAsia="Calibri" w:hAnsi="Calibri"/>
          <w:color w:val="1A1A18"/>
          <w:sz w:val="21"/>
          <w:szCs w:val="21"/>
        </w:rPr>
        <w:t xml:space="preserve">, with a dual yoga-only / all-round fitness perspective toggle.</w:t>
      </w:r>
    </w:p>
    <w:p>
      <w:pPr>
        <w:pStyle w:val="ListParagraph"/>
        <w:numPr>
          <w:ilvl w:val="0"/>
          <w:numId w:val="2"/>
        </w:numPr>
        <w:spacing w:after="70" w:line="260"/>
      </w:pPr>
      <w:r>
        <w:rPr>
          <w:rFonts w:ascii="Calibri" w:cs="Calibri" w:eastAsia="Calibri" w:hAnsi="Calibri"/>
          <w:b/>
          <w:bCs/>
          <w:color w:val="1A1A18"/>
          <w:sz w:val="21"/>
          <w:szCs w:val="21"/>
        </w:rPr>
        <w:t xml:space="preserve">Consent-based join-code linkage</w:t>
      </w:r>
      <w:r>
        <w:rPr>
          <w:rFonts w:ascii="Calibri" w:cs="Calibri" w:eastAsia="Calibri" w:hAnsi="Calibri"/>
          <w:color w:val="1A1A18"/>
          <w:sz w:val="21"/>
          <w:szCs w:val="21"/>
        </w:rPr>
        <w:t xml:space="preserve"> connecting students to teachers and studios, with row-level-security privacy gating (studios see aggregates only; private logs never leave the student).</w:t>
      </w:r>
    </w:p>
    <w:p>
      <w:pPr>
        <w:pStyle w:val="ListParagraph"/>
        <w:numPr>
          <w:ilvl w:val="0"/>
          <w:numId w:val="2"/>
        </w:numPr>
        <w:spacing w:after="70" w:line="260"/>
      </w:pPr>
      <w:r>
        <w:rPr>
          <w:rFonts w:ascii="Calibri" w:cs="Calibri" w:eastAsia="Calibri" w:hAnsi="Calibri"/>
          <w:b/>
          <w:bCs/>
          <w:color w:val="1A1A18"/>
          <w:sz w:val="21"/>
          <w:szCs w:val="21"/>
        </w:rPr>
        <w:t xml:space="preserve">Community feed</w:t>
      </w:r>
      <w:r>
        <w:rPr>
          <w:rFonts w:ascii="Calibri" w:cs="Calibri" w:eastAsia="Calibri" w:hAnsi="Calibri"/>
          <w:color w:val="1A1A18"/>
          <w:sz w:val="21"/>
          <w:szCs w:val="21"/>
        </w:rPr>
        <w:t xml:space="preserve"> with persistent likes; teacher roster health monitor with injury red-flag alerts; sub-group broadcasts.</w:t>
      </w:r>
    </w:p>
    <w:p>
      <w:pPr>
        <w:pStyle w:val="ListParagraph"/>
        <w:numPr>
          <w:ilvl w:val="0"/>
          <w:numId w:val="2"/>
        </w:numPr>
        <w:spacing w:after="70" w:line="260"/>
      </w:pPr>
      <w:r>
        <w:rPr>
          <w:rFonts w:ascii="Calibri" w:cs="Calibri" w:eastAsia="Calibri" w:hAnsi="Calibri"/>
          <w:b/>
          <w:bCs/>
          <w:color w:val="1A1A18"/>
          <w:sz w:val="21"/>
          <w:szCs w:val="21"/>
        </w:rPr>
        <w:t xml:space="preserve">On-demand video catalogue</w:t>
      </w:r>
      <w:r>
        <w:rPr>
          <w:rFonts w:ascii="Calibri" w:cs="Calibri" w:eastAsia="Calibri" w:hAnsi="Calibri"/>
          <w:color w:val="1A1A18"/>
          <w:sz w:val="21"/>
          <w:szCs w:val="21"/>
        </w:rPr>
        <w:t xml:space="preserve"> (Mux) and a personal practice-media gallery with tagging.</w:t>
      </w:r>
    </w:p>
    <w:p>
      <w:pPr>
        <w:pStyle w:val="ListParagraph"/>
        <w:numPr>
          <w:ilvl w:val="0"/>
          <w:numId w:val="2"/>
        </w:numPr>
        <w:spacing w:after="70" w:line="260"/>
      </w:pPr>
      <w:r>
        <w:rPr>
          <w:rFonts w:ascii="Calibri" w:cs="Calibri" w:eastAsia="Calibri" w:hAnsi="Calibri"/>
          <w:b/>
          <w:bCs/>
          <w:color w:val="1A1A18"/>
          <w:sz w:val="21"/>
          <w:szCs w:val="21"/>
        </w:rPr>
        <w:t xml:space="preserve">Class scheduling foundations</w:t>
      </w:r>
      <w:r>
        <w:rPr>
          <w:rFonts w:ascii="Calibri" w:cs="Calibri" w:eastAsia="Calibri" w:hAnsi="Calibri"/>
          <w:color w:val="1A1A18"/>
          <w:sz w:val="21"/>
          <w:szCs w:val="21"/>
        </w:rPr>
        <w:t xml:space="preserve"> (schema + UI shell). Booking and payments are an intentional placeholder — not yet built.</w:t>
      </w:r>
    </w:p>
    <w:p>
      <w:pPr>
        <w:pStyle w:val="Heading2"/>
        <w:spacing w:after="90" w:before="220"/>
      </w:pPr>
      <w:r>
        <w:rPr>
          <w:rFonts w:ascii="Calibri" w:cs="Calibri" w:eastAsia="Calibri" w:hAnsi="Calibri"/>
          <w:b/>
          <w:bCs/>
          <w:color w:val="1A1A18"/>
          <w:sz w:val="25"/>
          <w:szCs w:val="25"/>
        </w:rPr>
        <w:t xml:space="preserve">Maturity: late MVP / early beta</w:t>
      </w:r>
    </w:p>
    <w:p>
      <w:pPr>
        <w:spacing w:after="120" w:line="264"/>
      </w:pPr>
      <w:r>
        <w:rPr>
          <w:rFonts w:ascii="Calibri" w:cs="Calibri" w:eastAsia="Calibri" w:hAnsi="Calibri"/>
          <w:color w:val="1A1A18"/>
          <w:sz w:val="21"/>
          <w:szCs w:val="21"/>
        </w:rPr>
        <w:t xml:space="preserve">Feature depth is well ahead of the typical MVP. The honest gaps are commercial, not technical: no monetization mechanism exists yet, there is no analytics instrumentation to measure retention, and real-world usage beyond the founder is still to be established. The next phase is validation and monetization, not more features.</w:t>
      </w:r>
    </w:p>
    <w:tbl>
      <w:tblPr>
        <w:tblW w:type="dxa" w:w="9360"/>
        <w:tblBorders>
          <w:top w:val="none"/>
          <w:left w:val="single" w:color="C8A96E" w:sz="18"/>
          <w:bottom w:val="none"/>
          <w:right w:val="none"/>
          <w:insideH w:val="none"/>
          <w:insideV w:val="none"/>
        </w:tblBorders>
      </w:tblPr>
      <w:tblGrid>
        <w:gridCol w:w="9360"/>
      </w:tblGrid>
      <w:tr>
        <w:tc>
          <w:tcPr>
            <w:tcW w:type="dxa" w:w="9360"/>
            <w:shd w:fill="F3ECDD" w:color="auto" w:val="clear"/>
            <w:tcMar>
              <w:top w:type="dxa" w:w="120"/>
              <w:left w:type="dxa" w:w="200"/>
              <w:bottom w:type="dxa" w:w="120"/>
              <w:right w:type="dxa" w:w="160"/>
            </w:tcMar>
          </w:tcPr>
          <w:p>
            <w:pPr>
              <w:spacing w:after="120" w:line="264"/>
              <w:jc w:val="left"/>
            </w:pPr>
            <w:r>
              <w:rPr>
                <w:rFonts w:ascii="Calibri" w:cs="Calibri" w:eastAsia="Calibri" w:hAnsi="Calibri"/>
                <w:b/>
                <w:bCs/>
                <w:color w:val="A88848"/>
                <w:sz w:val="21"/>
                <w:szCs w:val="21"/>
              </w:rPr>
              <w:t xml:space="preserve">The differentiator  —  </w:t>
            </w:r>
            <w:r>
              <w:rPr>
                <w:rFonts w:ascii="Calibri" w:cs="Calibri" w:eastAsia="Calibri" w:hAnsi="Calibri"/>
                <w:color w:val="1A1A18"/>
                <w:sz w:val="21"/>
                <w:szCs w:val="21"/>
              </w:rPr>
              <w:t xml:space="preserve">muscle-level, injury-aware, privacy-gated student progress that flows to the teacher. No content app can build it (they have no logging surface); no studio-booking tool wants to (they optimize payments, not bodies). This is the defensible core.</w:t>
            </w:r>
          </w:p>
        </w:tc>
      </w:tr>
    </w:tbl>
    <w:p>
      <w:pPr>
        <w:pStyle w:val="Heading1"/>
        <w:pBdr>
          <w:bottom w:val="single" w:color="C8A96E" w:sz="12" w:space="6"/>
        </w:pBdr>
        <w:spacing w:after="140" w:before="320"/>
      </w:pPr>
      <w:r>
        <w:rPr>
          <w:rFonts w:ascii="Cambria" w:cs="Cambria" w:eastAsia="Cambria" w:hAnsi="Cambria"/>
          <w:b/>
          <w:bCs/>
          <w:color w:val="A88848"/>
          <w:sz w:val="32"/>
          <w:szCs w:val="32"/>
        </w:rPr>
        <w:t xml:space="preserve">3.  Market Analysis</w:t>
      </w:r>
    </w:p>
    <w:p>
      <w:pPr>
        <w:pStyle w:val="Heading2"/>
        <w:spacing w:after="90" w:before="220"/>
      </w:pPr>
      <w:r>
        <w:rPr>
          <w:rFonts w:ascii="Calibri" w:cs="Calibri" w:eastAsia="Calibri" w:hAnsi="Calibri"/>
          <w:b/>
          <w:bCs/>
          <w:color w:val="1A1A18"/>
          <w:sz w:val="25"/>
          <w:szCs w:val="25"/>
        </w:rPr>
        <w:t xml:space="preserve">Market sizing</w:t>
      </w:r>
    </w:p>
    <w:p>
      <w:pPr>
        <w:pStyle w:val="ListParagraph"/>
        <w:numPr>
          <w:ilvl w:val="0"/>
          <w:numId w:val="2"/>
        </w:numPr>
        <w:spacing w:after="70" w:line="260"/>
      </w:pPr>
      <w:r>
        <w:rPr>
          <w:rFonts w:ascii="Calibri" w:cs="Calibri" w:eastAsia="Calibri" w:hAnsi="Calibri"/>
          <w:b/>
          <w:bCs/>
          <w:color w:val="1A1A18"/>
          <w:sz w:val="21"/>
          <w:szCs w:val="21"/>
        </w:rPr>
        <w:t xml:space="preserve">Global yoga market: </w:t>
      </w:r>
      <w:r>
        <w:rPr>
          <w:rFonts w:ascii="Calibri" w:cs="Calibri" w:eastAsia="Calibri" w:hAnsi="Calibri"/>
          <w:color w:val="1A1A18"/>
          <w:sz w:val="21"/>
          <w:szCs w:val="21"/>
        </w:rPr>
        <w:t xml:space="preserve">~US$127B in 2025, projected ~US$269B by 2033 at ~9.9% CAGR.</w:t>
      </w:r>
    </w:p>
    <w:p>
      <w:pPr>
        <w:pStyle w:val="ListParagraph"/>
        <w:numPr>
          <w:ilvl w:val="0"/>
          <w:numId w:val="2"/>
        </w:numPr>
        <w:spacing w:after="70" w:line="260"/>
      </w:pPr>
      <w:r>
        <w:rPr>
          <w:rFonts w:ascii="Calibri" w:cs="Calibri" w:eastAsia="Calibri" w:hAnsi="Calibri"/>
          <w:b/>
          <w:bCs/>
          <w:color w:val="1A1A18"/>
          <w:sz w:val="21"/>
          <w:szCs w:val="21"/>
        </w:rPr>
        <w:t xml:space="preserve">Online yoga (apps + streaming): </w:t>
      </w:r>
      <w:r>
        <w:rPr>
          <w:rFonts w:ascii="Calibri" w:cs="Calibri" w:eastAsia="Calibri" w:hAnsi="Calibri"/>
          <w:color w:val="1A1A18"/>
          <w:sz w:val="21"/>
          <w:szCs w:val="21"/>
        </w:rPr>
        <w:t xml:space="preserve">~US$20B in 2025 → ~US$60B by 2033, ~18% CAGR — the fastest-growing slice.</w:t>
      </w:r>
    </w:p>
    <w:p>
      <w:pPr>
        <w:pStyle w:val="ListParagraph"/>
        <w:numPr>
          <w:ilvl w:val="0"/>
          <w:numId w:val="2"/>
        </w:numPr>
        <w:spacing w:after="70" w:line="260"/>
      </w:pPr>
      <w:r>
        <w:rPr>
          <w:rFonts w:ascii="Calibri" w:cs="Calibri" w:eastAsia="Calibri" w:hAnsi="Calibri"/>
          <w:b/>
          <w:bCs/>
          <w:color w:val="1A1A18"/>
          <w:sz w:val="21"/>
          <w:szCs w:val="21"/>
        </w:rPr>
        <w:t xml:space="preserve">Yoga studio-platform software (our beachhead): </w:t>
      </w:r>
      <w:r>
        <w:rPr>
          <w:rFonts w:ascii="Calibri" w:cs="Calibri" w:eastAsia="Calibri" w:hAnsi="Calibri"/>
          <w:color w:val="1A1A18"/>
          <w:sz w:val="21"/>
          <w:szCs w:val="21"/>
        </w:rPr>
        <w:t xml:space="preserve">~US$2.7B in 2025 → ~US$5.5B by 2035, ~7.2% CAGR.</w:t>
      </w:r>
    </w:p>
    <w:p>
      <w:pPr>
        <w:spacing w:after="120" w:line="264"/>
      </w:pPr>
      <w:r>
        <w:rPr>
          <w:rFonts w:ascii="Calibri" w:cs="Calibri" w:eastAsia="Calibri" w:hAnsi="Calibri"/>
          <w:color w:val="1A1A18"/>
          <w:sz w:val="21"/>
          <w:szCs w:val="21"/>
        </w:rPr>
        <w:t xml:space="preserve">Lumen does not need to win the US$127B market. Capturing a few hundred teachers and a handful of studios inside the software niche is a sustainable business; the larger market simply sets the ceiling.</w:t>
      </w:r>
    </w:p>
    <w:p>
      <w:pPr>
        <w:pStyle w:val="Heading2"/>
        <w:spacing w:after="90" w:before="220"/>
      </w:pPr>
      <w:r>
        <w:rPr>
          <w:rFonts w:ascii="Calibri" w:cs="Calibri" w:eastAsia="Calibri" w:hAnsi="Calibri"/>
          <w:b/>
          <w:bCs/>
          <w:color w:val="1A1A18"/>
          <w:sz w:val="25"/>
          <w:szCs w:val="25"/>
        </w:rPr>
        <w:t xml:space="preserve">Beachhead: Hong Kong, Cantonese-first</w:t>
      </w:r>
    </w:p>
    <w:p>
      <w:pPr>
        <w:spacing w:after="120" w:line="264"/>
      </w:pPr>
      <w:r>
        <w:rPr>
          <w:rFonts w:ascii="Calibri" w:cs="Calibri" w:eastAsia="Calibri" w:hAnsi="Calibri"/>
          <w:color w:val="1A1A18"/>
          <w:sz w:val="21"/>
          <w:szCs w:val="21"/>
        </w:rPr>
        <w:t xml:space="preserve">Hong Kong is a dense, premium, concentrated studio market (Pure Yoga, MYoga, Planet Yoga, Living Yoga, plus many boutique studios and independent teachers) where the incumbent software is English-first and US-built. A Cantonese-first, mobile-first product with a local founder is a genuine, underserved wedge — small in absolute terms but reachable through the founder’s own teaching network, which matters enormously for a zero-budget launch.</w:t>
      </w:r>
    </w:p>
    <w:p>
      <w:pPr>
        <w:pStyle w:val="Heading2"/>
        <w:spacing w:after="90" w:before="220"/>
      </w:pPr>
      <w:r>
        <w:rPr>
          <w:rFonts w:ascii="Calibri" w:cs="Calibri" w:eastAsia="Calibri" w:hAnsi="Calibri"/>
          <w:b/>
          <w:bCs/>
          <w:color w:val="1A1A18"/>
          <w:sz w:val="25"/>
          <w:szCs w:val="25"/>
        </w:rPr>
        <w:t xml:space="preserve">Why now</w:t>
      </w:r>
    </w:p>
    <w:p>
      <w:pPr>
        <w:pStyle w:val="ListParagraph"/>
        <w:numPr>
          <w:ilvl w:val="0"/>
          <w:numId w:val="2"/>
        </w:numPr>
        <w:spacing w:after="70" w:line="260"/>
      </w:pPr>
      <w:r>
        <w:rPr>
          <w:rFonts w:ascii="Calibri" w:cs="Calibri" w:eastAsia="Calibri" w:hAnsi="Calibri"/>
          <w:color w:val="1A1A18"/>
          <w:sz w:val="21"/>
          <w:szCs w:val="21"/>
        </w:rPr>
        <w:t xml:space="preserve">Post-pandemic, hybrid practice (studio + at-home) is now the norm — teachers need visibility into the at-home half they can’t see.</w:t>
      </w:r>
    </w:p>
    <w:p>
      <w:pPr>
        <w:pStyle w:val="ListParagraph"/>
        <w:numPr>
          <w:ilvl w:val="0"/>
          <w:numId w:val="2"/>
        </w:numPr>
        <w:spacing w:after="70" w:line="260"/>
      </w:pPr>
      <w:r>
        <w:rPr>
          <w:rFonts w:ascii="Calibri" w:cs="Calibri" w:eastAsia="Calibri" w:hAnsi="Calibri"/>
          <w:color w:val="1A1A18"/>
          <w:sz w:val="21"/>
          <w:szCs w:val="21"/>
        </w:rPr>
        <w:t xml:space="preserve">Documented “Mindbody fatigue” — cost and complexity — is driving small studios and independents to look for lighter, cheaper tools.</w:t>
      </w:r>
    </w:p>
    <w:p>
      <w:pPr>
        <w:pStyle w:val="ListParagraph"/>
        <w:numPr>
          <w:ilvl w:val="0"/>
          <w:numId w:val="2"/>
        </w:numPr>
        <w:spacing w:after="70" w:line="260"/>
      </w:pPr>
      <w:r>
        <w:rPr>
          <w:rFonts w:ascii="Calibri" w:cs="Calibri" w:eastAsia="Calibri" w:hAnsi="Calibri"/>
          <w:color w:val="1A1A18"/>
          <w:sz w:val="21"/>
          <w:szCs w:val="21"/>
        </w:rPr>
        <w:t xml:space="preserve">Mobile app usage is the fastest-growing channel in yoga (~44% mobile-app growth cited for 2025), and Lumen is mobile-native.</w:t>
      </w:r>
    </w:p>
    <w:p>
      <w:pPr>
        <w:pStyle w:val="Heading1"/>
        <w:pBdr>
          <w:bottom w:val="single" w:color="C8A96E" w:sz="12" w:space="6"/>
        </w:pBdr>
        <w:spacing w:after="140" w:before="320"/>
      </w:pPr>
      <w:r>
        <w:rPr>
          <w:rFonts w:ascii="Cambria" w:cs="Cambria" w:eastAsia="Cambria" w:hAnsi="Cambria"/>
          <w:b/>
          <w:bCs/>
          <w:color w:val="A88848"/>
          <w:sz w:val="32"/>
          <w:szCs w:val="32"/>
        </w:rPr>
        <w:t xml:space="preserve">4.  Competitive Landscape</w:t>
      </w:r>
    </w:p>
    <w:p>
      <w:pPr>
        <w:spacing w:after="120" w:line="264"/>
      </w:pPr>
      <w:r>
        <w:rPr>
          <w:rFonts w:ascii="Calibri" w:cs="Calibri" w:eastAsia="Calibri" w:hAnsi="Calibri"/>
          <w:color w:val="1A1A18"/>
          <w:sz w:val="21"/>
          <w:szCs w:val="21"/>
        </w:rPr>
        <w:t xml:space="preserve">Lumen sits between two crowded categories and competes head-on with neither.</w:t>
      </w:r>
    </w:p>
    <w:tbl>
      <w:tblPr>
        <w:tblW w:type="dxa" w:w="9360"/>
        <w:tblBorders>
          <w:top w:val="single" w:color="D8CFBE" w:sz="2"/>
          <w:left w:val="none"/>
          <w:bottom w:val="single" w:color="D8CFBE" w:sz="2"/>
          <w:right w:val="none"/>
          <w:insideH w:val="single" w:color="D8CFBE" w:sz="1"/>
          <w:insideV w:val="single" w:color="ECE6D9" w:sz="1"/>
        </w:tblBorders>
      </w:tblPr>
      <w:tblGrid>
        <w:gridCol w:w="1900"/>
        <w:gridCol w:w="2400"/>
        <w:gridCol w:w="2560"/>
        <w:gridCol w:w="2500"/>
      </w:tblGrid>
      <w:tr>
        <w:trPr>
          <w:tblHeader/>
        </w:trPr>
        <w:tc>
          <w:tcPr>
            <w:tcW w:type="dxa" w:w="19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Player</w:t>
            </w:r>
          </w:p>
        </w:tc>
        <w:tc>
          <w:tcPr>
            <w:tcW w:type="dxa" w:w="24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What they are</w:t>
            </w:r>
          </w:p>
        </w:tc>
        <w:tc>
          <w:tcPr>
            <w:tcW w:type="dxa" w:w="256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Overlap with Lumen</w:t>
            </w:r>
          </w:p>
        </w:tc>
        <w:tc>
          <w:tcPr>
            <w:tcW w:type="dxa" w:w="25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Lumen’s edge / gap</w:t>
            </w:r>
          </w:p>
        </w:tc>
      </w:tr>
      <w:tr>
        <w:tc>
          <w:tcPr>
            <w:tcW w:type="dxa" w:w="19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Down Dog, Glo, Alo Moves</w:t>
            </w:r>
          </w:p>
        </w:tc>
        <w:tc>
          <w:tcPr>
            <w:tcW w:type="dxa" w:w="24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Consumer class / content streaming (US$60–360 / yr)</w:t>
            </w:r>
          </w:p>
        </w:tc>
        <w:tc>
          <w:tcPr>
            <w:tcW w:type="dxa" w:w="25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Low — Lumen is not a content catalogue</w:t>
            </w:r>
          </w:p>
        </w:tc>
        <w:tc>
          <w:tcPr>
            <w:tcW w:type="dxa" w:w="2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Edge: we own tracking they don’t. Gap: they own consumer mindshare &amp; budget</w:t>
            </w:r>
          </w:p>
        </w:tc>
      </w:tr>
      <w:tr>
        <w:tc>
          <w:tcPr>
            <w:tcW w:type="dxa" w:w="19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Mindbody</w:t>
            </w:r>
          </w:p>
        </w:tc>
        <w:tc>
          <w:tcPr>
            <w:tcW w:type="dxa" w:w="24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Studio ops: booking, payments, CRM (US$129–699 / mo)</w:t>
            </w:r>
          </w:p>
        </w:tc>
        <w:tc>
          <w:tcPr>
            <w:tcW w:type="dxa" w:w="256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Medium — studio side</w:t>
            </w:r>
          </w:p>
        </w:tc>
        <w:tc>
          <w:tcPr>
            <w:tcW w:type="dxa" w:w="25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Edge: student body/injury data. Gap: no payments/booking yet, no brand</w:t>
            </w:r>
          </w:p>
        </w:tc>
      </w:tr>
      <w:tr>
        <w:tc>
          <w:tcPr>
            <w:tcW w:type="dxa" w:w="19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Momence</w:t>
            </w:r>
          </w:p>
        </w:tc>
        <w:tc>
          <w:tcPr>
            <w:tcW w:type="dxa" w:w="24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Studio ops, freemium (US$0–60 / mo + 1–5% fee)</w:t>
            </w:r>
          </w:p>
        </w:tc>
        <w:tc>
          <w:tcPr>
            <w:tcW w:type="dxa" w:w="25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Medium — closest pricing analog</w:t>
            </w:r>
          </w:p>
        </w:tc>
        <w:tc>
          <w:tcPr>
            <w:tcW w:type="dxa" w:w="2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Edge: progress tracking. Gap: they have distribution &amp; payments live</w:t>
            </w:r>
          </w:p>
        </w:tc>
      </w:tr>
      <w:tr>
        <w:tc>
          <w:tcPr>
            <w:tcW w:type="dxa" w:w="19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Arketa / OfferingTree</w:t>
            </w:r>
          </w:p>
        </w:tc>
        <w:tc>
          <w:tcPr>
            <w:tcW w:type="dxa" w:w="24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Teacher &amp; small-studio ops (US$49–124 / mo + ~3% fee)</w:t>
            </w:r>
          </w:p>
        </w:tc>
        <w:tc>
          <w:tcPr>
            <w:tcW w:type="dxa" w:w="256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Medium — teacher side</w:t>
            </w:r>
          </w:p>
        </w:tc>
        <w:tc>
          <w:tcPr>
            <w:tcW w:type="dxa" w:w="25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Edge: body map &amp; rest engine. Gap: mature booking + video</w:t>
            </w:r>
          </w:p>
        </w:tc>
      </w:tr>
      <w:tr>
        <w:tc>
          <w:tcPr>
            <w:tcW w:type="dxa" w:w="19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Insight Timer, Strong, Hevy</w:t>
            </w:r>
          </w:p>
        </w:tc>
        <w:tc>
          <w:tcPr>
            <w:tcW w:type="dxa" w:w="24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Free community / generic logging</w:t>
            </w:r>
          </w:p>
        </w:tc>
        <w:tc>
          <w:tcPr>
            <w:tcW w:type="dxa" w:w="25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Low–medium — journaling</w:t>
            </w:r>
          </w:p>
        </w:tc>
        <w:tc>
          <w:tcPr>
            <w:tcW w:type="dxa" w:w="2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Edge: yoga-specific anatomy + teacher link. Gap: large free user bases</w:t>
            </w:r>
          </w:p>
        </w:tc>
      </w:tr>
    </w:tbl>
    <w:p>
      <w:pPr>
        <w:spacing w:after="80"/>
      </w:pPr>
    </w:p>
    <w:p>
      <w:pPr>
        <w:pStyle w:val="Heading2"/>
        <w:spacing w:after="90" w:before="220"/>
      </w:pPr>
      <w:r>
        <w:rPr>
          <w:rFonts w:ascii="Calibri" w:cs="Calibri" w:eastAsia="Calibri" w:hAnsi="Calibri"/>
          <w:b/>
          <w:bCs/>
          <w:color w:val="1A1A18"/>
          <w:sz w:val="25"/>
          <w:szCs w:val="25"/>
        </w:rPr>
        <w:t xml:space="preserve">Competitive read — honest</w:t>
      </w:r>
    </w:p>
    <w:p>
      <w:pPr>
        <w:spacing w:after="120" w:line="264"/>
      </w:pPr>
      <w:r>
        <w:rPr>
          <w:rFonts w:ascii="Calibri" w:cs="Calibri" w:eastAsia="Calibri" w:hAnsi="Calibri"/>
          <w:b/>
          <w:bCs/>
          <w:color w:val="5C7A55"/>
          <w:sz w:val="21"/>
          <w:szCs w:val="21"/>
        </w:rPr>
        <w:t xml:space="preserve">Advantage: </w:t>
      </w:r>
      <w:r>
        <w:rPr>
          <w:rFonts w:ascii="Calibri" w:cs="Calibri" w:eastAsia="Calibri" w:hAnsi="Calibri"/>
          <w:color w:val="1A1A18"/>
          <w:sz w:val="21"/>
          <w:szCs w:val="21"/>
        </w:rPr>
        <w:t xml:space="preserve">the consent-based, muscle-level student-data pipeline to teachers is unique. Content apps can’t build it; booking tools don’t prioritize it.</w:t>
      </w:r>
    </w:p>
    <w:p>
      <w:pPr>
        <w:spacing w:after="120" w:line="264"/>
      </w:pPr>
      <w:r>
        <w:rPr>
          <w:rFonts w:ascii="Calibri" w:cs="Calibri" w:eastAsia="Calibri" w:hAnsi="Calibri"/>
          <w:b/>
          <w:bCs/>
          <w:color w:val="B25656"/>
          <w:sz w:val="21"/>
          <w:szCs w:val="21"/>
        </w:rPr>
        <w:t xml:space="preserve">Disadvantage: </w:t>
      </w:r>
      <w:r>
        <w:rPr>
          <w:rFonts w:ascii="Calibri" w:cs="Calibri" w:eastAsia="Calibri" w:hAnsi="Calibri"/>
          <w:color w:val="1A1A18"/>
          <w:sz w:val="21"/>
          <w:szCs w:val="21"/>
        </w:rPr>
        <w:t xml:space="preserve">no distribution, no booking/payments (the thing studios pay for first), web-only (a retention handicap without native push), a single non-technical-ops founder, and zero current revenue infrastructure. These are the real risks the plan must manage.</w:t>
      </w:r>
    </w:p>
    <w:p>
      <w:pPr>
        <w:pStyle w:val="Heading1"/>
        <w:pBdr>
          <w:bottom w:val="single" w:color="C8A96E" w:sz="12" w:space="6"/>
        </w:pBdr>
        <w:spacing w:after="140" w:before="320"/>
      </w:pPr>
      <w:r>
        <w:rPr>
          <w:rFonts w:ascii="Cambria" w:cs="Cambria" w:eastAsia="Cambria" w:hAnsi="Cambria"/>
          <w:b/>
          <w:bCs/>
          <w:color w:val="A88848"/>
          <w:sz w:val="32"/>
          <w:szCs w:val="32"/>
        </w:rPr>
        <w:t xml:space="preserve">5.  Business Model &amp; Pricing</w:t>
      </w:r>
    </w:p>
    <w:p>
      <w:pPr>
        <w:spacing w:after="120" w:line="264"/>
      </w:pPr>
      <w:r>
        <w:rPr>
          <w:rFonts w:ascii="Calibri" w:cs="Calibri" w:eastAsia="Calibri" w:hAnsi="Calibri"/>
          <w:color w:val="1A1A18"/>
          <w:sz w:val="21"/>
          <w:szCs w:val="21"/>
        </w:rPr>
        <w:t xml:space="preserve">The model is freemium B2B2C with usage-based thresholds — the same structure Momence has proven in this category. Students never pay; teachers and studios pay once their usage passes a free ceiling and they need the revenue-generating tools (booking, payments, video, advanced analytics).</w:t>
      </w:r>
    </w:p>
    <w:tbl>
      <w:tblPr>
        <w:tblW w:type="dxa" w:w="9360"/>
        <w:tblBorders>
          <w:top w:val="none"/>
          <w:left w:val="single" w:color="5C7A55" w:sz="18"/>
          <w:bottom w:val="none"/>
          <w:right w:val="none"/>
          <w:insideH w:val="none"/>
          <w:insideV w:val="none"/>
        </w:tblBorders>
      </w:tblPr>
      <w:tblGrid>
        <w:gridCol w:w="9360"/>
      </w:tblGrid>
      <w:tr>
        <w:tc>
          <w:tcPr>
            <w:tcW w:type="dxa" w:w="9360"/>
            <w:shd w:fill="EAF0E8" w:color="auto" w:val="clear"/>
            <w:tcMar>
              <w:top w:type="dxa" w:w="120"/>
              <w:left w:type="dxa" w:w="200"/>
              <w:bottom w:type="dxa" w:w="120"/>
              <w:right w:type="dxa" w:w="160"/>
            </w:tcMar>
          </w:tcPr>
          <w:p>
            <w:pPr>
              <w:spacing w:after="120" w:line="264"/>
              <w:jc w:val="left"/>
            </w:pPr>
            <w:r>
              <w:rPr>
                <w:rFonts w:ascii="Calibri" w:cs="Calibri" w:eastAsia="Calibri" w:hAnsi="Calibri"/>
                <w:b/>
                <w:bCs/>
                <w:color w:val="A88848"/>
                <w:sz w:val="21"/>
                <w:szCs w:val="21"/>
              </w:rPr>
              <w:t xml:space="preserve">Design principle  —  </w:t>
            </w:r>
            <w:r>
              <w:rPr>
                <w:rFonts w:ascii="Calibri" w:cs="Calibri" w:eastAsia="Calibri" w:hAnsi="Calibri"/>
                <w:color w:val="1A1A18"/>
                <w:sz w:val="21"/>
                <w:szCs w:val="21"/>
              </w:rPr>
              <w:t xml:space="preserve">gate the cost drivers, not the differentiator. Every teacher, free or paid, gets the full student-progress / roster / body-map experience — that is the hook that sells the paid tier. What we charge for is the expensive-to-run, competitively-crowded machinery: booking + payments, on-demand video hosting, and advanced analytics.</w:t>
            </w:r>
          </w:p>
        </w:tc>
      </w:tr>
    </w:tbl>
    <w:p>
      <w:pPr>
        <w:pStyle w:val="Heading2"/>
        <w:spacing w:after="90" w:before="220"/>
      </w:pPr>
      <w:r>
        <w:rPr>
          <w:rFonts w:ascii="Calibri" w:cs="Calibri" w:eastAsia="Calibri" w:hAnsi="Calibri"/>
          <w:b/>
          <w:bCs/>
          <w:color w:val="1A1A18"/>
          <w:sz w:val="25"/>
          <w:szCs w:val="25"/>
        </w:rPr>
        <w:t xml:space="preserve">5.1  The three tiers</w:t>
      </w:r>
    </w:p>
    <w:tbl>
      <w:tblPr>
        <w:tblW w:type="dxa" w:w="9360"/>
        <w:tblBorders>
          <w:top w:val="single" w:color="D8CFBE" w:sz="2"/>
          <w:left w:val="none"/>
          <w:bottom w:val="single" w:color="D8CFBE" w:sz="2"/>
          <w:right w:val="none"/>
          <w:insideH w:val="single" w:color="D8CFBE" w:sz="1"/>
          <w:insideV w:val="single" w:color="ECE6D9" w:sz="1"/>
        </w:tblBorders>
      </w:tblPr>
      <w:tblGrid>
        <w:gridCol w:w="1500"/>
        <w:gridCol w:w="2100"/>
        <w:gridCol w:w="3060"/>
        <w:gridCol w:w="2700"/>
      </w:tblGrid>
      <w:tr>
        <w:trPr>
          <w:tblHeader/>
        </w:trPr>
        <w:tc>
          <w:tcPr>
            <w:tcW w:type="dxa" w:w="15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Tier</w:t>
            </w:r>
          </w:p>
        </w:tc>
        <w:tc>
          <w:tcPr>
            <w:tcW w:type="dxa" w:w="21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Free includes</w:t>
            </w:r>
          </w:p>
        </w:tc>
        <w:tc>
          <w:tcPr>
            <w:tcW w:type="dxa" w:w="306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Paid unlocks</w:t>
            </w:r>
          </w:p>
        </w:tc>
        <w:tc>
          <w:tcPr>
            <w:tcW w:type="dxa" w:w="27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Trigger to pay</w:t>
            </w:r>
          </w:p>
        </w:tc>
      </w:tr>
      <w:tr>
        <w:tc>
          <w:tcPr>
            <w:tcW w:type="dxa" w:w="1500"/>
            <w:shd w:fill="FFFFFF" w:color="auto" w:val="clear"/>
            <w:tcMar>
              <w:top w:type="dxa" w:w="60"/>
              <w:left w:type="dxa" w:w="90"/>
              <w:bottom w:type="dxa" w:w="60"/>
              <w:right w:type="dxa" w:w="90"/>
            </w:tcMar>
          </w:tcPr>
          <w:p>
            <w:r>
              <w:rPr>
                <w:rFonts w:ascii="Calibri" w:cs="Calibri" w:eastAsia="Calibri" w:hAnsi="Calibri"/>
                <w:b/>
                <w:bCs/>
                <w:color w:val="1A1A18"/>
                <w:sz w:val="21"/>
                <w:szCs w:val="21"/>
              </w:rPr>
              <w:t xml:space="preserve">Student</w:t>
            </w:r>
          </w:p>
        </w:tc>
        <w:tc>
          <w:tcPr>
            <w:tcW w:type="dxa" w:w="21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Everything, forever — logging, body map, rest engine, history, join-code links</w:t>
            </w:r>
          </w:p>
        </w:tc>
        <w:tc>
          <w:tcPr>
            <w:tcW w:type="dxa" w:w="30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 (never charged)</w:t>
            </w:r>
          </w:p>
        </w:tc>
        <w:tc>
          <w:tcPr>
            <w:tcW w:type="dxa" w:w="27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Never</w:t>
            </w:r>
          </w:p>
        </w:tc>
      </w:tr>
      <w:tr>
        <w:tc>
          <w:tcPr>
            <w:tcW w:type="dxa" w:w="1500"/>
            <w:shd w:fill="F7F4EE" w:color="auto" w:val="clear"/>
            <w:tcMar>
              <w:top w:type="dxa" w:w="60"/>
              <w:left w:type="dxa" w:w="90"/>
              <w:bottom w:type="dxa" w:w="60"/>
              <w:right w:type="dxa" w:w="90"/>
            </w:tcMar>
          </w:tcPr>
          <w:p>
            <w:r>
              <w:rPr>
                <w:rFonts w:ascii="Calibri" w:cs="Calibri" w:eastAsia="Calibri" w:hAnsi="Calibri"/>
                <w:b/>
                <w:bCs/>
                <w:color w:val="1A1A18"/>
                <w:sz w:val="21"/>
                <w:szCs w:val="21"/>
              </w:rPr>
              <w:t xml:space="preserve">Teacher</w:t>
            </w:r>
          </w:p>
        </w:tc>
        <w:tc>
          <w:tcPr>
            <w:tcW w:type="dxa" w:w="21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Full student metrics, roster health, injury alerts, custom categories/focuses; up to the student ceiling</w:t>
            </w:r>
          </w:p>
        </w:tc>
        <w:tc>
          <w:tcPr>
            <w:tcW w:type="dxa" w:w="306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Class booking + payment collection, on-demand video, advanced analytics</w:t>
            </w:r>
          </w:p>
        </w:tc>
        <w:tc>
          <w:tcPr>
            <w:tcW w:type="dxa" w:w="27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Above the free student ceiling (see 5.2)</w:t>
            </w:r>
          </w:p>
        </w:tc>
      </w:tr>
      <w:tr>
        <w:tc>
          <w:tcPr>
            <w:tcW w:type="dxa" w:w="1500"/>
            <w:shd w:fill="FFFFFF" w:color="auto" w:val="clear"/>
            <w:tcMar>
              <w:top w:type="dxa" w:w="60"/>
              <w:left w:type="dxa" w:w="90"/>
              <w:bottom w:type="dxa" w:w="60"/>
              <w:right w:type="dxa" w:w="90"/>
            </w:tcMar>
          </w:tcPr>
          <w:p>
            <w:r>
              <w:rPr>
                <w:rFonts w:ascii="Calibri" w:cs="Calibri" w:eastAsia="Calibri" w:hAnsi="Calibri"/>
                <w:b/>
                <w:bCs/>
                <w:color w:val="1A1A18"/>
                <w:sz w:val="21"/>
                <w:szCs w:val="21"/>
              </w:rPr>
              <w:t xml:space="preserve">Studio</w:t>
            </w:r>
          </w:p>
        </w:tc>
        <w:tc>
          <w:tcPr>
            <w:tcW w:type="dxa" w:w="21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Aggregate dashboard, branch view, teacher roster; small studios under the free ceiling</w:t>
            </w:r>
          </w:p>
        </w:tc>
        <w:tc>
          <w:tcPr>
            <w:tcW w:type="dxa" w:w="30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Booking + payments, on-demand library, multi-branch advanced analytics, seat expansion</w:t>
            </w:r>
          </w:p>
        </w:tc>
        <w:tc>
          <w:tcPr>
            <w:tcW w:type="dxa" w:w="27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Above branch / booking-volume ceiling</w:t>
            </w:r>
          </w:p>
        </w:tc>
      </w:tr>
    </w:tbl>
    <w:p>
      <w:pPr>
        <w:spacing w:after="60"/>
      </w:pPr>
    </w:p>
    <w:p>
      <w:pPr>
        <w:spacing w:after="120" w:line="264"/>
      </w:pPr>
      <w:r>
        <w:rPr>
          <w:rFonts w:ascii="Calibri" w:cs="Calibri" w:eastAsia="Calibri" w:hAnsi="Calibri"/>
          <w:b/>
          <w:bCs/>
          <w:i/>
          <w:iCs/>
          <w:color w:val="1A1A18"/>
          <w:sz w:val="21"/>
          <w:szCs w:val="21"/>
        </w:rPr>
        <w:t xml:space="preserve">Note on your original draft: </w:t>
      </w:r>
      <w:r>
        <w:rPr>
          <w:rFonts w:ascii="Calibri" w:cs="Calibri" w:eastAsia="Calibri" w:hAnsi="Calibri"/>
          <w:i/>
          <w:iCs/>
          <w:color w:val="1A1A18"/>
          <w:sz w:val="21"/>
          <w:szCs w:val="21"/>
        </w:rPr>
        <w:t xml:space="preserve">you proposed gating </w:t>
      </w:r>
      <w:r>
        <w:rPr>
          <w:rFonts w:ascii="Calibri" w:cs="Calibri" w:eastAsia="Calibri" w:hAnsi="Calibri"/>
          <w:b/>
          <w:bCs/>
          <w:i/>
          <w:iCs/>
          <w:color w:val="1A1A18"/>
          <w:sz w:val="21"/>
          <w:szCs w:val="21"/>
        </w:rPr>
        <w:t xml:space="preserve">student metrics</w:t>
      </w:r>
      <w:r>
        <w:rPr>
          <w:rFonts w:ascii="Calibri" w:cs="Calibri" w:eastAsia="Calibri" w:hAnsi="Calibri"/>
          <w:i/>
          <w:iCs/>
          <w:color w:val="1A1A18"/>
          <w:sz w:val="21"/>
          <w:szCs w:val="21"/>
        </w:rPr>
        <w:t xml:space="preserve"> behind the paid teacher tier. This plan deliberately moves that to the free tier, because student metrics </w:t>
      </w:r>
      <w:r>
        <w:rPr>
          <w:rFonts w:ascii="Calibri" w:cs="Calibri" w:eastAsia="Calibri" w:hAnsi="Calibri"/>
          <w:b/>
          <w:bCs/>
          <w:i/>
          <w:iCs/>
          <w:color w:val="1A1A18"/>
          <w:sz w:val="21"/>
          <w:szCs w:val="21"/>
        </w:rPr>
        <w:t xml:space="preserve">are</w:t>
      </w:r>
      <w:r>
        <w:rPr>
          <w:rFonts w:ascii="Calibri" w:cs="Calibri" w:eastAsia="Calibri" w:hAnsi="Calibri"/>
          <w:i/>
          <w:iCs/>
          <w:color w:val="1A1A18"/>
          <w:sz w:val="21"/>
          <w:szCs w:val="21"/>
        </w:rPr>
        <w:t xml:space="preserve"> the reason a teacher tries Lumen over Mindbody at all — locking it away hides the moat from the very people we most want to hook. Booking + payments + video are the right things to gate: they cost real money to run and are what teachers monetize.</w:t>
      </w:r>
    </w:p>
    <w:p>
      <w:pPr>
        <w:pStyle w:val="Heading2"/>
        <w:spacing w:after="90" w:before="220"/>
      </w:pPr>
      <w:r>
        <w:rPr>
          <w:rFonts w:ascii="Calibri" w:cs="Calibri" w:eastAsia="Calibri" w:hAnsi="Calibri"/>
          <w:b/>
          <w:bCs/>
          <w:color w:val="1A1A18"/>
          <w:sz w:val="25"/>
          <w:szCs w:val="25"/>
        </w:rPr>
        <w:t xml:space="preserve">5.2  Recommended price points (Hong Kong, illustrative)</w:t>
      </w:r>
    </w:p>
    <w:p>
      <w:pPr>
        <w:spacing w:after="120" w:line="264"/>
      </w:pPr>
      <w:r>
        <w:rPr>
          <w:rFonts w:ascii="Calibri" w:cs="Calibri" w:eastAsia="Calibri" w:hAnsi="Calibri"/>
          <w:color w:val="1A1A18"/>
          <w:sz w:val="21"/>
          <w:szCs w:val="21"/>
        </w:rPr>
        <w:t xml:space="preserve">Prices in HKD with USD context. Treat thresholds as hypotheses to validate with the first 10 teachers, not fixed rules.</w:t>
      </w:r>
    </w:p>
    <w:tbl>
      <w:tblPr>
        <w:tblW w:type="dxa" w:w="9360"/>
        <w:tblBorders>
          <w:top w:val="single" w:color="D8CFBE" w:sz="2"/>
          <w:left w:val="none"/>
          <w:bottom w:val="single" w:color="D8CFBE" w:sz="2"/>
          <w:right w:val="none"/>
          <w:insideH w:val="single" w:color="D8CFBE" w:sz="1"/>
          <w:insideV w:val="single" w:color="ECE6D9" w:sz="1"/>
        </w:tblBorders>
      </w:tblPr>
      <w:tblGrid>
        <w:gridCol w:w="2100"/>
        <w:gridCol w:w="1500"/>
        <w:gridCol w:w="1760"/>
        <w:gridCol w:w="4000"/>
      </w:tblGrid>
      <w:tr>
        <w:trPr>
          <w:tblHeader/>
        </w:trPr>
        <w:tc>
          <w:tcPr>
            <w:tcW w:type="dxa" w:w="21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Plan</w:t>
            </w:r>
          </w:p>
        </w:tc>
        <w:tc>
          <w:tcPr>
            <w:tcW w:type="dxa" w:w="15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Price / mo</w:t>
            </w:r>
          </w:p>
        </w:tc>
        <w:tc>
          <w:tcPr>
            <w:tcW w:type="dxa" w:w="176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Free ceiling</w:t>
            </w:r>
          </w:p>
        </w:tc>
        <w:tc>
          <w:tcPr>
            <w:tcW w:type="dxa" w:w="40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Rationale</w:t>
            </w:r>
          </w:p>
        </w:tc>
      </w:tr>
      <w:tr>
        <w:tc>
          <w:tcPr>
            <w:tcW w:type="dxa" w:w="21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Student</w:t>
            </w:r>
          </w:p>
        </w:tc>
        <w:tc>
          <w:tcPr>
            <w:tcW w:type="dxa" w:w="1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HK$0</w:t>
            </w:r>
          </w:p>
        </w:tc>
        <w:tc>
          <w:tcPr>
            <w:tcW w:type="dxa" w:w="17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Unlimited</w:t>
            </w:r>
          </w:p>
        </w:tc>
        <w:tc>
          <w:tcPr>
            <w:tcW w:type="dxa" w:w="4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Data supply + distribution; never a revenue line</w:t>
            </w:r>
          </w:p>
        </w:tc>
      </w:tr>
      <w:tr>
        <w:tc>
          <w:tcPr>
            <w:tcW w:type="dxa" w:w="21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Teacher Free</w:t>
            </w:r>
          </w:p>
        </w:tc>
        <w:tc>
          <w:tcPr>
            <w:tcW w:type="dxa" w:w="15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HK$0</w:t>
            </w:r>
          </w:p>
        </w:tc>
        <w:tc>
          <w:tcPr>
            <w:tcW w:type="dxa" w:w="176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Up to ~30 students</w:t>
            </w:r>
          </w:p>
        </w:tc>
        <w:tc>
          <w:tcPr>
            <w:tcW w:type="dxa" w:w="40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Raised from 20 — lets teachers stay long enough to get hooked before the paywall</w:t>
            </w:r>
          </w:p>
        </w:tc>
      </w:tr>
      <w:tr>
        <w:tc>
          <w:tcPr>
            <w:tcW w:type="dxa" w:w="21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Teacher Pro</w:t>
            </w:r>
          </w:p>
        </w:tc>
        <w:tc>
          <w:tcPr>
            <w:tcW w:type="dxa" w:w="1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HK$150–230 (≈US$20–30)</w:t>
            </w:r>
          </w:p>
        </w:tc>
        <w:tc>
          <w:tcPr>
            <w:tcW w:type="dxa" w:w="17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w:t>
            </w:r>
          </w:p>
        </w:tc>
        <w:tc>
          <w:tcPr>
            <w:tcW w:type="dxa" w:w="4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Undercuts Arketa/Mindbody; unlocks booking, payments, video, analytics</w:t>
            </w:r>
          </w:p>
        </w:tc>
      </w:tr>
      <w:tr>
        <w:tc>
          <w:tcPr>
            <w:tcW w:type="dxa" w:w="21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Studio Pilot</w:t>
            </w:r>
          </w:p>
        </w:tc>
        <w:tc>
          <w:tcPr>
            <w:tcW w:type="dxa" w:w="15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HK$0 for 3 months</w:t>
            </w:r>
          </w:p>
        </w:tc>
        <w:tc>
          <w:tcPr>
            <w:tcW w:type="dxa" w:w="176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Any size, time-boxed</w:t>
            </w:r>
          </w:p>
        </w:tc>
        <w:tc>
          <w:tcPr>
            <w:tcW w:type="dxa" w:w="40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Stops studios camping on free forever; higher-touch sales need a clock</w:t>
            </w:r>
          </w:p>
        </w:tc>
      </w:tr>
      <w:tr>
        <w:tc>
          <w:tcPr>
            <w:tcW w:type="dxa" w:w="21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Studio Plan</w:t>
            </w:r>
          </w:p>
        </w:tc>
        <w:tc>
          <w:tcPr>
            <w:tcW w:type="dxa" w:w="15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HK$600–1,200 (≈US$80–150)</w:t>
            </w:r>
          </w:p>
        </w:tc>
        <w:tc>
          <w:tcPr>
            <w:tcW w:type="dxa" w:w="176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Priced on branches + booking volume</w:t>
            </w:r>
          </w:p>
        </w:tc>
        <w:tc>
          <w:tcPr>
            <w:tcW w:type="dxa" w:w="4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Seats (full/part-time teachers) as a secondary limit, not the primary lever</w:t>
            </w:r>
          </w:p>
        </w:tc>
      </w:tr>
    </w:tbl>
    <w:p>
      <w:pPr>
        <w:spacing w:after="60"/>
      </w:pPr>
    </w:p>
    <w:p>
      <w:pPr>
        <w:pStyle w:val="Heading2"/>
        <w:spacing w:after="90" w:before="220"/>
      </w:pPr>
      <w:r>
        <w:rPr>
          <w:rFonts w:ascii="Calibri" w:cs="Calibri" w:eastAsia="Calibri" w:hAnsi="Calibri"/>
          <w:b/>
          <w:bCs/>
          <w:color w:val="1A1A18"/>
          <w:sz w:val="25"/>
          <w:szCs w:val="25"/>
        </w:rPr>
        <w:t xml:space="preserve">5.3  Flat fee first, take-rate later</w:t>
      </w:r>
    </w:p>
    <w:p>
      <w:pPr>
        <w:spacing w:after="120" w:line="264"/>
      </w:pPr>
      <w:r>
        <w:rPr>
          <w:rFonts w:ascii="Calibri" w:cs="Calibri" w:eastAsia="Calibri" w:hAnsi="Calibri"/>
          <w:color w:val="1A1A18"/>
          <w:sz w:val="21"/>
          <w:szCs w:val="21"/>
        </w:rPr>
        <w:t xml:space="preserve">Competitors layer a 1–5% transaction fee on top of subscription once payments are live. Lumen has no payments infrastructure today, so start with a </w:t>
      </w:r>
      <w:r>
        <w:rPr>
          <w:rFonts w:ascii="Calibri" w:cs="Calibri" w:eastAsia="Calibri" w:hAnsi="Calibri"/>
          <w:b/>
          <w:bCs/>
          <w:color w:val="1A1A18"/>
          <w:sz w:val="21"/>
          <w:szCs w:val="21"/>
        </w:rPr>
        <w:t xml:space="preserve">flat monthly subscription only</w:t>
      </w:r>
      <w:r>
        <w:rPr>
          <w:rFonts w:ascii="Calibri" w:cs="Calibri" w:eastAsia="Calibri" w:hAnsi="Calibri"/>
          <w:color w:val="1A1A18"/>
          <w:sz w:val="21"/>
          <w:szCs w:val="21"/>
        </w:rPr>
        <w:t xml:space="preserve"> — easier to sell to skeptical small studios and far simpler to build. Add an optional low transaction take-rate (target ~1–2%, undercutting Momence) only after booking + payments actually ship and are in use.</w:t>
      </w:r>
    </w:p>
    <w:p>
      <w:pPr>
        <w:pStyle w:val="Heading2"/>
        <w:spacing w:after="90" w:before="220"/>
      </w:pPr>
      <w:r>
        <w:rPr>
          <w:rFonts w:ascii="Calibri" w:cs="Calibri" w:eastAsia="Calibri" w:hAnsi="Calibri"/>
          <w:b/>
          <w:bCs/>
          <w:color w:val="1A1A18"/>
          <w:sz w:val="25"/>
          <w:szCs w:val="25"/>
        </w:rPr>
        <w:t xml:space="preserve">5.4  Why the free/paid split is self-reinforcing</w:t>
      </w:r>
    </w:p>
    <w:p>
      <w:pPr>
        <w:pStyle w:val="ListParagraph"/>
        <w:numPr>
          <w:ilvl w:val="0"/>
          <w:numId w:val="2"/>
        </w:numPr>
        <w:spacing w:after="70" w:line="260"/>
      </w:pPr>
      <w:r>
        <w:rPr>
          <w:rFonts w:ascii="Calibri" w:cs="Calibri" w:eastAsia="Calibri" w:hAnsi="Calibri"/>
          <w:color w:val="1A1A18"/>
          <w:sz w:val="21"/>
          <w:szCs w:val="21"/>
        </w:rPr>
        <w:t xml:space="preserve">Each teacher brings 10–50 students onto the platform for free via join codes — teachers are the customer acquisition channel.</w:t>
      </w:r>
    </w:p>
    <w:p>
      <w:pPr>
        <w:pStyle w:val="ListParagraph"/>
        <w:numPr>
          <w:ilvl w:val="0"/>
          <w:numId w:val="2"/>
        </w:numPr>
        <w:spacing w:after="70" w:line="260"/>
      </w:pPr>
      <w:r>
        <w:rPr>
          <w:rFonts w:ascii="Calibri" w:cs="Calibri" w:eastAsia="Calibri" w:hAnsi="Calibri"/>
          <w:color w:val="1A1A18"/>
          <w:sz w:val="21"/>
          <w:szCs w:val="21"/>
        </w:rPr>
        <w:t xml:space="preserve">Students who feel “seen” re-book with that teacher — the paid tier literally helps the teacher retain revenue, so the fee pays for itself.</w:t>
      </w:r>
    </w:p>
    <w:p>
      <w:pPr>
        <w:pStyle w:val="ListParagraph"/>
        <w:numPr>
          <w:ilvl w:val="0"/>
          <w:numId w:val="2"/>
        </w:numPr>
        <w:spacing w:after="70" w:line="260"/>
      </w:pPr>
      <w:r>
        <w:rPr>
          <w:rFonts w:ascii="Calibri" w:cs="Calibri" w:eastAsia="Calibri" w:hAnsi="Calibri"/>
          <w:color w:val="1A1A18"/>
          <w:sz w:val="21"/>
          <w:szCs w:val="21"/>
        </w:rPr>
        <w:t xml:space="preserve">Some students later become teachers and convert — an internal upgrade funnel with zero acquisition cost.</w:t>
      </w:r>
    </w:p>
    <w:p>
      <w:pPr>
        <w:pStyle w:val="Heading1"/>
        <w:pBdr>
          <w:bottom w:val="single" w:color="C8A96E" w:sz="12" w:space="6"/>
        </w:pBdr>
        <w:spacing w:after="140" w:before="320"/>
      </w:pPr>
      <w:r>
        <w:rPr>
          <w:rFonts w:ascii="Cambria" w:cs="Cambria" w:eastAsia="Cambria" w:hAnsi="Cambria"/>
          <w:b/>
          <w:bCs/>
          <w:color w:val="A88848"/>
          <w:sz w:val="32"/>
          <w:szCs w:val="32"/>
        </w:rPr>
        <w:t xml:space="preserve">6.  Go-to-Market &amp; Marketing</w:t>
      </w:r>
    </w:p>
    <w:p>
      <w:pPr>
        <w:spacing w:after="120" w:line="264"/>
      </w:pPr>
      <w:r>
        <w:rPr>
          <w:rFonts w:ascii="Calibri" w:cs="Calibri" w:eastAsia="Calibri" w:hAnsi="Calibri"/>
          <w:color w:val="1A1A18"/>
          <w:sz w:val="21"/>
          <w:szCs w:val="21"/>
        </w:rPr>
        <w:t xml:space="preserve">Do not market to consumers — you will drown against content apps with real budgets. </w:t>
      </w:r>
      <w:r>
        <w:rPr>
          <w:rFonts w:ascii="Calibri" w:cs="Calibri" w:eastAsia="Calibri" w:hAnsi="Calibri"/>
          <w:b/>
          <w:bCs/>
          <w:color w:val="1A1A18"/>
          <w:sz w:val="21"/>
          <w:szCs w:val="21"/>
        </w:rPr>
        <w:t xml:space="preserve">Sell to teachers; students arrive via join codes.</w:t>
      </w:r>
    </w:p>
    <w:p>
      <w:pPr>
        <w:pStyle w:val="Heading2"/>
        <w:spacing w:after="90" w:before="220"/>
      </w:pPr>
      <w:r>
        <w:rPr>
          <w:rFonts w:ascii="Calibri" w:cs="Calibri" w:eastAsia="Calibri" w:hAnsi="Calibri"/>
          <w:b/>
          <w:bCs/>
          <w:color w:val="1A1A18"/>
          <w:sz w:val="25"/>
          <w:szCs w:val="25"/>
        </w:rPr>
        <w:t xml:space="preserve">Phase 1 (0 → 10 teachers): founder-led, local-first</w:t>
      </w:r>
    </w:p>
    <w:p>
      <w:pPr>
        <w:pStyle w:val="ListParagraph"/>
        <w:numPr>
          <w:ilvl w:val="0"/>
          <w:numId w:val="2"/>
        </w:numPr>
        <w:spacing w:after="70" w:line="260"/>
      </w:pPr>
      <w:r>
        <w:rPr>
          <w:rFonts w:ascii="Calibri" w:cs="Calibri" w:eastAsia="Calibri" w:hAnsi="Calibri"/>
          <w:color w:val="1A1A18"/>
          <w:sz w:val="21"/>
          <w:szCs w:val="21"/>
        </w:rPr>
        <w:t xml:space="preserve">Onboard 5–10 teachers from Agnes’s own Hong Kong network personally, free, in exchange for weekly feedback. This doubles as the retention lab.</w:t>
      </w:r>
    </w:p>
    <w:p>
      <w:pPr>
        <w:pStyle w:val="ListParagraph"/>
        <w:numPr>
          <w:ilvl w:val="0"/>
          <w:numId w:val="2"/>
        </w:numPr>
        <w:spacing w:after="70" w:line="260"/>
      </w:pPr>
      <w:r>
        <w:rPr>
          <w:rFonts w:ascii="Calibri" w:cs="Calibri" w:eastAsia="Calibri" w:hAnsi="Calibri"/>
          <w:color w:val="1A1A18"/>
          <w:sz w:val="21"/>
          <w:szCs w:val="21"/>
        </w:rPr>
        <w:t xml:space="preserve">Positioning, everywhere: not “a yoga app” but “see how your students’ bodies are actually doing between classes.” Injury-awareness is the teacher-retention pitch.</w:t>
      </w:r>
    </w:p>
    <w:p>
      <w:pPr>
        <w:pStyle w:val="Heading2"/>
        <w:spacing w:after="90" w:before="220"/>
      </w:pPr>
      <w:r>
        <w:rPr>
          <w:rFonts w:ascii="Calibri" w:cs="Calibri" w:eastAsia="Calibri" w:hAnsi="Calibri"/>
          <w:b/>
          <w:bCs/>
          <w:color w:val="1A1A18"/>
          <w:sz w:val="25"/>
          <w:szCs w:val="25"/>
        </w:rPr>
        <w:t xml:space="preserve">Phase 2 (10 → 50 teachers): earned + community channels ($0 budget)</w:t>
      </w:r>
    </w:p>
    <w:p>
      <w:pPr>
        <w:pStyle w:val="ListParagraph"/>
        <w:numPr>
          <w:ilvl w:val="0"/>
          <w:numId w:val="2"/>
        </w:numPr>
        <w:spacing w:after="70" w:line="260"/>
      </w:pPr>
      <w:r>
        <w:rPr>
          <w:rFonts w:ascii="Calibri" w:cs="Calibri" w:eastAsia="Calibri" w:hAnsi="Calibri"/>
          <w:color w:val="1A1A18"/>
          <w:sz w:val="21"/>
          <w:szCs w:val="21"/>
        </w:rPr>
        <w:t xml:space="preserve">Yoga teacher-training (RYT) cohorts — tool-hungry at exactly the right moment; offer Lumen as their practice-tracking tool.</w:t>
      </w:r>
    </w:p>
    <w:p>
      <w:pPr>
        <w:pStyle w:val="ListParagraph"/>
        <w:numPr>
          <w:ilvl w:val="0"/>
          <w:numId w:val="2"/>
        </w:numPr>
        <w:spacing w:after="70" w:line="260"/>
      </w:pPr>
      <w:r>
        <w:rPr>
          <w:rFonts w:ascii="Calibri" w:cs="Calibri" w:eastAsia="Calibri" w:hAnsi="Calibri"/>
          <w:color w:val="1A1A18"/>
          <w:sz w:val="21"/>
          <w:szCs w:val="21"/>
        </w:rPr>
        <w:t xml:space="preserve">Teacher communities and Facebook / WhatsApp groups; one well-documented case study (“Studio X cut student drop-off by …”).</w:t>
      </w:r>
    </w:p>
    <w:p>
      <w:pPr>
        <w:pStyle w:val="ListParagraph"/>
        <w:numPr>
          <w:ilvl w:val="0"/>
          <w:numId w:val="2"/>
        </w:numPr>
        <w:spacing w:after="70" w:line="260"/>
      </w:pPr>
      <w:r>
        <w:rPr>
          <w:rFonts w:ascii="Calibri" w:cs="Calibri" w:eastAsia="Calibri" w:hAnsi="Calibri"/>
          <w:color w:val="1A1A18"/>
          <w:sz w:val="21"/>
          <w:szCs w:val="21"/>
        </w:rPr>
        <w:t xml:space="preserve">Instagram content built from the body-map visuals — the anatomy screenshots are inherently shareable and on-brand.</w:t>
      </w:r>
    </w:p>
    <w:p>
      <w:pPr>
        <w:pStyle w:val="Heading2"/>
        <w:spacing w:after="90" w:before="220"/>
      </w:pPr>
      <w:r>
        <w:rPr>
          <w:rFonts w:ascii="Calibri" w:cs="Calibri" w:eastAsia="Calibri" w:hAnsi="Calibri"/>
          <w:b/>
          <w:bCs/>
          <w:color w:val="1A1A18"/>
          <w:sz w:val="25"/>
          <w:szCs w:val="25"/>
        </w:rPr>
        <w:t xml:space="preserve">Spending discipline</w:t>
      </w:r>
    </w:p>
    <w:p>
      <w:pPr>
        <w:spacing w:after="120" w:line="264"/>
      </w:pPr>
      <w:r>
        <w:rPr>
          <w:rFonts w:ascii="Calibri" w:cs="Calibri" w:eastAsia="Calibri" w:hAnsi="Calibri"/>
          <w:color w:val="1A1A18"/>
          <w:sz w:val="21"/>
          <w:szCs w:val="21"/>
        </w:rPr>
        <w:t xml:space="preserve">Do not spend on paid acquisition until Day-30 retention among linked students is measurably above ~15–20%. Below that, paid spend just rents churn (health-app D30 retention averages ~3%, so this gate matters).</w:t>
      </w:r>
    </w:p>
    <w:p>
      <w:pPr>
        <w:pStyle w:val="Heading1"/>
        <w:pBdr>
          <w:bottom w:val="single" w:color="C8A96E" w:sz="12" w:space="6"/>
        </w:pBdr>
        <w:spacing w:after="140" w:before="320"/>
      </w:pPr>
      <w:r>
        <w:rPr>
          <w:rFonts w:ascii="Cambria" w:cs="Cambria" w:eastAsia="Cambria" w:hAnsi="Cambria"/>
          <w:b/>
          <w:bCs/>
          <w:color w:val="A88848"/>
          <w:sz w:val="32"/>
          <w:szCs w:val="32"/>
        </w:rPr>
        <w:t xml:space="preserve">7.  SWOT Analysis</w:t>
      </w:r>
    </w:p>
    <w:tbl>
      <w:tblPr>
        <w:tblW w:type="dxa" w:w="9360"/>
        <w:tblBorders>
          <w:top w:val="single" w:color="D8CFBE" w:sz="2"/>
          <w:left w:val="none"/>
          <w:bottom w:val="single" w:color="D8CFBE" w:sz="2"/>
          <w:right w:val="none"/>
          <w:insideH w:val="single" w:color="D8CFBE" w:sz="1"/>
          <w:insideV w:val="single" w:color="ECE6D9" w:sz="1"/>
        </w:tblBorders>
      </w:tblPr>
      <w:tblGrid>
        <w:gridCol w:w="4680"/>
        <w:gridCol w:w="4680"/>
      </w:tblGrid>
      <w:tr>
        <w:trPr>
          <w:tblHeader/>
        </w:trPr>
        <w:tc>
          <w:tcPr>
            <w:tcW w:type="dxa" w:w="4680"/>
            <w:shd w:fill="5C7A5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Strengths</w:t>
            </w:r>
          </w:p>
        </w:tc>
        <w:tc>
          <w:tcPr>
            <w:tcW w:type="dxa" w:w="4680"/>
            <w:shd w:fill="5C7A5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Weaknesses</w:t>
            </w:r>
          </w:p>
        </w:tc>
      </w:tr>
      <w:tr>
        <w:tc>
          <w:tcPr>
            <w:tcW w:type="dxa" w:w="4680"/>
            <w:shd w:fill="FFFFFF" w:color="auto" w:val="clear"/>
            <w:tcMar>
              <w:top w:type="dxa" w:w="60"/>
              <w:left w:type="dxa" w:w="90"/>
              <w:bottom w:type="dxa" w:w="60"/>
              <w:right w:type="dxa" w:w="90"/>
            </w:tcMar>
          </w:tcPr>
          <w:p>
            <w:r>
              <w:rPr>
                <w:rFonts w:ascii="Calibri" w:cs="Calibri" w:eastAsia="Calibri" w:hAnsi="Calibri"/>
                <w:color w:val="1A1A18"/>
                <w:sz w:val="17"/>
                <w:szCs w:val="17"/>
              </w:rPr>
              <w:t xml:space="preserve">• Unique muscle-level injury / roster visibility</w:t>
            </w:r>
          </w:p>
          <w:p>
            <w:r>
              <w:rPr>
                <w:rFonts w:ascii="Calibri" w:cs="Calibri" w:eastAsia="Calibri" w:hAnsi="Calibri"/>
                <w:color w:val="1A1A18"/>
                <w:sz w:val="17"/>
                <w:szCs w:val="17"/>
              </w:rPr>
              <w:t xml:space="preserve">• Three-role consent architecture w/ real RLS privacy</w:t>
            </w:r>
          </w:p>
          <w:p>
            <w:r>
              <w:rPr>
                <w:rFonts w:ascii="Calibri" w:cs="Calibri" w:eastAsia="Calibri" w:hAnsi="Calibri"/>
                <w:color w:val="1A1A18"/>
                <w:sz w:val="17"/>
                <w:szCs w:val="17"/>
              </w:rPr>
              <w:t xml:space="preserve">• Near-zero run cost (~US$0 beta → ~US$110/mo @1k users)</w:t>
            </w:r>
          </w:p>
          <w:p>
            <w:r>
              <w:rPr>
                <w:rFonts w:ascii="Calibri" w:cs="Calibri" w:eastAsia="Calibri" w:hAnsi="Calibri"/>
                <w:color w:val="1A1A18"/>
                <w:sz w:val="17"/>
                <w:szCs w:val="17"/>
              </w:rPr>
              <w:t xml:space="preserve">• Coherent premium brand; Cantonese-first plan</w:t>
            </w:r>
          </w:p>
        </w:tc>
        <w:tc>
          <w:tcPr>
            <w:tcW w:type="dxa" w:w="4680"/>
            <w:shd w:fill="FFFFFF" w:color="auto" w:val="clear"/>
            <w:tcMar>
              <w:top w:type="dxa" w:w="60"/>
              <w:left w:type="dxa" w:w="90"/>
              <w:bottom w:type="dxa" w:w="60"/>
              <w:right w:type="dxa" w:w="90"/>
            </w:tcMar>
          </w:tcPr>
          <w:p>
            <w:r>
              <w:rPr>
                <w:rFonts w:ascii="Calibri" w:cs="Calibri" w:eastAsia="Calibri" w:hAnsi="Calibri"/>
                <w:color w:val="1A1A18"/>
                <w:sz w:val="17"/>
                <w:szCs w:val="17"/>
              </w:rPr>
              <w:t xml:space="preserve">• No monetization or payments built yet</w:t>
            </w:r>
          </w:p>
          <w:p>
            <w:r>
              <w:rPr>
                <w:rFonts w:ascii="Calibri" w:cs="Calibri" w:eastAsia="Calibri" w:hAnsi="Calibri"/>
                <w:color w:val="1A1A18"/>
                <w:sz w:val="17"/>
                <w:szCs w:val="17"/>
              </w:rPr>
              <w:t xml:space="preserve">• No validated users / retention data</w:t>
            </w:r>
          </w:p>
          <w:p>
            <w:r>
              <w:rPr>
                <w:rFonts w:ascii="Calibri" w:cs="Calibri" w:eastAsia="Calibri" w:hAnsi="Calibri"/>
                <w:color w:val="1A1A18"/>
                <w:sz w:val="17"/>
                <w:szCs w:val="17"/>
              </w:rPr>
              <w:t xml:space="preserve">• Web-only → push-notification / retention handicap</w:t>
            </w:r>
          </w:p>
          <w:p>
            <w:r>
              <w:rPr>
                <w:rFonts w:ascii="Calibri" w:cs="Calibri" w:eastAsia="Calibri" w:hAnsi="Calibri"/>
                <w:color w:val="1A1A18"/>
                <w:sz w:val="17"/>
                <w:szCs w:val="17"/>
              </w:rPr>
              <w:t xml:space="preserve">• Solo founder; manual DB migrations = bus-factor risk</w:t>
            </w:r>
          </w:p>
        </w:tc>
      </w:tr>
    </w:tbl>
    <w:p>
      <w:pPr>
        <w:spacing w:after="40"/>
      </w:pPr>
    </w:p>
    <w:tbl>
      <w:tblPr>
        <w:tblW w:type="dxa" w:w="9360"/>
        <w:tblBorders>
          <w:top w:val="single" w:color="D8CFBE" w:sz="2"/>
          <w:left w:val="none"/>
          <w:bottom w:val="single" w:color="D8CFBE" w:sz="2"/>
          <w:right w:val="none"/>
          <w:insideH w:val="single" w:color="D8CFBE" w:sz="1"/>
          <w:insideV w:val="single" w:color="ECE6D9" w:sz="1"/>
        </w:tblBorders>
      </w:tblPr>
      <w:tblGrid>
        <w:gridCol w:w="4680"/>
        <w:gridCol w:w="4680"/>
      </w:tblGrid>
      <w:tr>
        <w:trPr>
          <w:tblHeader/>
        </w:trPr>
        <w:tc>
          <w:tcPr>
            <w:tcW w:type="dxa" w:w="4680"/>
            <w:shd w:fill="C77F4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Opportunities</w:t>
            </w:r>
          </w:p>
        </w:tc>
        <w:tc>
          <w:tcPr>
            <w:tcW w:type="dxa" w:w="4680"/>
            <w:shd w:fill="C77F4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Threats</w:t>
            </w:r>
          </w:p>
        </w:tc>
      </w:tr>
      <w:tr>
        <w:tc>
          <w:tcPr>
            <w:tcW w:type="dxa" w:w="4680"/>
            <w:shd w:fill="FFFFFF" w:color="auto" w:val="clear"/>
            <w:tcMar>
              <w:top w:type="dxa" w:w="60"/>
              <w:left w:type="dxa" w:w="90"/>
              <w:bottom w:type="dxa" w:w="60"/>
              <w:right w:type="dxa" w:w="90"/>
            </w:tcMar>
          </w:tcPr>
          <w:p>
            <w:r>
              <w:rPr>
                <w:rFonts w:ascii="Calibri" w:cs="Calibri" w:eastAsia="Calibri" w:hAnsi="Calibri"/>
                <w:color w:val="1A1A18"/>
                <w:sz w:val="17"/>
                <w:szCs w:val="17"/>
              </w:rPr>
              <w:t xml:space="preserve">• Teacher-led B2B2C wedge into US$2.7B niche</w:t>
            </w:r>
          </w:p>
          <w:p>
            <w:r>
              <w:rPr>
                <w:rFonts w:ascii="Calibri" w:cs="Calibri" w:eastAsia="Calibri" w:hAnsi="Calibri"/>
                <w:color w:val="1A1A18"/>
                <w:sz w:val="17"/>
                <w:szCs w:val="17"/>
              </w:rPr>
              <w:t xml:space="preserve">• Injury-prevention / teacher-liability angle later</w:t>
            </w:r>
          </w:p>
          <w:p>
            <w:r>
              <w:rPr>
                <w:rFonts w:ascii="Calibri" w:cs="Calibri" w:eastAsia="Calibri" w:hAnsi="Calibri"/>
                <w:color w:val="1A1A18"/>
                <w:sz w:val="17"/>
                <w:szCs w:val="17"/>
              </w:rPr>
              <w:t xml:space="preserve">• HK / Asia Cantonese-first gap</w:t>
            </w:r>
          </w:p>
          <w:p>
            <w:r>
              <w:rPr>
                <w:rFonts w:ascii="Calibri" w:cs="Calibri" w:eastAsia="Calibri" w:hAnsi="Calibri"/>
                <w:color w:val="1A1A18"/>
                <w:sz w:val="17"/>
                <w:szCs w:val="17"/>
              </w:rPr>
              <w:t xml:space="preserve">• Documented “Mindbody fatigue” switching driver</w:t>
            </w:r>
          </w:p>
        </w:tc>
        <w:tc>
          <w:tcPr>
            <w:tcW w:type="dxa" w:w="4680"/>
            <w:shd w:fill="FFFFFF" w:color="auto" w:val="clear"/>
            <w:tcMar>
              <w:top w:type="dxa" w:w="60"/>
              <w:left w:type="dxa" w:w="90"/>
              <w:bottom w:type="dxa" w:w="60"/>
              <w:right w:type="dxa" w:w="90"/>
            </w:tcMar>
          </w:tcPr>
          <w:p>
            <w:r>
              <w:rPr>
                <w:rFonts w:ascii="Calibri" w:cs="Calibri" w:eastAsia="Calibri" w:hAnsi="Calibri"/>
                <w:color w:val="1A1A18"/>
                <w:sz w:val="17"/>
                <w:szCs w:val="17"/>
              </w:rPr>
              <w:t xml:space="preserve">• Momence/Arketa could add a “student journal”</w:t>
            </w:r>
          </w:p>
          <w:p>
            <w:r>
              <w:rPr>
                <w:rFonts w:ascii="Calibri" w:cs="Calibri" w:eastAsia="Calibri" w:hAnsi="Calibri"/>
                <w:color w:val="1A1A18"/>
                <w:sz w:val="17"/>
                <w:szCs w:val="17"/>
              </w:rPr>
              <w:t xml:space="preserve">• Consumer attention owned by content apps</w:t>
            </w:r>
          </w:p>
          <w:p>
            <w:r>
              <w:rPr>
                <w:rFonts w:ascii="Calibri" w:cs="Calibri" w:eastAsia="Calibri" w:hAnsi="Calibri"/>
                <w:color w:val="1A1A18"/>
                <w:sz w:val="17"/>
                <w:szCs w:val="17"/>
              </w:rPr>
              <w:t xml:space="preserve">• Health-data regulatory exposure as injury data grows</w:t>
            </w:r>
          </w:p>
          <w:p>
            <w:r>
              <w:rPr>
                <w:rFonts w:ascii="Calibri" w:cs="Calibri" w:eastAsia="Calibri" w:hAnsi="Calibri"/>
                <w:color w:val="1A1A18"/>
                <w:sz w:val="17"/>
                <w:szCs w:val="17"/>
              </w:rPr>
              <w:t xml:space="preserve">• Founder burnout / bus factor; platform dependency</w:t>
            </w:r>
          </w:p>
        </w:tc>
      </w:tr>
    </w:tbl>
    <w:p>
      <w:pPr>
        <w:pStyle w:val="Heading1"/>
        <w:pBdr>
          <w:bottom w:val="single" w:color="C8A96E" w:sz="12" w:space="6"/>
        </w:pBdr>
        <w:spacing w:after="140" w:before="320"/>
      </w:pPr>
      <w:r>
        <w:rPr>
          <w:rFonts w:ascii="Cambria" w:cs="Cambria" w:eastAsia="Cambria" w:hAnsi="Cambria"/>
          <w:b/>
          <w:bCs/>
          <w:color w:val="A88848"/>
          <w:sz w:val="32"/>
          <w:szCs w:val="32"/>
        </w:rPr>
        <w:t xml:space="preserve">8.  Operations &amp; Technology</w:t>
      </w:r>
    </w:p>
    <w:p>
      <w:pPr>
        <w:pStyle w:val="Heading2"/>
        <w:spacing w:after="90" w:before="220"/>
      </w:pPr>
      <w:r>
        <w:rPr>
          <w:rFonts w:ascii="Calibri" w:cs="Calibri" w:eastAsia="Calibri" w:hAnsi="Calibri"/>
          <w:b/>
          <w:bCs/>
          <w:color w:val="1A1A18"/>
          <w:sz w:val="25"/>
          <w:szCs w:val="25"/>
        </w:rPr>
        <w:t xml:space="preserve">Stack &amp; cost curve</w:t>
      </w:r>
    </w:p>
    <w:p>
      <w:pPr>
        <w:pStyle w:val="ListParagraph"/>
        <w:numPr>
          <w:ilvl w:val="0"/>
          <w:numId w:val="2"/>
        </w:numPr>
        <w:spacing w:after="70" w:line="260"/>
      </w:pPr>
      <w:r>
        <w:rPr>
          <w:rFonts w:ascii="Calibri" w:cs="Calibri" w:eastAsia="Calibri" w:hAnsi="Calibri"/>
          <w:b/>
          <w:bCs/>
          <w:color w:val="1A1A18"/>
          <w:sz w:val="21"/>
          <w:szCs w:val="21"/>
        </w:rPr>
        <w:t xml:space="preserve">Frontend: </w:t>
      </w:r>
      <w:r>
        <w:rPr>
          <w:rFonts w:ascii="Calibri" w:cs="Calibri" w:eastAsia="Calibri" w:hAnsi="Calibri"/>
          <w:color w:val="1A1A18"/>
          <w:sz w:val="21"/>
          <w:szCs w:val="21"/>
        </w:rPr>
        <w:t xml:space="preserve">static single-file HTML/CSS/JS on Vercel — no build step, auto-deploy on push.</w:t>
      </w:r>
    </w:p>
    <w:p>
      <w:pPr>
        <w:pStyle w:val="ListParagraph"/>
        <w:numPr>
          <w:ilvl w:val="0"/>
          <w:numId w:val="2"/>
        </w:numPr>
        <w:spacing w:after="70" w:line="260"/>
      </w:pPr>
      <w:r>
        <w:rPr>
          <w:rFonts w:ascii="Calibri" w:cs="Calibri" w:eastAsia="Calibri" w:hAnsi="Calibri"/>
          <w:b/>
          <w:bCs/>
          <w:color w:val="1A1A18"/>
          <w:sz w:val="21"/>
          <w:szCs w:val="21"/>
        </w:rPr>
        <w:t xml:space="preserve">Backend: </w:t>
      </w:r>
      <w:r>
        <w:rPr>
          <w:rFonts w:ascii="Calibri" w:cs="Calibri" w:eastAsia="Calibri" w:hAnsi="Calibri"/>
          <w:color w:val="1A1A18"/>
          <w:sz w:val="21"/>
          <w:szCs w:val="21"/>
        </w:rPr>
        <w:t xml:space="preserve">Supabase (Postgres + RLS, Auth, Realtime, Storage), Tokyo region; Mux for video.</w:t>
      </w:r>
    </w:p>
    <w:p>
      <w:pPr>
        <w:pStyle w:val="ListParagraph"/>
        <w:numPr>
          <w:ilvl w:val="0"/>
          <w:numId w:val="2"/>
        </w:numPr>
        <w:spacing w:after="70" w:line="260"/>
      </w:pPr>
      <w:r>
        <w:rPr>
          <w:rFonts w:ascii="Calibri" w:cs="Calibri" w:eastAsia="Calibri" w:hAnsi="Calibri"/>
          <w:b/>
          <w:bCs/>
          <w:color w:val="1A1A18"/>
          <w:sz w:val="21"/>
          <w:szCs w:val="21"/>
        </w:rPr>
        <w:t xml:space="preserve">Cost: </w:t>
      </w:r>
      <w:r>
        <w:rPr>
          <w:rFonts w:ascii="Calibri" w:cs="Calibri" w:eastAsia="Calibri" w:hAnsi="Calibri"/>
          <w:color w:val="1A1A18"/>
          <w:sz w:val="21"/>
          <w:szCs w:val="21"/>
        </w:rPr>
        <w:t xml:space="preserve">~US$0/month at beta (free tiers) → ~US$110/month at ~1,000 active users including paid Supabase, Vercel and Mux delivery.</w:t>
      </w:r>
    </w:p>
    <w:p>
      <w:pPr>
        <w:pStyle w:val="Heading2"/>
        <w:spacing w:after="90" w:before="220"/>
      </w:pPr>
      <w:r>
        <w:rPr>
          <w:rFonts w:ascii="Calibri" w:cs="Calibri" w:eastAsia="Calibri" w:hAnsi="Calibri"/>
          <w:b/>
          <w:bCs/>
          <w:color w:val="1A1A18"/>
          <w:sz w:val="25"/>
          <w:szCs w:val="25"/>
        </w:rPr>
        <w:t xml:space="preserve">Operational risks to fix before real studios onboard</w:t>
      </w:r>
    </w:p>
    <w:p>
      <w:pPr>
        <w:pStyle w:val="ListParagraph"/>
        <w:numPr>
          <w:ilvl w:val="0"/>
          <w:numId w:val="2"/>
        </w:numPr>
        <w:spacing w:after="70" w:line="260"/>
      </w:pPr>
      <w:r>
        <w:rPr>
          <w:rFonts w:ascii="Calibri" w:cs="Calibri" w:eastAsia="Calibri" w:hAnsi="Calibri"/>
          <w:color w:val="1A1A18"/>
          <w:sz w:val="21"/>
          <w:szCs w:val="21"/>
        </w:rPr>
        <w:t xml:space="preserve">Manual, hand-run SQL migrations against production Supabase — one wrong run is the worst-case scenario. </w:t>
      </w:r>
      <w:r>
        <w:rPr>
          <w:rFonts w:ascii="Calibri" w:cs="Calibri" w:eastAsia="Calibri" w:hAnsi="Calibri"/>
          <w:b/>
          <w:bCs/>
          <w:color w:val="1A1A18"/>
          <w:sz w:val="21"/>
          <w:szCs w:val="21"/>
        </w:rPr>
        <w:t xml:space="preserve">Add a staging project.</w:t>
      </w:r>
    </w:p>
    <w:p>
      <w:pPr>
        <w:pStyle w:val="ListParagraph"/>
        <w:numPr>
          <w:ilvl w:val="0"/>
          <w:numId w:val="2"/>
        </w:numPr>
        <w:spacing w:after="70" w:line="260"/>
      </w:pPr>
      <w:r>
        <w:rPr>
          <w:rFonts w:ascii="Calibri" w:cs="Calibri" w:eastAsia="Calibri" w:hAnsi="Calibri"/>
          <w:color w:val="1A1A18"/>
          <w:sz w:val="21"/>
          <w:szCs w:val="21"/>
        </w:rPr>
        <w:t xml:space="preserve">No analytics instrumentation — retention cannot currently be measured. </w:t>
      </w:r>
      <w:r>
        <w:rPr>
          <w:rFonts w:ascii="Calibri" w:cs="Calibri" w:eastAsia="Calibri" w:hAnsi="Calibri"/>
          <w:b/>
          <w:bCs/>
          <w:color w:val="1A1A18"/>
          <w:sz w:val="21"/>
          <w:szCs w:val="21"/>
        </w:rPr>
        <w:t xml:space="preserve">Add event tracking now.</w:t>
      </w:r>
    </w:p>
    <w:p>
      <w:pPr>
        <w:pStyle w:val="ListParagraph"/>
        <w:numPr>
          <w:ilvl w:val="0"/>
          <w:numId w:val="2"/>
        </w:numPr>
        <w:spacing w:after="70" w:line="260"/>
      </w:pPr>
      <w:r>
        <w:rPr>
          <w:rFonts w:ascii="Calibri" w:cs="Calibri" w:eastAsia="Calibri" w:hAnsi="Calibri"/>
          <w:color w:val="1A1A18"/>
          <w:sz w:val="21"/>
          <w:szCs w:val="21"/>
        </w:rPr>
        <w:t xml:space="preserve">Bus factor of one. Document the migration sequence and runbook; it is the single point of failure.</w:t>
      </w:r>
    </w:p>
    <w:p>
      <w:pPr>
        <w:pStyle w:val="ListParagraph"/>
        <w:numPr>
          <w:ilvl w:val="0"/>
          <w:numId w:val="2"/>
        </w:numPr>
        <w:spacing w:after="70" w:line="260"/>
      </w:pPr>
      <w:r>
        <w:rPr>
          <w:rFonts w:ascii="Calibri" w:cs="Calibri" w:eastAsia="Calibri" w:hAnsi="Calibri"/>
          <w:color w:val="1A1A18"/>
          <w:sz w:val="21"/>
          <w:szCs w:val="21"/>
        </w:rPr>
        <w:t xml:space="preserve">Architecture ceiling: the zero-build model is excellent now but will strain when booking, payments and native-grade notifications land. Plan a measured migration path, not a rewrite.</w:t>
      </w:r>
    </w:p>
    <w:p>
      <w:pPr>
        <w:pStyle w:val="Heading1"/>
        <w:pBdr>
          <w:bottom w:val="single" w:color="C8A96E" w:sz="12" w:space="6"/>
        </w:pBdr>
        <w:spacing w:after="140" w:before="320"/>
      </w:pPr>
      <w:r>
        <w:rPr>
          <w:rFonts w:ascii="Cambria" w:cs="Cambria" w:eastAsia="Cambria" w:hAnsi="Cambria"/>
          <w:b/>
          <w:bCs/>
          <w:color w:val="A88848"/>
          <w:sz w:val="32"/>
          <w:szCs w:val="32"/>
        </w:rPr>
        <w:t xml:space="preserve">9.  Financial Projections (Illustrative)</w:t>
      </w:r>
    </w:p>
    <w:p>
      <w:pPr>
        <w:spacing w:after="120" w:line="264"/>
      </w:pPr>
      <w:r>
        <w:rPr>
          <w:rFonts w:ascii="Calibri" w:cs="Calibri" w:eastAsia="Calibri" w:hAnsi="Calibri"/>
          <w:color w:val="1A1A18"/>
          <w:sz w:val="21"/>
          <w:szCs w:val="21"/>
        </w:rPr>
        <w:t xml:space="preserve">Bottom-up and deliberately conservative. Assumes Teacher Pro at ~HK$190/mo blended and modest studio revenue. These are planning milestones, not forecasts.</w:t>
      </w:r>
    </w:p>
    <w:tbl>
      <w:tblPr>
        <w:tblW w:type="dxa" w:w="9360"/>
        <w:tblBorders>
          <w:top w:val="single" w:color="D8CFBE" w:sz="2"/>
          <w:left w:val="none"/>
          <w:bottom w:val="single" w:color="D8CFBE" w:sz="2"/>
          <w:right w:val="none"/>
          <w:insideH w:val="single" w:color="D8CFBE" w:sz="1"/>
          <w:insideV w:val="single" w:color="ECE6D9" w:sz="1"/>
        </w:tblBorders>
      </w:tblPr>
      <w:tblGrid>
        <w:gridCol w:w="2400"/>
        <w:gridCol w:w="1560"/>
        <w:gridCol w:w="1800"/>
        <w:gridCol w:w="1800"/>
        <w:gridCol w:w="1800"/>
      </w:tblGrid>
      <w:tr>
        <w:trPr>
          <w:tblHeader/>
        </w:trPr>
        <w:tc>
          <w:tcPr>
            <w:tcW w:type="dxa" w:w="24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Milestone</w:t>
            </w:r>
          </w:p>
        </w:tc>
        <w:tc>
          <w:tcPr>
            <w:tcW w:type="dxa" w:w="156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Paying teachers</w:t>
            </w:r>
          </w:p>
        </w:tc>
        <w:tc>
          <w:tcPr>
            <w:tcW w:type="dxa" w:w="18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Studios</w:t>
            </w:r>
          </w:p>
        </w:tc>
        <w:tc>
          <w:tcPr>
            <w:tcW w:type="dxa" w:w="18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Est. MRR (HK$)</w:t>
            </w:r>
          </w:p>
        </w:tc>
        <w:tc>
          <w:tcPr>
            <w:tcW w:type="dxa" w:w="1800"/>
            <w:shd w:fill="111110"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State</w:t>
            </w:r>
          </w:p>
        </w:tc>
      </w:tr>
      <w:tr>
        <w:tc>
          <w:tcPr>
            <w:tcW w:type="dxa" w:w="24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Validation</w:t>
            </w:r>
          </w:p>
        </w:tc>
        <w:tc>
          <w:tcPr>
            <w:tcW w:type="dxa" w:w="1560"/>
            <w:shd w:fill="FFFFFF"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0</w:t>
            </w:r>
          </w:p>
        </w:tc>
        <w:tc>
          <w:tcPr>
            <w:tcW w:type="dxa" w:w="1800"/>
            <w:shd w:fill="FFFFFF"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0</w:t>
            </w:r>
          </w:p>
        </w:tc>
        <w:tc>
          <w:tcPr>
            <w:tcW w:type="dxa" w:w="1800"/>
            <w:shd w:fill="FFFFFF" w:color="auto" w:val="clear"/>
            <w:tcMar>
              <w:top w:type="dxa" w:w="60"/>
              <w:left w:type="dxa" w:w="90"/>
              <w:bottom w:type="dxa" w:w="60"/>
              <w:right w:type="dxa" w:w="90"/>
            </w:tcMar>
          </w:tcPr>
          <w:p>
            <w:pPr>
              <w:spacing w:after="20" w:line="240"/>
              <w:jc w:val="right"/>
            </w:pPr>
            <w:r>
              <w:rPr>
                <w:rFonts w:ascii="Calibri" w:cs="Calibri" w:eastAsia="Calibri" w:hAnsi="Calibri"/>
                <w:color w:val="1A1A18"/>
                <w:sz w:val="17"/>
                <w:szCs w:val="17"/>
              </w:rPr>
              <w:t xml:space="preserve">$0</w:t>
            </w:r>
          </w:p>
        </w:tc>
        <w:tc>
          <w:tcPr>
            <w:tcW w:type="dxa" w:w="18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Free pilots, retention lab</w:t>
            </w:r>
          </w:p>
        </w:tc>
      </w:tr>
      <w:tr>
        <w:tc>
          <w:tcPr>
            <w:tcW w:type="dxa" w:w="24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First revenue</w:t>
            </w:r>
          </w:p>
        </w:tc>
        <w:tc>
          <w:tcPr>
            <w:tcW w:type="dxa" w:w="1560"/>
            <w:shd w:fill="F7F4EE"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10</w:t>
            </w:r>
          </w:p>
        </w:tc>
        <w:tc>
          <w:tcPr>
            <w:tcW w:type="dxa" w:w="1800"/>
            <w:shd w:fill="F7F4EE"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0–1</w:t>
            </w:r>
          </w:p>
        </w:tc>
        <w:tc>
          <w:tcPr>
            <w:tcW w:type="dxa" w:w="1800"/>
            <w:shd w:fill="F7F4EE" w:color="auto" w:val="clear"/>
            <w:tcMar>
              <w:top w:type="dxa" w:w="60"/>
              <w:left w:type="dxa" w:w="90"/>
              <w:bottom w:type="dxa" w:w="60"/>
              <w:right w:type="dxa" w:w="90"/>
            </w:tcMar>
          </w:tcPr>
          <w:p>
            <w:pPr>
              <w:spacing w:after="20" w:line="240"/>
              <w:jc w:val="right"/>
            </w:pPr>
            <w:r>
              <w:rPr>
                <w:rFonts w:ascii="Calibri" w:cs="Calibri" w:eastAsia="Calibri" w:hAnsi="Calibri"/>
                <w:color w:val="1A1A18"/>
                <w:sz w:val="17"/>
                <w:szCs w:val="17"/>
              </w:rPr>
              <w:t xml:space="preserve">~$2,000</w:t>
            </w:r>
          </w:p>
        </w:tc>
        <w:tc>
          <w:tcPr>
            <w:tcW w:type="dxa" w:w="18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Proof of willingness-to-pay</w:t>
            </w:r>
          </w:p>
        </w:tc>
      </w:tr>
      <w:tr>
        <w:tc>
          <w:tcPr>
            <w:tcW w:type="dxa" w:w="24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Break-even (infra + tools)</w:t>
            </w:r>
          </w:p>
        </w:tc>
        <w:tc>
          <w:tcPr>
            <w:tcW w:type="dxa" w:w="1560"/>
            <w:shd w:fill="FFFFFF"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50</w:t>
            </w:r>
          </w:p>
        </w:tc>
        <w:tc>
          <w:tcPr>
            <w:tcW w:type="dxa" w:w="1800"/>
            <w:shd w:fill="FFFFFF"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1–2</w:t>
            </w:r>
          </w:p>
        </w:tc>
        <w:tc>
          <w:tcPr>
            <w:tcW w:type="dxa" w:w="1800"/>
            <w:shd w:fill="FFFFFF" w:color="auto" w:val="clear"/>
            <w:tcMar>
              <w:top w:type="dxa" w:w="60"/>
              <w:left w:type="dxa" w:w="90"/>
              <w:bottom w:type="dxa" w:w="60"/>
              <w:right w:type="dxa" w:w="90"/>
            </w:tcMar>
          </w:tcPr>
          <w:p>
            <w:pPr>
              <w:spacing w:after="20" w:line="240"/>
              <w:jc w:val="right"/>
            </w:pPr>
            <w:r>
              <w:rPr>
                <w:rFonts w:ascii="Calibri" w:cs="Calibri" w:eastAsia="Calibri" w:hAnsi="Calibri"/>
                <w:color w:val="1A1A18"/>
                <w:sz w:val="17"/>
                <w:szCs w:val="17"/>
              </w:rPr>
              <w:t xml:space="preserve">~$9,000–11,000</w:t>
            </w:r>
          </w:p>
        </w:tc>
        <w:tc>
          <w:tcPr>
            <w:tcW w:type="dxa" w:w="18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Ramen-sustainable</w:t>
            </w:r>
          </w:p>
        </w:tc>
      </w:tr>
      <w:tr>
        <w:tc>
          <w:tcPr>
            <w:tcW w:type="dxa" w:w="24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Side-business profitable</w:t>
            </w:r>
          </w:p>
        </w:tc>
        <w:tc>
          <w:tcPr>
            <w:tcW w:type="dxa" w:w="1560"/>
            <w:shd w:fill="F7F4EE"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200</w:t>
            </w:r>
          </w:p>
        </w:tc>
        <w:tc>
          <w:tcPr>
            <w:tcW w:type="dxa" w:w="1800"/>
            <w:shd w:fill="F7F4EE" w:color="auto" w:val="clear"/>
            <w:tcMar>
              <w:top w:type="dxa" w:w="60"/>
              <w:left w:type="dxa" w:w="90"/>
              <w:bottom w:type="dxa" w:w="60"/>
              <w:right w:type="dxa" w:w="90"/>
            </w:tcMar>
          </w:tcPr>
          <w:p>
            <w:pPr>
              <w:spacing w:after="20" w:line="240"/>
              <w:jc w:val="center"/>
            </w:pPr>
            <w:r>
              <w:rPr>
                <w:rFonts w:ascii="Calibri" w:cs="Calibri" w:eastAsia="Calibri" w:hAnsi="Calibri"/>
                <w:color w:val="1A1A18"/>
                <w:sz w:val="17"/>
                <w:szCs w:val="17"/>
              </w:rPr>
              <w:t xml:space="preserve">3–5</w:t>
            </w:r>
          </w:p>
        </w:tc>
        <w:tc>
          <w:tcPr>
            <w:tcW w:type="dxa" w:w="1800"/>
            <w:shd w:fill="F7F4EE" w:color="auto" w:val="clear"/>
            <w:tcMar>
              <w:top w:type="dxa" w:w="60"/>
              <w:left w:type="dxa" w:w="90"/>
              <w:bottom w:type="dxa" w:w="60"/>
              <w:right w:type="dxa" w:w="90"/>
            </w:tcMar>
          </w:tcPr>
          <w:p>
            <w:pPr>
              <w:spacing w:after="20" w:line="240"/>
              <w:jc w:val="right"/>
            </w:pPr>
            <w:r>
              <w:rPr>
                <w:rFonts w:ascii="Calibri" w:cs="Calibri" w:eastAsia="Calibri" w:hAnsi="Calibri"/>
                <w:color w:val="1A1A18"/>
                <w:sz w:val="17"/>
                <w:szCs w:val="17"/>
              </w:rPr>
              <w:t xml:space="preserve">~$40,000+</w:t>
            </w:r>
          </w:p>
        </w:tc>
        <w:tc>
          <w:tcPr>
            <w:tcW w:type="dxa" w:w="18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7"/>
                <w:szCs w:val="17"/>
              </w:rPr>
              <w:t xml:space="preserve">Reinvest / part-time team</w:t>
            </w:r>
          </w:p>
        </w:tc>
      </w:tr>
    </w:tbl>
    <w:p>
      <w:pPr>
        <w:spacing w:after="60"/>
      </w:pPr>
    </w:p>
    <w:p>
      <w:pPr>
        <w:spacing w:after="120" w:line="264"/>
      </w:pPr>
      <w:r>
        <w:rPr>
          <w:rFonts w:ascii="Calibri" w:cs="Calibri" w:eastAsia="Calibri" w:hAnsi="Calibri"/>
          <w:b/>
          <w:bCs/>
          <w:color w:val="1A1A18"/>
          <w:sz w:val="21"/>
          <w:szCs w:val="21"/>
        </w:rPr>
        <w:t xml:space="preserve">The key insight: </w:t>
      </w:r>
      <w:r>
        <w:rPr>
          <w:rFonts w:ascii="Calibri" w:cs="Calibri" w:eastAsia="Calibri" w:hAnsi="Calibri"/>
          <w:color w:val="1A1A18"/>
          <w:sz w:val="21"/>
          <w:szCs w:val="21"/>
        </w:rPr>
        <w:t xml:space="preserve">break-even needs ~50 paying teachers, achievable inside Hong Kong alone. This business does not require winning a global market to be sustainable — it requires proving the teacher-conversion loop in one dense city first.</w:t>
      </w:r>
    </w:p>
    <w:p>
      <w:pPr>
        <w:pStyle w:val="Heading1"/>
        <w:pBdr>
          <w:bottom w:val="single" w:color="C8A96E" w:sz="12" w:space="6"/>
        </w:pBdr>
        <w:spacing w:after="140" w:before="320"/>
      </w:pPr>
      <w:r>
        <w:rPr>
          <w:rFonts w:ascii="Cambria" w:cs="Cambria" w:eastAsia="Cambria" w:hAnsi="Cambria"/>
          <w:b/>
          <w:bCs/>
          <w:color w:val="A88848"/>
          <w:sz w:val="32"/>
          <w:szCs w:val="32"/>
        </w:rPr>
        <w:t xml:space="preserve">10.  Roadmap &amp; Sequencing</w:t>
      </w:r>
    </w:p>
    <w:p>
      <w:pPr>
        <w:spacing w:after="120" w:line="264"/>
      </w:pPr>
      <w:r>
        <w:rPr>
          <w:rFonts w:ascii="Calibri" w:cs="Calibri" w:eastAsia="Calibri" w:hAnsi="Calibri"/>
          <w:color w:val="1A1A18"/>
          <w:sz w:val="21"/>
          <w:szCs w:val="21"/>
        </w:rPr>
        <w:t xml:space="preserve">The single biggest risk is a beautifully engineered product nobody has validated. Sequence accordingly:</w:t>
      </w:r>
    </w:p>
    <w:p>
      <w:pPr>
        <w:pStyle w:val="ListParagraph"/>
        <w:numPr>
          <w:ilvl w:val="0"/>
          <w:numId w:val="3"/>
        </w:numPr>
        <w:spacing w:after="80" w:line="260"/>
      </w:pPr>
      <w:r>
        <w:rPr>
          <w:rFonts w:ascii="Calibri" w:cs="Calibri" w:eastAsia="Calibri" w:hAnsi="Calibri"/>
          <w:b/>
          <w:bCs/>
          <w:color w:val="1A1A18"/>
          <w:sz w:val="21"/>
          <w:szCs w:val="21"/>
        </w:rPr>
        <w:t xml:space="preserve">Validate first. </w:t>
      </w:r>
      <w:r>
        <w:rPr>
          <w:rFonts w:ascii="Calibri" w:cs="Calibri" w:eastAsia="Calibri" w:hAnsi="Calibri"/>
          <w:color w:val="1A1A18"/>
          <w:sz w:val="21"/>
          <w:szCs w:val="21"/>
        </w:rPr>
        <w:t xml:space="preserve">Get 10 real teachers actively using the free product. Pause new feature work (M4–M8) until this is real.</w:t>
      </w:r>
    </w:p>
    <w:p>
      <w:pPr>
        <w:pStyle w:val="ListParagraph"/>
        <w:numPr>
          <w:ilvl w:val="0"/>
          <w:numId w:val="3"/>
        </w:numPr>
        <w:spacing w:after="80" w:line="260"/>
      </w:pPr>
      <w:r>
        <w:rPr>
          <w:rFonts w:ascii="Calibri" w:cs="Calibri" w:eastAsia="Calibri" w:hAnsi="Calibri"/>
          <w:b/>
          <w:bCs/>
          <w:color w:val="1A1A18"/>
          <w:sz w:val="21"/>
          <w:szCs w:val="21"/>
        </w:rPr>
        <w:t xml:space="preserve">Instrument analytics. </w:t>
      </w:r>
      <w:r>
        <w:rPr>
          <w:rFonts w:ascii="Calibri" w:cs="Calibri" w:eastAsia="Calibri" w:hAnsi="Calibri"/>
          <w:color w:val="1A1A18"/>
          <w:sz w:val="21"/>
          <w:szCs w:val="21"/>
        </w:rPr>
        <w:t xml:space="preserve">You cannot state D7/D30 retention today — this is the metric the category lives or dies on. Fix before spending a dollar on growth.</w:t>
      </w:r>
    </w:p>
    <w:p>
      <w:pPr>
        <w:pStyle w:val="ListParagraph"/>
        <w:numPr>
          <w:ilvl w:val="0"/>
          <w:numId w:val="3"/>
        </w:numPr>
        <w:spacing w:after="80" w:line="260"/>
      </w:pPr>
      <w:r>
        <w:rPr>
          <w:rFonts w:ascii="Calibri" w:cs="Calibri" w:eastAsia="Calibri" w:hAnsi="Calibri"/>
          <w:b/>
          <w:bCs/>
          <w:color w:val="1A1A18"/>
          <w:sz w:val="21"/>
          <w:szCs w:val="21"/>
        </w:rPr>
        <w:t xml:space="preserve">Test willingness-to-pay before building billing. </w:t>
      </w:r>
      <w:r>
        <w:rPr>
          <w:rFonts w:ascii="Calibri" w:cs="Calibri" w:eastAsia="Calibri" w:hAnsi="Calibri"/>
          <w:color w:val="1A1A18"/>
          <w:sz w:val="21"/>
          <w:szCs w:val="21"/>
        </w:rPr>
        <w:t xml:space="preserve">Put “Pro — coming soon, join the waitlist” on the teacher dashboard; measure conversion appetite and validate the HK$150–230 price.</w:t>
      </w:r>
    </w:p>
    <w:p>
      <w:pPr>
        <w:pStyle w:val="ListParagraph"/>
        <w:numPr>
          <w:ilvl w:val="0"/>
          <w:numId w:val="3"/>
        </w:numPr>
        <w:spacing w:after="80" w:line="260"/>
      </w:pPr>
      <w:r>
        <w:rPr>
          <w:rFonts w:ascii="Calibri" w:cs="Calibri" w:eastAsia="Calibri" w:hAnsi="Calibri"/>
          <w:b/>
          <w:bCs/>
          <w:color w:val="1A1A18"/>
          <w:sz w:val="21"/>
          <w:szCs w:val="21"/>
        </w:rPr>
        <w:t xml:space="preserve">Close the retention gap. </w:t>
      </w:r>
      <w:r>
        <w:rPr>
          <w:rFonts w:ascii="Calibri" w:cs="Calibri" w:eastAsia="Calibri" w:hAnsi="Calibri"/>
          <w:color w:val="1A1A18"/>
          <w:sz w:val="21"/>
          <w:szCs w:val="21"/>
        </w:rPr>
        <w:t xml:space="preserve">Add a PWA install prompt + push (or at minimum email nudges via Supabase). Personalized re-engagement cuts fitness-app churn 15–25%.</w:t>
      </w:r>
    </w:p>
    <w:p>
      <w:pPr>
        <w:pStyle w:val="ListParagraph"/>
        <w:numPr>
          <w:ilvl w:val="0"/>
          <w:numId w:val="3"/>
        </w:numPr>
        <w:spacing w:after="80" w:line="260"/>
      </w:pPr>
      <w:r>
        <w:rPr>
          <w:rFonts w:ascii="Calibri" w:cs="Calibri" w:eastAsia="Calibri" w:hAnsi="Calibri"/>
          <w:b/>
          <w:bCs/>
          <w:color w:val="1A1A18"/>
          <w:sz w:val="21"/>
          <w:szCs w:val="21"/>
        </w:rPr>
        <w:t xml:space="preserve">Build payments/booking only after intent signal. </w:t>
      </w:r>
      <w:r>
        <w:rPr>
          <w:rFonts w:ascii="Calibri" w:cs="Calibri" w:eastAsia="Calibri" w:hAnsi="Calibri"/>
          <w:color w:val="1A1A18"/>
          <w:sz w:val="21"/>
          <w:szCs w:val="21"/>
        </w:rPr>
        <w:t xml:space="preserve">When teachers hit the student wall and ask “how do I charge through this,” integrate Stripe payment links rather than out-build Momence.</w:t>
      </w:r>
    </w:p>
    <w:p>
      <w:pPr>
        <w:pStyle w:val="ListParagraph"/>
        <w:numPr>
          <w:ilvl w:val="0"/>
          <w:numId w:val="3"/>
        </w:numPr>
        <w:spacing w:after="80" w:line="260"/>
      </w:pPr>
      <w:r>
        <w:rPr>
          <w:rFonts w:ascii="Calibri" w:cs="Calibri" w:eastAsia="Calibri" w:hAnsi="Calibri"/>
          <w:b/>
          <w:bCs/>
          <w:color w:val="1A1A18"/>
          <w:sz w:val="21"/>
          <w:szCs w:val="21"/>
        </w:rPr>
        <w:t xml:space="preserve">Ship Cantonese before OAuth. </w:t>
      </w:r>
      <w:r>
        <w:rPr>
          <w:rFonts w:ascii="Calibri" w:cs="Calibri" w:eastAsia="Calibri" w:hAnsi="Calibri"/>
          <w:color w:val="1A1A18"/>
          <w:sz w:val="21"/>
          <w:szCs w:val="21"/>
        </w:rPr>
        <w:t xml:space="preserve">Localization is the wedge; OAuth is a convenience. The current milestone order has this backwards for a HK launch.</w:t>
      </w:r>
    </w:p>
    <w:p>
      <w:pPr>
        <w:pStyle w:val="ListParagraph"/>
        <w:numPr>
          <w:ilvl w:val="0"/>
          <w:numId w:val="3"/>
        </w:numPr>
        <w:spacing w:after="80" w:line="260"/>
      </w:pPr>
      <w:r>
        <w:rPr>
          <w:rFonts w:ascii="Calibri" w:cs="Calibri" w:eastAsia="Calibri" w:hAnsi="Calibri"/>
          <w:b/>
          <w:bCs/>
          <w:color w:val="1A1A18"/>
          <w:sz w:val="21"/>
          <w:szCs w:val="21"/>
        </w:rPr>
        <w:t xml:space="preserve">Reduce bus factor. </w:t>
      </w:r>
      <w:r>
        <w:rPr>
          <w:rFonts w:ascii="Calibri" w:cs="Calibri" w:eastAsia="Calibri" w:hAnsi="Calibri"/>
          <w:color w:val="1A1A18"/>
          <w:sz w:val="21"/>
          <w:szCs w:val="21"/>
        </w:rPr>
        <w:t xml:space="preserve">Staging Supabase project + documented migration runbook before onboarding any studio.</w:t>
      </w:r>
    </w:p>
    <w:p>
      <w:pPr>
        <w:pStyle w:val="Heading1"/>
        <w:pBdr>
          <w:bottom w:val="single" w:color="C8A96E" w:sz="12" w:space="6"/>
        </w:pBdr>
        <w:spacing w:after="140" w:before="320"/>
      </w:pPr>
      <w:r>
        <w:rPr>
          <w:rFonts w:ascii="Cambria" w:cs="Cambria" w:eastAsia="Cambria" w:hAnsi="Cambria"/>
          <w:b/>
          <w:bCs/>
          <w:color w:val="A88848"/>
          <w:sz w:val="32"/>
          <w:szCs w:val="32"/>
        </w:rPr>
        <w:t xml:space="preserve">11.  Risks &amp; Mitigations</w:t>
      </w:r>
    </w:p>
    <w:tbl>
      <w:tblPr>
        <w:tblW w:type="dxa" w:w="9360"/>
        <w:tblBorders>
          <w:top w:val="single" w:color="D8CFBE" w:sz="2"/>
          <w:left w:val="none"/>
          <w:bottom w:val="single" w:color="D8CFBE" w:sz="2"/>
          <w:right w:val="none"/>
          <w:insideH w:val="single" w:color="D8CFBE" w:sz="1"/>
          <w:insideV w:val="single" w:color="ECE6D9" w:sz="1"/>
        </w:tblBorders>
      </w:tblPr>
      <w:tblGrid>
        <w:gridCol w:w="3000"/>
        <w:gridCol w:w="3180"/>
        <w:gridCol w:w="3180"/>
      </w:tblGrid>
      <w:tr>
        <w:trPr>
          <w:tblHeader/>
        </w:trPr>
        <w:tc>
          <w:tcPr>
            <w:tcW w:type="dxa" w:w="3000"/>
            <w:shd w:fill="C77F4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Risk</w:t>
            </w:r>
          </w:p>
        </w:tc>
        <w:tc>
          <w:tcPr>
            <w:tcW w:type="dxa" w:w="3180"/>
            <w:shd w:fill="C77F4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Why it matters</w:t>
            </w:r>
          </w:p>
        </w:tc>
        <w:tc>
          <w:tcPr>
            <w:tcW w:type="dxa" w:w="3180"/>
            <w:shd w:fill="C77F45"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Mitigation</w:t>
            </w:r>
          </w:p>
        </w:tc>
      </w:tr>
      <w:tr>
        <w:tc>
          <w:tcPr>
            <w:tcW w:type="dxa" w:w="3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Retention</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Health-app D30 retention averages ~3%; journaling is low-frequency</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Rest engine + nudges + teacher accountability loop; gate paid spend on D30 &gt;15–20%</w:t>
            </w:r>
          </w:p>
        </w:tc>
      </w:tr>
      <w:tr>
        <w:tc>
          <w:tcPr>
            <w:tcW w:type="dxa" w:w="30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No revenue infra</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Cannot charge today; monetization unbuilt</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Waitlist test now; flat-fee Stripe links first; take-rate later</w:t>
            </w:r>
          </w:p>
        </w:tc>
      </w:tr>
      <w:tr>
        <w:tc>
          <w:tcPr>
            <w:tcW w:type="dxa" w:w="3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Founder bandwidth / bus factor</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Solo, non-terminal ops; manual migrations</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Staging env, runbook, later a part-time technical hand</w:t>
            </w:r>
          </w:p>
        </w:tc>
      </w:tr>
      <w:tr>
        <w:tc>
          <w:tcPr>
            <w:tcW w:type="dxa" w:w="30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Incumbent copycat</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Momence/Arketa have distribution</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Move fast on the data moat; longitudinal dataset compounds switching cost</w:t>
            </w:r>
          </w:p>
        </w:tc>
      </w:tr>
      <w:tr>
        <w:tc>
          <w:tcPr>
            <w:tcW w:type="dxa" w:w="300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Health-data regulation</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Injury data raises privacy/liability stakes</w:t>
            </w:r>
          </w:p>
        </w:tc>
        <w:tc>
          <w:tcPr>
            <w:tcW w:type="dxa" w:w="3180"/>
            <w:shd w:fill="FFFFFF"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RLS already strong; add data-export, consent logs, clear ToS/Privacy (drafts exist)</w:t>
            </w:r>
          </w:p>
        </w:tc>
      </w:tr>
      <w:tr>
        <w:tc>
          <w:tcPr>
            <w:tcW w:type="dxa" w:w="300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Platform dependency</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Free Supabase/Vercel/Mux tiers at scale</w:t>
            </w:r>
          </w:p>
        </w:tc>
        <w:tc>
          <w:tcPr>
            <w:tcW w:type="dxa" w:w="3180"/>
            <w:shd w:fill="F7F4EE" w:color="auto" w:val="clear"/>
            <w:tcMar>
              <w:top w:type="dxa" w:w="60"/>
              <w:left w:type="dxa" w:w="90"/>
              <w:bottom w:type="dxa" w:w="60"/>
              <w:right w:type="dxa" w:w="90"/>
            </w:tcMar>
          </w:tcPr>
          <w:p>
            <w:pPr>
              <w:spacing w:after="20" w:line="240"/>
              <w:jc w:val="left"/>
            </w:pPr>
            <w:r>
              <w:rPr>
                <w:rFonts w:ascii="Calibri" w:cs="Calibri" w:eastAsia="Calibri" w:hAnsi="Calibri"/>
                <w:color w:val="1A1A18"/>
                <w:sz w:val="16"/>
                <w:szCs w:val="16"/>
              </w:rPr>
              <w:t xml:space="preserve">Cost curve understood; budget ~US$110/mo @1k users; portable Postgres</w:t>
            </w:r>
          </w:p>
        </w:tc>
      </w:tr>
    </w:tbl>
    <w:p>
      <w:pPr>
        <w:pStyle w:val="Heading1"/>
        <w:pBdr>
          <w:bottom w:val="single" w:color="C8A96E" w:sz="12" w:space="6"/>
        </w:pBdr>
        <w:spacing w:after="140" w:before="320"/>
      </w:pPr>
      <w:r>
        <w:rPr>
          <w:rFonts w:ascii="Cambria" w:cs="Cambria" w:eastAsia="Cambria" w:hAnsi="Cambria"/>
          <w:b/>
          <w:bCs/>
          <w:color w:val="A88848"/>
          <w:sz w:val="32"/>
          <w:szCs w:val="32"/>
        </w:rPr>
        <w:t xml:space="preserve">12.  Recommendations — The Next 90 Days</w:t>
      </w:r>
    </w:p>
    <w:tbl>
      <w:tblPr>
        <w:tblW w:type="dxa" w:w="9360"/>
        <w:tblBorders>
          <w:top w:val="none"/>
          <w:left w:val="single" w:color="C8A96E" w:sz="18"/>
          <w:bottom w:val="none"/>
          <w:right w:val="none"/>
          <w:insideH w:val="none"/>
          <w:insideV w:val="none"/>
        </w:tblBorders>
      </w:tblPr>
      <w:tblGrid>
        <w:gridCol w:w="9360"/>
      </w:tblGrid>
      <w:tr>
        <w:tc>
          <w:tcPr>
            <w:tcW w:type="dxa" w:w="9360"/>
            <w:shd w:fill="F3ECDD" w:color="auto" w:val="clear"/>
            <w:tcMar>
              <w:top w:type="dxa" w:w="120"/>
              <w:left w:type="dxa" w:w="200"/>
              <w:bottom w:type="dxa" w:w="120"/>
              <w:right w:type="dxa" w:w="160"/>
            </w:tcMar>
          </w:tcPr>
          <w:p>
            <w:pPr>
              <w:spacing w:after="120" w:line="264"/>
              <w:jc w:val="left"/>
            </w:pPr>
            <w:r>
              <w:rPr>
                <w:rFonts w:ascii="Calibri" w:cs="Calibri" w:eastAsia="Calibri" w:hAnsi="Calibri"/>
                <w:b/>
                <w:bCs/>
                <w:color w:val="A88848"/>
                <w:sz w:val="21"/>
                <w:szCs w:val="21"/>
              </w:rPr>
              <w:t xml:space="preserve">Bottom line  —  </w:t>
            </w:r>
            <w:r>
              <w:rPr>
                <w:rFonts w:ascii="Calibri" w:cs="Calibri" w:eastAsia="Calibri" w:hAnsi="Calibri"/>
                <w:color w:val="1A1A18"/>
                <w:sz w:val="21"/>
                <w:szCs w:val="21"/>
              </w:rPr>
              <w:t xml:space="preserve">the product thesis is genuinely differentiated in a US$2.7B niche whose incumbents ignore the student’s body. The engineering is ahead of the business. The next 90 days should be almost entirely distribution and validation, not code.</w:t>
            </w:r>
          </w:p>
        </w:tc>
      </w:tr>
    </w:tbl>
    <w:p>
      <w:pPr>
        <w:pStyle w:val="ListParagraph"/>
        <w:numPr>
          <w:ilvl w:val="0"/>
          <w:numId w:val="4"/>
        </w:numPr>
        <w:spacing w:after="80" w:line="260"/>
      </w:pPr>
      <w:r>
        <w:rPr>
          <w:rFonts w:ascii="Calibri" w:cs="Calibri" w:eastAsia="Calibri" w:hAnsi="Calibri"/>
          <w:b/>
          <w:bCs/>
          <w:color w:val="1A1A18"/>
          <w:sz w:val="21"/>
          <w:szCs w:val="21"/>
        </w:rPr>
        <w:t xml:space="preserve">Onboard 10 real teachers</w:t>
      </w:r>
      <w:r>
        <w:rPr>
          <w:rFonts w:ascii="Calibri" w:cs="Calibri" w:eastAsia="Calibri" w:hAnsi="Calibri"/>
          <w:color w:val="1A1A18"/>
          <w:sz w:val="21"/>
          <w:szCs w:val="21"/>
        </w:rPr>
        <w:t xml:space="preserve"> from the founder network. Weekly feedback loop.</w:t>
      </w:r>
    </w:p>
    <w:p>
      <w:pPr>
        <w:pStyle w:val="ListParagraph"/>
        <w:numPr>
          <w:ilvl w:val="0"/>
          <w:numId w:val="4"/>
        </w:numPr>
        <w:spacing w:after="80" w:line="260"/>
      </w:pPr>
      <w:r>
        <w:rPr>
          <w:rFonts w:ascii="Calibri" w:cs="Calibri" w:eastAsia="Calibri" w:hAnsi="Calibri"/>
          <w:b/>
          <w:bCs/>
          <w:color w:val="1A1A18"/>
          <w:sz w:val="21"/>
          <w:szCs w:val="21"/>
        </w:rPr>
        <w:t xml:space="preserve">Add analytics</w:t>
      </w:r>
      <w:r>
        <w:rPr>
          <w:rFonts w:ascii="Calibri" w:cs="Calibri" w:eastAsia="Calibri" w:hAnsi="Calibri"/>
          <w:color w:val="1A1A18"/>
          <w:sz w:val="21"/>
          <w:szCs w:val="21"/>
        </w:rPr>
        <w:t xml:space="preserve"> — even a simple Supabase events table — and start reading D7/D30 retention.</w:t>
      </w:r>
    </w:p>
    <w:p>
      <w:pPr>
        <w:pStyle w:val="ListParagraph"/>
        <w:numPr>
          <w:ilvl w:val="0"/>
          <w:numId w:val="4"/>
        </w:numPr>
        <w:spacing w:after="80" w:line="260"/>
      </w:pPr>
      <w:r>
        <w:rPr>
          <w:rFonts w:ascii="Calibri" w:cs="Calibri" w:eastAsia="Calibri" w:hAnsi="Calibri"/>
          <w:b/>
          <w:bCs/>
          <w:color w:val="1A1A18"/>
          <w:sz w:val="21"/>
          <w:szCs w:val="21"/>
        </w:rPr>
        <w:t xml:space="preserve">Decide &amp; publish the model on paper</w:t>
      </w:r>
      <w:r>
        <w:rPr>
          <w:rFonts w:ascii="Calibri" w:cs="Calibri" w:eastAsia="Calibri" w:hAnsi="Calibri"/>
          <w:color w:val="1A1A18"/>
          <w:sz w:val="21"/>
          <w:szCs w:val="21"/>
        </w:rPr>
        <w:t xml:space="preserve">: free students / paid teachers, with the gating fix in §5. Add a “Pro — coming soon” waitlist to test price.</w:t>
      </w:r>
    </w:p>
    <w:p>
      <w:pPr>
        <w:pStyle w:val="ListParagraph"/>
        <w:numPr>
          <w:ilvl w:val="0"/>
          <w:numId w:val="4"/>
        </w:numPr>
        <w:spacing w:after="80" w:line="260"/>
      </w:pPr>
      <w:r>
        <w:rPr>
          <w:rFonts w:ascii="Calibri" w:cs="Calibri" w:eastAsia="Calibri" w:hAnsi="Calibri"/>
          <w:b/>
          <w:bCs/>
          <w:color w:val="1A1A18"/>
          <w:sz w:val="21"/>
          <w:szCs w:val="21"/>
        </w:rPr>
        <w:t xml:space="preserve">Add email/push nudges</w:t>
      </w:r>
      <w:r>
        <w:rPr>
          <w:rFonts w:ascii="Calibri" w:cs="Calibri" w:eastAsia="Calibri" w:hAnsi="Calibri"/>
          <w:color w:val="1A1A18"/>
          <w:sz w:val="21"/>
          <w:szCs w:val="21"/>
        </w:rPr>
        <w:t xml:space="preserve"> to attack the web-only retention handicap.</w:t>
      </w:r>
    </w:p>
    <w:p>
      <w:pPr>
        <w:pStyle w:val="ListParagraph"/>
        <w:numPr>
          <w:ilvl w:val="0"/>
          <w:numId w:val="4"/>
        </w:numPr>
        <w:spacing w:after="80" w:line="260"/>
      </w:pPr>
      <w:r>
        <w:rPr>
          <w:rFonts w:ascii="Calibri" w:cs="Calibri" w:eastAsia="Calibri" w:hAnsi="Calibri"/>
          <w:b/>
          <w:bCs/>
          <w:color w:val="1A1A18"/>
          <w:sz w:val="21"/>
          <w:szCs w:val="21"/>
        </w:rPr>
        <w:t xml:space="preserve">Stand up a staging Supabase project</w:t>
      </w:r>
      <w:r>
        <w:rPr>
          <w:rFonts w:ascii="Calibri" w:cs="Calibri" w:eastAsia="Calibri" w:hAnsi="Calibri"/>
          <w:color w:val="1A1A18"/>
          <w:sz w:val="21"/>
          <w:szCs w:val="21"/>
        </w:rPr>
        <w:t xml:space="preserve"> and write the migration runbook before any studio touches production.</w:t>
      </w:r>
    </w:p>
    <w:p>
      <w:pPr>
        <w:pStyle w:val="ListParagraph"/>
        <w:numPr>
          <w:ilvl w:val="0"/>
          <w:numId w:val="4"/>
        </w:numPr>
        <w:spacing w:after="80" w:line="260"/>
      </w:pPr>
      <w:r>
        <w:rPr>
          <w:rFonts w:ascii="Calibri" w:cs="Calibri" w:eastAsia="Calibri" w:hAnsi="Calibri"/>
          <w:b/>
          <w:bCs/>
          <w:color w:val="1A1A18"/>
          <w:sz w:val="21"/>
          <w:szCs w:val="21"/>
        </w:rPr>
        <w:t xml:space="preserve">Prioritize Cantonese localization</w:t>
      </w:r>
      <w:r>
        <w:rPr>
          <w:rFonts w:ascii="Calibri" w:cs="Calibri" w:eastAsia="Calibri" w:hAnsi="Calibri"/>
          <w:color w:val="1A1A18"/>
          <w:sz w:val="21"/>
          <w:szCs w:val="21"/>
        </w:rPr>
        <w:t xml:space="preserve"> ahead of OAuth to sharpen the HK wedge.</w:t>
      </w:r>
    </w:p>
    <w:p>
      <w:pPr>
        <w:pStyle w:val="ListParagraph"/>
        <w:numPr>
          <w:ilvl w:val="0"/>
          <w:numId w:val="4"/>
        </w:numPr>
        <w:spacing w:after="80" w:line="260"/>
      </w:pPr>
      <w:r>
        <w:rPr>
          <w:rFonts w:ascii="Calibri" w:cs="Calibri" w:eastAsia="Calibri" w:hAnsi="Calibri"/>
          <w:b/>
          <w:bCs/>
          <w:color w:val="1A1A18"/>
          <w:sz w:val="21"/>
          <w:szCs w:val="21"/>
        </w:rPr>
        <w:t xml:space="preserve">Defer booking/payments</w:t>
      </w:r>
      <w:r>
        <w:rPr>
          <w:rFonts w:ascii="Calibri" w:cs="Calibri" w:eastAsia="Calibri" w:hAnsi="Calibri"/>
          <w:color w:val="1A1A18"/>
          <w:sz w:val="21"/>
          <w:szCs w:val="21"/>
        </w:rPr>
        <w:t xml:space="preserve"> until a teacher explicitly asks — then integrate, don’t out-build.</w:t>
      </w:r>
    </w:p>
    <w:p>
      <w:pPr>
        <w:spacing w:after="200"/>
      </w:pPr>
    </w:p>
    <w:p>
      <w:pPr>
        <w:pBdr>
          <w:top w:val="single" w:color="C8A96E" w:sz="8" w:space="6"/>
        </w:pBdr>
        <w:spacing w:after="60" w:before="200"/>
      </w:pPr>
    </w:p>
    <w:p>
      <w:pPr>
        <w:spacing w:after="80"/>
      </w:pPr>
      <w:r>
        <w:rPr>
          <w:rFonts w:ascii="Cambria" w:cs="Cambria" w:eastAsia="Cambria" w:hAnsi="Cambria"/>
          <w:b/>
          <w:bCs/>
          <w:color w:val="A88848"/>
          <w:sz w:val="22"/>
          <w:szCs w:val="22"/>
        </w:rPr>
        <w:t xml:space="preserve">Sources &amp; Market Data</w:t>
      </w:r>
    </w:p>
    <w:p>
      <w:pPr>
        <w:spacing w:after="40"/>
        <w:ind w:left="200"/>
      </w:pPr>
      <w:r>
        <w:rPr>
          <w:color w:val="A88848"/>
        </w:rPr>
        <w:t xml:space="preserve">•  </w:t>
      </w:r>
      <w:r>
        <w:rPr>
          <w:rFonts w:ascii="Calibri" w:cs="Calibri" w:eastAsia="Calibri" w:hAnsi="Calibri"/>
          <w:color w:val="1A1A18"/>
          <w:sz w:val="16"/>
          <w:szCs w:val="16"/>
        </w:rPr>
        <w:t xml:space="preserve">Grand View Research — Yoga Market Size, Share &amp; Trends Report 2026–2033  </w:t>
      </w:r>
      <w:hyperlink w:history="1" r:id="rIdq917qzfz8wqssz1dhdui3">
        <w:r>
          <w:rPr>
            <w:rFonts w:ascii="Calibri" w:cs="Calibri" w:eastAsia="Calibri" w:hAnsi="Calibri"/>
            <w:color w:val="2A6099"/>
            <w:sz w:val="15"/>
            <w:szCs w:val="15"/>
            <w:u w:val="single"/>
          </w:rPr>
          <w:t xml:space="preserve">https://www.grandviewresearch.com/industry-analysis/yoga-market-report</w:t>
        </w:r>
      </w:hyperlink>
    </w:p>
    <w:p>
      <w:pPr>
        <w:spacing w:after="40"/>
        <w:ind w:left="200"/>
      </w:pPr>
      <w:r>
        <w:rPr>
          <w:color w:val="A88848"/>
        </w:rPr>
        <w:t xml:space="preserve">•  </w:t>
      </w:r>
      <w:r>
        <w:rPr>
          <w:rFonts w:ascii="Calibri" w:cs="Calibri" w:eastAsia="Calibri" w:hAnsi="Calibri"/>
          <w:color w:val="1A1A18"/>
          <w:sz w:val="16"/>
          <w:szCs w:val="16"/>
        </w:rPr>
        <w:t xml:space="preserve">FutureDataStats — Online Yoga Market Size &amp; Growth 2030  </w:t>
      </w:r>
      <w:hyperlink w:history="1" r:id="rId5hjkvrbtoy7cwex0cwkcs">
        <w:r>
          <w:rPr>
            <w:rFonts w:ascii="Calibri" w:cs="Calibri" w:eastAsia="Calibri" w:hAnsi="Calibri"/>
            <w:color w:val="2A6099"/>
            <w:sz w:val="15"/>
            <w:szCs w:val="15"/>
            <w:u w:val="single"/>
          </w:rPr>
          <w:t xml:space="preserve">https://www.futuredatastats.com/online-yoga-market</w:t>
        </w:r>
      </w:hyperlink>
    </w:p>
    <w:p>
      <w:pPr>
        <w:spacing w:after="40"/>
        <w:ind w:left="200"/>
      </w:pPr>
      <w:r>
        <w:rPr>
          <w:color w:val="A88848"/>
        </w:rPr>
        <w:t xml:space="preserve">•  </w:t>
      </w:r>
      <w:r>
        <w:rPr>
          <w:rFonts w:ascii="Calibri" w:cs="Calibri" w:eastAsia="Calibri" w:hAnsi="Calibri"/>
          <w:color w:val="1A1A18"/>
          <w:sz w:val="16"/>
          <w:szCs w:val="16"/>
        </w:rPr>
        <w:t xml:space="preserve">WiseGuyReports — Yoga Studio Platform Market Size &amp; Forecast 2035  </w:t>
      </w:r>
      <w:hyperlink w:history="1" r:id="rIdxklwgarfvq-wj7ft5jzuf">
        <w:r>
          <w:rPr>
            <w:rFonts w:ascii="Calibri" w:cs="Calibri" w:eastAsia="Calibri" w:hAnsi="Calibri"/>
            <w:color w:val="2A6099"/>
            <w:sz w:val="15"/>
            <w:szCs w:val="15"/>
            <w:u w:val="single"/>
          </w:rPr>
          <w:t xml:space="preserve">https://www.wiseguyreports.com/reports/yoga-studio-platform-market</w:t>
        </w:r>
      </w:hyperlink>
    </w:p>
    <w:p>
      <w:pPr>
        <w:spacing w:after="40"/>
        <w:ind w:left="200"/>
      </w:pPr>
      <w:r>
        <w:rPr>
          <w:color w:val="A88848"/>
        </w:rPr>
        <w:t xml:space="preserve">•  </w:t>
      </w:r>
      <w:r>
        <w:rPr>
          <w:rFonts w:ascii="Calibri" w:cs="Calibri" w:eastAsia="Calibri" w:hAnsi="Calibri"/>
          <w:color w:val="1A1A18"/>
          <w:sz w:val="16"/>
          <w:szCs w:val="16"/>
        </w:rPr>
        <w:t xml:space="preserve">OfferingTree — Arketa vs Mindbody: Pricing, Fees &amp; Fit for 2026  </w:t>
      </w:r>
      <w:hyperlink w:history="1" r:id="rIdttelkydc-2txyghgn_miy">
        <w:r>
          <w:rPr>
            <w:rFonts w:ascii="Calibri" w:cs="Calibri" w:eastAsia="Calibri" w:hAnsi="Calibri"/>
            <w:color w:val="2A6099"/>
            <w:sz w:val="15"/>
            <w:szCs w:val="15"/>
            <w:u w:val="single"/>
          </w:rPr>
          <w:t xml:space="preserve">https://www.offeringtree.com/blog/arketa-vs-mindbody/</w:t>
        </w:r>
      </w:hyperlink>
    </w:p>
    <w:p>
      <w:pPr>
        <w:spacing w:after="40"/>
        <w:ind w:left="200"/>
      </w:pPr>
      <w:r>
        <w:rPr>
          <w:color w:val="A88848"/>
        </w:rPr>
        <w:t xml:space="preserve">•  </w:t>
      </w:r>
      <w:r>
        <w:rPr>
          <w:rFonts w:ascii="Calibri" w:cs="Calibri" w:eastAsia="Calibri" w:hAnsi="Calibri"/>
          <w:color w:val="1A1A18"/>
          <w:sz w:val="16"/>
          <w:szCs w:val="16"/>
        </w:rPr>
        <w:t xml:space="preserve">vibefam — Yoga Studio Scheduling Software: 2025 Pricing &amp; Features Comparison  </w:t>
      </w:r>
      <w:hyperlink w:history="1" r:id="rIdk3lmkumkkriamb0jgp2os">
        <w:r>
          <w:rPr>
            <w:rFonts w:ascii="Calibri" w:cs="Calibri" w:eastAsia="Calibri" w:hAnsi="Calibri"/>
            <w:color w:val="2A6099"/>
            <w:sz w:val="15"/>
            <w:szCs w:val="15"/>
            <w:u w:val="single"/>
          </w:rPr>
          <w:t xml:space="preserve">https://vibefam.com/yoga-studio-scheduling-software-the-ultimate-2025-pricing-and-features-comparison/</w:t>
        </w:r>
      </w:hyperlink>
    </w:p>
    <w:p>
      <w:pPr>
        <w:spacing w:after="40"/>
        <w:ind w:left="200"/>
      </w:pPr>
      <w:r>
        <w:rPr>
          <w:color w:val="A88848"/>
        </w:rPr>
        <w:t xml:space="preserve">•  </w:t>
      </w:r>
      <w:r>
        <w:rPr>
          <w:rFonts w:ascii="Calibri" w:cs="Calibri" w:eastAsia="Calibri" w:hAnsi="Calibri"/>
          <w:color w:val="1A1A18"/>
          <w:sz w:val="16"/>
          <w:szCs w:val="16"/>
        </w:rPr>
        <w:t xml:space="preserve">Down Dog — pricing  </w:t>
      </w:r>
      <w:hyperlink w:history="1" r:id="rIdrwzpntwj01ec3ap5afmca">
        <w:r>
          <w:rPr>
            <w:rFonts w:ascii="Calibri" w:cs="Calibri" w:eastAsia="Calibri" w:hAnsi="Calibri"/>
            <w:color w:val="2A6099"/>
            <w:sz w:val="15"/>
            <w:szCs w:val="15"/>
            <w:u w:val="single"/>
          </w:rPr>
          <w:t xml:space="preserve">https://www.downdogapp.com/</w:t>
        </w:r>
      </w:hyperlink>
    </w:p>
    <w:p>
      <w:pPr>
        <w:spacing w:after="40"/>
        <w:ind w:left="200"/>
      </w:pPr>
      <w:r>
        <w:rPr>
          <w:color w:val="A88848"/>
        </w:rPr>
        <w:t xml:space="preserve">•  </w:t>
      </w:r>
      <w:r>
        <w:rPr>
          <w:rFonts w:ascii="Calibri" w:cs="Calibri" w:eastAsia="Calibri" w:hAnsi="Calibri"/>
          <w:color w:val="1A1A18"/>
          <w:sz w:val="16"/>
          <w:szCs w:val="16"/>
        </w:rPr>
        <w:t xml:space="preserve">ChoosingTherapy — Alo Moves Yoga App Review 2025  </w:t>
      </w:r>
      <w:hyperlink w:history="1" r:id="rId5ylzjirjrnrytjan3ehao">
        <w:r>
          <w:rPr>
            <w:rFonts w:ascii="Calibri" w:cs="Calibri" w:eastAsia="Calibri" w:hAnsi="Calibri"/>
            <w:color w:val="2A6099"/>
            <w:sz w:val="15"/>
            <w:szCs w:val="15"/>
            <w:u w:val="single"/>
          </w:rPr>
          <w:t xml:space="preserve">https://www.choosingtherapy.com/alo-moves-yoga-app-review/</w:t>
        </w:r>
      </w:hyperlink>
    </w:p>
    <w:p>
      <w:pPr>
        <w:spacing w:after="40"/>
        <w:ind w:left="200"/>
      </w:pPr>
      <w:r>
        <w:rPr>
          <w:color w:val="A88848"/>
        </w:rPr>
        <w:t xml:space="preserve">•  </w:t>
      </w:r>
      <w:r>
        <w:rPr>
          <w:rFonts w:ascii="Calibri" w:cs="Calibri" w:eastAsia="Calibri" w:hAnsi="Calibri"/>
          <w:color w:val="1A1A18"/>
          <w:sz w:val="16"/>
          <w:szCs w:val="16"/>
        </w:rPr>
        <w:t xml:space="preserve">RetentionCheck — Fitness App Retention &amp; Churn 2026  </w:t>
      </w:r>
      <w:hyperlink w:history="1" r:id="rIdhwmery-d_w9-50ldn_k2j">
        <w:r>
          <w:rPr>
            <w:rFonts w:ascii="Calibri" w:cs="Calibri" w:eastAsia="Calibri" w:hAnsi="Calibri"/>
            <w:color w:val="2A6099"/>
            <w:sz w:val="15"/>
            <w:szCs w:val="15"/>
            <w:u w:val="single"/>
          </w:rPr>
          <w:t xml:space="preserve">https://retentioncheck.com/churn-benchmarks/fitness-apps</w:t>
        </w:r>
      </w:hyperlink>
    </w:p>
    <w:p>
      <w:pPr>
        <w:spacing w:after="40"/>
        <w:ind w:left="200"/>
      </w:pPr>
      <w:r>
        <w:rPr>
          <w:color w:val="A88848"/>
        </w:rPr>
        <w:t xml:space="preserve">•  </w:t>
      </w:r>
      <w:r>
        <w:rPr>
          <w:rFonts w:ascii="Calibri" w:cs="Calibri" w:eastAsia="Calibri" w:hAnsi="Calibri"/>
          <w:color w:val="1A1A18"/>
          <w:sz w:val="16"/>
          <w:szCs w:val="16"/>
        </w:rPr>
        <w:t xml:space="preserve">Business of Apps — Health &amp; Fitness App Benchmarks 2026  </w:t>
      </w:r>
      <w:hyperlink w:history="1" r:id="rId9aixrj1btudtwdxnpwemt">
        <w:r>
          <w:rPr>
            <w:rFonts w:ascii="Calibri" w:cs="Calibri" w:eastAsia="Calibri" w:hAnsi="Calibri"/>
            <w:color w:val="2A6099"/>
            <w:sz w:val="15"/>
            <w:szCs w:val="15"/>
            <w:u w:val="single"/>
          </w:rPr>
          <w:t xml:space="preserve">https://www.businessofapps.com/data/health-fitness-app-benchmarks/</w:t>
        </w:r>
      </w:hyperlink>
    </w:p>
    <w:p>
      <w:pPr>
        <w:spacing w:after="40"/>
        <w:ind w:left="200"/>
      </w:pPr>
      <w:r>
        <w:rPr>
          <w:color w:val="A88848"/>
        </w:rPr>
        <w:t xml:space="preserve">•  </w:t>
      </w:r>
      <w:r>
        <w:rPr>
          <w:rFonts w:ascii="Calibri" w:cs="Calibri" w:eastAsia="Calibri" w:hAnsi="Calibri"/>
          <w:color w:val="1A1A18"/>
          <w:sz w:val="16"/>
          <w:szCs w:val="16"/>
        </w:rPr>
        <w:t xml:space="preserve">6Wresearch — Hong Kong Yoga Market 2024–2030  </w:t>
      </w:r>
      <w:hyperlink w:history="1" r:id="rIdy0dooh_bgztvda1zgqsbr">
        <w:r>
          <w:rPr>
            <w:rFonts w:ascii="Calibri" w:cs="Calibri" w:eastAsia="Calibri" w:hAnsi="Calibri"/>
            <w:color w:val="2A6099"/>
            <w:sz w:val="15"/>
            <w:szCs w:val="15"/>
            <w:u w:val="single"/>
          </w:rPr>
          <w:t xml:space="preserve">https://www.6wresearch.com/industry-report/hong-kong-yoga-market</w:t>
        </w:r>
      </w:hyperlink>
    </w:p>
    <w:p>
      <w:pPr>
        <w:spacing w:after="120"/>
      </w:pPr>
    </w:p>
    <w:p>
      <w:pPr>
        <w:jc w:val="center"/>
      </w:pPr>
      <w:r>
        <w:rPr>
          <w:rFonts w:ascii="Calibri" w:cs="Calibri" w:eastAsia="Calibri" w:hAnsi="Calibri"/>
          <w:i/>
          <w:iCs/>
          <w:color w:val="6B6459"/>
          <w:sz w:val="15"/>
          <w:szCs w:val="15"/>
        </w:rPr>
        <w:t xml:space="preserve">Market figures are third-party estimates and vary by source; treat as directional. Financials are illustrative planning milestones, not forecasts.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5"/>
        <w:szCs w:val="15"/>
      </w:rPr>
      <w:t xml:space="preserve">Confidential   ·   </w:t>
    </w:r>
    <w:r>
      <w:rPr>
        <w:rFonts w:ascii="Calibri" w:cs="Calibri" w:eastAsia="Calibri" w:hAnsi="Calibri"/>
        <w:color w:val="6B64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BE" w:sz="4" w:space="4"/>
      </w:pBdr>
      <w:jc w:val="right"/>
    </w:pPr>
    <w:r>
      <w:rPr>
        <w:rFonts w:ascii="Calibri" w:cs="Calibri" w:eastAsia="Calibri" w:hAnsi="Calibri"/>
        <w:color w:val="6B6459"/>
        <w:spacing w:val="20"/>
        <w:sz w:val="15"/>
        <w:szCs w:val="15"/>
      </w:rPr>
      <w:t xml:space="preserve">LUMEN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A88848"/>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A88848"/>
      </w:rPr>
    </w:lvl>
  </w:abstractNum>
  <w:abstractNum w:abstractNumId="4" w15:restartNumberingAfterBreak="0">
    <w:multiLevelType w:val="hybridMultilevel"/>
    <w:lvl w:ilvl="0" w15:tentative="1">
      <w:start w:val="1"/>
      <w:numFmt w:val="decimal"/>
      <w:lvlText w:val="%1."/>
      <w:lvlJc w:val="left"/>
      <w:pPr>
        <w:ind w:left="360" w:hanging="260"/>
      </w:pPr>
      <w:rPr>
        <w:b/>
        <w:bCs/>
        <w:color w:val="A8884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917qzfz8wqssz1dhdui3" Type="http://schemas.openxmlformats.org/officeDocument/2006/relationships/hyperlink" Target="https://www.grandviewresearch.com/industry-analysis/yoga-market-report" TargetMode="External"/><Relationship Id="rId5hjkvrbtoy7cwex0cwkcs" Type="http://schemas.openxmlformats.org/officeDocument/2006/relationships/hyperlink" Target="https://www.futuredatastats.com/online-yoga-market" TargetMode="External"/><Relationship Id="rIdxklwgarfvq-wj7ft5jzuf" Type="http://schemas.openxmlformats.org/officeDocument/2006/relationships/hyperlink" Target="https://www.wiseguyreports.com/reports/yoga-studio-platform-market" TargetMode="External"/><Relationship Id="rIdttelkydc-2txyghgn_miy" Type="http://schemas.openxmlformats.org/officeDocument/2006/relationships/hyperlink" Target="https://www.offeringtree.com/blog/arketa-vs-mindbody/" TargetMode="External"/><Relationship Id="rIdk3lmkumkkriamb0jgp2os" Type="http://schemas.openxmlformats.org/officeDocument/2006/relationships/hyperlink" Target="https://vibefam.com/yoga-studio-scheduling-software-the-ultimate-2025-pricing-and-features-comparison/" TargetMode="External"/><Relationship Id="rIdrwzpntwj01ec3ap5afmca" Type="http://schemas.openxmlformats.org/officeDocument/2006/relationships/hyperlink" Target="https://www.downdogapp.com/" TargetMode="External"/><Relationship Id="rId5ylzjirjrnrytjan3ehao" Type="http://schemas.openxmlformats.org/officeDocument/2006/relationships/hyperlink" Target="https://www.choosingtherapy.com/alo-moves-yoga-app-review/" TargetMode="External"/><Relationship Id="rIdhwmery-d_w9-50ldn_k2j" Type="http://schemas.openxmlformats.org/officeDocument/2006/relationships/hyperlink" Target="https://retentioncheck.com/churn-benchmarks/fitness-apps" TargetMode="External"/><Relationship Id="rId9aixrj1btudtwdxnpwemt" Type="http://schemas.openxmlformats.org/officeDocument/2006/relationships/hyperlink" Target="https://www.businessofapps.com/data/health-fitness-app-benchmarks/" TargetMode="External"/><Relationship Id="rIdy0dooh_bgztvda1zgqsbr" Type="http://schemas.openxmlformats.org/officeDocument/2006/relationships/hyperlink" Target="https://www.6wresearch.com/industry-report/hong-kong-yoga-marke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 Business Plan</dc:title>
  <dc:creator>Lumen</dc:creator>
  <dc:description>Business plan for Lumen practice-tracking companion</dc:description>
  <cp:lastModifiedBy>Un-named</cp:lastModifiedBy>
  <cp:revision>1</cp:revision>
  <dcterms:created xsi:type="dcterms:W3CDTF">2026-07-22T14:44:56.112Z</dcterms:created>
  <dcterms:modified xsi:type="dcterms:W3CDTF">2026-07-22T14:44:56.113Z</dcterms:modified>
</cp:coreProperties>
</file>

<file path=docProps/custom.xml><?xml version="1.0" encoding="utf-8"?>
<Properties xmlns="http://schemas.openxmlformats.org/officeDocument/2006/custom-properties" xmlns:vt="http://schemas.openxmlformats.org/officeDocument/2006/docPropsVTypes"/>
</file>