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Traders - Account Plan FY26</w:t>
      </w:r>
    </w:p>
    <w:p>
      <w:r>
        <w:t>Owner: Priya Raman, Solution Architect</w:t>
      </w:r>
    </w:p>
    <w:p>
      <w:r>
        <w:t>Last updated: 12 August 2026</w:t>
      </w:r>
    </w:p>
    <w:p>
      <w:pPr>
        <w:pStyle w:val="Heading1"/>
      </w:pPr>
      <w:r>
        <w:t>1. Account summary</w:t>
      </w:r>
    </w:p>
    <w:p>
      <w:r>
        <w:t>Northwind Traders is a mid-market logistics company running 4,200 seats. They have been a customer for six years. Current annual contract value is USD 1.24M across productivity, security and a small analytics footprint.</w:t>
      </w:r>
    </w:p>
    <w:p>
      <w:r>
        <w:t>The current three-year agreement expires on 30 November 2026. Renewal discussions began in June and have stalled twice.</w:t>
      </w:r>
    </w:p>
    <w:p>
      <w:pPr>
        <w:pStyle w:val="Heading1"/>
      </w:pPr>
      <w: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</w:tr>
      <w:tr>
        <w:tc>
          <w:tcPr>
            <w:tcW w:type="dxa" w:w="2880"/>
          </w:tcPr>
          <w:p>
            <w:r>
              <w:t>Marcus Feld</w:t>
            </w:r>
          </w:p>
        </w:tc>
        <w:tc>
          <w:tcPr>
            <w:tcW w:type="dxa" w:w="2880"/>
          </w:tcPr>
          <w:p>
            <w:r>
              <w:t>CTO</w:t>
            </w:r>
          </w:p>
        </w:tc>
        <w:tc>
          <w:tcPr>
            <w:tcW w:type="dxa" w:w="2880"/>
          </w:tcPr>
          <w:p>
            <w:r>
              <w:t>Champion. Sponsored the original deal.</w:t>
            </w:r>
          </w:p>
        </w:tc>
      </w:tr>
      <w:tr>
        <w:tc>
          <w:tcPr>
            <w:tcW w:type="dxa" w:w="2880"/>
          </w:tcPr>
          <w:p>
            <w:r>
              <w:t>Dana Kowalski</w:t>
            </w:r>
          </w:p>
        </w:tc>
        <w:tc>
          <w:tcPr>
            <w:tcW w:type="dxa" w:w="2880"/>
          </w:tcPr>
          <w:p>
            <w:r>
              <w:t>Head of IT Security</w:t>
            </w:r>
          </w:p>
        </w:tc>
        <w:tc>
          <w:tcPr>
            <w:tcW w:type="dxa" w:w="2880"/>
          </w:tcPr>
          <w:p>
            <w:r>
              <w:t>Blocker. Wants SOC 2 evidence before signing.</w:t>
            </w:r>
          </w:p>
        </w:tc>
      </w:tr>
      <w:tr>
        <w:tc>
          <w:tcPr>
            <w:tcW w:type="dxa" w:w="2880"/>
          </w:tcPr>
          <w:p>
            <w:r>
              <w:t>Ravi Chandra</w:t>
            </w:r>
          </w:p>
        </w:tc>
        <w:tc>
          <w:tcPr>
            <w:tcW w:type="dxa" w:w="2880"/>
          </w:tcPr>
          <w:p>
            <w:r>
              <w:t>Procurement Lead</w:t>
            </w:r>
          </w:p>
        </w:tc>
        <w:tc>
          <w:tcPr>
            <w:tcW w:type="dxa" w:w="2880"/>
          </w:tcPr>
          <w:p>
            <w:r>
              <w:t>Neutral. Driving the discount conversation.</w:t>
            </w:r>
          </w:p>
        </w:tc>
      </w:tr>
      <w:tr>
        <w:tc>
          <w:tcPr>
            <w:tcW w:type="dxa" w:w="2880"/>
          </w:tcPr>
          <w:p>
            <w:r>
              <w:t>Elena Voss</w:t>
            </w:r>
          </w:p>
        </w:tc>
        <w:tc>
          <w:tcPr>
            <w:tcW w:type="dxa" w:w="2880"/>
          </w:tcPr>
          <w:p>
            <w:r>
              <w:t>CFO</w:t>
            </w:r>
          </w:p>
        </w:tc>
        <w:tc>
          <w:tcPr>
            <w:tcW w:type="dxa" w:w="2880"/>
          </w:tcPr>
          <w:p>
            <w:r>
              <w:t>Sceptical. Asked for a cost-per-seat comparison in July.</w:t>
            </w:r>
          </w:p>
        </w:tc>
      </w:tr>
    </w:tbl>
    <w:p>
      <w:pPr>
        <w:pStyle w:val="Heading1"/>
      </w:pPr>
      <w:r>
        <w:t>3. Open risks</w:t>
      </w:r>
    </w:p>
    <w:p>
      <w:pPr>
        <w:pStyle w:val="ListBullet"/>
      </w:pPr>
      <w:r>
        <w:t>Security review incomplete. Dana requires updated SOC 2 Type II evidence and a completed data residency questionnaire. This is the primary blocker.</w:t>
      </w:r>
    </w:p>
    <w:p>
      <w:pPr>
        <w:pStyle w:val="ListBullet"/>
      </w:pPr>
      <w:r>
        <w:t>Procurement has requested a 15% discount, citing a competing quote. Approved discount authority is 8% without executive sign-off.</w:t>
      </w:r>
    </w:p>
    <w:p>
      <w:pPr>
        <w:pStyle w:val="ListBullet"/>
      </w:pPr>
      <w:r>
        <w:t>Legal redlines on the Data Processing Addendum have been open since 4 August. Northwind's counsel wants EU-only data residency written into the DPA.</w:t>
      </w:r>
    </w:p>
    <w:p>
      <w:pPr>
        <w:pStyle w:val="ListBullet"/>
      </w:pPr>
      <w:r>
        <w:t>Marcus Feld indicated in July he may move to a new role in Q1. Losing the champion before signature would be material.</w:t>
      </w:r>
    </w:p>
    <w:p>
      <w:pPr>
        <w:pStyle w:val="Heading1"/>
      </w:pPr>
      <w:r>
        <w:t>4. Commercial position</w:t>
      </w:r>
    </w:p>
    <w:p>
      <w:r>
        <w:t>Target renewal value is USD 1.31M, a 5.6% uplift reflecting seat growth. Walk-away floor agreed with the deal desk is USD 1.18M. A 15% discount would take the deal to USD 1.05M, which is below floor and would require escalation to the regional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