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40DA2" w14:textId="77777777" w:rsidR="00A7156D" w:rsidRPr="00A7156D" w:rsidRDefault="00A7156D" w:rsidP="00A7156D">
      <w:r w:rsidRPr="00A7156D">
        <w:rPr>
          <w:b/>
          <w:bCs/>
        </w:rPr>
        <w:t>FIRST NATIONAL BANK</w:t>
      </w:r>
      <w:r w:rsidRPr="00A7156D">
        <w:t xml:space="preserve"> </w:t>
      </w:r>
      <w:r w:rsidRPr="00A7156D">
        <w:rPr>
          <w:b/>
          <w:bCs/>
        </w:rPr>
        <w:t>Fund Transfer Limits Policy</w:t>
      </w:r>
      <w:r w:rsidRPr="00A7156D">
        <w:t xml:space="preserve"> </w:t>
      </w:r>
      <w:r w:rsidRPr="00A7156D">
        <w:rPr>
          <w:i/>
          <w:iCs/>
        </w:rPr>
        <w:t>Internal Reference - Effective Date: January 2024</w:t>
      </w:r>
    </w:p>
    <w:p w14:paraId="067BBFC5" w14:textId="77777777" w:rsidR="00A7156D" w:rsidRPr="00A7156D" w:rsidRDefault="00A7156D" w:rsidP="00A7156D">
      <w:pPr>
        <w:rPr>
          <w:b/>
          <w:bCs/>
        </w:rPr>
      </w:pPr>
      <w:r w:rsidRPr="00A7156D">
        <w:rPr>
          <w:b/>
          <w:bCs/>
        </w:rPr>
        <w:t>Section 1: Overview of Transfer Limits</w:t>
      </w:r>
    </w:p>
    <w:p w14:paraId="547899B8" w14:textId="77777777" w:rsidR="00A7156D" w:rsidRPr="00A7156D" w:rsidRDefault="00A7156D" w:rsidP="00A7156D">
      <w:r w:rsidRPr="00A7156D">
        <w:t>Transfer limits are established to protect customers from fraud, comply with regulatory requirements, and manage operational risk. These limits apply to various transfer methods and may vary based on account type, customer relationship, and risk assessment.</w:t>
      </w:r>
    </w:p>
    <w:p w14:paraId="31AE07AE" w14:textId="77777777" w:rsidR="00A7156D" w:rsidRPr="00A7156D" w:rsidRDefault="00A7156D" w:rsidP="00A7156D">
      <w:pPr>
        <w:rPr>
          <w:b/>
          <w:bCs/>
        </w:rPr>
      </w:pPr>
      <w:r w:rsidRPr="00A7156D">
        <w:rPr>
          <w:b/>
          <w:bCs/>
        </w:rPr>
        <w:t>Section 2: Daily Transfer Limits by Channel</w:t>
      </w:r>
    </w:p>
    <w:p w14:paraId="7C695DE6" w14:textId="77777777" w:rsidR="00A7156D" w:rsidRPr="00A7156D" w:rsidRDefault="00A7156D" w:rsidP="00A7156D">
      <w:r w:rsidRPr="00A7156D">
        <w:rPr>
          <w:b/>
          <w:bCs/>
        </w:rPr>
        <w:t>Online Banking Transfers:</w:t>
      </w:r>
    </w:p>
    <w:p w14:paraId="71442987" w14:textId="77777777" w:rsidR="00A7156D" w:rsidRPr="00A7156D" w:rsidRDefault="00A7156D" w:rsidP="00A7156D">
      <w:pPr>
        <w:numPr>
          <w:ilvl w:val="0"/>
          <w:numId w:val="1"/>
        </w:numPr>
      </w:pPr>
      <w:r w:rsidRPr="00A7156D">
        <w:t>Standard Checking: $2,500 per day</w:t>
      </w:r>
    </w:p>
    <w:p w14:paraId="5EFA0C50" w14:textId="77777777" w:rsidR="00A7156D" w:rsidRPr="00A7156D" w:rsidRDefault="00A7156D" w:rsidP="00A7156D">
      <w:pPr>
        <w:numPr>
          <w:ilvl w:val="0"/>
          <w:numId w:val="1"/>
        </w:numPr>
      </w:pPr>
      <w:r w:rsidRPr="00A7156D">
        <w:t>Premium Checking: $5,000 per day</w:t>
      </w:r>
    </w:p>
    <w:p w14:paraId="39B74509" w14:textId="77777777" w:rsidR="00A7156D" w:rsidRPr="00A7156D" w:rsidRDefault="00A7156D" w:rsidP="00A7156D">
      <w:pPr>
        <w:numPr>
          <w:ilvl w:val="0"/>
          <w:numId w:val="1"/>
        </w:numPr>
      </w:pPr>
      <w:r w:rsidRPr="00A7156D">
        <w:t>Business Checking: $10,000 per day</w:t>
      </w:r>
    </w:p>
    <w:p w14:paraId="46E03A4B" w14:textId="77777777" w:rsidR="00A7156D" w:rsidRPr="00A7156D" w:rsidRDefault="00A7156D" w:rsidP="00A7156D">
      <w:pPr>
        <w:numPr>
          <w:ilvl w:val="0"/>
          <w:numId w:val="1"/>
        </w:numPr>
      </w:pPr>
      <w:r w:rsidRPr="00A7156D">
        <w:t>Commercial Accounts: $25,000 per day (with dual authorization)</w:t>
      </w:r>
    </w:p>
    <w:p w14:paraId="232928CA" w14:textId="77777777" w:rsidR="00A7156D" w:rsidRPr="00A7156D" w:rsidRDefault="00A7156D" w:rsidP="00A7156D">
      <w:r w:rsidRPr="00A7156D">
        <w:rPr>
          <w:b/>
          <w:bCs/>
        </w:rPr>
        <w:t>Mobile Banking Transfers:</w:t>
      </w:r>
    </w:p>
    <w:p w14:paraId="7D0E832E" w14:textId="77777777" w:rsidR="00A7156D" w:rsidRPr="00A7156D" w:rsidRDefault="00A7156D" w:rsidP="00A7156D">
      <w:pPr>
        <w:numPr>
          <w:ilvl w:val="0"/>
          <w:numId w:val="2"/>
        </w:numPr>
      </w:pPr>
      <w:r w:rsidRPr="00A7156D">
        <w:t>Personal Accounts: $1,000 per day</w:t>
      </w:r>
    </w:p>
    <w:p w14:paraId="30CB6596" w14:textId="77777777" w:rsidR="00A7156D" w:rsidRPr="00A7156D" w:rsidRDefault="00A7156D" w:rsidP="00A7156D">
      <w:pPr>
        <w:numPr>
          <w:ilvl w:val="0"/>
          <w:numId w:val="2"/>
        </w:numPr>
      </w:pPr>
      <w:r w:rsidRPr="00A7156D">
        <w:t>Business Accounts: $2,500 per day</w:t>
      </w:r>
    </w:p>
    <w:p w14:paraId="0604F84C" w14:textId="77777777" w:rsidR="00A7156D" w:rsidRPr="00A7156D" w:rsidRDefault="00A7156D" w:rsidP="00A7156D">
      <w:pPr>
        <w:numPr>
          <w:ilvl w:val="0"/>
          <w:numId w:val="2"/>
        </w:numPr>
      </w:pPr>
      <w:r w:rsidRPr="00A7156D">
        <w:t>P2P Transfers (Zelle): $500 per transaction, $2,500 per day</w:t>
      </w:r>
    </w:p>
    <w:p w14:paraId="07B6360F" w14:textId="77777777" w:rsidR="00A7156D" w:rsidRPr="00A7156D" w:rsidRDefault="00A7156D" w:rsidP="00A7156D">
      <w:r w:rsidRPr="00A7156D">
        <w:rPr>
          <w:b/>
          <w:bCs/>
        </w:rPr>
        <w:t>ATM Transfers:</w:t>
      </w:r>
    </w:p>
    <w:p w14:paraId="744484A2" w14:textId="77777777" w:rsidR="00A7156D" w:rsidRPr="00A7156D" w:rsidRDefault="00A7156D" w:rsidP="00A7156D">
      <w:pPr>
        <w:numPr>
          <w:ilvl w:val="0"/>
          <w:numId w:val="3"/>
        </w:numPr>
      </w:pPr>
      <w:r w:rsidRPr="00A7156D">
        <w:t>Between own accounts: $1,000 per day</w:t>
      </w:r>
    </w:p>
    <w:p w14:paraId="03A13AFC" w14:textId="77777777" w:rsidR="00A7156D" w:rsidRPr="00A7156D" w:rsidRDefault="00A7156D" w:rsidP="00A7156D">
      <w:pPr>
        <w:numPr>
          <w:ilvl w:val="0"/>
          <w:numId w:val="3"/>
        </w:numPr>
      </w:pPr>
      <w:r w:rsidRPr="00A7156D">
        <w:t>Cash withdrawals: $500 per day (standard), $1,000 per day (premium)</w:t>
      </w:r>
    </w:p>
    <w:p w14:paraId="5B607A09" w14:textId="77777777" w:rsidR="00A7156D" w:rsidRPr="00A7156D" w:rsidRDefault="00A7156D" w:rsidP="00A7156D">
      <w:r w:rsidRPr="00A7156D">
        <w:rPr>
          <w:b/>
          <w:bCs/>
        </w:rPr>
        <w:t>Wire Transfers:</w:t>
      </w:r>
    </w:p>
    <w:p w14:paraId="1F3696B8" w14:textId="77777777" w:rsidR="00A7156D" w:rsidRPr="00A7156D" w:rsidRDefault="00A7156D" w:rsidP="00A7156D">
      <w:pPr>
        <w:numPr>
          <w:ilvl w:val="0"/>
          <w:numId w:val="4"/>
        </w:numPr>
      </w:pPr>
      <w:r w:rsidRPr="00A7156D">
        <w:t>Domestic wires: No daily limit (subject to available funds and verification)</w:t>
      </w:r>
    </w:p>
    <w:p w14:paraId="0C40D675" w14:textId="77777777" w:rsidR="00A7156D" w:rsidRPr="00A7156D" w:rsidRDefault="00A7156D" w:rsidP="00A7156D">
      <w:pPr>
        <w:numPr>
          <w:ilvl w:val="0"/>
          <w:numId w:val="4"/>
        </w:numPr>
      </w:pPr>
      <w:r w:rsidRPr="00A7156D">
        <w:t>International wires: $50,000 per day (requires enhanced verification above $10,000)</w:t>
      </w:r>
    </w:p>
    <w:p w14:paraId="2E6FF02A" w14:textId="77777777" w:rsidR="00A7156D" w:rsidRPr="00A7156D" w:rsidRDefault="00A7156D" w:rsidP="00A7156D">
      <w:pPr>
        <w:rPr>
          <w:b/>
          <w:bCs/>
        </w:rPr>
      </w:pPr>
      <w:r w:rsidRPr="00A7156D">
        <w:rPr>
          <w:b/>
          <w:bCs/>
        </w:rPr>
        <w:t>Section 3: Monthly and Transaction Limits</w:t>
      </w:r>
    </w:p>
    <w:p w14:paraId="175D54CD" w14:textId="77777777" w:rsidR="00A7156D" w:rsidRPr="00A7156D" w:rsidRDefault="00A7156D" w:rsidP="00A7156D">
      <w:r w:rsidRPr="00A7156D">
        <w:rPr>
          <w:b/>
          <w:bCs/>
        </w:rPr>
        <w:t>ACH Transfers:</w:t>
      </w:r>
    </w:p>
    <w:p w14:paraId="728AF245" w14:textId="77777777" w:rsidR="00A7156D" w:rsidRPr="00A7156D" w:rsidRDefault="00A7156D" w:rsidP="00A7156D">
      <w:pPr>
        <w:numPr>
          <w:ilvl w:val="0"/>
          <w:numId w:val="5"/>
        </w:numPr>
      </w:pPr>
      <w:r w:rsidRPr="00A7156D">
        <w:t>Outgoing ACH: $10,000 per transaction, $25,000 per month</w:t>
      </w:r>
    </w:p>
    <w:p w14:paraId="577D2AF0" w14:textId="77777777" w:rsidR="00A7156D" w:rsidRPr="00A7156D" w:rsidRDefault="00A7156D" w:rsidP="00A7156D">
      <w:pPr>
        <w:numPr>
          <w:ilvl w:val="0"/>
          <w:numId w:val="5"/>
        </w:numPr>
      </w:pPr>
      <w:r w:rsidRPr="00A7156D">
        <w:t>Incoming ACH: No limits (subject to fraud monitoring)</w:t>
      </w:r>
    </w:p>
    <w:p w14:paraId="77E52C59" w14:textId="77777777" w:rsidR="00A7156D" w:rsidRPr="00A7156D" w:rsidRDefault="00A7156D" w:rsidP="00A7156D">
      <w:r w:rsidRPr="00A7156D">
        <w:rPr>
          <w:b/>
          <w:bCs/>
        </w:rPr>
        <w:t>Bill Pay Services:</w:t>
      </w:r>
    </w:p>
    <w:p w14:paraId="2DE35981" w14:textId="77777777" w:rsidR="00A7156D" w:rsidRPr="00A7156D" w:rsidRDefault="00A7156D" w:rsidP="00A7156D">
      <w:pPr>
        <w:numPr>
          <w:ilvl w:val="0"/>
          <w:numId w:val="6"/>
        </w:numPr>
      </w:pPr>
      <w:r w:rsidRPr="00A7156D">
        <w:t>Standard accounts: $5,000 per payee per day</w:t>
      </w:r>
    </w:p>
    <w:p w14:paraId="05ED776B" w14:textId="77777777" w:rsidR="00A7156D" w:rsidRPr="00A7156D" w:rsidRDefault="00A7156D" w:rsidP="00A7156D">
      <w:pPr>
        <w:numPr>
          <w:ilvl w:val="0"/>
          <w:numId w:val="6"/>
        </w:numPr>
      </w:pPr>
      <w:r w:rsidRPr="00A7156D">
        <w:t>Premium accounts: $10,000 per payee per day</w:t>
      </w:r>
    </w:p>
    <w:p w14:paraId="020AF747" w14:textId="77777777" w:rsidR="00A7156D" w:rsidRPr="00A7156D" w:rsidRDefault="00A7156D" w:rsidP="00A7156D">
      <w:pPr>
        <w:numPr>
          <w:ilvl w:val="0"/>
          <w:numId w:val="6"/>
        </w:numPr>
      </w:pPr>
      <w:r w:rsidRPr="00A7156D">
        <w:lastRenderedPageBreak/>
        <w:t xml:space="preserve">Express bill </w:t>
      </w:r>
      <w:proofErr w:type="gramStart"/>
      <w:r w:rsidRPr="00A7156D">
        <w:t>pay</w:t>
      </w:r>
      <w:proofErr w:type="gramEnd"/>
      <w:r w:rsidRPr="00A7156D">
        <w:t>: Same-day processing available for additional fee</w:t>
      </w:r>
    </w:p>
    <w:p w14:paraId="79BD0321" w14:textId="77777777" w:rsidR="00A7156D" w:rsidRPr="00A7156D" w:rsidRDefault="00A7156D" w:rsidP="00A7156D">
      <w:pPr>
        <w:rPr>
          <w:b/>
          <w:bCs/>
        </w:rPr>
      </w:pPr>
      <w:r w:rsidRPr="00A7156D">
        <w:rPr>
          <w:b/>
          <w:bCs/>
        </w:rPr>
        <w:t>Section 4: Regulatory Compliance</w:t>
      </w:r>
    </w:p>
    <w:p w14:paraId="632E0CDD" w14:textId="77777777" w:rsidR="00A7156D" w:rsidRPr="00A7156D" w:rsidRDefault="00A7156D" w:rsidP="00A7156D">
      <w:r w:rsidRPr="00A7156D">
        <w:rPr>
          <w:b/>
          <w:bCs/>
        </w:rPr>
        <w:t>Regulation D Limitations:</w:t>
      </w:r>
    </w:p>
    <w:p w14:paraId="78B05F36" w14:textId="77777777" w:rsidR="00A7156D" w:rsidRPr="00A7156D" w:rsidRDefault="00A7156D" w:rsidP="00A7156D">
      <w:pPr>
        <w:numPr>
          <w:ilvl w:val="0"/>
          <w:numId w:val="7"/>
        </w:numPr>
      </w:pPr>
      <w:r w:rsidRPr="00A7156D">
        <w:t>Savings and money market accounts: 6 withdrawals per month</w:t>
      </w:r>
    </w:p>
    <w:p w14:paraId="21418E29" w14:textId="77777777" w:rsidR="00A7156D" w:rsidRPr="00A7156D" w:rsidRDefault="00A7156D" w:rsidP="00A7156D">
      <w:pPr>
        <w:numPr>
          <w:ilvl w:val="0"/>
          <w:numId w:val="7"/>
        </w:numPr>
      </w:pPr>
      <w:r w:rsidRPr="00A7156D">
        <w:t>Exceeding limits may result in account conversion or closure</w:t>
      </w:r>
    </w:p>
    <w:p w14:paraId="6AF771F7" w14:textId="77777777" w:rsidR="00A7156D" w:rsidRPr="00A7156D" w:rsidRDefault="00A7156D" w:rsidP="00A7156D">
      <w:pPr>
        <w:numPr>
          <w:ilvl w:val="0"/>
          <w:numId w:val="7"/>
        </w:numPr>
      </w:pPr>
      <w:r w:rsidRPr="00A7156D">
        <w:t>Electronic transfers count toward monthly limit</w:t>
      </w:r>
    </w:p>
    <w:p w14:paraId="31DBFDFA" w14:textId="77777777" w:rsidR="00A7156D" w:rsidRPr="00A7156D" w:rsidRDefault="00A7156D" w:rsidP="00A7156D">
      <w:r w:rsidRPr="00A7156D">
        <w:rPr>
          <w:b/>
          <w:bCs/>
        </w:rPr>
        <w:t>Bank Secrecy Act (BSA) Requirements:</w:t>
      </w:r>
    </w:p>
    <w:p w14:paraId="5FAB335D" w14:textId="77777777" w:rsidR="00A7156D" w:rsidRPr="00A7156D" w:rsidRDefault="00A7156D" w:rsidP="00A7156D">
      <w:pPr>
        <w:numPr>
          <w:ilvl w:val="0"/>
          <w:numId w:val="8"/>
        </w:numPr>
      </w:pPr>
      <w:r w:rsidRPr="00A7156D">
        <w:t>Transactions over $10,000 require Currency Transaction Report (CTR)</w:t>
      </w:r>
    </w:p>
    <w:p w14:paraId="45DE64EE" w14:textId="77777777" w:rsidR="00A7156D" w:rsidRPr="00A7156D" w:rsidRDefault="00A7156D" w:rsidP="00A7156D">
      <w:pPr>
        <w:numPr>
          <w:ilvl w:val="0"/>
          <w:numId w:val="8"/>
        </w:numPr>
      </w:pPr>
      <w:r w:rsidRPr="00A7156D">
        <w:t>Suspicious patterns trigger enhanced monitoring</w:t>
      </w:r>
    </w:p>
    <w:p w14:paraId="7FD2D8BF" w14:textId="77777777" w:rsidR="00A7156D" w:rsidRPr="00A7156D" w:rsidRDefault="00A7156D" w:rsidP="00A7156D">
      <w:pPr>
        <w:numPr>
          <w:ilvl w:val="0"/>
          <w:numId w:val="8"/>
        </w:numPr>
      </w:pPr>
      <w:r w:rsidRPr="00A7156D">
        <w:t>Customer notification required for reporting thresholds</w:t>
      </w:r>
    </w:p>
    <w:p w14:paraId="56D212DE" w14:textId="77777777" w:rsidR="00A7156D" w:rsidRPr="00A7156D" w:rsidRDefault="00A7156D" w:rsidP="00A7156D">
      <w:pPr>
        <w:rPr>
          <w:b/>
          <w:bCs/>
        </w:rPr>
      </w:pPr>
      <w:r w:rsidRPr="00A7156D">
        <w:rPr>
          <w:b/>
          <w:bCs/>
        </w:rPr>
        <w:t>Section 5: Limit Override Procedures</w:t>
      </w:r>
    </w:p>
    <w:p w14:paraId="542AB5AD" w14:textId="77777777" w:rsidR="00A7156D" w:rsidRPr="00A7156D" w:rsidRDefault="00A7156D" w:rsidP="00A7156D">
      <w:r w:rsidRPr="00A7156D">
        <w:rPr>
          <w:b/>
          <w:bCs/>
        </w:rPr>
        <w:t>Temporary Limit Increases:</w:t>
      </w:r>
    </w:p>
    <w:p w14:paraId="05887E53" w14:textId="77777777" w:rsidR="00A7156D" w:rsidRPr="00A7156D" w:rsidRDefault="00A7156D" w:rsidP="00A7156D">
      <w:pPr>
        <w:numPr>
          <w:ilvl w:val="0"/>
          <w:numId w:val="9"/>
        </w:numPr>
      </w:pPr>
      <w:r w:rsidRPr="00A7156D">
        <w:t>Customer request required with business justification</w:t>
      </w:r>
    </w:p>
    <w:p w14:paraId="6062ECC6" w14:textId="77777777" w:rsidR="00A7156D" w:rsidRPr="00A7156D" w:rsidRDefault="00A7156D" w:rsidP="00A7156D">
      <w:pPr>
        <w:numPr>
          <w:ilvl w:val="0"/>
          <w:numId w:val="9"/>
        </w:numPr>
      </w:pPr>
      <w:r w:rsidRPr="00A7156D">
        <w:t>Manager approval for increases up to 200% of standard limit</w:t>
      </w:r>
    </w:p>
    <w:p w14:paraId="4E2251BA" w14:textId="77777777" w:rsidR="00A7156D" w:rsidRPr="00A7156D" w:rsidRDefault="00A7156D" w:rsidP="00A7156D">
      <w:pPr>
        <w:numPr>
          <w:ilvl w:val="0"/>
          <w:numId w:val="9"/>
        </w:numPr>
      </w:pPr>
      <w:r w:rsidRPr="00A7156D">
        <w:t>Senior management approval for larger increases</w:t>
      </w:r>
    </w:p>
    <w:p w14:paraId="15A638B2" w14:textId="77777777" w:rsidR="00A7156D" w:rsidRPr="00A7156D" w:rsidRDefault="00A7156D" w:rsidP="00A7156D">
      <w:pPr>
        <w:numPr>
          <w:ilvl w:val="0"/>
          <w:numId w:val="9"/>
        </w:numPr>
      </w:pPr>
      <w:r w:rsidRPr="00A7156D">
        <w:t>Documentation required for all overrides</w:t>
      </w:r>
    </w:p>
    <w:p w14:paraId="24D9BC43" w14:textId="77777777" w:rsidR="00A7156D" w:rsidRPr="00A7156D" w:rsidRDefault="00A7156D" w:rsidP="00A7156D">
      <w:r w:rsidRPr="00A7156D">
        <w:rPr>
          <w:b/>
          <w:bCs/>
        </w:rPr>
        <w:t>Permanent Limit Adjustments:</w:t>
      </w:r>
    </w:p>
    <w:p w14:paraId="501827A3" w14:textId="77777777" w:rsidR="00A7156D" w:rsidRPr="00A7156D" w:rsidRDefault="00A7156D" w:rsidP="00A7156D">
      <w:pPr>
        <w:numPr>
          <w:ilvl w:val="0"/>
          <w:numId w:val="10"/>
        </w:numPr>
      </w:pPr>
      <w:r w:rsidRPr="00A7156D">
        <w:t>Based on account history and relationship depth</w:t>
      </w:r>
    </w:p>
    <w:p w14:paraId="49B57520" w14:textId="77777777" w:rsidR="00A7156D" w:rsidRPr="00A7156D" w:rsidRDefault="00A7156D" w:rsidP="00A7156D">
      <w:pPr>
        <w:numPr>
          <w:ilvl w:val="0"/>
          <w:numId w:val="10"/>
        </w:numPr>
      </w:pPr>
      <w:r w:rsidRPr="00A7156D">
        <w:t>Credit assessment for significant increases</w:t>
      </w:r>
    </w:p>
    <w:p w14:paraId="515B2F74" w14:textId="77777777" w:rsidR="00A7156D" w:rsidRPr="00A7156D" w:rsidRDefault="00A7156D" w:rsidP="00A7156D">
      <w:pPr>
        <w:numPr>
          <w:ilvl w:val="0"/>
          <w:numId w:val="10"/>
        </w:numPr>
      </w:pPr>
      <w:r w:rsidRPr="00A7156D">
        <w:t>Annual review of all custom limits</w:t>
      </w:r>
    </w:p>
    <w:p w14:paraId="32386562" w14:textId="77777777" w:rsidR="00A7156D" w:rsidRPr="00A7156D" w:rsidRDefault="00A7156D" w:rsidP="00A7156D">
      <w:pPr>
        <w:rPr>
          <w:b/>
          <w:bCs/>
        </w:rPr>
      </w:pPr>
      <w:r w:rsidRPr="00A7156D">
        <w:rPr>
          <w:b/>
          <w:bCs/>
        </w:rPr>
        <w:t>Section 6: Fraud Prevention Measures</w:t>
      </w:r>
    </w:p>
    <w:p w14:paraId="38963E30" w14:textId="77777777" w:rsidR="00A7156D" w:rsidRPr="00A7156D" w:rsidRDefault="00A7156D" w:rsidP="00A7156D">
      <w:r w:rsidRPr="00A7156D">
        <w:rPr>
          <w:b/>
          <w:bCs/>
        </w:rPr>
        <w:t>Monitoring Triggers:</w:t>
      </w:r>
    </w:p>
    <w:p w14:paraId="76DC8C41" w14:textId="77777777" w:rsidR="00A7156D" w:rsidRPr="00A7156D" w:rsidRDefault="00A7156D" w:rsidP="00A7156D">
      <w:pPr>
        <w:numPr>
          <w:ilvl w:val="0"/>
          <w:numId w:val="11"/>
        </w:numPr>
      </w:pPr>
      <w:r w:rsidRPr="00A7156D">
        <w:t>Transactions exceeding 150% of typical patterns</w:t>
      </w:r>
    </w:p>
    <w:p w14:paraId="05FD8B22" w14:textId="77777777" w:rsidR="00A7156D" w:rsidRPr="00A7156D" w:rsidRDefault="00A7156D" w:rsidP="00A7156D">
      <w:pPr>
        <w:numPr>
          <w:ilvl w:val="0"/>
          <w:numId w:val="11"/>
        </w:numPr>
      </w:pPr>
      <w:r w:rsidRPr="00A7156D">
        <w:t>Multiple large transactions in short timeframe</w:t>
      </w:r>
    </w:p>
    <w:p w14:paraId="6ACF5205" w14:textId="77777777" w:rsidR="00A7156D" w:rsidRPr="00A7156D" w:rsidRDefault="00A7156D" w:rsidP="00A7156D">
      <w:pPr>
        <w:numPr>
          <w:ilvl w:val="0"/>
          <w:numId w:val="11"/>
        </w:numPr>
      </w:pPr>
      <w:r w:rsidRPr="00A7156D">
        <w:t>Transfers to new or high-risk destinations</w:t>
      </w:r>
    </w:p>
    <w:p w14:paraId="2E8A6C46" w14:textId="77777777" w:rsidR="00A7156D" w:rsidRPr="00A7156D" w:rsidRDefault="00A7156D" w:rsidP="00A7156D">
      <w:pPr>
        <w:numPr>
          <w:ilvl w:val="0"/>
          <w:numId w:val="11"/>
        </w:numPr>
      </w:pPr>
      <w:r w:rsidRPr="00A7156D">
        <w:t>Cross-border transfers above $5,000</w:t>
      </w:r>
    </w:p>
    <w:p w14:paraId="0F6886FC" w14:textId="77777777" w:rsidR="00A7156D" w:rsidRPr="00A7156D" w:rsidRDefault="00A7156D" w:rsidP="00A7156D">
      <w:r w:rsidRPr="00A7156D">
        <w:rPr>
          <w:b/>
          <w:bCs/>
        </w:rPr>
        <w:t>Customer Verification Requirements:</w:t>
      </w:r>
    </w:p>
    <w:p w14:paraId="380F24F3" w14:textId="77777777" w:rsidR="00A7156D" w:rsidRPr="00A7156D" w:rsidRDefault="00A7156D" w:rsidP="00A7156D">
      <w:pPr>
        <w:numPr>
          <w:ilvl w:val="0"/>
          <w:numId w:val="12"/>
        </w:numPr>
      </w:pPr>
      <w:r w:rsidRPr="00A7156D">
        <w:t>Phone verification for large or unusual transactions</w:t>
      </w:r>
    </w:p>
    <w:p w14:paraId="380948FB" w14:textId="77777777" w:rsidR="00A7156D" w:rsidRPr="00A7156D" w:rsidRDefault="00A7156D" w:rsidP="00A7156D">
      <w:pPr>
        <w:numPr>
          <w:ilvl w:val="0"/>
          <w:numId w:val="12"/>
        </w:numPr>
      </w:pPr>
      <w:r w:rsidRPr="00A7156D">
        <w:lastRenderedPageBreak/>
        <w:t>Multi-factor authentication for online transfers above $1,000</w:t>
      </w:r>
    </w:p>
    <w:p w14:paraId="5741A2B1" w14:textId="77777777" w:rsidR="00A7156D" w:rsidRPr="00A7156D" w:rsidRDefault="00A7156D" w:rsidP="00A7156D">
      <w:pPr>
        <w:numPr>
          <w:ilvl w:val="0"/>
          <w:numId w:val="12"/>
        </w:numPr>
      </w:pPr>
      <w:r w:rsidRPr="00A7156D">
        <w:t>In-person verification for wire transfers above $25,000</w:t>
      </w:r>
    </w:p>
    <w:p w14:paraId="0C0B5485" w14:textId="77777777" w:rsidR="00A7156D" w:rsidRPr="00A7156D" w:rsidRDefault="00A7156D" w:rsidP="00A7156D">
      <w:pPr>
        <w:rPr>
          <w:b/>
          <w:bCs/>
        </w:rPr>
      </w:pPr>
      <w:r w:rsidRPr="00A7156D">
        <w:rPr>
          <w:b/>
          <w:bCs/>
        </w:rPr>
        <w:t>Section 7: Customer Communication</w:t>
      </w:r>
    </w:p>
    <w:p w14:paraId="29B61B3B" w14:textId="77777777" w:rsidR="00A7156D" w:rsidRPr="00A7156D" w:rsidRDefault="00A7156D" w:rsidP="00A7156D">
      <w:r w:rsidRPr="00A7156D">
        <w:rPr>
          <w:b/>
          <w:bCs/>
        </w:rPr>
        <w:t>Limit Notifications:</w:t>
      </w:r>
    </w:p>
    <w:p w14:paraId="4A3F60A7" w14:textId="77777777" w:rsidR="00A7156D" w:rsidRPr="00A7156D" w:rsidRDefault="00A7156D" w:rsidP="00A7156D">
      <w:pPr>
        <w:numPr>
          <w:ilvl w:val="0"/>
          <w:numId w:val="13"/>
        </w:numPr>
      </w:pPr>
      <w:r w:rsidRPr="00A7156D">
        <w:t>Daily limit reached: Immediate notification via preferred channel</w:t>
      </w:r>
    </w:p>
    <w:p w14:paraId="7C6BC5AC" w14:textId="77777777" w:rsidR="00A7156D" w:rsidRPr="00A7156D" w:rsidRDefault="00A7156D" w:rsidP="00A7156D">
      <w:pPr>
        <w:numPr>
          <w:ilvl w:val="0"/>
          <w:numId w:val="13"/>
        </w:numPr>
      </w:pPr>
      <w:r w:rsidRPr="00A7156D">
        <w:t>Approaching monthly limits: 48-hour advance warning</w:t>
      </w:r>
    </w:p>
    <w:p w14:paraId="4D8B63F9" w14:textId="77777777" w:rsidR="00A7156D" w:rsidRPr="00A7156D" w:rsidRDefault="00A7156D" w:rsidP="00A7156D">
      <w:pPr>
        <w:numPr>
          <w:ilvl w:val="0"/>
          <w:numId w:val="13"/>
        </w:numPr>
      </w:pPr>
      <w:r w:rsidRPr="00A7156D">
        <w:t>Failed transactions: Real-time alerts with reason codes</w:t>
      </w:r>
    </w:p>
    <w:p w14:paraId="77873779" w14:textId="77777777" w:rsidR="00A7156D" w:rsidRPr="00A7156D" w:rsidRDefault="00A7156D" w:rsidP="00A7156D">
      <w:r w:rsidRPr="00A7156D">
        <w:rPr>
          <w:b/>
          <w:bCs/>
        </w:rPr>
        <w:t>Override Request Process:</w:t>
      </w:r>
    </w:p>
    <w:p w14:paraId="19680C01" w14:textId="77777777" w:rsidR="00A7156D" w:rsidRPr="00A7156D" w:rsidRDefault="00A7156D" w:rsidP="00A7156D">
      <w:pPr>
        <w:numPr>
          <w:ilvl w:val="0"/>
          <w:numId w:val="14"/>
        </w:numPr>
      </w:pPr>
      <w:r w:rsidRPr="00A7156D">
        <w:t>Customer service can process requests during business hours</w:t>
      </w:r>
    </w:p>
    <w:p w14:paraId="47A13D55" w14:textId="77777777" w:rsidR="00A7156D" w:rsidRPr="00A7156D" w:rsidRDefault="00A7156D" w:rsidP="00A7156D">
      <w:pPr>
        <w:numPr>
          <w:ilvl w:val="0"/>
          <w:numId w:val="14"/>
        </w:numPr>
      </w:pPr>
      <w:r w:rsidRPr="00A7156D">
        <w:t>Emergency override procedures available 24/7</w:t>
      </w:r>
    </w:p>
    <w:p w14:paraId="0FBABDD9" w14:textId="77777777" w:rsidR="00A7156D" w:rsidRPr="00A7156D" w:rsidRDefault="00A7156D" w:rsidP="00A7156D">
      <w:pPr>
        <w:numPr>
          <w:ilvl w:val="0"/>
          <w:numId w:val="14"/>
        </w:numPr>
      </w:pPr>
      <w:r w:rsidRPr="00A7156D">
        <w:t>All requests logged and reviewed monthly</w:t>
      </w:r>
    </w:p>
    <w:p w14:paraId="78EDB790" w14:textId="77777777" w:rsidR="004826E3" w:rsidRDefault="004826E3"/>
    <w:sectPr w:rsidR="00482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3171"/>
    <w:multiLevelType w:val="multilevel"/>
    <w:tmpl w:val="F26C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D3226"/>
    <w:multiLevelType w:val="multilevel"/>
    <w:tmpl w:val="4344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61E37"/>
    <w:multiLevelType w:val="multilevel"/>
    <w:tmpl w:val="ACA2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E434F"/>
    <w:multiLevelType w:val="multilevel"/>
    <w:tmpl w:val="FBDC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248A5"/>
    <w:multiLevelType w:val="multilevel"/>
    <w:tmpl w:val="5C34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F19AA"/>
    <w:multiLevelType w:val="multilevel"/>
    <w:tmpl w:val="AFB0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E7436"/>
    <w:multiLevelType w:val="multilevel"/>
    <w:tmpl w:val="268E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2E449A"/>
    <w:multiLevelType w:val="multilevel"/>
    <w:tmpl w:val="05FA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474AD6"/>
    <w:multiLevelType w:val="multilevel"/>
    <w:tmpl w:val="9316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7B7F42"/>
    <w:multiLevelType w:val="multilevel"/>
    <w:tmpl w:val="A95E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63227"/>
    <w:multiLevelType w:val="multilevel"/>
    <w:tmpl w:val="9E4C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655BCA"/>
    <w:multiLevelType w:val="multilevel"/>
    <w:tmpl w:val="4658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CC078A"/>
    <w:multiLevelType w:val="multilevel"/>
    <w:tmpl w:val="BB7C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A25FBE"/>
    <w:multiLevelType w:val="multilevel"/>
    <w:tmpl w:val="A632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740255">
    <w:abstractNumId w:val="0"/>
  </w:num>
  <w:num w:numId="2" w16cid:durableId="1986003631">
    <w:abstractNumId w:val="12"/>
  </w:num>
  <w:num w:numId="3" w16cid:durableId="143592241">
    <w:abstractNumId w:val="5"/>
  </w:num>
  <w:num w:numId="4" w16cid:durableId="171915733">
    <w:abstractNumId w:val="4"/>
  </w:num>
  <w:num w:numId="5" w16cid:durableId="1359047535">
    <w:abstractNumId w:val="10"/>
  </w:num>
  <w:num w:numId="6" w16cid:durableId="1424184330">
    <w:abstractNumId w:val="9"/>
  </w:num>
  <w:num w:numId="7" w16cid:durableId="1553342228">
    <w:abstractNumId w:val="8"/>
  </w:num>
  <w:num w:numId="8" w16cid:durableId="2136754649">
    <w:abstractNumId w:val="1"/>
  </w:num>
  <w:num w:numId="9" w16cid:durableId="552304531">
    <w:abstractNumId w:val="6"/>
  </w:num>
  <w:num w:numId="10" w16cid:durableId="2038848550">
    <w:abstractNumId w:val="2"/>
  </w:num>
  <w:num w:numId="11" w16cid:durableId="1382368762">
    <w:abstractNumId w:val="11"/>
  </w:num>
  <w:num w:numId="12" w16cid:durableId="1414350134">
    <w:abstractNumId w:val="7"/>
  </w:num>
  <w:num w:numId="13" w16cid:durableId="811096183">
    <w:abstractNumId w:val="13"/>
  </w:num>
  <w:num w:numId="14" w16cid:durableId="356397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E3"/>
    <w:rsid w:val="004826E3"/>
    <w:rsid w:val="006D38DF"/>
    <w:rsid w:val="00A71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BBB84-9B35-4C3F-820E-CED463D7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6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26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26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26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26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2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6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26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26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26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26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2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6E3"/>
    <w:rPr>
      <w:rFonts w:eastAsiaTheme="majorEastAsia" w:cstheme="majorBidi"/>
      <w:color w:val="272727" w:themeColor="text1" w:themeTint="D8"/>
    </w:rPr>
  </w:style>
  <w:style w:type="paragraph" w:styleId="Title">
    <w:name w:val="Title"/>
    <w:basedOn w:val="Normal"/>
    <w:next w:val="Normal"/>
    <w:link w:val="TitleChar"/>
    <w:uiPriority w:val="10"/>
    <w:qFormat/>
    <w:rsid w:val="00482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6E3"/>
    <w:pPr>
      <w:spacing w:before="160"/>
      <w:jc w:val="center"/>
    </w:pPr>
    <w:rPr>
      <w:i/>
      <w:iCs/>
      <w:color w:val="404040" w:themeColor="text1" w:themeTint="BF"/>
    </w:rPr>
  </w:style>
  <w:style w:type="character" w:customStyle="1" w:styleId="QuoteChar">
    <w:name w:val="Quote Char"/>
    <w:basedOn w:val="DefaultParagraphFont"/>
    <w:link w:val="Quote"/>
    <w:uiPriority w:val="29"/>
    <w:rsid w:val="004826E3"/>
    <w:rPr>
      <w:i/>
      <w:iCs/>
      <w:color w:val="404040" w:themeColor="text1" w:themeTint="BF"/>
    </w:rPr>
  </w:style>
  <w:style w:type="paragraph" w:styleId="ListParagraph">
    <w:name w:val="List Paragraph"/>
    <w:basedOn w:val="Normal"/>
    <w:uiPriority w:val="34"/>
    <w:qFormat/>
    <w:rsid w:val="004826E3"/>
    <w:pPr>
      <w:ind w:left="720"/>
      <w:contextualSpacing/>
    </w:pPr>
  </w:style>
  <w:style w:type="character" w:styleId="IntenseEmphasis">
    <w:name w:val="Intense Emphasis"/>
    <w:basedOn w:val="DefaultParagraphFont"/>
    <w:uiPriority w:val="21"/>
    <w:qFormat/>
    <w:rsid w:val="004826E3"/>
    <w:rPr>
      <w:i/>
      <w:iCs/>
      <w:color w:val="2F5496" w:themeColor="accent1" w:themeShade="BF"/>
    </w:rPr>
  </w:style>
  <w:style w:type="paragraph" w:styleId="IntenseQuote">
    <w:name w:val="Intense Quote"/>
    <w:basedOn w:val="Normal"/>
    <w:next w:val="Normal"/>
    <w:link w:val="IntenseQuoteChar"/>
    <w:uiPriority w:val="30"/>
    <w:qFormat/>
    <w:rsid w:val="004826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26E3"/>
    <w:rPr>
      <w:i/>
      <w:iCs/>
      <w:color w:val="2F5496" w:themeColor="accent1" w:themeShade="BF"/>
    </w:rPr>
  </w:style>
  <w:style w:type="character" w:styleId="IntenseReference">
    <w:name w:val="Intense Reference"/>
    <w:basedOn w:val="DefaultParagraphFont"/>
    <w:uiPriority w:val="32"/>
    <w:qFormat/>
    <w:rsid w:val="004826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01207">
      <w:bodyDiv w:val="1"/>
      <w:marLeft w:val="0"/>
      <w:marRight w:val="0"/>
      <w:marTop w:val="0"/>
      <w:marBottom w:val="0"/>
      <w:divBdr>
        <w:top w:val="none" w:sz="0" w:space="0" w:color="auto"/>
        <w:left w:val="none" w:sz="0" w:space="0" w:color="auto"/>
        <w:bottom w:val="none" w:sz="0" w:space="0" w:color="auto"/>
        <w:right w:val="none" w:sz="0" w:space="0" w:color="auto"/>
      </w:divBdr>
    </w:div>
    <w:div w:id="195895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 Aralaguppi</dc:creator>
  <cp:keywords/>
  <dc:description/>
  <cp:lastModifiedBy>Yogen Aralaguppi</cp:lastModifiedBy>
  <cp:revision>2</cp:revision>
  <dcterms:created xsi:type="dcterms:W3CDTF">2025-07-20T06:07:00Z</dcterms:created>
  <dcterms:modified xsi:type="dcterms:W3CDTF">2025-07-20T06:08:00Z</dcterms:modified>
</cp:coreProperties>
</file>