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7A3C"/>
          <w:sz w:val="52"/>
        </w:rPr>
        <w:t>TRAINING MANAGEMENT SYSTEM</w:t>
      </w:r>
    </w:p>
    <w:p>
      <w:pPr>
        <w:jc w:val="center"/>
      </w:pPr>
      <w:r>
        <w:rPr>
          <w:color w:val="2E6DA4"/>
          <w:sz w:val="32"/>
        </w:rPr>
        <w:t>Policy &amp; Standard Operating Procedure</w:t>
      </w:r>
    </w:p>
    <w:p>
      <w:pPr>
        <w:jc w:val="center"/>
      </w:pPr>
      <w:r>
        <w:rPr>
          <w:color w:val="6E6E73"/>
          <w:sz w:val="24"/>
        </w:rPr>
        <w:t>Learning &amp; Development</w:t>
      </w:r>
    </w:p>
    <w:p/>
    <w:p/>
    <w:p/>
    <w:p/>
    <w:p/>
    <w:p/>
    <w:p/>
    <w:p/>
    <w:p>
      <w:pPr>
        <w:jc w:val="center"/>
      </w:pPr>
      <w:r>
        <w:rPr>
          <w:b/>
          <w:sz w:val="22"/>
        </w:rPr>
        <w:t>Balrampur Chini Mills Ltd.</w:t>
        <w:br/>
      </w:r>
      <w:r>
        <w:rPr>
          <w:b w:val="0"/>
          <w:color w:val="6E6E73"/>
          <w:sz w:val="19"/>
        </w:rPr>
        <w:t>Document No.: TMS-POL-SOP-001   |   Version: 1.0</w:t>
        <w:br/>
      </w:r>
      <w:r>
        <w:rPr>
          <w:b w:val="0"/>
          <w:color w:val="6E6E73"/>
          <w:sz w:val="19"/>
        </w:rPr>
        <w:t>Classification: Internal   |   Owner: Corporate L&amp;D</w:t>
        <w:br/>
      </w:r>
      <w:r>
        <w:rPr>
          <w:b w:val="0"/>
          <w:color w:val="6E6E73"/>
          <w:sz w:val="19"/>
        </w:rPr>
        <w:t>Effective Date: 07 June 2026</w:t>
        <w:br/>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320"/>
        <w:gridCol w:w="4320"/>
      </w:tblGrid>
      <w:tr>
        <w:tc>
          <w:tcPr>
            <w:tcW w:type="dxa" w:w="2592"/>
            <w:shd w:val="clear" w:fill="1A7A3C"/>
          </w:tcPr>
          <w:p>
            <w:r/>
            <w:r>
              <w:rPr>
                <w:b/>
                <w:color w:val="FFFFFF"/>
                <w:sz w:val="19"/>
              </w:rPr>
              <w:t>Field</w:t>
            </w:r>
          </w:p>
        </w:tc>
        <w:tc>
          <w:tcPr>
            <w:tcW w:type="dxa" w:w="6624"/>
            <w:shd w:val="clear" w:fill="1A7A3C"/>
          </w:tcPr>
          <w:p>
            <w:r/>
            <w:r>
              <w:rPr>
                <w:b/>
                <w:color w:val="FFFFFF"/>
                <w:sz w:val="19"/>
              </w:rPr>
              <w:t>Detail</w:t>
            </w:r>
          </w:p>
        </w:tc>
      </w:tr>
      <w:tr>
        <w:tc>
          <w:tcPr>
            <w:tcW w:type="dxa" w:w="2592"/>
          </w:tcPr>
          <w:p>
            <w:r/>
            <w:r>
              <w:rPr>
                <w:sz w:val="19"/>
              </w:rPr>
              <w:t>Document Title</w:t>
            </w:r>
          </w:p>
        </w:tc>
        <w:tc>
          <w:tcPr>
            <w:tcW w:type="dxa" w:w="6624"/>
          </w:tcPr>
          <w:p>
            <w:r/>
            <w:r>
              <w:rPr>
                <w:sz w:val="19"/>
              </w:rPr>
              <w:t>TMS Training Management Policy &amp; Standard Operating Procedure</w:t>
            </w:r>
          </w:p>
        </w:tc>
      </w:tr>
      <w:tr>
        <w:tc>
          <w:tcPr>
            <w:tcW w:type="dxa" w:w="2592"/>
          </w:tcPr>
          <w:p>
            <w:r/>
            <w:r>
              <w:rPr>
                <w:sz w:val="19"/>
              </w:rPr>
              <w:t>Document No.</w:t>
            </w:r>
          </w:p>
        </w:tc>
        <w:tc>
          <w:tcPr>
            <w:tcW w:type="dxa" w:w="6624"/>
          </w:tcPr>
          <w:p>
            <w:r/>
            <w:r>
              <w:rPr>
                <w:sz w:val="19"/>
              </w:rPr>
              <w:t>TMS-POL-SOP-001</w:t>
            </w:r>
          </w:p>
        </w:tc>
      </w:tr>
      <w:tr>
        <w:tc>
          <w:tcPr>
            <w:tcW w:type="dxa" w:w="2592"/>
          </w:tcPr>
          <w:p>
            <w:r/>
            <w:r>
              <w:rPr>
                <w:sz w:val="19"/>
              </w:rPr>
              <w:t>Version</w:t>
            </w:r>
          </w:p>
        </w:tc>
        <w:tc>
          <w:tcPr>
            <w:tcW w:type="dxa" w:w="6624"/>
          </w:tcPr>
          <w:p>
            <w:r/>
            <w:r>
              <w:rPr>
                <w:sz w:val="19"/>
              </w:rPr>
              <w:t>1.0</w:t>
            </w:r>
          </w:p>
        </w:tc>
      </w:tr>
      <w:tr>
        <w:tc>
          <w:tcPr>
            <w:tcW w:type="dxa" w:w="2592"/>
          </w:tcPr>
          <w:p>
            <w:r/>
            <w:r>
              <w:rPr>
                <w:sz w:val="19"/>
              </w:rPr>
              <w:t>Effective Date</w:t>
            </w:r>
          </w:p>
        </w:tc>
        <w:tc>
          <w:tcPr>
            <w:tcW w:type="dxa" w:w="6624"/>
          </w:tcPr>
          <w:p>
            <w:r/>
            <w:r>
              <w:rPr>
                <w:sz w:val="19"/>
              </w:rPr>
              <w:t>07 June 2026</w:t>
            </w:r>
          </w:p>
        </w:tc>
      </w:tr>
      <w:tr>
        <w:tc>
          <w:tcPr>
            <w:tcW w:type="dxa" w:w="2592"/>
          </w:tcPr>
          <w:p>
            <w:r/>
            <w:r>
              <w:rPr>
                <w:sz w:val="19"/>
              </w:rPr>
              <w:t>Owner</w:t>
            </w:r>
          </w:p>
        </w:tc>
        <w:tc>
          <w:tcPr>
            <w:tcW w:type="dxa" w:w="6624"/>
          </w:tcPr>
          <w:p>
            <w:r/>
            <w:r>
              <w:rPr>
                <w:sz w:val="19"/>
              </w:rPr>
              <w:t>Corporate Learning &amp; Development</w:t>
            </w:r>
          </w:p>
        </w:tc>
      </w:tr>
      <w:tr>
        <w:tc>
          <w:tcPr>
            <w:tcW w:type="dxa" w:w="2592"/>
          </w:tcPr>
          <w:p>
            <w:r/>
            <w:r>
              <w:rPr>
                <w:sz w:val="19"/>
              </w:rPr>
              <w:t>Approved By</w:t>
            </w:r>
          </w:p>
        </w:tc>
        <w:tc>
          <w:tcPr>
            <w:tcW w:type="dxa" w:w="6624"/>
          </w:tcPr>
          <w:p>
            <w:r/>
            <w:r>
              <w:rPr>
                <w:sz w:val="19"/>
              </w:rPr>
              <w:t>Head — Human Resources</w:t>
            </w:r>
          </w:p>
        </w:tc>
      </w:tr>
      <w:tr>
        <w:tc>
          <w:tcPr>
            <w:tcW w:type="dxa" w:w="2592"/>
          </w:tcPr>
          <w:p>
            <w:r/>
            <w:r>
              <w:rPr>
                <w:sz w:val="19"/>
              </w:rPr>
              <w:t>Review Cycle</w:t>
            </w:r>
          </w:p>
        </w:tc>
        <w:tc>
          <w:tcPr>
            <w:tcW w:type="dxa" w:w="6624"/>
          </w:tcPr>
          <w:p>
            <w:r/>
            <w:r>
              <w:rPr>
                <w:sz w:val="19"/>
              </w:rPr>
              <w:t>Annual, or on material change to the training process</w:t>
            </w:r>
          </w:p>
        </w:tc>
      </w:tr>
      <w:tr>
        <w:tc>
          <w:tcPr>
            <w:tcW w:type="dxa" w:w="2592"/>
          </w:tcPr>
          <w:p>
            <w:r/>
            <w:r>
              <w:rPr>
                <w:sz w:val="19"/>
              </w:rPr>
              <w:t>Applies To</w:t>
            </w:r>
          </w:p>
        </w:tc>
        <w:tc>
          <w:tcPr>
            <w:tcW w:type="dxa" w:w="6624"/>
          </w:tcPr>
          <w:p>
            <w:r/>
            <w:r>
              <w:rPr>
                <w:sz w:val="19"/>
              </w:rPr>
              <w:t>All manufacturing units / plants and Corporate L&amp;D</w:t>
            </w:r>
          </w:p>
        </w:tc>
      </w:tr>
    </w:tbl>
    <w:p/>
    <w:p>
      <w:pPr>
        <w:pStyle w:val="Heading2"/>
      </w:pPr>
      <w:r>
        <w:t>Revision History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296"/>
            <w:shd w:val="clear" w:fill="1A7A3C"/>
          </w:tcPr>
          <w:p>
            <w:r/>
            <w:r>
              <w:rPr>
                <w:b/>
                <w:color w:val="FFFFFF"/>
                <w:sz w:val="19"/>
              </w:rPr>
              <w:t>Version</w:t>
            </w:r>
          </w:p>
        </w:tc>
        <w:tc>
          <w:tcPr>
            <w:tcW w:type="dxa" w:w="1584"/>
            <w:shd w:val="clear" w:fill="1A7A3C"/>
          </w:tcPr>
          <w:p>
            <w:r/>
            <w:r>
              <w:rPr>
                <w:b/>
                <w:color w:val="FFFFFF"/>
                <w:sz w:val="19"/>
              </w:rPr>
              <w:t>Date</w:t>
            </w:r>
          </w:p>
        </w:tc>
        <w:tc>
          <w:tcPr>
            <w:tcW w:type="dxa" w:w="2304"/>
            <w:shd w:val="clear" w:fill="1A7A3C"/>
          </w:tcPr>
          <w:p>
            <w:r/>
            <w:r>
              <w:rPr>
                <w:b/>
                <w:color w:val="FFFFFF"/>
                <w:sz w:val="19"/>
              </w:rPr>
              <w:t>Author</w:t>
            </w:r>
          </w:p>
        </w:tc>
        <w:tc>
          <w:tcPr>
            <w:tcW w:type="dxa" w:w="4032"/>
            <w:shd w:val="clear" w:fill="1A7A3C"/>
          </w:tcPr>
          <w:p>
            <w:r/>
            <w:r>
              <w:rPr>
                <w:b/>
                <w:color w:val="FFFFFF"/>
                <w:sz w:val="19"/>
              </w:rPr>
              <w:t>Summary of Change</w:t>
            </w:r>
          </w:p>
        </w:tc>
      </w:tr>
      <w:tr>
        <w:tc>
          <w:tcPr>
            <w:tcW w:type="dxa" w:w="1296"/>
          </w:tcPr>
          <w:p>
            <w:r/>
            <w:r>
              <w:rPr>
                <w:sz w:val="19"/>
              </w:rPr>
              <w:t>1.0</w:t>
            </w:r>
          </w:p>
        </w:tc>
        <w:tc>
          <w:tcPr>
            <w:tcW w:type="dxa" w:w="1584"/>
          </w:tcPr>
          <w:p>
            <w:r/>
            <w:r>
              <w:rPr>
                <w:sz w:val="19"/>
              </w:rPr>
              <w:t>07 Jun 2026</w:t>
            </w:r>
          </w:p>
        </w:tc>
        <w:tc>
          <w:tcPr>
            <w:tcW w:type="dxa" w:w="2304"/>
          </w:tcPr>
          <w:p>
            <w:r/>
            <w:r>
              <w:rPr>
                <w:sz w:val="19"/>
              </w:rPr>
              <w:t>Corporate L&amp;D</w:t>
            </w:r>
          </w:p>
        </w:tc>
        <w:tc>
          <w:tcPr>
            <w:tcW w:type="dxa" w:w="4032"/>
          </w:tcPr>
          <w:p>
            <w:r/>
            <w:r>
              <w:rPr>
                <w:sz w:val="19"/>
              </w:rPr>
              <w:t>Initial issue — policy + end-to-end SOP for the Training Management System.</w:t>
            </w:r>
          </w:p>
        </w:tc>
      </w:tr>
    </w:tbl>
    <w:p/>
    <w:p>
      <w:r>
        <w:br w:type="page"/>
      </w:r>
    </w:p>
    <w:p>
      <w:pPr>
        <w:pStyle w:val="Heading1"/>
      </w:pPr>
      <w:r>
        <w:t>1. Purpose &amp; Scope</w:t>
      </w:r>
    </w:p>
    <w:p>
      <w:pPr>
        <w:pStyle w:val="Heading2"/>
      </w:pPr>
      <w:r>
        <w:t>1.1 Purpose</w:t>
      </w:r>
    </w:p>
    <w:p>
      <w:r>
        <w:t>This document defines the policy and the standard operating procedure (SOP) for managing employee training through the Training Management System (TMS). It establishes how training need is identified, planned, conducted, recorded, verified, measured for effectiveness, and reported — so that every plant can demonstrate, on demand and with traceable evidence, that the mandated training was delivered.</w:t>
      </w:r>
    </w:p>
    <w:p>
      <w:pPr>
        <w:pStyle w:val="Heading2"/>
      </w:pPr>
      <w:r>
        <w:t>1.2 Scope</w:t>
      </w:r>
    </w:p>
    <w:p>
      <w:r>
        <w:t>The SOP covers the complete training cycle for all employees (Blue Collared and White Collared) across every plant, plus centrally-hosted corporate programmes. It governs data entry, the QR-based attendance and feedback capture, the monthly summary and compliance dashboard, and the export of statutory/management records.</w:t>
      </w:r>
    </w:p>
    <w:p>
      <w:pPr>
        <w:pStyle w:val="Heading2"/>
      </w:pPr>
      <w:r>
        <w:t>1.3 Objective</w:t>
      </w:r>
    </w:p>
    <w:p>
      <w:pPr>
        <w:pStyle w:val="ListBullet"/>
      </w:pPr>
      <w:r>
        <w:t>Meet the annual man-hour training mandate for every employee.</w:t>
      </w:r>
    </w:p>
    <w:p>
      <w:pPr>
        <w:pStyle w:val="ListBullet"/>
      </w:pPr>
      <w:r>
        <w:t>Maintain a single, trustworthy source of truth for training data across all plants.</w:t>
      </w:r>
    </w:p>
    <w:p>
      <w:pPr>
        <w:pStyle w:val="ListBullet"/>
      </w:pPr>
      <w:r>
        <w:t>Be audit-ready at all times — every record traceable to the individual, date, and approver.</w:t>
      </w:r>
    </w:p>
    <w:p>
      <w:pPr>
        <w:pStyle w:val="ListBullet"/>
      </w:pPr>
      <w:r>
        <w:t>Measure not just attendance but the effectiveness of training.</w:t>
      </w:r>
    </w:p>
    <w:p>
      <w:r>
        <w:br w:type="page"/>
      </w:r>
    </w:p>
    <w:p>
      <w:pPr>
        <w:pStyle w:val="Heading1"/>
      </w:pPr>
      <w:r>
        <w:t>2. Definitions &amp; Abbreviations</w:t>
      </w:r>
    </w:p>
    <w:tbl>
      <w:tblPr>
        <w:tblStyle w:val="TableGrid"/>
        <w:tblW w:type="auto" w:w="0"/>
        <w:jc w:val="center"/>
        <w:tblLook w:firstColumn="1" w:firstRow="1" w:lastColumn="0" w:lastRow="0" w:noHBand="0" w:noVBand="1" w:val="04A0"/>
      </w:tblPr>
      <w:tblGrid>
        <w:gridCol w:w="4320"/>
        <w:gridCol w:w="4320"/>
      </w:tblGrid>
      <w:tr>
        <w:tc>
          <w:tcPr>
            <w:tcW w:type="dxa" w:w="2304"/>
            <w:shd w:val="clear" w:fill="1A7A3C"/>
          </w:tcPr>
          <w:p>
            <w:r/>
            <w:r>
              <w:rPr>
                <w:b/>
                <w:color w:val="FFFFFF"/>
                <w:sz w:val="19"/>
              </w:rPr>
              <w:t>Term</w:t>
            </w:r>
          </w:p>
        </w:tc>
        <w:tc>
          <w:tcPr>
            <w:tcW w:type="dxa" w:w="6912"/>
            <w:shd w:val="clear" w:fill="1A7A3C"/>
          </w:tcPr>
          <w:p>
            <w:r/>
            <w:r>
              <w:rPr>
                <w:b/>
                <w:color w:val="FFFFFF"/>
                <w:sz w:val="19"/>
              </w:rPr>
              <w:t>Meaning</w:t>
            </w:r>
          </w:p>
        </w:tc>
      </w:tr>
      <w:tr>
        <w:tc>
          <w:tcPr>
            <w:tcW w:type="dxa" w:w="2304"/>
          </w:tcPr>
          <w:p>
            <w:r/>
            <w:r>
              <w:rPr>
                <w:sz w:val="19"/>
              </w:rPr>
              <w:t>TNI</w:t>
            </w:r>
          </w:p>
        </w:tc>
        <w:tc>
          <w:tcPr>
            <w:tcW w:type="dxa" w:w="6912"/>
          </w:tcPr>
          <w:p>
            <w:r/>
            <w:r>
              <w:rPr>
                <w:sz w:val="19"/>
              </w:rPr>
              <w:t>Training Need Identification — the nominated demand: one row per employee per programme.</w:t>
            </w:r>
          </w:p>
        </w:tc>
      </w:tr>
      <w:tr>
        <w:tc>
          <w:tcPr>
            <w:tcW w:type="dxa" w:w="2304"/>
          </w:tcPr>
          <w:p>
            <w:r/>
            <w:r>
              <w:rPr>
                <w:sz w:val="19"/>
              </w:rPr>
              <w:t>Programme Master</w:t>
            </w:r>
          </w:p>
        </w:tc>
        <w:tc>
          <w:tcPr>
            <w:tcW w:type="dxa" w:w="6912"/>
          </w:tcPr>
          <w:p>
            <w:r/>
            <w:r>
              <w:rPr>
                <w:sz w:val="19"/>
              </w:rPr>
              <w:t>The canonical, approved list of programme names per plant. Acts as the gatekeeper for all programme selection.</w:t>
            </w:r>
          </w:p>
        </w:tc>
      </w:tr>
      <w:tr>
        <w:tc>
          <w:tcPr>
            <w:tcW w:type="dxa" w:w="2304"/>
          </w:tcPr>
          <w:p>
            <w:r/>
            <w:r>
              <w:rPr>
                <w:sz w:val="19"/>
              </w:rPr>
              <w:t>Calendar (2C-plan)</w:t>
            </w:r>
          </w:p>
        </w:tc>
        <w:tc>
          <w:tcPr>
            <w:tcW w:type="dxa" w:w="6912"/>
          </w:tcPr>
          <w:p>
            <w:r/>
            <w:r>
              <w:rPr>
                <w:sz w:val="19"/>
              </w:rPr>
              <w:t>Planned sessions, each with an auto-generated Session Code.</w:t>
            </w:r>
          </w:p>
        </w:tc>
      </w:tr>
      <w:tr>
        <w:tc>
          <w:tcPr>
            <w:tcW w:type="dxa" w:w="2304"/>
          </w:tcPr>
          <w:p>
            <w:r/>
            <w:r>
              <w:rPr>
                <w:sz w:val="19"/>
              </w:rPr>
              <w:t>2C / Programme Details</w:t>
            </w:r>
          </w:p>
        </w:tc>
        <w:tc>
          <w:tcPr>
            <w:tcW w:type="dxa" w:w="6912"/>
          </w:tcPr>
          <w:p>
            <w:r/>
            <w:r>
              <w:rPr>
                <w:sz w:val="19"/>
              </w:rPr>
              <w:t>Conducted-session actuals (dates, faculty, hours, cost, feedback).</w:t>
            </w:r>
          </w:p>
        </w:tc>
      </w:tr>
      <w:tr>
        <w:tc>
          <w:tcPr>
            <w:tcW w:type="dxa" w:w="2304"/>
          </w:tcPr>
          <w:p>
            <w:r/>
            <w:r>
              <w:rPr>
                <w:sz w:val="19"/>
              </w:rPr>
              <w:t>2A / Training Records</w:t>
            </w:r>
          </w:p>
        </w:tc>
        <w:tc>
          <w:tcPr>
            <w:tcW w:type="dxa" w:w="6912"/>
          </w:tcPr>
          <w:p>
            <w:r/>
            <w:r>
              <w:rPr>
                <w:sz w:val="19"/>
              </w:rPr>
              <w:t>Individual attendance — one row per person per session.</w:t>
            </w:r>
          </w:p>
        </w:tc>
      </w:tr>
      <w:tr>
        <w:tc>
          <w:tcPr>
            <w:tcW w:type="dxa" w:w="2304"/>
          </w:tcPr>
          <w:p>
            <w:r/>
            <w:r>
              <w:rPr>
                <w:sz w:val="19"/>
              </w:rPr>
              <w:t>Session Code</w:t>
            </w:r>
          </w:p>
        </w:tc>
        <w:tc>
          <w:tcPr>
            <w:tcW w:type="dxa" w:w="6912"/>
          </w:tcPr>
          <w:p>
            <w:r/>
            <w:r>
              <w:rPr>
                <w:sz w:val="19"/>
              </w:rPr>
              <w:t>Unique session identifier: UNIT/TYPE/NNN/FY/Bnn (e.g. BCM/TEC/001/26-27/B01).</w:t>
            </w:r>
          </w:p>
        </w:tc>
      </w:tr>
      <w:tr>
        <w:tc>
          <w:tcPr>
            <w:tcW w:type="dxa" w:w="2304"/>
          </w:tcPr>
          <w:p>
            <w:r/>
            <w:r>
              <w:rPr>
                <w:sz w:val="19"/>
              </w:rPr>
              <w:t>BC / WC</w:t>
            </w:r>
          </w:p>
        </w:tc>
        <w:tc>
          <w:tcPr>
            <w:tcW w:type="dxa" w:w="6912"/>
          </w:tcPr>
          <w:p>
            <w:r/>
            <w:r>
              <w:rPr>
                <w:sz w:val="19"/>
              </w:rPr>
              <w:t>Blue Collared / White Collared employee.</w:t>
            </w:r>
          </w:p>
        </w:tc>
      </w:tr>
      <w:tr>
        <w:tc>
          <w:tcPr>
            <w:tcW w:type="dxa" w:w="2304"/>
          </w:tcPr>
          <w:p>
            <w:r/>
            <w:r>
              <w:rPr>
                <w:sz w:val="19"/>
              </w:rPr>
              <w:t>Coverage %</w:t>
            </w:r>
          </w:p>
        </w:tc>
        <w:tc>
          <w:tcPr>
            <w:tcW w:type="dxa" w:w="6912"/>
          </w:tcPr>
          <w:p>
            <w:r/>
            <w:r>
              <w:rPr>
                <w:sz w:val="19"/>
              </w:rPr>
              <w:t>Of the employees nominated for a programme in TNI, the proportion who were trained.</w:t>
            </w:r>
          </w:p>
        </w:tc>
      </w:tr>
      <w:tr>
        <w:tc>
          <w:tcPr>
            <w:tcW w:type="dxa" w:w="2304"/>
          </w:tcPr>
          <w:p>
            <w:r/>
            <w:r>
              <w:rPr>
                <w:sz w:val="19"/>
              </w:rPr>
              <w:t>Compliance %</w:t>
            </w:r>
          </w:p>
        </w:tc>
        <w:tc>
          <w:tcPr>
            <w:tcW w:type="dxa" w:w="6912"/>
          </w:tcPr>
          <w:p>
            <w:r/>
            <w:r>
              <w:rPr>
                <w:sz w:val="19"/>
              </w:rPr>
              <w:t>Man-hours delivered as a proportion of the annual man-hour mandate.</w:t>
            </w:r>
          </w:p>
        </w:tc>
      </w:tr>
      <w:tr>
        <w:tc>
          <w:tcPr>
            <w:tcW w:type="dxa" w:w="2304"/>
          </w:tcPr>
          <w:p>
            <w:r/>
            <w:r>
              <w:rPr>
                <w:sz w:val="19"/>
              </w:rPr>
              <w:t>SPOC</w:t>
            </w:r>
          </w:p>
        </w:tc>
        <w:tc>
          <w:tcPr>
            <w:tcW w:type="dxa" w:w="6912"/>
          </w:tcPr>
          <w:p>
            <w:r/>
            <w:r>
              <w:rPr>
                <w:sz w:val="19"/>
              </w:rPr>
              <w:t>Single Point of Contact — the plant-level training administrator.</w:t>
            </w:r>
          </w:p>
        </w:tc>
      </w:tr>
      <w:tr>
        <w:tc>
          <w:tcPr>
            <w:tcW w:type="dxa" w:w="2304"/>
          </w:tcPr>
          <w:p>
            <w:r/>
            <w:r>
              <w:rPr>
                <w:sz w:val="19"/>
              </w:rPr>
              <w:t>Central L&amp;D</w:t>
            </w:r>
          </w:p>
        </w:tc>
        <w:tc>
          <w:tcPr>
            <w:tcW w:type="dxa" w:w="6912"/>
          </w:tcPr>
          <w:p>
            <w:r/>
            <w:r>
              <w:rPr>
                <w:sz w:val="19"/>
              </w:rPr>
              <w:t>Corporate Learning &amp; Development — cross-plant oversight and verification.</w:t>
            </w:r>
          </w:p>
        </w:tc>
      </w:tr>
      <w:tr>
        <w:tc>
          <w:tcPr>
            <w:tcW w:type="dxa" w:w="2304"/>
          </w:tcPr>
          <w:p>
            <w:r/>
            <w:r>
              <w:rPr>
                <w:sz w:val="19"/>
              </w:rPr>
              <w:t>QR Attendance/Feedback</w:t>
            </w:r>
          </w:p>
        </w:tc>
        <w:tc>
          <w:tcPr>
            <w:tcW w:type="dxa" w:w="6912"/>
          </w:tcPr>
          <w:p>
            <w:r/>
            <w:r>
              <w:rPr>
                <w:sz w:val="19"/>
              </w:rPr>
              <w:t>Phone-scannable QR that captures attendance or feedback with no app/login.</w:t>
            </w:r>
          </w:p>
        </w:tc>
      </w:tr>
    </w:tbl>
    <w:p/>
    <w:p>
      <w:r>
        <w:br w:type="page"/>
      </w:r>
    </w:p>
    <w:p>
      <w:pPr>
        <w:pStyle w:val="Heading1"/>
      </w:pPr>
      <w:r>
        <w:t>3. Governance &amp; Roles</w:t>
      </w:r>
    </w:p>
    <w:p>
      <w:r>
        <w:t>The TMS enforces three roles. Access is least-privilege and role-gated.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296"/>
            <w:shd w:val="clear" w:fill="1A7A3C"/>
          </w:tcPr>
          <w:p>
            <w:r/>
            <w:r>
              <w:rPr>
                <w:b/>
                <w:color w:val="FFFFFF"/>
                <w:sz w:val="19"/>
              </w:rPr>
              <w:t>Role</w:t>
            </w:r>
          </w:p>
        </w:tc>
        <w:tc>
          <w:tcPr>
            <w:tcW w:type="dxa" w:w="2160"/>
            <w:shd w:val="clear" w:fill="1A7A3C"/>
          </w:tcPr>
          <w:p>
            <w:r/>
            <w:r>
              <w:rPr>
                <w:b/>
                <w:color w:val="FFFFFF"/>
                <w:sz w:val="19"/>
              </w:rPr>
              <w:t>Who</w:t>
            </w:r>
          </w:p>
        </w:tc>
        <w:tc>
          <w:tcPr>
            <w:tcW w:type="dxa" w:w="3744"/>
            <w:shd w:val="clear" w:fill="1A7A3C"/>
          </w:tcPr>
          <w:p>
            <w:r/>
            <w:r>
              <w:rPr>
                <w:b/>
                <w:color w:val="FFFFFF"/>
                <w:sz w:val="19"/>
              </w:rPr>
              <w:t>Responsibilities</w:t>
            </w:r>
          </w:p>
        </w:tc>
        <w:tc>
          <w:tcPr>
            <w:tcW w:type="dxa" w:w="2304"/>
            <w:shd w:val="clear" w:fill="1A7A3C"/>
          </w:tcPr>
          <w:p>
            <w:r/>
            <w:r>
              <w:rPr>
                <w:b/>
                <w:color w:val="FFFFFF"/>
                <w:sz w:val="19"/>
              </w:rPr>
              <w:t>System Rights</w:t>
            </w:r>
          </w:p>
        </w:tc>
      </w:tr>
      <w:tr>
        <w:tc>
          <w:tcPr>
            <w:tcW w:type="dxa" w:w="1296"/>
          </w:tcPr>
          <w:p>
            <w:r/>
            <w:r>
              <w:rPr>
                <w:sz w:val="19"/>
              </w:rPr>
              <w:t>SPOC</w:t>
            </w:r>
          </w:p>
        </w:tc>
        <w:tc>
          <w:tcPr>
            <w:tcW w:type="dxa" w:w="2160"/>
          </w:tcPr>
          <w:p>
            <w:r/>
            <w:r>
              <w:rPr>
                <w:sz w:val="19"/>
              </w:rPr>
              <w:t>Plant training administrator</w:t>
            </w:r>
          </w:p>
        </w:tc>
        <w:tc>
          <w:tcPr>
            <w:tcW w:type="dxa" w:w="3744"/>
          </w:tcPr>
          <w:p>
            <w:r/>
            <w:r>
              <w:rPr>
                <w:sz w:val="19"/>
              </w:rPr>
              <w:t>Maintain employee master; upload TNI; plan calendar; generate QR; record 2C/2A; review monthly summary.</w:t>
            </w:r>
          </w:p>
        </w:tc>
        <w:tc>
          <w:tcPr>
            <w:tcW w:type="dxa" w:w="2304"/>
          </w:tcPr>
          <w:p>
            <w:r/>
            <w:r>
              <w:rPr>
                <w:sz w:val="19"/>
              </w:rPr>
              <w:t>Read/write scoped to own plant only.</w:t>
            </w:r>
          </w:p>
        </w:tc>
      </w:tr>
      <w:tr>
        <w:tc>
          <w:tcPr>
            <w:tcW w:type="dxa" w:w="1296"/>
          </w:tcPr>
          <w:p>
            <w:r/>
            <w:r>
              <w:rPr>
                <w:sz w:val="19"/>
              </w:rPr>
              <w:t>Central L&amp;D</w:t>
            </w:r>
          </w:p>
        </w:tc>
        <w:tc>
          <w:tcPr>
            <w:tcW w:type="dxa" w:w="2160"/>
          </w:tcPr>
          <w:p>
            <w:r/>
            <w:r>
              <w:rPr>
                <w:sz w:val="19"/>
              </w:rPr>
              <w:t>Corporate L&amp;D team</w:t>
            </w:r>
          </w:p>
        </w:tc>
        <w:tc>
          <w:tcPr>
            <w:tcW w:type="dxa" w:w="3744"/>
          </w:tcPr>
          <w:p>
            <w:r/>
            <w:r>
              <w:rPr>
                <w:sz w:val="19"/>
              </w:rPr>
              <w:t>Cross-plant oversight; verify conducted sessions; plan corporate programmes; monitor compliance.</w:t>
            </w:r>
          </w:p>
        </w:tc>
        <w:tc>
          <w:tcPr>
            <w:tcW w:type="dxa" w:w="2304"/>
          </w:tcPr>
          <w:p>
            <w:r/>
            <w:r>
              <w:rPr>
                <w:sz w:val="19"/>
              </w:rPr>
              <w:t>Read across all plants; verify/approve; manage central calendar. 2FA mandatory.</w:t>
            </w:r>
          </w:p>
        </w:tc>
      </w:tr>
      <w:tr>
        <w:tc>
          <w:tcPr>
            <w:tcW w:type="dxa" w:w="1296"/>
          </w:tcPr>
          <w:p>
            <w:r/>
            <w:r>
              <w:rPr>
                <w:sz w:val="19"/>
              </w:rPr>
              <w:t>Admin</w:t>
            </w:r>
          </w:p>
        </w:tc>
        <w:tc>
          <w:tcPr>
            <w:tcW w:type="dxa" w:w="2160"/>
          </w:tcPr>
          <w:p>
            <w:r/>
            <w:r>
              <w:rPr>
                <w:sz w:val="19"/>
              </w:rPr>
              <w:t>System administrator</w:t>
            </w:r>
          </w:p>
        </w:tc>
        <w:tc>
          <w:tcPr>
            <w:tcW w:type="dxa" w:w="3744"/>
          </w:tcPr>
          <w:p>
            <w:r/>
            <w:r>
              <w:rPr>
                <w:sz w:val="19"/>
              </w:rPr>
              <w:t>User &amp; access management; impersonate a plant for support; configuration; backups.</w:t>
            </w:r>
          </w:p>
        </w:tc>
        <w:tc>
          <w:tcPr>
            <w:tcW w:type="dxa" w:w="2304"/>
          </w:tcPr>
          <w:p>
            <w:r/>
            <w:r>
              <w:rPr>
                <w:sz w:val="19"/>
              </w:rPr>
              <w:t>Full access; can act on behalf of any plant. 2FA mandatory.</w:t>
            </w:r>
          </w:p>
        </w:tc>
      </w:tr>
    </w:tbl>
    <w:p/>
    <w:p>
      <w:pPr>
        <w:pStyle w:val="Heading2"/>
      </w:pPr>
      <w:r>
        <w:t>3.1 RACI — Training Cycle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744"/>
            <w:shd w:val="clear" w:fill="1A7A3C"/>
          </w:tcPr>
          <w:p>
            <w:r/>
            <w:r>
              <w:rPr>
                <w:b/>
                <w:color w:val="FFFFFF"/>
                <w:sz w:val="19"/>
              </w:rPr>
              <w:t>Activity</w:t>
            </w:r>
          </w:p>
        </w:tc>
        <w:tc>
          <w:tcPr>
            <w:tcW w:type="dxa" w:w="1728"/>
            <w:shd w:val="clear" w:fill="1A7A3C"/>
          </w:tcPr>
          <w:p>
            <w:r/>
            <w:r>
              <w:rPr>
                <w:b/>
                <w:color w:val="FFFFFF"/>
                <w:sz w:val="19"/>
              </w:rPr>
              <w:t>SPOC</w:t>
            </w:r>
          </w:p>
        </w:tc>
        <w:tc>
          <w:tcPr>
            <w:tcW w:type="dxa" w:w="2016"/>
            <w:shd w:val="clear" w:fill="1A7A3C"/>
          </w:tcPr>
          <w:p>
            <w:r/>
            <w:r>
              <w:rPr>
                <w:b/>
                <w:color w:val="FFFFFF"/>
                <w:sz w:val="19"/>
              </w:rPr>
              <w:t>Central L&amp;D</w:t>
            </w:r>
          </w:p>
        </w:tc>
        <w:tc>
          <w:tcPr>
            <w:tcW w:type="dxa" w:w="1728"/>
            <w:shd w:val="clear" w:fill="1A7A3C"/>
          </w:tcPr>
          <w:p>
            <w:r/>
            <w:r>
              <w:rPr>
                <w:b/>
                <w:color w:val="FFFFFF"/>
                <w:sz w:val="19"/>
              </w:rPr>
              <w:t>Admin</w:t>
            </w:r>
          </w:p>
        </w:tc>
      </w:tr>
      <w:tr>
        <w:tc>
          <w:tcPr>
            <w:tcW w:type="dxa" w:w="3744"/>
          </w:tcPr>
          <w:p>
            <w:r/>
            <w:r>
              <w:rPr>
                <w:sz w:val="19"/>
              </w:rPr>
              <w:t>Employee master upkeep</w:t>
            </w:r>
          </w:p>
        </w:tc>
        <w:tc>
          <w:tcPr>
            <w:tcW w:type="dxa" w:w="1728"/>
          </w:tcPr>
          <w:p>
            <w:r/>
            <w:r>
              <w:rPr>
                <w:sz w:val="19"/>
              </w:rPr>
              <w:t>R/A</w:t>
            </w:r>
          </w:p>
        </w:tc>
        <w:tc>
          <w:tcPr>
            <w:tcW w:type="dxa" w:w="2016"/>
          </w:tcPr>
          <w:p>
            <w:r/>
            <w:r>
              <w:rPr>
                <w:sz w:val="19"/>
              </w:rPr>
              <w:t>I</w:t>
            </w:r>
          </w:p>
        </w:tc>
        <w:tc>
          <w:tcPr>
            <w:tcW w:type="dxa" w:w="1728"/>
          </w:tcPr>
          <w:p>
            <w:r/>
            <w:r>
              <w:rPr>
                <w:sz w:val="19"/>
              </w:rPr>
              <w:t>C</w:t>
            </w:r>
          </w:p>
        </w:tc>
      </w:tr>
      <w:tr>
        <w:tc>
          <w:tcPr>
            <w:tcW w:type="dxa" w:w="3744"/>
          </w:tcPr>
          <w:p>
            <w:r/>
            <w:r>
              <w:rPr>
                <w:sz w:val="19"/>
              </w:rPr>
              <w:t>TNI upload &amp; confirm</w:t>
            </w:r>
          </w:p>
        </w:tc>
        <w:tc>
          <w:tcPr>
            <w:tcW w:type="dxa" w:w="1728"/>
          </w:tcPr>
          <w:p>
            <w:r/>
            <w:r>
              <w:rPr>
                <w:sz w:val="19"/>
              </w:rPr>
              <w:t>R/A</w:t>
            </w:r>
          </w:p>
        </w:tc>
        <w:tc>
          <w:tcPr>
            <w:tcW w:type="dxa" w:w="2016"/>
          </w:tcPr>
          <w:p>
            <w:r/>
            <w:r>
              <w:rPr>
                <w:sz w:val="19"/>
              </w:rPr>
              <w:t>I</w:t>
            </w:r>
          </w:p>
        </w:tc>
        <w:tc>
          <w:tcPr>
            <w:tcW w:type="dxa" w:w="1728"/>
          </w:tcPr>
          <w:p>
            <w:r/>
            <w:r>
              <w:rPr>
                <w:sz w:val="19"/>
              </w:rPr>
              <w:t>C</w:t>
            </w:r>
          </w:p>
        </w:tc>
      </w:tr>
      <w:tr>
        <w:tc>
          <w:tcPr>
            <w:tcW w:type="dxa" w:w="3744"/>
          </w:tcPr>
          <w:p>
            <w:r/>
            <w:r>
              <w:rPr>
                <w:sz w:val="19"/>
              </w:rPr>
              <w:t>Calendar planning</w:t>
            </w:r>
          </w:p>
        </w:tc>
        <w:tc>
          <w:tcPr>
            <w:tcW w:type="dxa" w:w="1728"/>
          </w:tcPr>
          <w:p>
            <w:r/>
            <w:r>
              <w:rPr>
                <w:sz w:val="19"/>
              </w:rPr>
              <w:t>R/A</w:t>
            </w:r>
          </w:p>
        </w:tc>
        <w:tc>
          <w:tcPr>
            <w:tcW w:type="dxa" w:w="2016"/>
          </w:tcPr>
          <w:p>
            <w:r/>
            <w:r>
              <w:rPr>
                <w:sz w:val="19"/>
              </w:rPr>
              <w:t>C</w:t>
            </w:r>
          </w:p>
        </w:tc>
        <w:tc>
          <w:tcPr>
            <w:tcW w:type="dxa" w:w="1728"/>
          </w:tcPr>
          <w:p>
            <w:r/>
            <w:r>
              <w:rPr>
                <w:sz w:val="19"/>
              </w:rPr>
              <w:t>I</w:t>
            </w:r>
          </w:p>
        </w:tc>
      </w:tr>
      <w:tr>
        <w:tc>
          <w:tcPr>
            <w:tcW w:type="dxa" w:w="3744"/>
          </w:tcPr>
          <w:p>
            <w:r/>
            <w:r>
              <w:rPr>
                <w:sz w:val="19"/>
              </w:rPr>
              <w:t>Conduct &amp; QR attendance</w:t>
            </w:r>
          </w:p>
        </w:tc>
        <w:tc>
          <w:tcPr>
            <w:tcW w:type="dxa" w:w="1728"/>
          </w:tcPr>
          <w:p>
            <w:r/>
            <w:r>
              <w:rPr>
                <w:sz w:val="19"/>
              </w:rPr>
              <w:t>R/A</w:t>
            </w:r>
          </w:p>
        </w:tc>
        <w:tc>
          <w:tcPr>
            <w:tcW w:type="dxa" w:w="2016"/>
          </w:tcPr>
          <w:p>
            <w:r/>
            <w:r>
              <w:rPr>
                <w:sz w:val="19"/>
              </w:rPr>
              <w:t>I</w:t>
            </w:r>
          </w:p>
        </w:tc>
        <w:tc>
          <w:tcPr>
            <w:tcW w:type="dxa" w:w="1728"/>
          </w:tcPr>
          <w:p>
            <w:r/>
            <w:r>
              <w:rPr>
                <w:sz w:val="19"/>
              </w:rPr>
              <w:t>I</w:t>
            </w:r>
          </w:p>
        </w:tc>
      </w:tr>
      <w:tr>
        <w:tc>
          <w:tcPr>
            <w:tcW w:type="dxa" w:w="3744"/>
          </w:tcPr>
          <w:p>
            <w:r/>
            <w:r>
              <w:rPr>
                <w:sz w:val="19"/>
              </w:rPr>
              <w:t>2C / 2A recording</w:t>
            </w:r>
          </w:p>
        </w:tc>
        <w:tc>
          <w:tcPr>
            <w:tcW w:type="dxa" w:w="1728"/>
          </w:tcPr>
          <w:p>
            <w:r/>
            <w:r>
              <w:rPr>
                <w:sz w:val="19"/>
              </w:rPr>
              <w:t>R/A</w:t>
            </w:r>
          </w:p>
        </w:tc>
        <w:tc>
          <w:tcPr>
            <w:tcW w:type="dxa" w:w="2016"/>
          </w:tcPr>
          <w:p>
            <w:r/>
            <w:r>
              <w:rPr>
                <w:sz w:val="19"/>
              </w:rPr>
              <w:t>C</w:t>
            </w:r>
          </w:p>
        </w:tc>
        <w:tc>
          <w:tcPr>
            <w:tcW w:type="dxa" w:w="1728"/>
          </w:tcPr>
          <w:p>
            <w:r/>
            <w:r>
              <w:rPr>
                <w:sz w:val="19"/>
              </w:rPr>
              <w:t>I</w:t>
            </w:r>
          </w:p>
        </w:tc>
      </w:tr>
      <w:tr>
        <w:tc>
          <w:tcPr>
            <w:tcW w:type="dxa" w:w="3744"/>
          </w:tcPr>
          <w:p>
            <w:r/>
            <w:r>
              <w:rPr>
                <w:sz w:val="19"/>
              </w:rPr>
              <w:t>Verification of sessions</w:t>
            </w:r>
          </w:p>
        </w:tc>
        <w:tc>
          <w:tcPr>
            <w:tcW w:type="dxa" w:w="1728"/>
          </w:tcPr>
          <w:p>
            <w:r/>
            <w:r>
              <w:rPr>
                <w:sz w:val="19"/>
              </w:rPr>
              <w:t>C</w:t>
            </w:r>
          </w:p>
        </w:tc>
        <w:tc>
          <w:tcPr>
            <w:tcW w:type="dxa" w:w="2016"/>
          </w:tcPr>
          <w:p>
            <w:r/>
            <w:r>
              <w:rPr>
                <w:sz w:val="19"/>
              </w:rPr>
              <w:t>R/A</w:t>
            </w:r>
          </w:p>
        </w:tc>
        <w:tc>
          <w:tcPr>
            <w:tcW w:type="dxa" w:w="1728"/>
          </w:tcPr>
          <w:p>
            <w:r/>
            <w:r>
              <w:rPr>
                <w:sz w:val="19"/>
              </w:rPr>
              <w:t>I</w:t>
            </w:r>
          </w:p>
        </w:tc>
      </w:tr>
      <w:tr>
        <w:tc>
          <w:tcPr>
            <w:tcW w:type="dxa" w:w="3744"/>
          </w:tcPr>
          <w:p>
            <w:r/>
            <w:r>
              <w:rPr>
                <w:sz w:val="19"/>
              </w:rPr>
              <w:t>Effectiveness review</w:t>
            </w:r>
          </w:p>
        </w:tc>
        <w:tc>
          <w:tcPr>
            <w:tcW w:type="dxa" w:w="1728"/>
          </w:tcPr>
          <w:p>
            <w:r/>
            <w:r>
              <w:rPr>
                <w:sz w:val="19"/>
              </w:rPr>
              <w:t>R</w:t>
            </w:r>
          </w:p>
        </w:tc>
        <w:tc>
          <w:tcPr>
            <w:tcW w:type="dxa" w:w="2016"/>
          </w:tcPr>
          <w:p>
            <w:r/>
            <w:r>
              <w:rPr>
                <w:sz w:val="19"/>
              </w:rPr>
              <w:t>A</w:t>
            </w:r>
          </w:p>
        </w:tc>
        <w:tc>
          <w:tcPr>
            <w:tcW w:type="dxa" w:w="1728"/>
          </w:tcPr>
          <w:p>
            <w:r/>
            <w:r>
              <w:rPr>
                <w:sz w:val="19"/>
              </w:rPr>
              <w:t>I</w:t>
            </w:r>
          </w:p>
        </w:tc>
      </w:tr>
      <w:tr>
        <w:tc>
          <w:tcPr>
            <w:tcW w:type="dxa" w:w="3744"/>
          </w:tcPr>
          <w:p>
            <w:r/>
            <w:r>
              <w:rPr>
                <w:sz w:val="19"/>
              </w:rPr>
              <w:t>Compliance reporting</w:t>
            </w:r>
          </w:p>
        </w:tc>
        <w:tc>
          <w:tcPr>
            <w:tcW w:type="dxa" w:w="1728"/>
          </w:tcPr>
          <w:p>
            <w:r/>
            <w:r>
              <w:rPr>
                <w:sz w:val="19"/>
              </w:rPr>
              <w:t>R</w:t>
            </w:r>
          </w:p>
        </w:tc>
        <w:tc>
          <w:tcPr>
            <w:tcW w:type="dxa" w:w="2016"/>
          </w:tcPr>
          <w:p>
            <w:r/>
            <w:r>
              <w:rPr>
                <w:sz w:val="19"/>
              </w:rPr>
              <w:t>A</w:t>
            </w:r>
          </w:p>
        </w:tc>
        <w:tc>
          <w:tcPr>
            <w:tcW w:type="dxa" w:w="1728"/>
          </w:tcPr>
          <w:p>
            <w:r/>
            <w:r>
              <w:rPr>
                <w:sz w:val="19"/>
              </w:rPr>
              <w:t>I</w:t>
            </w:r>
          </w:p>
        </w:tc>
      </w:tr>
      <w:tr>
        <w:tc>
          <w:tcPr>
            <w:tcW w:type="dxa" w:w="3744"/>
          </w:tcPr>
          <w:p>
            <w:r/>
            <w:r>
              <w:rPr>
                <w:sz w:val="19"/>
              </w:rPr>
              <w:t>Configuration &amp; access</w:t>
            </w:r>
          </w:p>
        </w:tc>
        <w:tc>
          <w:tcPr>
            <w:tcW w:type="dxa" w:w="1728"/>
          </w:tcPr>
          <w:p>
            <w:r/>
            <w:r>
              <w:rPr>
                <w:sz w:val="19"/>
              </w:rPr>
              <w:t>I</w:t>
            </w:r>
          </w:p>
        </w:tc>
        <w:tc>
          <w:tcPr>
            <w:tcW w:type="dxa" w:w="2016"/>
          </w:tcPr>
          <w:p>
            <w:r/>
            <w:r>
              <w:rPr>
                <w:sz w:val="19"/>
              </w:rPr>
              <w:t>C</w:t>
            </w:r>
          </w:p>
        </w:tc>
        <w:tc>
          <w:tcPr>
            <w:tcW w:type="dxa" w:w="1728"/>
          </w:tcPr>
          <w:p>
            <w:r/>
            <w:r>
              <w:rPr>
                <w:sz w:val="19"/>
              </w:rPr>
              <w:t>R/A</w:t>
            </w:r>
          </w:p>
        </w:tc>
      </w:tr>
    </w:tbl>
    <w:p/>
    <w:p>
      <w:pPr>
        <w:pStyle w:val="IntenseQuote"/>
      </w:pPr>
      <w:r>
        <w:t>R = Responsible · A = Accountable · C = Consulted · I = Informed</w:t>
      </w:r>
    </w:p>
    <w:p>
      <w:r>
        <w:br w:type="page"/>
      </w:r>
    </w:p>
    <w:p>
      <w:pPr>
        <w:pStyle w:val="Heading1"/>
      </w:pPr>
      <w:r>
        <w:t>4. Training Management Policy</w:t>
      </w:r>
    </w:p>
    <w:p>
      <w:pPr>
        <w:pStyle w:val="Heading2"/>
      </w:pPr>
      <w:r>
        <w:t>4.1 Annual Training Mandate</w:t>
      </w:r>
    </w:p>
    <w:p>
      <w:r>
        <w:t>Every employee is owed a minimum number of training man-hours per financial year by collar. These targets are policy-configurable per plant; the corporate defaults are:</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val="clear" w:fill="1A7A3C"/>
          </w:tcPr>
          <w:p>
            <w:r/>
            <w:r>
              <w:rPr>
                <w:b/>
                <w:color w:val="FFFFFF"/>
                <w:sz w:val="19"/>
              </w:rPr>
              <w:t>Category</w:t>
            </w:r>
          </w:p>
        </w:tc>
        <w:tc>
          <w:tcPr>
            <w:tcW w:type="dxa" w:w="3744"/>
            <w:shd w:val="clear" w:fill="1A7A3C"/>
          </w:tcPr>
          <w:p>
            <w:r/>
            <w:r>
              <w:rPr>
                <w:b/>
                <w:color w:val="FFFFFF"/>
                <w:sz w:val="19"/>
              </w:rPr>
              <w:t>Default Annual Target</w:t>
            </w:r>
          </w:p>
        </w:tc>
        <w:tc>
          <w:tcPr>
            <w:tcW w:type="dxa" w:w="2304"/>
            <w:shd w:val="clear" w:fill="1A7A3C"/>
          </w:tcPr>
          <w:p>
            <w:r/>
            <w:r>
              <w:rPr>
                <w:b/>
                <w:color w:val="FFFFFF"/>
                <w:sz w:val="19"/>
              </w:rPr>
              <w:t>Configurable</w:t>
            </w:r>
          </w:p>
        </w:tc>
      </w:tr>
      <w:tr>
        <w:tc>
          <w:tcPr>
            <w:tcW w:type="dxa" w:w="3168"/>
          </w:tcPr>
          <w:p>
            <w:r/>
            <w:r>
              <w:rPr>
                <w:sz w:val="19"/>
              </w:rPr>
              <w:t>Blue Collared (BC)</w:t>
            </w:r>
          </w:p>
        </w:tc>
        <w:tc>
          <w:tcPr>
            <w:tcW w:type="dxa" w:w="3744"/>
          </w:tcPr>
          <w:p>
            <w:r/>
            <w:r>
              <w:rPr>
                <w:sz w:val="19"/>
              </w:rPr>
              <w:t>12 man-hours / employee / year</w:t>
            </w:r>
          </w:p>
        </w:tc>
        <w:tc>
          <w:tcPr>
            <w:tcW w:type="dxa" w:w="2304"/>
          </w:tcPr>
          <w:p>
            <w:r/>
            <w:r>
              <w:rPr>
                <w:sz w:val="19"/>
              </w:rPr>
              <w:t>Yes — per plant</w:t>
            </w:r>
          </w:p>
        </w:tc>
      </w:tr>
      <w:tr>
        <w:tc>
          <w:tcPr>
            <w:tcW w:type="dxa" w:w="3168"/>
          </w:tcPr>
          <w:p>
            <w:r/>
            <w:r>
              <w:rPr>
                <w:sz w:val="19"/>
              </w:rPr>
              <w:t>White Collared (WC)</w:t>
            </w:r>
          </w:p>
        </w:tc>
        <w:tc>
          <w:tcPr>
            <w:tcW w:type="dxa" w:w="3744"/>
          </w:tcPr>
          <w:p>
            <w:r/>
            <w:r>
              <w:rPr>
                <w:sz w:val="19"/>
              </w:rPr>
              <w:t>24 man-hours / employee / year</w:t>
            </w:r>
          </w:p>
        </w:tc>
        <w:tc>
          <w:tcPr>
            <w:tcW w:type="dxa" w:w="2304"/>
          </w:tcPr>
          <w:p>
            <w:r/>
            <w:r>
              <w:rPr>
                <w:sz w:val="19"/>
              </w:rPr>
              <w:t>Yes — per plant</w:t>
            </w:r>
          </w:p>
        </w:tc>
      </w:tr>
    </w:tbl>
    <w:p/>
    <w:p>
      <w:r>
        <w:t>The financial year runs April to March. Compliance is measured against the active headcount; see §6 for the exact calculation basis.</w:t>
      </w:r>
    </w:p>
    <w:p>
      <w:pPr>
        <w:pStyle w:val="Heading2"/>
      </w:pPr>
      <w:r>
        <w:t>4.2 Training Need &amp; Coverage Policy</w:t>
      </w:r>
    </w:p>
    <w:p>
      <w:pPr>
        <w:pStyle w:val="ListBullet"/>
      </w:pPr>
      <w:r>
        <w:t>Training demand is identified through TNI and is the basis for coverage measurement.</w:t>
      </w:r>
    </w:p>
    <w:p>
      <w:pPr>
        <w:pStyle w:val="ListBullet"/>
      </w:pPr>
      <w:r>
        <w:t>Coverage % is measured only over employees nominated in TNI for that programme. Attendance by a non-nominated employee (a “New Requirement”) is fully credited in seats and man-hours but does not change coverage %.</w:t>
      </w:r>
    </w:p>
    <w:p>
      <w:pPr>
        <w:pStyle w:val="ListBullet"/>
      </w:pPr>
      <w:r>
        <w:t>Each plant must close its TNI for the year before planning so that coverage targets are real.</w:t>
      </w:r>
    </w:p>
    <w:p>
      <w:pPr>
        <w:pStyle w:val="Heading2"/>
      </w:pPr>
      <w:r>
        <w:t>4.3 Data Integrity Controls</w:t>
      </w:r>
    </w:p>
    <w:p>
      <w:pPr>
        <w:pStyle w:val="ListBullet"/>
      </w:pPr>
      <w:r>
        <w:t>Programme Master is the gatekeeper. Programme names in Calendar, 2A and 2C are selected from the Programme Master only — free-text entry is blocked. This prevents spelling variants from breaking matching and reporting.</w:t>
      </w:r>
    </w:p>
    <w:p>
      <w:pPr>
        <w:pStyle w:val="ListBullet"/>
      </w:pPr>
      <w:r>
        <w:t>Programme source is exactly one of two values: “TNI Driven” or “New Requirement”.</w:t>
      </w:r>
    </w:p>
    <w:p>
      <w:pPr>
        <w:pStyle w:val="ListBullet"/>
      </w:pPr>
      <w:r>
        <w:t>Audience is locked from TNI. If both BC and WC are nominated → Common; BC only → Blue Collared; WC only → White Collared. This overrides any manual entry on TNI-driven programmes.</w:t>
      </w:r>
    </w:p>
    <w:p>
      <w:pPr>
        <w:pStyle w:val="ListBullet"/>
      </w:pPr>
      <w:r>
        <w:t>Session Codes are auto-generated and unique; they must never be hand-edited.</w:t>
      </w:r>
    </w:p>
    <w:p>
      <w:pPr>
        <w:pStyle w:val="Heading2"/>
      </w:pPr>
      <w:r>
        <w:t>4.4 Conduct, Verification &amp; Approval</w:t>
      </w:r>
    </w:p>
    <w:p>
      <w:pPr>
        <w:pStyle w:val="ListBullet"/>
      </w:pPr>
      <w:r>
        <w:t>A session is recorded as conducted (2C) only after its planned end date and after at least one attendance record exists.</w:t>
      </w:r>
    </w:p>
    <w:p>
      <w:pPr>
        <w:pStyle w:val="ListBullet"/>
      </w:pPr>
      <w:r>
        <w:t>When a SPOC saves 2C, the session moves to “Awaiting Verification”. It is NOT counted as a conducted programme until Central L&amp;D verifies it.</w:t>
      </w:r>
    </w:p>
    <w:p>
      <w:pPr>
        <w:pStyle w:val="ListBullet"/>
      </w:pPr>
      <w:r>
        <w:t>Central L&amp;D (or Admin) verification promotes the session to “Conducted”. Only conducted sessions count in the Monthly Summary and the compliance dashboard.</w:t>
      </w:r>
    </w:p>
    <w:p>
      <w:pPr>
        <w:pStyle w:val="ListBullet"/>
      </w:pPr>
      <w:r>
        <w:t>Rejection returns the session for correction; cancelled / re-scheduled sessions are excluded.</w:t>
      </w:r>
    </w:p>
    <w:p>
      <w:pPr>
        <w:pStyle w:val="Heading2"/>
      </w:pPr>
      <w:r>
        <w:t>4.5 Training Effectiveness Policy</w:t>
      </w:r>
    </w:p>
    <w:p>
      <w:pPr>
        <w:pStyle w:val="ListBullet"/>
      </w:pPr>
      <w:r>
        <w:t>Specialized programmes require an effectiveness review.</w:t>
      </w:r>
    </w:p>
    <w:p>
      <w:pPr>
        <w:pStyle w:val="ListBullet"/>
      </w:pPr>
      <w:r>
        <w:t>A review is due 90 days after the conducted date and becomes overdue 30 days after the due date (i.e. 120 days after conduct).</w:t>
      </w:r>
    </w:p>
    <w:p>
      <w:pPr>
        <w:pStyle w:val="ListBullet"/>
      </w:pPr>
      <w:r>
        <w:t>Effectiveness captures learning gain and on-the-job application (Kirkpatrick L2–L3).</w:t>
      </w:r>
    </w:p>
    <w:p>
      <w:pPr>
        <w:pStyle w:val="Heading2"/>
      </w:pPr>
      <w:r>
        <w:t>4.6 Records, Security &amp; Audit</w:t>
      </w:r>
    </w:p>
    <w:p>
      <w:pPr>
        <w:pStyle w:val="ListBullet"/>
      </w:pPr>
      <w:r>
        <w:t>All data is scoped by plant; a SPOC can never see or alter another plant’s data.</w:t>
      </w:r>
    </w:p>
    <w:p>
      <w:pPr>
        <w:pStyle w:val="ListBullet"/>
      </w:pPr>
      <w:r>
        <w:t>Central and Admin accounts require two-factor authentication (2FA).</w:t>
      </w:r>
    </w:p>
    <w:p>
      <w:pPr>
        <w:pStyle w:val="ListBullet"/>
      </w:pPr>
      <w:r>
        <w:t>Idle sessions time out after 30 minutes; first login forces a password change.</w:t>
      </w:r>
    </w:p>
    <w:p>
      <w:pPr>
        <w:pStyle w:val="ListBullet"/>
      </w:pPr>
      <w:r>
        <w:t>Every create / edit / delete and every verification is written to a tamper-evident audit log, traceable to the user, timestamp (IST), and before/after values.</w:t>
      </w:r>
    </w:p>
    <w:p>
      <w:pPr>
        <w:pStyle w:val="ListBullet"/>
      </w:pPr>
      <w:r>
        <w:t>Timestamps are recorded in IST regardless of server location.</w:t>
      </w:r>
    </w:p>
    <w:p>
      <w:r>
        <w:br w:type="page"/>
      </w:r>
    </w:p>
    <w:p>
      <w:pPr>
        <w:pStyle w:val="Heading1"/>
      </w:pPr>
      <w:r>
        <w:t>5. Standard Operating Procedure — The Training Cycle</w:t>
      </w:r>
    </w:p>
    <w:p>
      <w:pPr>
        <w:pStyle w:val="IntenseQuote"/>
      </w:pPr>
      <w:r>
        <w:t>Follow the cycle in order; each step feeds the next. Sequence: Employees → TNI → Programme Master → Calendar → Conduct (QR Attendance + Feedback) → 2C → 2A → Verification → Effectiveness → Monthly Summary / Dashboard → Export.</w:t>
      </w:r>
    </w:p>
    <w:p>
      <w:pPr>
        <w:pStyle w:val="Heading2"/>
      </w:pPr>
      <w:r>
        <w:t>5.1 Maintain the Employee Master</w:t>
      </w:r>
    </w:p>
    <w:p>
      <w:pPr>
        <w:pStyle w:val="ListNumber"/>
      </w:pPr>
      <w:r>
        <w:t>Keep the plant headcount current: add joiners, mark exits, set collar (BC/WC), department, grade and category.</w:t>
      </w:r>
    </w:p>
    <w:p>
      <w:pPr>
        <w:pStyle w:val="ListNumber"/>
      </w:pPr>
      <w:r>
        <w:t>Only active employees can be marked present or nominated. Exits remove an employee from future eligibility while preserving their historical records.</w:t>
      </w:r>
    </w:p>
    <w:p>
      <w:pPr>
        <w:pStyle w:val="Heading2"/>
      </w:pPr>
      <w:r>
        <w:t>5.2 Upload &amp; Confirm TNI</w:t>
      </w:r>
    </w:p>
    <w:p>
      <w:pPr>
        <w:pStyle w:val="ListNumber"/>
      </w:pPr>
      <w:r>
        <w:t>Upload the Training Need Identification sheet. The system fuzzy-matches programme names against the Programme Master and flags mismatches.</w:t>
      </w:r>
    </w:p>
    <w:p>
      <w:pPr>
        <w:pStyle w:val="ListNumber"/>
      </w:pPr>
      <w:r>
        <w:t>Review the analysis screen and confirm. Correct any unmatched names before saving.</w:t>
      </w:r>
    </w:p>
    <w:p>
      <w:pPr>
        <w:pStyle w:val="Heading2"/>
      </w:pPr>
      <w:r>
        <w:t>5.3 Sync the Programme Master</w:t>
      </w:r>
    </w:p>
    <w:p>
      <w:pPr>
        <w:pStyle w:val="ListNumber"/>
      </w:pPr>
      <w:r>
        <w:t>Sync the Programme Master from TNI so every demanded programme exists in the canonical list. Caution: a full sync rebuilds the list from TNI and will remove manually-added New-Requirement programmes that have no TNI rows — add those back only if intended.</w:t>
      </w:r>
    </w:p>
    <w:p>
      <w:pPr>
        <w:pStyle w:val="Heading2"/>
      </w:pPr>
      <w:r>
        <w:t>5.4 Plan the Calendar</w:t>
      </w:r>
    </w:p>
    <w:p>
      <w:pPr>
        <w:pStyle w:val="ListNumber"/>
      </w:pPr>
      <w:r>
        <w:t>Create planned sessions. Select the programme from the Programme Master (gatekeeper).</w:t>
      </w:r>
    </w:p>
    <w:p>
      <w:pPr>
        <w:pStyle w:val="ListNumber"/>
      </w:pPr>
      <w:r>
        <w:t>The Session Code is generated automatically; audience is set automatically from TNI.</w:t>
      </w:r>
    </w:p>
    <w:p>
      <w:pPr>
        <w:pStyle w:val="ListNumber"/>
      </w:pPr>
      <w:r>
        <w:t>Set planned dates, planned participants and venue.</w:t>
      </w:r>
    </w:p>
    <w:p>
      <w:pPr>
        <w:pStyle w:val="Heading2"/>
      </w:pPr>
      <w:r>
        <w:t>5.5 Generate the QR (and optional PIN)</w:t>
      </w:r>
    </w:p>
    <w:p>
      <w:pPr>
        <w:pStyle w:val="ListNumber"/>
      </w:pPr>
      <w:r>
        <w:t>Generate an attendance QR and/or a feedback QR for the planned session. QR generation is allowed only while the session is “To Be Planned”.</w:t>
      </w:r>
    </w:p>
    <w:p>
      <w:pPr>
        <w:pStyle w:val="ListNumber"/>
      </w:pPr>
      <w:r>
        <w:t>Optionally set a 4-digit session PIN and announce it to participants to restrict scanning to the room. Print the QR poster.</w:t>
      </w:r>
    </w:p>
    <w:p>
      <w:pPr>
        <w:pStyle w:val="Heading2"/>
      </w:pPr>
      <w:r>
        <w:t>5.6 Conduct — QR Attendance &amp; Feedback (real time)</w:t>
      </w:r>
    </w:p>
    <w:p>
      <w:pPr>
        <w:pStyle w:val="ListNumber"/>
      </w:pPr>
      <w:r>
        <w:t>During the session, participants scan the attendance QR on any phone (no app, no login), search their name/code, and mark attendance. The live monitor updates in real time.</w:t>
      </w:r>
    </w:p>
    <w:p>
      <w:pPr>
        <w:pStyle w:val="ListNumber"/>
      </w:pPr>
      <w:r>
        <w:t>After the session, participants scan the feedback QR and rate the programme (9 questions, available in English and Hindi). Anonymous feedback is de-duplicated per device.</w:t>
      </w:r>
    </w:p>
    <w:p>
      <w:pPr>
        <w:pStyle w:val="ListNumber"/>
      </w:pPr>
      <w:r>
        <w:t>Attendance and feedback must be captured BEFORE recording 2C — recording 2C moves the session out of the scan-open state.</w:t>
      </w:r>
    </w:p>
    <w:p>
      <w:pPr>
        <w:pStyle w:val="Heading2"/>
      </w:pPr>
      <w:r>
        <w:t>5.7 Record 2C — Programme Details (conducted actuals)</w:t>
      </w:r>
    </w:p>
    <w:p>
      <w:pPr>
        <w:pStyle w:val="ListNumber"/>
      </w:pPr>
      <w:r>
        <w:t>After the planned end date and with at least one attendee present, record the conducted actuals: actual dates, faculty, internal/external, actual hours, cost, venue.</w:t>
      </w:r>
    </w:p>
    <w:p>
      <w:pPr>
        <w:pStyle w:val="ListNumber"/>
      </w:pPr>
      <w:r>
        <w:t>Any QR feedback already collected is folded into this record automatically; manually-entered feedback is never overwritten.</w:t>
      </w:r>
    </w:p>
    <w:p>
      <w:pPr>
        <w:pStyle w:val="ListNumber"/>
      </w:pPr>
      <w:r>
        <w:t>On save the session moves to “Awaiting Verification”. The system flags anomalies (hours mismatch, low attendance, collar mismatch) for the verifier.</w:t>
      </w:r>
    </w:p>
    <w:p>
      <w:pPr>
        <w:pStyle w:val="Heading2"/>
      </w:pPr>
      <w:r>
        <w:t>5.8 Record 2A — Training Records (attendance back-fill)</w:t>
      </w:r>
    </w:p>
    <w:p>
      <w:pPr>
        <w:pStyle w:val="ListNumber"/>
      </w:pPr>
      <w:r>
        <w:t>Add any attendees not captured by QR (e.g. manual back-fill or bulk upload). The employee must be active; the session code auto-fills programme details.</w:t>
      </w:r>
    </w:p>
    <w:p>
      <w:pPr>
        <w:pStyle w:val="ListNumber"/>
      </w:pPr>
      <w:r>
        <w:t>The system prevents double-counting the same person for the same session.</w:t>
      </w:r>
    </w:p>
    <w:p>
      <w:pPr>
        <w:pStyle w:val="Heading2"/>
      </w:pPr>
      <w:r>
        <w:t>5.9 Verify (Central L&amp;D)</w:t>
      </w:r>
    </w:p>
    <w:p>
      <w:pPr>
        <w:pStyle w:val="ListNumber"/>
      </w:pPr>
      <w:r>
        <w:t>Central L&amp;D reviews the Awaiting-Verification queue, checks the flagged anomalies and evidence, and approves (→ Conducted) or rejects (→ back for correction).</w:t>
      </w:r>
    </w:p>
    <w:p>
      <w:pPr>
        <w:pStyle w:val="ListNumber"/>
      </w:pPr>
      <w:r>
        <w:t>Only after approval does the session count toward programmes, coverage and compliance.</w:t>
      </w:r>
    </w:p>
    <w:p>
      <w:pPr>
        <w:pStyle w:val="Heading2"/>
      </w:pPr>
      <w:r>
        <w:t>5.10 File the Effectiveness Review</w:t>
      </w:r>
    </w:p>
    <w:p>
      <w:pPr>
        <w:pStyle w:val="ListNumber"/>
      </w:pPr>
      <w:r>
        <w:t>For Specialized programmes, file the effectiveness review before it becomes overdue (90 days after conduct; overdue at 120 days). Capture learning gain and application.</w:t>
      </w:r>
    </w:p>
    <w:p>
      <w:pPr>
        <w:pStyle w:val="Heading2"/>
      </w:pPr>
      <w:r>
        <w:t>5.11 Review Monthly Summary &amp; Dashboard</w:t>
      </w:r>
    </w:p>
    <w:p>
      <w:pPr>
        <w:pStyle w:val="ListNumber"/>
      </w:pPr>
      <w:r>
        <w:t>Review the Monthly Summary (programmes, person-seats, man-hours, coverage %) and the compliance dashboard (BC% / WC% against the mandate). Numbers update in real time as data is entered; analytics charts refresh within ~1 minute.</w:t>
      </w:r>
    </w:p>
    <w:p>
      <w:pPr>
        <w:pStyle w:val="ListNumber"/>
      </w:pPr>
      <w:r>
        <w:t>Investigate any plant/department/collar falling behind the mandate.</w:t>
      </w:r>
    </w:p>
    <w:p>
      <w:pPr>
        <w:pStyle w:val="Heading2"/>
      </w:pPr>
      <w:r>
        <w:t>5.12 Export Records</w:t>
      </w:r>
    </w:p>
    <w:p>
      <w:pPr>
        <w:pStyle w:val="ListNumber"/>
      </w:pPr>
      <w:r>
        <w:t>Export the monthly summary, coverage, attendance and compliance records to Excel for management review and statutory/audit evidence.</w:t>
      </w:r>
    </w:p>
    <w:p>
      <w:r>
        <w:br w:type="page"/>
      </w:r>
    </w:p>
    <w:p>
      <w:pPr>
        <w:pStyle w:val="Heading1"/>
      </w:pPr>
      <w:r>
        <w:t>6. Compliance Calculation Basis</w:t>
      </w:r>
    </w:p>
    <w:p>
      <w:r>
        <w:t>The authoritative, line-by-line formulas for all 92 system calculations are maintained in “TMS — Calculation Logic Reference” (docs/markdown/TMS_Calculation_Logic.md). The policy-level summary is below.</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val="clear" w:fill="1A7A3C"/>
          </w:tcPr>
          <w:p>
            <w:r/>
            <w:r>
              <w:rPr>
                <w:b/>
                <w:color w:val="FFFFFF"/>
                <w:sz w:val="19"/>
              </w:rPr>
              <w:t>Metric</w:t>
            </w:r>
          </w:p>
        </w:tc>
        <w:tc>
          <w:tcPr>
            <w:tcW w:type="dxa" w:w="3744"/>
            <w:shd w:val="clear" w:fill="1A7A3C"/>
          </w:tcPr>
          <w:p>
            <w:r/>
            <w:r>
              <w:rPr>
                <w:b/>
                <w:color w:val="FFFFFF"/>
                <w:sz w:val="19"/>
              </w:rPr>
              <w:t>Definition</w:t>
            </w:r>
          </w:p>
        </w:tc>
        <w:tc>
          <w:tcPr>
            <w:tcW w:type="dxa" w:w="3456"/>
            <w:shd w:val="clear" w:fill="1A7A3C"/>
          </w:tcPr>
          <w:p>
            <w:r/>
            <w:r>
              <w:rPr>
                <w:b/>
                <w:color w:val="FFFFFF"/>
                <w:sz w:val="19"/>
              </w:rPr>
              <w:t>Key Rules</w:t>
            </w:r>
          </w:p>
        </w:tc>
      </w:tr>
      <w:tr>
        <w:tc>
          <w:tcPr>
            <w:tcW w:type="dxa" w:w="2016"/>
          </w:tcPr>
          <w:p>
            <w:r/>
            <w:r>
              <w:rPr>
                <w:sz w:val="19"/>
              </w:rPr>
              <w:t>No. of Programmes</w:t>
            </w:r>
          </w:p>
        </w:tc>
        <w:tc>
          <w:tcPr>
            <w:tcW w:type="dxa" w:w="3744"/>
          </w:tcPr>
          <w:p>
            <w:r/>
            <w:r>
              <w:rPr>
                <w:sz w:val="19"/>
              </w:rPr>
              <w:t>Distinct conducted programmes per type &amp; audience.</w:t>
            </w:r>
          </w:p>
        </w:tc>
        <w:tc>
          <w:tcPr>
            <w:tcW w:type="dxa" w:w="3456"/>
          </w:tcPr>
          <w:p>
            <w:r/>
            <w:r>
              <w:rPr>
                <w:sz w:val="19"/>
              </w:rPr>
              <w:t>Counts CONDUCTED sessions only; Awaiting-Verification not counted.</w:t>
            </w:r>
          </w:p>
        </w:tc>
      </w:tr>
      <w:tr>
        <w:tc>
          <w:tcPr>
            <w:tcW w:type="dxa" w:w="2016"/>
          </w:tcPr>
          <w:p>
            <w:r/>
            <w:r>
              <w:rPr>
                <w:sz w:val="19"/>
              </w:rPr>
              <w:t>Person Seats</w:t>
            </w:r>
          </w:p>
        </w:tc>
        <w:tc>
          <w:tcPr>
            <w:tcW w:type="dxa" w:w="3744"/>
          </w:tcPr>
          <w:p>
            <w:r/>
            <w:r>
              <w:rPr>
                <w:sz w:val="19"/>
              </w:rPr>
              <w:t>Count of attendance rows (one per person per session).</w:t>
            </w:r>
          </w:p>
        </w:tc>
        <w:tc>
          <w:tcPr>
            <w:tcW w:type="dxa" w:w="3456"/>
          </w:tcPr>
          <w:p>
            <w:r/>
            <w:r>
              <w:rPr>
                <w:sz w:val="19"/>
              </w:rPr>
              <w:t>BC/WC split by employee collar; financial-year scoped.</w:t>
            </w:r>
          </w:p>
        </w:tc>
      </w:tr>
      <w:tr>
        <w:tc>
          <w:tcPr>
            <w:tcW w:type="dxa" w:w="2016"/>
          </w:tcPr>
          <w:p>
            <w:r/>
            <w:r>
              <w:rPr>
                <w:sz w:val="19"/>
              </w:rPr>
              <w:t>Man-Hours</w:t>
            </w:r>
          </w:p>
        </w:tc>
        <w:tc>
          <w:tcPr>
            <w:tcW w:type="dxa" w:w="3744"/>
          </w:tcPr>
          <w:p>
            <w:r/>
            <w:r>
              <w:rPr>
                <w:sz w:val="19"/>
              </w:rPr>
              <w:t>Sum of training hours across attendance rows.</w:t>
            </w:r>
          </w:p>
        </w:tc>
        <w:tc>
          <w:tcPr>
            <w:tcW w:type="dxa" w:w="3456"/>
          </w:tcPr>
          <w:p>
            <w:r/>
            <w:r>
              <w:rPr>
                <w:sz w:val="19"/>
              </w:rPr>
              <w:t>Financial-year scoped; includes centrally-hosted attendance.</w:t>
            </w:r>
          </w:p>
        </w:tc>
      </w:tr>
      <w:tr>
        <w:tc>
          <w:tcPr>
            <w:tcW w:type="dxa" w:w="2016"/>
          </w:tcPr>
          <w:p>
            <w:r/>
            <w:r>
              <w:rPr>
                <w:sz w:val="19"/>
              </w:rPr>
              <w:t>Coverage %</w:t>
            </w:r>
          </w:p>
        </w:tc>
        <w:tc>
          <w:tcPr>
            <w:tcW w:type="dxa" w:w="3744"/>
          </w:tcPr>
          <w:p>
            <w:r/>
            <w:r>
              <w:rPr>
                <w:sz w:val="19"/>
              </w:rPr>
              <w:t>TNI-nominated employees trained ÷ TNI-nominated, per type &amp; collar.</w:t>
            </w:r>
          </w:p>
        </w:tc>
        <w:tc>
          <w:tcPr>
            <w:tcW w:type="dxa" w:w="3456"/>
          </w:tcPr>
          <w:p>
            <w:r/>
            <w:r>
              <w:rPr>
                <w:sz w:val="19"/>
              </w:rPr>
              <w:t>Denominator = TNI Driven nominations for the FY; non-TNI attendees excluded.</w:t>
            </w:r>
          </w:p>
        </w:tc>
      </w:tr>
      <w:tr>
        <w:tc>
          <w:tcPr>
            <w:tcW w:type="dxa" w:w="2016"/>
          </w:tcPr>
          <w:p>
            <w:r/>
            <w:r>
              <w:rPr>
                <w:sz w:val="19"/>
              </w:rPr>
              <w:t>Compliance %</w:t>
            </w:r>
          </w:p>
        </w:tc>
        <w:tc>
          <w:tcPr>
            <w:tcW w:type="dxa" w:w="3744"/>
          </w:tcPr>
          <w:p>
            <w:r/>
            <w:r>
              <w:rPr>
                <w:sz w:val="19"/>
              </w:rPr>
              <w:t>Man-hours delivered ÷ (active headcount × annual target).</w:t>
            </w:r>
          </w:p>
        </w:tc>
        <w:tc>
          <w:tcPr>
            <w:tcW w:type="dxa" w:w="3456"/>
          </w:tcPr>
          <w:p>
            <w:r/>
            <w:r>
              <w:rPr>
                <w:sz w:val="19"/>
              </w:rPr>
              <w:t>Targets per-plant configurable (BC 12 / WC 24 default).</w:t>
            </w:r>
          </w:p>
        </w:tc>
      </w:tr>
    </w:tbl>
    <w:p/>
    <w:p>
      <w:pPr>
        <w:pStyle w:val="Heading2"/>
      </w:pPr>
      <w:r>
        <w:t>6.1 Exit Policy (man-hour compliance)</w:t>
      </w:r>
    </w:p>
    <w:p>
      <w:r>
        <w:t>By policy, the man-hours delivered to an employee who later exits remain credited in the numerator (the training did happen), while the headcount denominator counts only currently active employees. As a result the compliance gauge can legitimately exceed 100%. This is intended and must not be read as a data error.</w:t>
      </w:r>
    </w:p>
    <w:p>
      <w:pPr>
        <w:pStyle w:val="Heading2"/>
      </w:pPr>
      <w:r>
        <w:t>6.2 Cross-Screen Consistency</w:t>
      </w:r>
    </w:p>
    <w:p>
      <w:pPr>
        <w:pStyle w:val="ListBullet"/>
      </w:pPr>
      <w:r>
        <w:t>The compliance gauge, the Monthly Summary compliance card and the Central per-plant view use the same calculation engine — the same number agrees across screens.</w:t>
      </w:r>
    </w:p>
    <w:p>
      <w:pPr>
        <w:pStyle w:val="ListBullet"/>
      </w:pPr>
      <w:r>
        <w:t>The man-hour drill-in and reports use the same per-plant target as the gauge.</w:t>
      </w:r>
    </w:p>
    <w:p>
      <w:pPr>
        <w:pStyle w:val="ListBullet"/>
      </w:pPr>
      <w:r>
        <w:t>Two coverage figures exist by design: the planning-stage coverage on the Calendar (against raw demand) and the canonical Coverage % on the Monthly Summary (TNI-Driven, FY-scoped).</w:t>
      </w:r>
    </w:p>
    <w:p>
      <w:r>
        <w:br w:type="page"/>
      </w:r>
    </w:p>
    <w:p>
      <w:pPr>
        <w:pStyle w:val="Heading1"/>
      </w:pPr>
      <w:r>
        <w:t>7. Controls, Anomalies &amp; Exceptions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fill="1A7A3C"/>
          </w:tcPr>
          <w:p>
            <w:r/>
            <w:r>
              <w:rPr>
                <w:b/>
                <w:color w:val="FFFFFF"/>
                <w:sz w:val="19"/>
              </w:rPr>
              <w:t>Control</w:t>
            </w:r>
          </w:p>
        </w:tc>
        <w:tc>
          <w:tcPr>
            <w:tcW w:type="dxa" w:w="4032"/>
            <w:shd w:val="clear" w:fill="1A7A3C"/>
          </w:tcPr>
          <w:p>
            <w:r/>
            <w:r>
              <w:rPr>
                <w:b/>
                <w:color w:val="FFFFFF"/>
                <w:sz w:val="19"/>
              </w:rPr>
              <w:t>Trigger</w:t>
            </w:r>
          </w:p>
        </w:tc>
        <w:tc>
          <w:tcPr>
            <w:tcW w:type="dxa" w:w="3024"/>
            <w:shd w:val="clear" w:fill="1A7A3C"/>
          </w:tcPr>
          <w:p>
            <w:r/>
            <w:r>
              <w:rPr>
                <w:b/>
                <w:color w:val="FFFFFF"/>
                <w:sz w:val="19"/>
              </w:rPr>
              <w:t>Action</w:t>
            </w:r>
          </w:p>
        </w:tc>
      </w:tr>
      <w:tr>
        <w:tc>
          <w:tcPr>
            <w:tcW w:type="dxa" w:w="2160"/>
          </w:tcPr>
          <w:p>
            <w:r/>
            <w:r>
              <w:rPr>
                <w:sz w:val="19"/>
              </w:rPr>
              <w:t>Hours mismatch</w:t>
            </w:r>
          </w:p>
        </w:tc>
        <w:tc>
          <w:tcPr>
            <w:tcW w:type="dxa" w:w="4032"/>
          </w:tcPr>
          <w:p>
            <w:r/>
            <w:r>
              <w:rPr>
                <w:sz w:val="19"/>
              </w:rPr>
              <w:t>2C hours differ from average 2A hours by more than 25%.</w:t>
            </w:r>
          </w:p>
        </w:tc>
        <w:tc>
          <w:tcPr>
            <w:tcW w:type="dxa" w:w="3024"/>
          </w:tcPr>
          <w:p>
            <w:r/>
            <w:r>
              <w:rPr>
                <w:sz w:val="19"/>
              </w:rPr>
              <w:t>Flagged for verifier; saved with a warning.</w:t>
            </w:r>
          </w:p>
        </w:tc>
      </w:tr>
      <w:tr>
        <w:tc>
          <w:tcPr>
            <w:tcW w:type="dxa" w:w="2160"/>
          </w:tcPr>
          <w:p>
            <w:r/>
            <w:r>
              <w:rPr>
                <w:sz w:val="19"/>
              </w:rPr>
              <w:t>Low attendance</w:t>
            </w:r>
          </w:p>
        </w:tc>
        <w:tc>
          <w:tcPr>
            <w:tcW w:type="dxa" w:w="4032"/>
          </w:tcPr>
          <w:p>
            <w:r/>
            <w:r>
              <w:rPr>
                <w:sz w:val="19"/>
              </w:rPr>
              <w:t>Attendance below 50% of planned participants.</w:t>
            </w:r>
          </w:p>
        </w:tc>
        <w:tc>
          <w:tcPr>
            <w:tcW w:type="dxa" w:w="3024"/>
          </w:tcPr>
          <w:p>
            <w:r/>
            <w:r>
              <w:rPr>
                <w:sz w:val="19"/>
              </w:rPr>
              <w:t>Flagged for verifier.</w:t>
            </w:r>
          </w:p>
        </w:tc>
      </w:tr>
      <w:tr>
        <w:tc>
          <w:tcPr>
            <w:tcW w:type="dxa" w:w="2160"/>
          </w:tcPr>
          <w:p>
            <w:r/>
            <w:r>
              <w:rPr>
                <w:sz w:val="19"/>
              </w:rPr>
              <w:t>Collar mismatch</w:t>
            </w:r>
          </w:p>
        </w:tc>
        <w:tc>
          <w:tcPr>
            <w:tcW w:type="dxa" w:w="4032"/>
          </w:tcPr>
          <w:p>
            <w:r/>
            <w:r>
              <w:rPr>
                <w:sz w:val="19"/>
              </w:rPr>
              <w:t>Attendee collar differs from the session’s locked audience.</w:t>
            </w:r>
          </w:p>
        </w:tc>
        <w:tc>
          <w:tcPr>
            <w:tcW w:type="dxa" w:w="3024"/>
          </w:tcPr>
          <w:p>
            <w:r/>
            <w:r>
              <w:rPr>
                <w:sz w:val="19"/>
              </w:rPr>
              <w:t>Allowed but flagged for Central review.</w:t>
            </w:r>
          </w:p>
        </w:tc>
      </w:tr>
      <w:tr>
        <w:tc>
          <w:tcPr>
            <w:tcW w:type="dxa" w:w="2160"/>
          </w:tcPr>
          <w:p>
            <w:r/>
            <w:r>
              <w:rPr>
                <w:sz w:val="19"/>
              </w:rPr>
              <w:t>Time vs duration</w:t>
            </w:r>
          </w:p>
        </w:tc>
        <w:tc>
          <w:tcPr>
            <w:tcW w:type="dxa" w:w="4032"/>
          </w:tcPr>
          <w:p>
            <w:r/>
            <w:r>
              <w:rPr>
                <w:sz w:val="19"/>
              </w:rPr>
              <w:t>Start/end time inconsistent with stated duration (±tolerance).</w:t>
            </w:r>
          </w:p>
        </w:tc>
        <w:tc>
          <w:tcPr>
            <w:tcW w:type="dxa" w:w="3024"/>
          </w:tcPr>
          <w:p>
            <w:r/>
            <w:r>
              <w:rPr>
                <w:sz w:val="19"/>
              </w:rPr>
              <w:t>Save blocked until corrected.</w:t>
            </w:r>
          </w:p>
        </w:tc>
      </w:tr>
      <w:tr>
        <w:tc>
          <w:tcPr>
            <w:tcW w:type="dxa" w:w="2160"/>
          </w:tcPr>
          <w:p>
            <w:r/>
            <w:r>
              <w:rPr>
                <w:sz w:val="19"/>
              </w:rPr>
              <w:t>Scan window</w:t>
            </w:r>
          </w:p>
        </w:tc>
        <w:tc>
          <w:tcPr>
            <w:tcW w:type="dxa" w:w="4032"/>
          </w:tcPr>
          <w:p>
            <w:r/>
            <w:r>
              <w:rPr>
                <w:sz w:val="19"/>
              </w:rPr>
              <w:t>Attendance/feedback scans accepted only while session is open.</w:t>
            </w:r>
          </w:p>
        </w:tc>
        <w:tc>
          <w:tcPr>
            <w:tcW w:type="dxa" w:w="3024"/>
          </w:tcPr>
          <w:p>
            <w:r/>
            <w:r>
              <w:rPr>
                <w:sz w:val="19"/>
              </w:rPr>
              <w:t>Capture attendance before recording 2C.</w:t>
            </w:r>
          </w:p>
        </w:tc>
      </w:tr>
      <w:tr>
        <w:tc>
          <w:tcPr>
            <w:tcW w:type="dxa" w:w="2160"/>
          </w:tcPr>
          <w:p>
            <w:r/>
            <w:r>
              <w:rPr>
                <w:sz w:val="19"/>
              </w:rPr>
              <w:t>Programme not in master</w:t>
            </w:r>
          </w:p>
        </w:tc>
        <w:tc>
          <w:tcPr>
            <w:tcW w:type="dxa" w:w="4032"/>
          </w:tcPr>
          <w:p>
            <w:r/>
            <w:r>
              <w:rPr>
                <w:sz w:val="19"/>
              </w:rPr>
              <w:t>Programme name not found in Programme Master.</w:t>
            </w:r>
          </w:p>
        </w:tc>
        <w:tc>
          <w:tcPr>
            <w:tcW w:type="dxa" w:w="3024"/>
          </w:tcPr>
          <w:p>
            <w:r/>
            <w:r>
              <w:rPr>
                <w:sz w:val="19"/>
              </w:rPr>
              <w:t>Selection blocked — add to master first.</w:t>
            </w:r>
          </w:p>
        </w:tc>
      </w:tr>
    </w:tbl>
    <w:p/>
    <w:p>
      <w:r>
        <w:t>Exceptions to this SOP require written approval from Corporate L&amp;D and must be recorded in the audit log.</w:t>
      </w:r>
    </w:p>
    <w:p>
      <w:pPr>
        <w:pStyle w:val="Heading1"/>
      </w:pPr>
      <w:r>
        <w:t>8. Compliance &amp; Enforcement</w:t>
      </w:r>
    </w:p>
    <w:p>
      <w:pPr>
        <w:pStyle w:val="ListBullet"/>
      </w:pPr>
      <w:r>
        <w:t>Each SPOC is accountable for the timeliness and accuracy of their plant’s data.</w:t>
      </w:r>
    </w:p>
    <w:p>
      <w:pPr>
        <w:pStyle w:val="ListBullet"/>
      </w:pPr>
      <w:r>
        <w:t>Central L&amp;D monitors compliance monthly and escalates plants below target.</w:t>
      </w:r>
    </w:p>
    <w:p>
      <w:pPr>
        <w:pStyle w:val="ListBullet"/>
      </w:pPr>
      <w:r>
        <w:t>Deliberate misreporting is a disciplinary matter.</w:t>
      </w:r>
    </w:p>
    <w:p>
      <w:pPr>
        <w:pStyle w:val="ListBullet"/>
      </w:pPr>
      <w:r>
        <w:t>This document is reviewed annually or upon any material change to the training process.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73"/>
        <w:sz w:val="16"/>
      </w:rPr>
      <w:t xml:space="preserve">TMS Policy &amp; SOP · Balrampur Chini Mills Ltd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7A3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6DA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D1D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