
<file path=[Content_Types].xml><?xml version="1.0" encoding="utf-8"?>
<Types xmlns="http://schemas.openxmlformats.org/package/2006/content-types">
  <Default Extension="png" ContentType="image/pn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000000">
      <w:pPr>
        <w:spacing w:after="0"/>
        <w:jc w:val="center"/>
        <w:rPr>
          <w:b/>
          <w:sz w:val="24"/>
          <w:szCs w:val="24"/>
        </w:rPr>
      </w:pPr>
      <w:r>
        <w:rPr>
          <w:b/>
          <w:sz w:val="24"/>
          <w:szCs w:val="24"/>
        </w:rPr>
        <w:t>Project Design Phase</w:t>
      </w:r>
    </w:p>
    <w:p w14:paraId="09C4EF8E" w14:textId="77777777" w:rsidR="00E370AF" w:rsidRDefault="00000000">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000000">
            <w:r>
              <w:t>Date</w:t>
            </w:r>
          </w:p>
        </w:tc>
        <w:tc>
          <w:tcPr>
            <w:tcW w:w="4508" w:type="dxa"/>
          </w:tcPr>
          <w:p w14:paraId="23F44226" w14:textId="6A51502E" w:rsidR="00E370AF" w:rsidRDefault="00267921">
            <w:r w:rsidRPr="00267921">
              <w:t>30 September 2026</w:t>
            </w:r>
          </w:p>
        </w:tc>
      </w:tr>
      <w:tr w:rsidR="00E370AF" w14:paraId="189E08C9" w14:textId="77777777">
        <w:tc>
          <w:tcPr>
            <w:tcW w:w="4508" w:type="dxa"/>
          </w:tcPr>
          <w:p w14:paraId="7DBE2B5A" w14:textId="77777777" w:rsidR="00E370AF" w:rsidRDefault="00000000">
            <w:r>
              <w:t>Team ID</w:t>
            </w:r>
          </w:p>
        </w:tc>
        <w:tc>
          <w:tcPr>
            <w:tcW w:w="4508" w:type="dxa"/>
          </w:tcPr>
          <w:p w14:paraId="039224E5" w14:textId="145FB217" w:rsidR="00E370AF" w:rsidRDefault="00E370AF">
            <w:r>
              <w:t>SWTID-2026-8273</w:t>
            </w:r>
          </w:p>
        </w:tc>
      </w:tr>
      <w:tr w:rsidR="00E370AF" w14:paraId="7247E3F4" w14:textId="77777777">
        <w:tc>
          <w:tcPr>
            <w:tcW w:w="4508" w:type="dxa"/>
          </w:tcPr>
          <w:p w14:paraId="01C3C537" w14:textId="77777777" w:rsidR="00E370AF" w:rsidRDefault="00000000">
            <w:r>
              <w:t>Project Name</w:t>
            </w:r>
          </w:p>
        </w:tc>
        <w:tc>
          <w:tcPr>
            <w:tcW w:w="4508" w:type="dxa"/>
          </w:tcPr>
          <w:p w14:paraId="4E717950" w14:textId="3ACE38A4" w:rsidR="00E370AF" w:rsidRDefault="00E370AF">
            <w:r>
              <w:t>Implement Client Script &amp; UI Policy (Incident)</w:t>
            </w:r>
          </w:p>
        </w:tc>
      </w:tr>
      <w:tr w:rsidR="00E370AF" w14:paraId="6D6CFC5F" w14:textId="77777777">
        <w:tc>
          <w:tcPr>
            <w:tcW w:w="4508" w:type="dxa"/>
          </w:tcPr>
          <w:p w14:paraId="4B00FC14" w14:textId="77777777" w:rsidR="00E370AF" w:rsidRDefault="00000000">
            <w:r>
              <w:t>Maximum Marks</w:t>
            </w:r>
          </w:p>
        </w:tc>
        <w:tc>
          <w:tcPr>
            <w:tcW w:w="4508" w:type="dxa"/>
          </w:tcPr>
          <w:p w14:paraId="7FD36F97" w14:textId="24AA781A" w:rsidR="00E370AF" w:rsidRDefault="00267921">
            <w:pPr>
              <w:rPr>
                <w:sz w:val="24"/>
                <w:szCs w:val="24"/>
              </w:rPr>
            </w:pPr>
            <w:r>
              <w:rPr>
                <w:sz w:val="24"/>
                <w:szCs w:val="24"/>
              </w:rPr>
              <w:t>4 Marks</w:t>
            </w:r>
          </w:p>
        </w:tc>
      </w:tr>
    </w:tbl>
    <w:p>
      <w:pPr>
        <w:spacing w:before="0" w:after="60" w:line="264" w:lineRule="auto"/>
        <w:jc w:val="left"/>
      </w:pPr>
      <w:r>
        <w:rPr>
          <w:rFonts w:ascii="Arial" w:eastAsia="Arial" w:hAnsi="Arial" w:cs="Arial"/>
          <w:color w:val="000000"/>
          <w:sz w:val="21"/>
          <w:szCs w:val="21"/>
        </w:rPr>
        <w:t xml:space="preserve"/>
      </w:r>
    </w:p>
    <w:p>
      <w:pPr>
        <w:keepNext/>
        <w:spacing w:before="0" w:after="100" w:line="264" w:lineRule="auto"/>
        <w:jc w:val="left"/>
      </w:pPr>
      <w:r>
        <w:rPr>
          <w:rFonts w:ascii="Arial" w:eastAsia="Arial" w:hAnsi="Arial" w:cs="Arial"/>
          <w:b/>
          <w:color w:val="000000"/>
          <w:sz w:val="24"/>
          <w:szCs w:val="24"/>
        </w:rPr>
        <w:t xml:space="preserve">Solution Architecture:</w:t>
      </w:r>
    </w:p>
    <w:p>
      <w:pPr>
        <w:spacing w:before="0" w:after="120" w:line="264" w:lineRule="auto"/>
        <w:jc w:val="both"/>
      </w:pPr>
      <w:r>
        <w:rPr>
          <w:rFonts w:ascii="Arial" w:eastAsia="Arial" w:hAnsi="Arial" w:cs="Arial"/>
          <w:color w:val="000000"/>
          <w:sz w:val="21"/>
          <w:szCs w:val="21"/>
        </w:rPr>
        <w:t xml:space="preserve">This document describes the solution architecture for the ServiceNow Administrator project “Implement Client Script &amp; UI Policy (Incident)”. The solution improves the default Incident form by adding browser-side logic (Client Scripts and UI Policies) that guides users, validates data and controls field behaviour before the record is sent to the server. The architecture connects the business problem (manual entry errors, incomplete incident submissions and slow resolution) to the ServiceNow platform features used to solve it.</w:t>
      </w:r>
    </w:p>
    <w:p>
      <w:pPr>
        <w:keepNext/>
        <w:spacing w:before="200" w:after="100" w:line="264" w:lineRule="auto"/>
        <w:jc w:val="left"/>
      </w:pPr>
      <w:r>
        <w:rPr>
          <w:rFonts w:ascii="Arial" w:eastAsia="Arial" w:hAnsi="Arial" w:cs="Arial"/>
          <w:b/>
          <w:color w:val="000000"/>
          <w:sz w:val="24"/>
          <w:szCs w:val="24"/>
        </w:rPr>
        <w:t xml:space="preserve">1. Objectives of the Architecture</w:t>
      </w:r>
    </w:p>
    <w:p>
      <w:pPr>
        <w:numPr>
          <w:ilvl w:val="0"/>
          <w:numId w:val="60"/>
        </w:numPr>
        <w:spacing w:before="0" w:after="70" w:line="264" w:lineRule="auto"/>
        <w:ind w:left="500" w:hanging="283"/>
        <w:jc w:val="left"/>
      </w:pPr>
      <w:r>
        <w:rPr>
          <w:rFonts w:ascii="Arial" w:eastAsia="Arial" w:hAnsi="Arial" w:cs="Arial"/>
          <w:b/>
          <w:color w:val="000000"/>
          <w:sz w:val="21"/>
          <w:szCs w:val="21"/>
        </w:rPr>
        <w:t xml:space="preserve">Best technical solution: </w:t>
      </w:r>
      <w:r>
        <w:rPr>
          <w:rFonts w:ascii="Arial" w:eastAsia="Arial" w:hAnsi="Arial" w:cs="Arial"/>
          <w:color w:val="000000"/>
          <w:sz w:val="21"/>
          <w:szCs w:val="21"/>
        </w:rPr>
        <w:t xml:space="preserve">use native ServiceNow client-side features (Client Scripts and UI Policies) on the Incident table, with no extra plugins or licences.</w:t>
      </w:r>
    </w:p>
    <w:p>
      <w:pPr>
        <w:numPr>
          <w:ilvl w:val="0"/>
          <w:numId w:val="60"/>
        </w:numPr>
        <w:spacing w:before="0" w:after="70" w:line="264" w:lineRule="auto"/>
        <w:ind w:left="500" w:hanging="283"/>
        <w:jc w:val="left"/>
      </w:pPr>
      <w:r>
        <w:rPr>
          <w:rFonts w:ascii="Arial" w:eastAsia="Arial" w:hAnsi="Arial" w:cs="Arial"/>
          <w:b/>
          <w:color w:val="000000"/>
          <w:sz w:val="21"/>
          <w:szCs w:val="21"/>
        </w:rPr>
        <w:t xml:space="preserve">Structure and behaviour: </w:t>
      </w:r>
      <w:r>
        <w:rPr>
          <w:rFonts w:ascii="Arial" w:eastAsia="Arial" w:hAnsi="Arial" w:cs="Arial"/>
          <w:color w:val="000000"/>
          <w:sz w:val="21"/>
          <w:szCs w:val="21"/>
        </w:rPr>
        <w:t xml:space="preserve">describe the layers, components and data flow so that all stakeholders understand how the form behaves (Sections 2 to 4).</w:t>
      </w:r>
    </w:p>
    <w:p>
      <w:pPr>
        <w:numPr>
          <w:ilvl w:val="0"/>
          <w:numId w:val="60"/>
        </w:numPr>
        <w:spacing w:before="0" w:after="70" w:line="264" w:lineRule="auto"/>
        <w:ind w:left="500" w:hanging="283"/>
        <w:jc w:val="left"/>
      </w:pPr>
      <w:r>
        <w:rPr>
          <w:rFonts w:ascii="Arial" w:eastAsia="Arial" w:hAnsi="Arial" w:cs="Arial"/>
          <w:b/>
          <w:color w:val="000000"/>
          <w:sz w:val="21"/>
          <w:szCs w:val="21"/>
        </w:rPr>
        <w:t xml:space="preserve">Features, phases and requirements: </w:t>
      </w:r>
      <w:r>
        <w:rPr>
          <w:rFonts w:ascii="Arial" w:eastAsia="Arial" w:hAnsi="Arial" w:cs="Arial"/>
          <w:color w:val="000000"/>
          <w:sz w:val="21"/>
          <w:szCs w:val="21"/>
        </w:rPr>
        <w:t xml:space="preserve">define the rule set to be built (Section 5) and the delivery phases: design, configuration, testing and deployment.</w:t>
      </w:r>
    </w:p>
    <w:p>
      <w:pPr>
        <w:numPr>
          <w:ilvl w:val="0"/>
          <w:numId w:val="60"/>
        </w:numPr>
        <w:spacing w:before="0" w:after="70" w:line="264" w:lineRule="auto"/>
        <w:ind w:left="500" w:hanging="283"/>
        <w:jc w:val="left"/>
      </w:pPr>
      <w:r>
        <w:rPr>
          <w:rFonts w:ascii="Arial" w:eastAsia="Arial" w:hAnsi="Arial" w:cs="Arial"/>
          <w:b/>
          <w:color w:val="000000"/>
          <w:sz w:val="21"/>
          <w:szCs w:val="21"/>
        </w:rPr>
        <w:t xml:space="preserve">Specifications for delivery: </w:t>
      </w:r>
      <w:r>
        <w:rPr>
          <w:rFonts w:ascii="Arial" w:eastAsia="Arial" w:hAnsi="Arial" w:cs="Arial"/>
          <w:color w:val="000000"/>
          <w:sz w:val="21"/>
          <w:szCs w:val="21"/>
        </w:rPr>
        <w:t xml:space="preserve">build in the Development instance, capture changes in an Update Set, verify in Test and promote to Production.</w:t>
      </w:r>
    </w:p>
    <w:p>
      <w:pPr>
        <w:keepNext/>
        <w:spacing w:before="200" w:after="100" w:line="264" w:lineRule="auto"/>
        <w:jc w:val="left"/>
      </w:pPr>
      <w:r>
        <w:rPr>
          <w:rFonts w:ascii="Arial" w:eastAsia="Arial" w:hAnsi="Arial" w:cs="Arial"/>
          <w:b/>
          <w:color w:val="000000"/>
          <w:sz w:val="24"/>
          <w:szCs w:val="24"/>
        </w:rPr>
        <w:t xml:space="preserve">2. Solution Architecture Diagram</w:t>
      </w:r>
    </w:p>
    <w:p>
      <w:pPr>
        <w:keepNext/>
        <w:spacing w:before="60" w:after="60"/>
        <w:jc w:val="center"/>
      </w:pPr>
      <w:r>
        <w:drawing>
          <wp:inline distT="0" distB="0" distL="0" distR="0">
            <wp:extent cx="5731510" cy="3821006"/>
            <wp:effectExtent l="0" t="0" r="0" b="0"/>
            <wp:docPr id="10" name="Solution Architecture Diagram" descr="Solution architecture diagram showing users, client-side Client Scripts and UI Policies, server-side Business Rules, ACLs and Incident table, and the deployment pipeline."/>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731510" cy="3821006"/>
                    </a:xfrm>
                    <a:prstGeom prst="rect">
                      <a:avLst/>
                    </a:prstGeom>
                  </pic:spPr>
                </pic:pic>
              </a:graphicData>
            </a:graphic>
          </wp:inline>
        </w:drawing>
      </w:r>
    </w:p>
    <w:p>
      <w:pPr>
        <w:spacing w:before="0" w:after="160" w:line="264" w:lineRule="auto"/>
        <w:jc w:val="center"/>
      </w:pPr>
      <w:r>
        <w:rPr>
          <w:rFonts w:ascii="Arial" w:eastAsia="Arial" w:hAnsi="Arial" w:cs="Arial"/>
          <w:color w:val="000000"/>
          <w:sz w:val="19"/>
          <w:szCs w:val="19"/>
        </w:rPr>
        <w:t xml:space="preserve">Figure 1: Architecture and data flow of the Incident Client Script &amp; UI Policy solution</w:t>
      </w:r>
    </w:p>
    <w:p>
      <w:pPr>
        <w:keepNext/>
        <w:spacing w:before="200" w:after="100" w:line="264" w:lineRule="auto"/>
        <w:jc w:val="left"/>
      </w:pPr>
      <w:r>
        <w:rPr>
          <w:rFonts w:ascii="Arial" w:eastAsia="Arial" w:hAnsi="Arial" w:cs="Arial"/>
          <w:b/>
          <w:color w:val="000000"/>
          <w:sz w:val="24"/>
          <w:szCs w:val="24"/>
        </w:rPr>
        <w:t xml:space="preserve">3. Architecture Components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Pr>
      <w:tblGrid>
        <w:gridCol w:w="1900"/>
        <w:gridCol w:w="2500"/>
        <w:gridCol w:w="4626"/>
      </w:tblGrid>
      <w:tr>
        <w:trPr>
          <w:cantSplit/>
          <w:tblHeader/>
        </w:trPr>
        <w:tc>
          <w:tcPr>
            <w:tcW w:w="1900" w:type="dxa"/>
            <w:shd w:val="clear" w:color="auto" w:fill="DEEAF6"/>
          </w:tcPr>
          <w:p>
            <w:pPr>
              <w:spacing w:before="0" w:after="40" w:line="252" w:lineRule="auto"/>
              <w:jc w:val="left"/>
            </w:pPr>
            <w:r>
              <w:rPr>
                <w:rFonts w:ascii="Arial" w:eastAsia="Arial" w:hAnsi="Arial" w:cs="Arial"/>
                <w:b/>
                <w:color w:val="000000"/>
                <w:sz w:val="19"/>
                <w:szCs w:val="19"/>
              </w:rPr>
              <w:t xml:space="preserve">Layer</w:t>
            </w:r>
          </w:p>
        </w:tc>
        <w:tc>
          <w:tcPr>
            <w:tcW w:w="2500" w:type="dxa"/>
            <w:shd w:val="clear" w:color="auto" w:fill="DEEAF6"/>
          </w:tcPr>
          <w:p>
            <w:pPr>
              <w:spacing w:before="0" w:after="40" w:line="252" w:lineRule="auto"/>
              <w:jc w:val="left"/>
            </w:pPr>
            <w:r>
              <w:rPr>
                <w:rFonts w:ascii="Arial" w:eastAsia="Arial" w:hAnsi="Arial" w:cs="Arial"/>
                <w:b/>
                <w:color w:val="000000"/>
                <w:sz w:val="19"/>
                <w:szCs w:val="19"/>
              </w:rPr>
              <w:t xml:space="preserve">Component</w:t>
            </w:r>
          </w:p>
        </w:tc>
        <w:tc>
          <w:tcPr>
            <w:tcW w:w="4626" w:type="dxa"/>
            <w:shd w:val="clear" w:color="auto" w:fill="DEEAF6"/>
          </w:tcPr>
          <w:p>
            <w:pPr>
              <w:spacing w:before="0" w:after="40" w:line="252" w:lineRule="auto"/>
              <w:jc w:val="left"/>
            </w:pPr>
            <w:r>
              <w:rPr>
                <w:rFonts w:ascii="Arial" w:eastAsia="Arial" w:hAnsi="Arial" w:cs="Arial"/>
                <w:b/>
                <w:color w:val="000000"/>
                <w:sz w:val="19"/>
                <w:szCs w:val="19"/>
              </w:rPr>
              <w:t xml:space="preserve">Responsibility</w:t>
            </w:r>
          </w:p>
        </w:tc>
      </w:tr>
      <w:tr>
        <w:trPr>
          <w:cantSplit/>
        </w:trPr>
        <w:tc>
          <w:tcPr>
            <w:tcW w:w="1900" w:type="dxa"/>
          </w:tcPr>
          <w:p>
            <w:pPr>
              <w:spacing w:before="0" w:after="40" w:line="252" w:lineRule="auto"/>
              <w:jc w:val="left"/>
            </w:pPr>
            <w:r>
              <w:rPr>
                <w:rFonts w:ascii="Arial" w:eastAsia="Arial" w:hAnsi="Arial" w:cs="Arial"/>
                <w:b/>
                <w:color w:val="000000"/>
                <w:sz w:val="19"/>
                <w:szCs w:val="19"/>
              </w:rPr>
              <w:t xml:space="preserve">Users</w:t>
            </w:r>
          </w:p>
        </w:tc>
        <w:tc>
          <w:tcPr>
            <w:tcW w:w="2500" w:type="dxa"/>
          </w:tcPr>
          <w:p>
            <w:pPr>
              <w:spacing w:before="0" w:after="40" w:line="252" w:lineRule="auto"/>
              <w:jc w:val="left"/>
            </w:pPr>
            <w:r>
              <w:rPr>
                <w:rFonts w:ascii="Arial" w:eastAsia="Arial" w:hAnsi="Arial" w:cs="Arial"/>
                <w:color w:val="000000"/>
                <w:sz w:val="19"/>
                <w:szCs w:val="19"/>
              </w:rPr>
              <w:t xml:space="preserve">End User / Caller; Service Desk Agent (ITIL)</w:t>
            </w:r>
          </w:p>
        </w:tc>
        <w:tc>
          <w:tcPr>
            <w:tcW w:w="4626" w:type="dxa"/>
          </w:tcPr>
          <w:p>
            <w:pPr>
              <w:spacing w:before="0" w:after="40" w:line="252" w:lineRule="auto"/>
              <w:jc w:val="left"/>
            </w:pPr>
            <w:r>
              <w:rPr>
                <w:rFonts w:ascii="Arial" w:eastAsia="Arial" w:hAnsi="Arial" w:cs="Arial"/>
                <w:color w:val="000000"/>
                <w:sz w:val="19"/>
                <w:szCs w:val="19"/>
              </w:rPr>
              <w:t xml:space="preserve">Create and update incidents through Self Service / Service Portal or the Platform UI / Workspace. The form behaves according to the user’s role.</w:t>
            </w:r>
          </w:p>
        </w:tc>
      </w:tr>
      <w:tr>
        <w:trPr>
          <w:cantSplit/>
        </w:trPr>
        <w:tc>
          <w:tcPr>
            <w:tcW w:w="1900" w:type="dxa"/>
          </w:tcPr>
          <w:p>
            <w:pPr>
              <w:spacing w:before="0" w:after="40" w:line="252" w:lineRule="auto"/>
              <w:jc w:val="left"/>
            </w:pPr>
            <w:r>
              <w:rPr>
                <w:rFonts w:ascii="Arial" w:eastAsia="Arial" w:hAnsi="Arial" w:cs="Arial"/>
                <w:b/>
                <w:color w:val="000000"/>
                <w:sz w:val="19"/>
                <w:szCs w:val="19"/>
              </w:rPr>
              <w:t xml:space="preserve">Client side: Client Scripts</w:t>
            </w:r>
          </w:p>
        </w:tc>
        <w:tc>
          <w:tcPr>
            <w:tcW w:w="2500" w:type="dxa"/>
          </w:tcPr>
          <w:p>
            <w:pPr>
              <w:spacing w:before="0" w:after="40" w:line="252" w:lineRule="auto"/>
              <w:jc w:val="left"/>
            </w:pPr>
            <w:r>
              <w:rPr>
                <w:rFonts w:ascii="Arial" w:eastAsia="Arial" w:hAnsi="Arial" w:cs="Arial"/>
                <w:color w:val="000000"/>
                <w:sz w:val="19"/>
                <w:szCs w:val="19"/>
              </w:rPr>
              <w:t xml:space="preserve">onLoad, onChange, onSubmit</w:t>
            </w:r>
          </w:p>
        </w:tc>
        <w:tc>
          <w:tcPr>
            <w:tcW w:w="4626" w:type="dxa"/>
          </w:tcPr>
          <w:p>
            <w:pPr>
              <w:spacing w:before="0" w:after="40" w:line="252" w:lineRule="auto"/>
              <w:jc w:val="left"/>
            </w:pPr>
            <w:r>
              <w:rPr>
                <w:rFonts w:ascii="Arial" w:eastAsia="Arial" w:hAnsi="Arial" w:cs="Arial"/>
                <w:color w:val="000000"/>
                <w:sz w:val="19"/>
                <w:szCs w:val="19"/>
              </w:rPr>
              <w:t xml:space="preserve">JavaScript that runs in the browser to set defaults, show guidance, auto-populate fields and validate data before submission.</w:t>
            </w:r>
          </w:p>
        </w:tc>
      </w:tr>
      <w:tr>
        <w:trPr>
          <w:cantSplit/>
        </w:trPr>
        <w:tc>
          <w:tcPr>
            <w:tcW w:w="1900" w:type="dxa"/>
          </w:tcPr>
          <w:p>
            <w:pPr>
              <w:spacing w:before="0" w:after="40" w:line="252" w:lineRule="auto"/>
              <w:jc w:val="left"/>
            </w:pPr>
            <w:r>
              <w:rPr>
                <w:rFonts w:ascii="Arial" w:eastAsia="Arial" w:hAnsi="Arial" w:cs="Arial"/>
                <w:b/>
                <w:color w:val="000000"/>
                <w:sz w:val="19"/>
                <w:szCs w:val="19"/>
              </w:rPr>
              <w:t xml:space="preserve">Client side: UI Policies</w:t>
            </w:r>
          </w:p>
        </w:tc>
        <w:tc>
          <w:tcPr>
            <w:tcW w:w="2500" w:type="dxa"/>
          </w:tcPr>
          <w:p>
            <w:pPr>
              <w:spacing w:before="0" w:after="40" w:line="252" w:lineRule="auto"/>
              <w:jc w:val="left"/>
            </w:pPr>
            <w:r>
              <w:rPr>
                <w:rFonts w:ascii="Arial" w:eastAsia="Arial" w:hAnsi="Arial" w:cs="Arial"/>
                <w:color w:val="000000"/>
                <w:sz w:val="19"/>
                <w:szCs w:val="19"/>
              </w:rPr>
              <w:t xml:space="preserve">Mandatory, Read-only, Visible</w:t>
            </w:r>
          </w:p>
        </w:tc>
        <w:tc>
          <w:tcPr>
            <w:tcW w:w="4626" w:type="dxa"/>
          </w:tcPr>
          <w:p>
            <w:pPr>
              <w:spacing w:before="0" w:after="40" w:line="252" w:lineRule="auto"/>
              <w:jc w:val="left"/>
            </w:pPr>
            <w:r>
              <w:rPr>
                <w:rFonts w:ascii="Arial" w:eastAsia="Arial" w:hAnsi="Arial" w:cs="Arial"/>
                <w:color w:val="000000"/>
                <w:sz w:val="19"/>
                <w:szCs w:val="19"/>
              </w:rPr>
              <w:t xml:space="preserve">Condition-based, declarative control of field behaviour. “Reverse if false” restores the normal state when the condition no longer applies.</w:t>
            </w:r>
          </w:p>
        </w:tc>
      </w:tr>
      <w:tr>
        <w:trPr>
          <w:cantSplit/>
        </w:trPr>
        <w:tc>
          <w:tcPr>
            <w:tcW w:w="1900" w:type="dxa"/>
          </w:tcPr>
          <w:p>
            <w:pPr>
              <w:spacing w:before="0" w:after="40" w:line="252" w:lineRule="auto"/>
              <w:jc w:val="left"/>
            </w:pPr>
            <w:r>
              <w:rPr>
                <w:rFonts w:ascii="Arial" w:eastAsia="Arial" w:hAnsi="Arial" w:cs="Arial"/>
                <w:b/>
                <w:color w:val="000000"/>
                <w:sz w:val="19"/>
                <w:szCs w:val="19"/>
              </w:rPr>
              <w:t xml:space="preserve">Client APIs</w:t>
            </w:r>
          </w:p>
        </w:tc>
        <w:tc>
          <w:tcPr>
            <w:tcW w:w="2500" w:type="dxa"/>
          </w:tcPr>
          <w:p>
            <w:pPr>
              <w:spacing w:before="0" w:after="40" w:line="252" w:lineRule="auto"/>
              <w:jc w:val="left"/>
            </w:pPr>
            <w:r>
              <w:rPr>
                <w:rFonts w:ascii="Arial" w:eastAsia="Arial" w:hAnsi="Arial" w:cs="Arial"/>
                <w:color w:val="000000"/>
                <w:sz w:val="19"/>
                <w:szCs w:val="19"/>
              </w:rPr>
              <w:t xml:space="preserve">g_form, g_user, getReference()</w:t>
            </w:r>
          </w:p>
        </w:tc>
        <w:tc>
          <w:tcPr>
            <w:tcW w:w="4626" w:type="dxa"/>
          </w:tcPr>
          <w:p>
            <w:pPr>
              <w:spacing w:before="0" w:after="40" w:line="252" w:lineRule="auto"/>
              <w:jc w:val="left"/>
            </w:pPr>
            <w:r>
              <w:rPr>
                <w:rFonts w:ascii="Arial" w:eastAsia="Arial" w:hAnsi="Arial" w:cs="Arial"/>
                <w:color w:val="000000"/>
                <w:sz w:val="19"/>
                <w:szCs w:val="19"/>
              </w:rPr>
              <w:t xml:space="preserve">g_form reads and sets field values and shows messages; g_user checks the user’s roles; getReference() fetches caller details without blocking the form.</w:t>
            </w:r>
          </w:p>
        </w:tc>
      </w:tr>
      <w:tr>
        <w:trPr>
          <w:cantSplit/>
        </w:trPr>
        <w:tc>
          <w:tcPr>
            <w:tcW w:w="1900" w:type="dxa"/>
          </w:tcPr>
          <w:p>
            <w:pPr>
              <w:spacing w:before="0" w:after="40" w:line="252" w:lineRule="auto"/>
              <w:jc w:val="left"/>
            </w:pPr>
            <w:r>
              <w:rPr>
                <w:rFonts w:ascii="Arial" w:eastAsia="Arial" w:hAnsi="Arial" w:cs="Arial"/>
                <w:b/>
                <w:color w:val="000000"/>
                <w:sz w:val="19"/>
                <w:szCs w:val="19"/>
              </w:rPr>
              <w:t xml:space="preserve">Server side</w:t>
            </w:r>
          </w:p>
        </w:tc>
        <w:tc>
          <w:tcPr>
            <w:tcW w:w="2500" w:type="dxa"/>
          </w:tcPr>
          <w:p>
            <w:pPr>
              <w:spacing w:before="0" w:after="40" w:line="252" w:lineRule="auto"/>
              <w:jc w:val="left"/>
            </w:pPr>
            <w:r>
              <w:rPr>
                <w:rFonts w:ascii="Arial" w:eastAsia="Arial" w:hAnsi="Arial" w:cs="Arial"/>
                <w:color w:val="000000"/>
                <w:sz w:val="19"/>
                <w:szCs w:val="19"/>
              </w:rPr>
              <w:t xml:space="preserve">Business Rules and ACLs</w:t>
            </w:r>
          </w:p>
        </w:tc>
        <w:tc>
          <w:tcPr>
            <w:tcW w:w="4626" w:type="dxa"/>
          </w:tcPr>
          <w:p>
            <w:pPr>
              <w:spacing w:before="0" w:after="40" w:line="252" w:lineRule="auto"/>
              <w:jc w:val="left"/>
            </w:pPr>
            <w:r>
              <w:rPr>
                <w:rFonts w:ascii="Arial" w:eastAsia="Arial" w:hAnsi="Arial" w:cs="Arial"/>
                <w:color w:val="000000"/>
                <w:sz w:val="19"/>
                <w:szCs w:val="19"/>
              </w:rPr>
              <w:t xml:space="preserve">Existing platform logic that enforces security and data integrity on the server, independent of the client-side rules.</w:t>
            </w:r>
          </w:p>
        </w:tc>
      </w:tr>
      <w:tr>
        <w:trPr>
          <w:cantSplit/>
        </w:trPr>
        <w:tc>
          <w:tcPr>
            <w:tcW w:w="1900" w:type="dxa"/>
          </w:tcPr>
          <w:p>
            <w:pPr>
              <w:spacing w:before="0" w:after="40" w:line="252" w:lineRule="auto"/>
              <w:jc w:val="left"/>
            </w:pPr>
            <w:r>
              <w:rPr>
                <w:rFonts w:ascii="Arial" w:eastAsia="Arial" w:hAnsi="Arial" w:cs="Arial"/>
                <w:b/>
                <w:color w:val="000000"/>
                <w:sz w:val="19"/>
                <w:szCs w:val="19"/>
              </w:rPr>
              <w:t xml:space="preserve">Data</w:t>
            </w:r>
          </w:p>
        </w:tc>
        <w:tc>
          <w:tcPr>
            <w:tcW w:w="2500" w:type="dxa"/>
          </w:tcPr>
          <w:p>
            <w:pPr>
              <w:spacing w:before="0" w:after="40" w:line="252" w:lineRule="auto"/>
              <w:jc w:val="left"/>
            </w:pPr>
            <w:r>
              <w:rPr>
                <w:rFonts w:ascii="Arial" w:eastAsia="Arial" w:hAnsi="Arial" w:cs="Arial"/>
                <w:color w:val="000000"/>
                <w:sz w:val="19"/>
                <w:szCs w:val="19"/>
              </w:rPr>
              <w:t xml:space="preserve">Incident table [incident]; reference data (sys_user, Location)</w:t>
            </w:r>
          </w:p>
        </w:tc>
        <w:tc>
          <w:tcPr>
            <w:tcW w:w="4626" w:type="dxa"/>
          </w:tcPr>
          <w:p>
            <w:pPr>
              <w:spacing w:before="0" w:after="40" w:line="252" w:lineRule="auto"/>
              <w:jc w:val="left"/>
            </w:pPr>
            <w:r>
              <w:rPr>
                <w:rFonts w:ascii="Arial" w:eastAsia="Arial" w:hAnsi="Arial" w:cs="Arial"/>
                <w:color w:val="000000"/>
                <w:sz w:val="19"/>
                <w:szCs w:val="19"/>
              </w:rPr>
              <w:t xml:space="preserve">Stores the saved incident record and supplies caller and location details used for auto-population.</w:t>
            </w:r>
          </w:p>
        </w:tc>
      </w:tr>
      <w:tr>
        <w:trPr>
          <w:cantSplit/>
        </w:trPr>
        <w:tc>
          <w:tcPr>
            <w:tcW w:w="1900" w:type="dxa"/>
          </w:tcPr>
          <w:p>
            <w:pPr>
              <w:spacing w:before="0" w:after="40" w:line="252" w:lineRule="auto"/>
              <w:jc w:val="left"/>
            </w:pPr>
            <w:r>
              <w:rPr>
                <w:rFonts w:ascii="Arial" w:eastAsia="Arial" w:hAnsi="Arial" w:cs="Arial"/>
                <w:b/>
                <w:color w:val="000000"/>
                <w:sz w:val="19"/>
                <w:szCs w:val="19"/>
              </w:rPr>
              <w:t xml:space="preserve">Deployment</w:t>
            </w:r>
          </w:p>
        </w:tc>
        <w:tc>
          <w:tcPr>
            <w:tcW w:w="2500" w:type="dxa"/>
          </w:tcPr>
          <w:p>
            <w:pPr>
              <w:spacing w:before="0" w:after="40" w:line="252" w:lineRule="auto"/>
              <w:jc w:val="left"/>
            </w:pPr>
            <w:r>
              <w:rPr>
                <w:rFonts w:ascii="Arial" w:eastAsia="Arial" w:hAnsi="Arial" w:cs="Arial"/>
                <w:color w:val="000000"/>
                <w:sz w:val="19"/>
                <w:szCs w:val="19"/>
              </w:rPr>
              <w:t xml:space="preserve">Dev / PDI, Update Set, Test / UAT, Production</w:t>
            </w:r>
          </w:p>
        </w:tc>
        <w:tc>
          <w:tcPr>
            <w:tcW w:w="4626" w:type="dxa"/>
          </w:tcPr>
          <w:p>
            <w:pPr>
              <w:spacing w:before="0" w:after="40" w:line="252" w:lineRule="auto"/>
              <w:jc w:val="left"/>
            </w:pPr>
            <w:r>
              <w:rPr>
                <w:rFonts w:ascii="Arial" w:eastAsia="Arial" w:hAnsi="Arial" w:cs="Arial"/>
                <w:color w:val="000000"/>
                <w:sz w:val="19"/>
                <w:szCs w:val="19"/>
              </w:rPr>
              <w:t xml:space="preserve">Changes are built in Development, captured in an Update Set, tested by impersonating different roles and then promoted to Production.</w:t>
            </w:r>
          </w:p>
        </w:tc>
      </w:tr>
    </w:tbl>
    <w:p>
      <w:pPr>
        <w:keepNext/>
        <w:spacing w:before="200" w:after="100" w:line="264" w:lineRule="auto"/>
        <w:jc w:val="left"/>
      </w:pPr>
      <w:r>
        <w:rPr>
          <w:rFonts w:ascii="Arial" w:eastAsia="Arial" w:hAnsi="Arial" w:cs="Arial"/>
          <w:b/>
          <w:color w:val="000000"/>
          <w:sz w:val="24"/>
          <w:szCs w:val="24"/>
        </w:rPr>
        <w:t xml:space="preserve">4. Data Flow (numbers match Figure 1)</w:t>
      </w:r>
    </w:p>
    <w:p>
      <w:pPr>
        <w:numPr>
          <w:ilvl w:val="0"/>
          <w:numId w:val="61"/>
        </w:numPr>
        <w:spacing w:before="0" w:after="90" w:line="264" w:lineRule="auto"/>
        <w:ind w:left="500" w:hanging="360"/>
        <w:jc w:val="left"/>
      </w:pPr>
      <w:r>
        <w:rPr>
          <w:rFonts w:ascii="Arial" w:eastAsia="Arial" w:hAnsi="Arial" w:cs="Arial"/>
          <w:b/>
          <w:color w:val="000000"/>
          <w:sz w:val="21"/>
          <w:szCs w:val="21"/>
        </w:rPr>
        <w:t xml:space="preserve">Open form: </w:t>
      </w:r>
      <w:r>
        <w:rPr>
          <w:rFonts w:ascii="Arial" w:eastAsia="Arial" w:hAnsi="Arial" w:cs="Arial"/>
          <w:color w:val="000000"/>
          <w:sz w:val="21"/>
          <w:szCs w:val="21"/>
        </w:rPr>
        <w:t xml:space="preserve">The user opens a new or existing incident. onLoad Client Scripts run and UI Policies are evaluated, so defaults, guidance messages and the mandatory / read-only / visible state of each field are applied.</w:t>
      </w:r>
    </w:p>
    <w:p>
      <w:pPr>
        <w:numPr>
          <w:ilvl w:val="0"/>
          <w:numId w:val="61"/>
        </w:numPr>
        <w:spacing w:before="0" w:after="90" w:line="264" w:lineRule="auto"/>
        <w:ind w:left="500" w:hanging="360"/>
        <w:jc w:val="left"/>
      </w:pPr>
      <w:r>
        <w:rPr>
          <w:rFonts w:ascii="Arial" w:eastAsia="Arial" w:hAnsi="Arial" w:cs="Arial"/>
          <w:b/>
          <w:color w:val="000000"/>
          <w:sz w:val="21"/>
          <w:szCs w:val="21"/>
        </w:rPr>
        <w:t xml:space="preserve">Interact and look up data: </w:t>
      </w:r>
      <w:r>
        <w:rPr>
          <w:rFonts w:ascii="Arial" w:eastAsia="Arial" w:hAnsi="Arial" w:cs="Arial"/>
          <w:color w:val="000000"/>
          <w:sz w:val="21"/>
          <w:szCs w:val="21"/>
        </w:rPr>
        <w:t xml:space="preserve">As the user fills in the form, onChange Client Scripts and UI Policies react to each change (for example Category to Subcategory, State to resolution fields). When a caller is selected, getReference() retrieves the caller’s details from the reference data and fills the related fields.</w:t>
      </w:r>
    </w:p>
    <w:p>
      <w:pPr>
        <w:numPr>
          <w:ilvl w:val="0"/>
          <w:numId w:val="61"/>
        </w:numPr>
        <w:spacing w:before="0" w:after="90" w:line="264" w:lineRule="auto"/>
        <w:ind w:left="500" w:hanging="360"/>
        <w:jc w:val="left"/>
      </w:pPr>
      <w:r>
        <w:rPr>
          <w:rFonts w:ascii="Arial" w:eastAsia="Arial" w:hAnsi="Arial" w:cs="Arial"/>
          <w:b/>
          <w:color w:val="000000"/>
          <w:sz w:val="21"/>
          <w:szCs w:val="21"/>
        </w:rPr>
        <w:t xml:space="preserve">Validate and submit: </w:t>
      </w:r>
      <w:r>
        <w:rPr>
          <w:rFonts w:ascii="Arial" w:eastAsia="Arial" w:hAnsi="Arial" w:cs="Arial"/>
          <w:color w:val="000000"/>
          <w:sz w:val="21"/>
          <w:szCs w:val="21"/>
        </w:rPr>
        <w:t xml:space="preserve">On Save / Submit, the onSubmit Client Script checks the data. If a rule fails, an error message is shown and submission is stopped. If all rules pass, the validated data is sent to the server, where Business Rules and ACLs are applied and the record is saved in the Incident table.</w:t>
      </w:r>
    </w:p>
    <w:p>
      <w:pPr>
        <w:numPr>
          <w:ilvl w:val="0"/>
          <w:numId w:val="61"/>
        </w:numPr>
        <w:spacing w:before="0" w:after="90" w:line="264" w:lineRule="auto"/>
        <w:ind w:left="500" w:hanging="360"/>
        <w:jc w:val="left"/>
      </w:pPr>
      <w:r>
        <w:rPr>
          <w:rFonts w:ascii="Arial" w:eastAsia="Arial" w:hAnsi="Arial" w:cs="Arial"/>
          <w:b/>
          <w:color w:val="000000"/>
          <w:sz w:val="21"/>
          <w:szCs w:val="21"/>
        </w:rPr>
        <w:t xml:space="preserve">Deploy: </w:t>
      </w:r>
      <w:r>
        <w:rPr>
          <w:rFonts w:ascii="Arial" w:eastAsia="Arial" w:hAnsi="Arial" w:cs="Arial"/>
          <w:color w:val="000000"/>
          <w:sz w:val="21"/>
          <w:szCs w:val="21"/>
        </w:rPr>
        <w:t xml:space="preserve">The configured rules are promoted from Development through an Update Set to Test / UAT and then to Production after successful testing.</w:t>
      </w:r>
    </w:p>
    <w:p>
      <w:pPr>
        <w:keepNext/>
        <w:spacing w:before="200" w:after="100" w:line="264" w:lineRule="auto"/>
        <w:jc w:val="left"/>
      </w:pPr>
      <w:r>
        <w:rPr>
          <w:rFonts w:ascii="Arial" w:eastAsia="Arial" w:hAnsi="Arial" w:cs="Arial"/>
          <w:b/>
          <w:color w:val="000000"/>
          <w:sz w:val="24"/>
          <w:szCs w:val="24"/>
        </w:rPr>
        <w:t xml:space="preserve">5. Proposed Rule Set</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Pr>
      <w:tblGrid>
        <w:gridCol w:w="500"/>
        <w:gridCol w:w="2326"/>
        <w:gridCol w:w="1900"/>
        <w:gridCol w:w="1900"/>
        <w:gridCol w:w="2400"/>
      </w:tblGrid>
      <w:tr>
        <w:trPr>
          <w:cantSplit/>
          <w:tblHeader/>
        </w:trPr>
        <w:tc>
          <w:tcPr>
            <w:tcW w:w="500" w:type="dxa"/>
            <w:shd w:val="clear" w:color="auto" w:fill="DEEAF6"/>
          </w:tcPr>
          <w:p>
            <w:pPr>
              <w:spacing w:before="0" w:after="40" w:line="252" w:lineRule="auto"/>
              <w:jc w:val="left"/>
            </w:pPr>
            <w:r>
              <w:rPr>
                <w:rFonts w:ascii="Arial" w:eastAsia="Arial" w:hAnsi="Arial" w:cs="Arial"/>
                <w:b/>
                <w:color w:val="000000"/>
                <w:sz w:val="19"/>
                <w:szCs w:val="19"/>
              </w:rPr>
              <w:t xml:space="preserve">No.</w:t>
            </w:r>
          </w:p>
        </w:tc>
        <w:tc>
          <w:tcPr>
            <w:tcW w:w="2326" w:type="dxa"/>
            <w:shd w:val="clear" w:color="auto" w:fill="DEEAF6"/>
          </w:tcPr>
          <w:p>
            <w:pPr>
              <w:spacing w:before="0" w:after="40" w:line="252" w:lineRule="auto"/>
              <w:jc w:val="left"/>
            </w:pPr>
            <w:r>
              <w:rPr>
                <w:rFonts w:ascii="Arial" w:eastAsia="Arial" w:hAnsi="Arial" w:cs="Arial"/>
                <w:b/>
                <w:color w:val="000000"/>
                <w:sz w:val="19"/>
                <w:szCs w:val="19"/>
              </w:rPr>
              <w:t xml:space="preserve">Rule</w:t>
            </w:r>
          </w:p>
        </w:tc>
        <w:tc>
          <w:tcPr>
            <w:tcW w:w="1900" w:type="dxa"/>
            <w:shd w:val="clear" w:color="auto" w:fill="DEEAF6"/>
          </w:tcPr>
          <w:p>
            <w:pPr>
              <w:spacing w:before="0" w:after="40" w:line="252" w:lineRule="auto"/>
              <w:jc w:val="left"/>
            </w:pPr>
            <w:r>
              <w:rPr>
                <w:rFonts w:ascii="Arial" w:eastAsia="Arial" w:hAnsi="Arial" w:cs="Arial"/>
                <w:b/>
                <w:color w:val="000000"/>
                <w:sz w:val="19"/>
                <w:szCs w:val="19"/>
              </w:rPr>
              <w:t xml:space="preserve">Type</w:t>
            </w:r>
          </w:p>
        </w:tc>
        <w:tc>
          <w:tcPr>
            <w:tcW w:w="1900" w:type="dxa"/>
            <w:shd w:val="clear" w:color="auto" w:fill="DEEAF6"/>
          </w:tcPr>
          <w:p>
            <w:pPr>
              <w:spacing w:before="0" w:after="40" w:line="252" w:lineRule="auto"/>
              <w:jc w:val="left"/>
            </w:pPr>
            <w:r>
              <w:rPr>
                <w:rFonts w:ascii="Arial" w:eastAsia="Arial" w:hAnsi="Arial" w:cs="Arial"/>
                <w:b/>
                <w:color w:val="000000"/>
                <w:sz w:val="19"/>
                <w:szCs w:val="19"/>
              </w:rPr>
              <w:t xml:space="preserve">Trigger / Condition</w:t>
            </w:r>
          </w:p>
        </w:tc>
        <w:tc>
          <w:tcPr>
            <w:tcW w:w="2400" w:type="dxa"/>
            <w:shd w:val="clear" w:color="auto" w:fill="DEEAF6"/>
          </w:tcPr>
          <w:p>
            <w:pPr>
              <w:spacing w:before="0" w:after="40" w:line="252" w:lineRule="auto"/>
              <w:jc w:val="left"/>
            </w:pPr>
            <w:r>
              <w:rPr>
                <w:rFonts w:ascii="Arial" w:eastAsia="Arial" w:hAnsi="Arial" w:cs="Arial"/>
                <w:b/>
                <w:color w:val="000000"/>
                <w:sz w:val="19"/>
                <w:szCs w:val="19"/>
              </w:rPr>
              <w:t xml:space="preserve">Purpose</w:t>
            </w:r>
          </w:p>
        </w:tc>
      </w:tr>
      <w:tr>
        <w:trPr>
          <w:cantSplit/>
        </w:trPr>
        <w:tc>
          <w:tcPr>
            <w:tcW w:w="500" w:type="dxa"/>
          </w:tcPr>
          <w:p>
            <w:pPr>
              <w:spacing w:before="0" w:after="40" w:line="252" w:lineRule="auto"/>
              <w:jc w:val="left"/>
            </w:pPr>
            <w:r>
              <w:rPr>
                <w:rFonts w:ascii="Arial" w:eastAsia="Arial" w:hAnsi="Arial" w:cs="Arial"/>
                <w:b/>
                <w:color w:val="000000"/>
                <w:sz w:val="19"/>
                <w:szCs w:val="19"/>
              </w:rPr>
              <w:t xml:space="preserve">1</w:t>
            </w:r>
          </w:p>
        </w:tc>
        <w:tc>
          <w:tcPr>
            <w:tcW w:w="2326" w:type="dxa"/>
          </w:tcPr>
          <w:p>
            <w:pPr>
              <w:spacing w:before="0" w:after="40" w:line="252" w:lineRule="auto"/>
              <w:jc w:val="left"/>
            </w:pPr>
            <w:r>
              <w:rPr>
                <w:rFonts w:ascii="Arial" w:eastAsia="Arial" w:hAnsi="Arial" w:cs="Arial"/>
                <w:color w:val="000000"/>
                <w:sz w:val="19"/>
                <w:szCs w:val="19"/>
              </w:rPr>
              <w:t xml:space="preserve">Default values and guidance</w:t>
            </w:r>
          </w:p>
        </w:tc>
        <w:tc>
          <w:tcPr>
            <w:tcW w:w="1900" w:type="dxa"/>
          </w:tcPr>
          <w:p>
            <w:pPr>
              <w:spacing w:before="0" w:after="40" w:line="252" w:lineRule="auto"/>
              <w:jc w:val="left"/>
            </w:pPr>
            <w:r>
              <w:rPr>
                <w:rFonts w:ascii="Arial" w:eastAsia="Arial" w:hAnsi="Arial" w:cs="Arial"/>
                <w:color w:val="000000"/>
                <w:sz w:val="19"/>
                <w:szCs w:val="19"/>
              </w:rPr>
              <w:t xml:space="preserve">Client Script: onLoad</w:t>
            </w:r>
          </w:p>
        </w:tc>
        <w:tc>
          <w:tcPr>
            <w:tcW w:w="1900" w:type="dxa"/>
          </w:tcPr>
          <w:p>
            <w:pPr>
              <w:spacing w:before="0" w:after="40" w:line="252" w:lineRule="auto"/>
              <w:jc w:val="left"/>
            </w:pPr>
            <w:r>
              <w:rPr>
                <w:rFonts w:ascii="Arial" w:eastAsia="Arial" w:hAnsi="Arial" w:cs="Arial"/>
                <w:color w:val="000000"/>
                <w:sz w:val="19"/>
                <w:szCs w:val="19"/>
              </w:rPr>
              <w:t xml:space="preserve">New incident is opened</w:t>
            </w:r>
          </w:p>
        </w:tc>
        <w:tc>
          <w:tcPr>
            <w:tcW w:w="2400" w:type="dxa"/>
          </w:tcPr>
          <w:p>
            <w:pPr>
              <w:spacing w:before="0" w:after="40" w:line="252" w:lineRule="auto"/>
              <w:jc w:val="left"/>
            </w:pPr>
            <w:r>
              <w:rPr>
                <w:rFonts w:ascii="Arial" w:eastAsia="Arial" w:hAnsi="Arial" w:cs="Arial"/>
                <w:color w:val="000000"/>
                <w:sz w:val="19"/>
                <w:szCs w:val="19"/>
              </w:rPr>
              <w:t xml:space="preserve">Sets defaults (e.g. Contact type) and shows a guidance message.</w:t>
            </w:r>
          </w:p>
        </w:tc>
      </w:tr>
      <w:tr>
        <w:trPr>
          <w:cantSplit/>
        </w:trPr>
        <w:tc>
          <w:tcPr>
            <w:tcW w:w="500" w:type="dxa"/>
          </w:tcPr>
          <w:p>
            <w:pPr>
              <w:spacing w:before="0" w:after="40" w:line="252" w:lineRule="auto"/>
              <w:jc w:val="left"/>
            </w:pPr>
            <w:r>
              <w:rPr>
                <w:rFonts w:ascii="Arial" w:eastAsia="Arial" w:hAnsi="Arial" w:cs="Arial"/>
                <w:b/>
                <w:color w:val="000000"/>
                <w:sz w:val="19"/>
                <w:szCs w:val="19"/>
              </w:rPr>
              <w:t xml:space="preserve">2</w:t>
            </w:r>
          </w:p>
        </w:tc>
        <w:tc>
          <w:tcPr>
            <w:tcW w:w="2326" w:type="dxa"/>
          </w:tcPr>
          <w:p>
            <w:pPr>
              <w:spacing w:before="0" w:after="40" w:line="252" w:lineRule="auto"/>
              <w:jc w:val="left"/>
            </w:pPr>
            <w:r>
              <w:rPr>
                <w:rFonts w:ascii="Arial" w:eastAsia="Arial" w:hAnsi="Arial" w:cs="Arial"/>
                <w:color w:val="000000"/>
                <w:sz w:val="19"/>
                <w:szCs w:val="19"/>
              </w:rPr>
              <w:t xml:space="preserve">Category and Subcategory handling</w:t>
            </w:r>
          </w:p>
        </w:tc>
        <w:tc>
          <w:tcPr>
            <w:tcW w:w="1900" w:type="dxa"/>
          </w:tcPr>
          <w:p>
            <w:pPr>
              <w:spacing w:before="0" w:after="40" w:line="252" w:lineRule="auto"/>
              <w:jc w:val="left"/>
            </w:pPr>
            <w:r>
              <w:rPr>
                <w:rFonts w:ascii="Arial" w:eastAsia="Arial" w:hAnsi="Arial" w:cs="Arial"/>
                <w:color w:val="000000"/>
                <w:sz w:val="19"/>
                <w:szCs w:val="19"/>
              </w:rPr>
              <w:t xml:space="preserve">Client Script: onChange</w:t>
            </w:r>
          </w:p>
        </w:tc>
        <w:tc>
          <w:tcPr>
            <w:tcW w:w="1900" w:type="dxa"/>
          </w:tcPr>
          <w:p>
            <w:pPr>
              <w:spacing w:before="0" w:after="40" w:line="252" w:lineRule="auto"/>
              <w:jc w:val="left"/>
            </w:pPr>
            <w:r>
              <w:rPr>
                <w:rFonts w:ascii="Arial" w:eastAsia="Arial" w:hAnsi="Arial" w:cs="Arial"/>
                <w:color w:val="000000"/>
                <w:sz w:val="19"/>
                <w:szCs w:val="19"/>
              </w:rPr>
              <w:t xml:space="preserve">Category changes</w:t>
            </w:r>
          </w:p>
        </w:tc>
        <w:tc>
          <w:tcPr>
            <w:tcW w:w="2400" w:type="dxa"/>
          </w:tcPr>
          <w:p>
            <w:pPr>
              <w:spacing w:before="0" w:after="40" w:line="252" w:lineRule="auto"/>
              <w:jc w:val="left"/>
            </w:pPr>
            <w:r>
              <w:rPr>
                <w:rFonts w:ascii="Arial" w:eastAsia="Arial" w:hAnsi="Arial" w:cs="Arial"/>
                <w:color w:val="000000"/>
                <w:sz w:val="19"/>
                <w:szCs w:val="19"/>
              </w:rPr>
              <w:t xml:space="preserve">Clears Subcategory and shows a hint for correct selection.</w:t>
            </w:r>
          </w:p>
        </w:tc>
      </w:tr>
      <w:tr>
        <w:trPr>
          <w:cantSplit/>
        </w:trPr>
        <w:tc>
          <w:tcPr>
            <w:tcW w:w="500" w:type="dxa"/>
          </w:tcPr>
          <w:p>
            <w:pPr>
              <w:spacing w:before="0" w:after="40" w:line="252" w:lineRule="auto"/>
              <w:jc w:val="left"/>
            </w:pPr>
            <w:r>
              <w:rPr>
                <w:rFonts w:ascii="Arial" w:eastAsia="Arial" w:hAnsi="Arial" w:cs="Arial"/>
                <w:b/>
                <w:color w:val="000000"/>
                <w:sz w:val="19"/>
                <w:szCs w:val="19"/>
              </w:rPr>
              <w:t xml:space="preserve">3</w:t>
            </w:r>
          </w:p>
        </w:tc>
        <w:tc>
          <w:tcPr>
            <w:tcW w:w="2326" w:type="dxa"/>
          </w:tcPr>
          <w:p>
            <w:pPr>
              <w:spacing w:before="0" w:after="40" w:line="252" w:lineRule="auto"/>
              <w:jc w:val="left"/>
            </w:pPr>
            <w:r>
              <w:rPr>
                <w:rFonts w:ascii="Arial" w:eastAsia="Arial" w:hAnsi="Arial" w:cs="Arial"/>
                <w:color w:val="000000"/>
                <w:sz w:val="19"/>
                <w:szCs w:val="19"/>
              </w:rPr>
              <w:t xml:space="preserve">Caller auto-populate</w:t>
            </w:r>
          </w:p>
        </w:tc>
        <w:tc>
          <w:tcPr>
            <w:tcW w:w="1900" w:type="dxa"/>
          </w:tcPr>
          <w:p>
            <w:pPr>
              <w:spacing w:before="0" w:after="40" w:line="252" w:lineRule="auto"/>
              <w:jc w:val="left"/>
            </w:pPr>
            <w:r>
              <w:rPr>
                <w:rFonts w:ascii="Arial" w:eastAsia="Arial" w:hAnsi="Arial" w:cs="Arial"/>
                <w:color w:val="000000"/>
                <w:sz w:val="19"/>
                <w:szCs w:val="19"/>
              </w:rPr>
              <w:t xml:space="preserve">Client Script: onChange</w:t>
            </w:r>
          </w:p>
        </w:tc>
        <w:tc>
          <w:tcPr>
            <w:tcW w:w="1900" w:type="dxa"/>
          </w:tcPr>
          <w:p>
            <w:pPr>
              <w:spacing w:before="0" w:after="40" w:line="252" w:lineRule="auto"/>
              <w:jc w:val="left"/>
            </w:pPr>
            <w:r>
              <w:rPr>
                <w:rFonts w:ascii="Arial" w:eastAsia="Arial" w:hAnsi="Arial" w:cs="Arial"/>
                <w:color w:val="000000"/>
                <w:sz w:val="19"/>
                <w:szCs w:val="19"/>
              </w:rPr>
              <w:t xml:space="preserve">Caller changes</w:t>
            </w:r>
          </w:p>
        </w:tc>
        <w:tc>
          <w:tcPr>
            <w:tcW w:w="2400" w:type="dxa"/>
          </w:tcPr>
          <w:p>
            <w:pPr>
              <w:spacing w:before="0" w:after="40" w:line="252" w:lineRule="auto"/>
              <w:jc w:val="left"/>
            </w:pPr>
            <w:r>
              <w:rPr>
                <w:rFonts w:ascii="Arial" w:eastAsia="Arial" w:hAnsi="Arial" w:cs="Arial"/>
                <w:color w:val="000000"/>
                <w:sz w:val="19"/>
                <w:szCs w:val="19"/>
              </w:rPr>
              <w:t xml:space="preserve">Fetches caller details with getReference() and alerts the agent for a VIP caller.</w:t>
            </w:r>
          </w:p>
        </w:tc>
      </w:tr>
      <w:tr>
        <w:trPr>
          <w:cantSplit/>
        </w:trPr>
        <w:tc>
          <w:tcPr>
            <w:tcW w:w="500" w:type="dxa"/>
          </w:tcPr>
          <w:p>
            <w:pPr>
              <w:spacing w:before="0" w:after="40" w:line="252" w:lineRule="auto"/>
              <w:jc w:val="left"/>
            </w:pPr>
            <w:r>
              <w:rPr>
                <w:rFonts w:ascii="Arial" w:eastAsia="Arial" w:hAnsi="Arial" w:cs="Arial"/>
                <w:b/>
                <w:color w:val="000000"/>
                <w:sz w:val="19"/>
                <w:szCs w:val="19"/>
              </w:rPr>
              <w:t xml:space="preserve">4</w:t>
            </w:r>
          </w:p>
        </w:tc>
        <w:tc>
          <w:tcPr>
            <w:tcW w:w="2326" w:type="dxa"/>
          </w:tcPr>
          <w:p>
            <w:pPr>
              <w:spacing w:before="0" w:after="40" w:line="252" w:lineRule="auto"/>
              <w:jc w:val="left"/>
            </w:pPr>
            <w:r>
              <w:rPr>
                <w:rFonts w:ascii="Arial" w:eastAsia="Arial" w:hAnsi="Arial" w:cs="Arial"/>
                <w:color w:val="000000"/>
                <w:sz w:val="19"/>
                <w:szCs w:val="19"/>
              </w:rPr>
              <w:t xml:space="preserve">Final validation</w:t>
            </w:r>
          </w:p>
        </w:tc>
        <w:tc>
          <w:tcPr>
            <w:tcW w:w="1900" w:type="dxa"/>
          </w:tcPr>
          <w:p>
            <w:pPr>
              <w:spacing w:before="0" w:after="40" w:line="252" w:lineRule="auto"/>
              <w:jc w:val="left"/>
            </w:pPr>
            <w:r>
              <w:rPr>
                <w:rFonts w:ascii="Arial" w:eastAsia="Arial" w:hAnsi="Arial" w:cs="Arial"/>
                <w:color w:val="000000"/>
                <w:sz w:val="19"/>
                <w:szCs w:val="19"/>
              </w:rPr>
              <w:t xml:space="preserve">Client Script: onSubmit</w:t>
            </w:r>
          </w:p>
        </w:tc>
        <w:tc>
          <w:tcPr>
            <w:tcW w:w="1900" w:type="dxa"/>
          </w:tcPr>
          <w:p>
            <w:pPr>
              <w:spacing w:before="0" w:after="40" w:line="252" w:lineRule="auto"/>
              <w:jc w:val="left"/>
            </w:pPr>
            <w:r>
              <w:rPr>
                <w:rFonts w:ascii="Arial" w:eastAsia="Arial" w:hAnsi="Arial" w:cs="Arial"/>
                <w:color w:val="000000"/>
                <w:sz w:val="19"/>
                <w:szCs w:val="19"/>
              </w:rPr>
              <w:t xml:space="preserve">Save / Submit</w:t>
            </w:r>
          </w:p>
        </w:tc>
        <w:tc>
          <w:tcPr>
            <w:tcW w:w="2400" w:type="dxa"/>
          </w:tcPr>
          <w:p>
            <w:pPr>
              <w:spacing w:before="0" w:after="40" w:line="252" w:lineRule="auto"/>
              <w:jc w:val="left"/>
            </w:pPr>
            <w:r>
              <w:rPr>
                <w:rFonts w:ascii="Arial" w:eastAsia="Arial" w:hAnsi="Arial" w:cs="Arial"/>
                <w:color w:val="000000"/>
                <w:sz w:val="19"/>
                <w:szCs w:val="19"/>
              </w:rPr>
              <w:t xml:space="preserve">Checks Short description length, resolution details when Resolved and hold reason when On Hold; blocks submission with an error message.</w:t>
            </w:r>
          </w:p>
        </w:tc>
      </w:tr>
      <w:tr>
        <w:trPr>
          <w:cantSplit/>
        </w:trPr>
        <w:tc>
          <w:tcPr>
            <w:tcW w:w="500" w:type="dxa"/>
          </w:tcPr>
          <w:p>
            <w:pPr>
              <w:spacing w:before="0" w:after="40" w:line="252" w:lineRule="auto"/>
              <w:jc w:val="left"/>
            </w:pPr>
            <w:r>
              <w:rPr>
                <w:rFonts w:ascii="Arial" w:eastAsia="Arial" w:hAnsi="Arial" w:cs="Arial"/>
                <w:b/>
                <w:color w:val="000000"/>
                <w:sz w:val="19"/>
                <w:szCs w:val="19"/>
              </w:rPr>
              <w:t xml:space="preserve">5</w:t>
            </w:r>
          </w:p>
        </w:tc>
        <w:tc>
          <w:tcPr>
            <w:tcW w:w="2326" w:type="dxa"/>
          </w:tcPr>
          <w:p>
            <w:pPr>
              <w:spacing w:before="0" w:after="40" w:line="252" w:lineRule="auto"/>
              <w:jc w:val="left"/>
            </w:pPr>
            <w:r>
              <w:rPr>
                <w:rFonts w:ascii="Arial" w:eastAsia="Arial" w:hAnsi="Arial" w:cs="Arial"/>
                <w:color w:val="000000"/>
                <w:sz w:val="19"/>
                <w:szCs w:val="19"/>
              </w:rPr>
              <w:t xml:space="preserve">Core mandatory fields</w:t>
            </w:r>
          </w:p>
        </w:tc>
        <w:tc>
          <w:tcPr>
            <w:tcW w:w="1900" w:type="dxa"/>
          </w:tcPr>
          <w:p>
            <w:pPr>
              <w:spacing w:before="0" w:after="40" w:line="252" w:lineRule="auto"/>
              <w:jc w:val="left"/>
            </w:pPr>
            <w:r>
              <w:rPr>
                <w:rFonts w:ascii="Arial" w:eastAsia="Arial" w:hAnsi="Arial" w:cs="Arial"/>
                <w:color w:val="000000"/>
                <w:sz w:val="19"/>
                <w:szCs w:val="19"/>
              </w:rPr>
              <w:t xml:space="preserve">UI Policy: Mandatory</w:t>
            </w:r>
          </w:p>
        </w:tc>
        <w:tc>
          <w:tcPr>
            <w:tcW w:w="1900" w:type="dxa"/>
          </w:tcPr>
          <w:p>
            <w:pPr>
              <w:spacing w:before="0" w:after="40" w:line="252" w:lineRule="auto"/>
              <w:jc w:val="left"/>
            </w:pPr>
            <w:r>
              <w:rPr>
                <w:rFonts w:ascii="Arial" w:eastAsia="Arial" w:hAnsi="Arial" w:cs="Arial"/>
                <w:color w:val="000000"/>
                <w:sz w:val="19"/>
                <w:szCs w:val="19"/>
              </w:rPr>
              <w:t xml:space="preserve">Always</w:t>
            </w:r>
          </w:p>
        </w:tc>
        <w:tc>
          <w:tcPr>
            <w:tcW w:w="2400" w:type="dxa"/>
          </w:tcPr>
          <w:p>
            <w:pPr>
              <w:spacing w:before="0" w:after="40" w:line="252" w:lineRule="auto"/>
              <w:jc w:val="left"/>
            </w:pPr>
            <w:r>
              <w:rPr>
                <w:rFonts w:ascii="Arial" w:eastAsia="Arial" w:hAnsi="Arial" w:cs="Arial"/>
                <w:color w:val="000000"/>
                <w:sz w:val="19"/>
                <w:szCs w:val="19"/>
              </w:rPr>
              <w:t xml:space="preserve">Makes Short description, Category, Impact and Urgency mandatory.</w:t>
            </w:r>
          </w:p>
        </w:tc>
      </w:tr>
      <w:tr>
        <w:trPr>
          <w:cantSplit/>
        </w:trPr>
        <w:tc>
          <w:tcPr>
            <w:tcW w:w="500" w:type="dxa"/>
          </w:tcPr>
          <w:p>
            <w:pPr>
              <w:spacing w:before="0" w:after="40" w:line="252" w:lineRule="auto"/>
              <w:jc w:val="left"/>
            </w:pPr>
            <w:r>
              <w:rPr>
                <w:rFonts w:ascii="Arial" w:eastAsia="Arial" w:hAnsi="Arial" w:cs="Arial"/>
                <w:b/>
                <w:color w:val="000000"/>
                <w:sz w:val="19"/>
                <w:szCs w:val="19"/>
              </w:rPr>
              <w:t xml:space="preserve">6</w:t>
            </w:r>
          </w:p>
        </w:tc>
        <w:tc>
          <w:tcPr>
            <w:tcW w:w="2326" w:type="dxa"/>
          </w:tcPr>
          <w:p>
            <w:pPr>
              <w:spacing w:before="0" w:after="40" w:line="252" w:lineRule="auto"/>
              <w:jc w:val="left"/>
            </w:pPr>
            <w:r>
              <w:rPr>
                <w:rFonts w:ascii="Arial" w:eastAsia="Arial" w:hAnsi="Arial" w:cs="Arial"/>
                <w:color w:val="000000"/>
                <w:sz w:val="19"/>
                <w:szCs w:val="19"/>
              </w:rPr>
              <w:t xml:space="preserve">Resolution details</w:t>
            </w:r>
          </w:p>
        </w:tc>
        <w:tc>
          <w:tcPr>
            <w:tcW w:w="1900" w:type="dxa"/>
          </w:tcPr>
          <w:p>
            <w:pPr>
              <w:spacing w:before="0" w:after="40" w:line="252" w:lineRule="auto"/>
              <w:jc w:val="left"/>
            </w:pPr>
            <w:r>
              <w:rPr>
                <w:rFonts w:ascii="Arial" w:eastAsia="Arial" w:hAnsi="Arial" w:cs="Arial"/>
                <w:color w:val="000000"/>
                <w:sz w:val="19"/>
                <w:szCs w:val="19"/>
              </w:rPr>
              <w:t xml:space="preserve">UI Policy: Mandatory + Visible</w:t>
            </w:r>
          </w:p>
        </w:tc>
        <w:tc>
          <w:tcPr>
            <w:tcW w:w="1900" w:type="dxa"/>
          </w:tcPr>
          <w:p>
            <w:pPr>
              <w:spacing w:before="0" w:after="40" w:line="252" w:lineRule="auto"/>
              <w:jc w:val="left"/>
            </w:pPr>
            <w:r>
              <w:rPr>
                <w:rFonts w:ascii="Arial" w:eastAsia="Arial" w:hAnsi="Arial" w:cs="Arial"/>
                <w:color w:val="000000"/>
                <w:sz w:val="19"/>
                <w:szCs w:val="19"/>
              </w:rPr>
              <w:t xml:space="preserve">State is Resolved or Closed</w:t>
            </w:r>
          </w:p>
        </w:tc>
        <w:tc>
          <w:tcPr>
            <w:tcW w:w="2400" w:type="dxa"/>
          </w:tcPr>
          <w:p>
            <w:pPr>
              <w:spacing w:before="0" w:after="40" w:line="252" w:lineRule="auto"/>
              <w:jc w:val="left"/>
            </w:pPr>
            <w:r>
              <w:rPr>
                <w:rFonts w:ascii="Arial" w:eastAsia="Arial" w:hAnsi="Arial" w:cs="Arial"/>
                <w:color w:val="000000"/>
                <w:sz w:val="19"/>
                <w:szCs w:val="19"/>
              </w:rPr>
              <w:t xml:space="preserve">Shows and requires Close code and Close notes.</w:t>
            </w:r>
          </w:p>
        </w:tc>
      </w:tr>
      <w:tr>
        <w:trPr>
          <w:cantSplit/>
        </w:trPr>
        <w:tc>
          <w:tcPr>
            <w:tcW w:w="500" w:type="dxa"/>
          </w:tcPr>
          <w:p>
            <w:pPr>
              <w:spacing w:before="0" w:after="40" w:line="252" w:lineRule="auto"/>
              <w:jc w:val="left"/>
            </w:pPr>
            <w:r>
              <w:rPr>
                <w:rFonts w:ascii="Arial" w:eastAsia="Arial" w:hAnsi="Arial" w:cs="Arial"/>
                <w:b/>
                <w:color w:val="000000"/>
                <w:sz w:val="19"/>
                <w:szCs w:val="19"/>
              </w:rPr>
              <w:t xml:space="preserve">7</w:t>
            </w:r>
          </w:p>
        </w:tc>
        <w:tc>
          <w:tcPr>
            <w:tcW w:w="2326" w:type="dxa"/>
          </w:tcPr>
          <w:p>
            <w:pPr>
              <w:spacing w:before="0" w:after="40" w:line="252" w:lineRule="auto"/>
              <w:jc w:val="left"/>
            </w:pPr>
            <w:r>
              <w:rPr>
                <w:rFonts w:ascii="Arial" w:eastAsia="Arial" w:hAnsi="Arial" w:cs="Arial"/>
                <w:color w:val="000000"/>
                <w:sz w:val="19"/>
                <w:szCs w:val="19"/>
              </w:rPr>
              <w:t xml:space="preserve">On hold reason</w:t>
            </w:r>
          </w:p>
        </w:tc>
        <w:tc>
          <w:tcPr>
            <w:tcW w:w="1900" w:type="dxa"/>
          </w:tcPr>
          <w:p>
            <w:pPr>
              <w:spacing w:before="0" w:after="40" w:line="252" w:lineRule="auto"/>
              <w:jc w:val="left"/>
            </w:pPr>
            <w:r>
              <w:rPr>
                <w:rFonts w:ascii="Arial" w:eastAsia="Arial" w:hAnsi="Arial" w:cs="Arial"/>
                <w:color w:val="000000"/>
                <w:sz w:val="19"/>
                <w:szCs w:val="19"/>
              </w:rPr>
              <w:t xml:space="preserve">UI Policy: Mandatory + Visible</w:t>
            </w:r>
          </w:p>
        </w:tc>
        <w:tc>
          <w:tcPr>
            <w:tcW w:w="1900" w:type="dxa"/>
          </w:tcPr>
          <w:p>
            <w:pPr>
              <w:spacing w:before="0" w:after="40" w:line="252" w:lineRule="auto"/>
              <w:jc w:val="left"/>
            </w:pPr>
            <w:r>
              <w:rPr>
                <w:rFonts w:ascii="Arial" w:eastAsia="Arial" w:hAnsi="Arial" w:cs="Arial"/>
                <w:color w:val="000000"/>
                <w:sz w:val="19"/>
                <w:szCs w:val="19"/>
              </w:rPr>
              <w:t xml:space="preserve">State is On Hold</w:t>
            </w:r>
          </w:p>
        </w:tc>
        <w:tc>
          <w:tcPr>
            <w:tcW w:w="2400" w:type="dxa"/>
          </w:tcPr>
          <w:p>
            <w:pPr>
              <w:spacing w:before="0" w:after="40" w:line="252" w:lineRule="auto"/>
              <w:jc w:val="left"/>
            </w:pPr>
            <w:r>
              <w:rPr>
                <w:rFonts w:ascii="Arial" w:eastAsia="Arial" w:hAnsi="Arial" w:cs="Arial"/>
                <w:color w:val="000000"/>
                <w:sz w:val="19"/>
                <w:szCs w:val="19"/>
              </w:rPr>
              <w:t xml:space="preserve">Shows and requires the On hold reason.</w:t>
            </w:r>
          </w:p>
        </w:tc>
      </w:tr>
      <w:tr>
        <w:trPr>
          <w:cantSplit/>
        </w:trPr>
        <w:tc>
          <w:tcPr>
            <w:tcW w:w="500" w:type="dxa"/>
          </w:tcPr>
          <w:p>
            <w:pPr>
              <w:spacing w:before="0" w:after="40" w:line="252" w:lineRule="auto"/>
              <w:jc w:val="left"/>
            </w:pPr>
            <w:r>
              <w:rPr>
                <w:rFonts w:ascii="Arial" w:eastAsia="Arial" w:hAnsi="Arial" w:cs="Arial"/>
                <w:b/>
                <w:color w:val="000000"/>
                <w:sz w:val="19"/>
                <w:szCs w:val="19"/>
              </w:rPr>
              <w:t xml:space="preserve">8</w:t>
            </w:r>
          </w:p>
        </w:tc>
        <w:tc>
          <w:tcPr>
            <w:tcW w:w="2326" w:type="dxa"/>
          </w:tcPr>
          <w:p>
            <w:pPr>
              <w:spacing w:before="0" w:after="40" w:line="252" w:lineRule="auto"/>
              <w:jc w:val="left"/>
            </w:pPr>
            <w:r>
              <w:rPr>
                <w:rFonts w:ascii="Arial" w:eastAsia="Arial" w:hAnsi="Arial" w:cs="Arial"/>
                <w:color w:val="000000"/>
                <w:sz w:val="19"/>
                <w:szCs w:val="19"/>
              </w:rPr>
              <w:t xml:space="preserve">Protected fields</w:t>
            </w:r>
          </w:p>
        </w:tc>
        <w:tc>
          <w:tcPr>
            <w:tcW w:w="1900" w:type="dxa"/>
          </w:tcPr>
          <w:p>
            <w:pPr>
              <w:spacing w:before="0" w:after="40" w:line="252" w:lineRule="auto"/>
              <w:jc w:val="left"/>
            </w:pPr>
            <w:r>
              <w:rPr>
                <w:rFonts w:ascii="Arial" w:eastAsia="Arial" w:hAnsi="Arial" w:cs="Arial"/>
                <w:color w:val="000000"/>
                <w:sz w:val="19"/>
                <w:szCs w:val="19"/>
              </w:rPr>
              <w:t xml:space="preserve">UI Policy: Read-only</w:t>
            </w:r>
          </w:p>
        </w:tc>
        <w:tc>
          <w:tcPr>
            <w:tcW w:w="1900" w:type="dxa"/>
          </w:tcPr>
          <w:p>
            <w:pPr>
              <w:spacing w:before="0" w:after="40" w:line="252" w:lineRule="auto"/>
              <w:jc w:val="left"/>
            </w:pPr>
            <w:r>
              <w:rPr>
                <w:rFonts w:ascii="Arial" w:eastAsia="Arial" w:hAnsi="Arial" w:cs="Arial"/>
                <w:color w:val="000000"/>
                <w:sz w:val="19"/>
                <w:szCs w:val="19"/>
              </w:rPr>
              <w:t xml:space="preserve">Number, Priority, Caller (after creation); all key fields when Closed</w:t>
            </w:r>
          </w:p>
        </w:tc>
        <w:tc>
          <w:tcPr>
            <w:tcW w:w="2400" w:type="dxa"/>
          </w:tcPr>
          <w:p>
            <w:pPr>
              <w:spacing w:before="0" w:after="40" w:line="252" w:lineRule="auto"/>
              <w:jc w:val="left"/>
            </w:pPr>
            <w:r>
              <w:rPr>
                <w:rFonts w:ascii="Arial" w:eastAsia="Arial" w:hAnsi="Arial" w:cs="Arial"/>
                <w:color w:val="000000"/>
                <w:sz w:val="19"/>
                <w:szCs w:val="19"/>
              </w:rPr>
              <w:t xml:space="preserve">Prevents accidental or unauthorised edits.</w:t>
            </w:r>
          </w:p>
        </w:tc>
      </w:tr>
    </w:tbl>
    <w:p>
      <w:pPr>
        <w:keepNext/>
        <w:spacing w:before="200" w:after="100" w:line="264" w:lineRule="auto"/>
        <w:jc w:val="left"/>
      </w:pPr>
      <w:r>
        <w:rPr>
          <w:rFonts w:ascii="Arial" w:eastAsia="Arial" w:hAnsi="Arial" w:cs="Arial"/>
          <w:b/>
          <w:color w:val="000000"/>
          <w:sz w:val="24"/>
          <w:szCs w:val="24"/>
        </w:rPr>
        <w:t xml:space="preserve">6. Key Design Considerations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Pr>
      <w:tblGrid>
        <w:gridCol w:w="2200"/>
        <w:gridCol w:w="6826"/>
      </w:tblGrid>
      <w:tr>
        <w:trPr>
          <w:cantSplit/>
          <w:tblHeader/>
        </w:trPr>
        <w:tc>
          <w:tcPr>
            <w:tcW w:w="2200" w:type="dxa"/>
            <w:shd w:val="clear" w:color="auto" w:fill="DEEAF6"/>
          </w:tcPr>
          <w:p>
            <w:pPr>
              <w:spacing w:before="0" w:after="40" w:line="252" w:lineRule="auto"/>
              <w:jc w:val="left"/>
            </w:pPr>
            <w:r>
              <w:rPr>
                <w:rFonts w:ascii="Arial" w:eastAsia="Arial" w:hAnsi="Arial" w:cs="Arial"/>
                <w:b/>
                <w:color w:val="000000"/>
                <w:sz w:val="19"/>
                <w:szCs w:val="19"/>
              </w:rPr>
              <w:t xml:space="preserve">Consideration</w:t>
            </w:r>
          </w:p>
        </w:tc>
        <w:tc>
          <w:tcPr>
            <w:tcW w:w="6826" w:type="dxa"/>
            <w:shd w:val="clear" w:color="auto" w:fill="DEEAF6"/>
          </w:tcPr>
          <w:p>
            <w:pPr>
              <w:spacing w:before="0" w:after="40" w:line="252" w:lineRule="auto"/>
              <w:jc w:val="left"/>
            </w:pPr>
            <w:r>
              <w:rPr>
                <w:rFonts w:ascii="Arial" w:eastAsia="Arial" w:hAnsi="Arial" w:cs="Arial"/>
                <w:b/>
                <w:color w:val="000000"/>
                <w:sz w:val="19"/>
                <w:szCs w:val="19"/>
              </w:rPr>
              <w:t xml:space="preserve">Approach</w:t>
            </w:r>
          </w:p>
        </w:tc>
      </w:tr>
      <w:tr>
        <w:trPr>
          <w:cantSplit/>
        </w:trPr>
        <w:tc>
          <w:tcPr>
            <w:tcW w:w="2200" w:type="dxa"/>
          </w:tcPr>
          <w:p>
            <w:pPr>
              <w:spacing w:before="0" w:after="40" w:line="252" w:lineRule="auto"/>
              <w:jc w:val="left"/>
            </w:pPr>
            <w:r>
              <w:rPr>
                <w:rFonts w:ascii="Arial" w:eastAsia="Arial" w:hAnsi="Arial" w:cs="Arial"/>
                <w:b/>
                <w:color w:val="000000"/>
                <w:sz w:val="19"/>
                <w:szCs w:val="19"/>
              </w:rPr>
              <w:t xml:space="preserve">Performance</w:t>
            </w:r>
          </w:p>
        </w:tc>
        <w:tc>
          <w:tcPr>
            <w:tcW w:w="6826" w:type="dxa"/>
          </w:tcPr>
          <w:p>
            <w:pPr>
              <w:spacing w:before="0" w:after="40" w:line="252" w:lineRule="auto"/>
              <w:jc w:val="left"/>
            </w:pPr>
            <w:r>
              <w:rPr>
                <w:rFonts w:ascii="Arial" w:eastAsia="Arial" w:hAnsi="Arial" w:cs="Arial"/>
                <w:color w:val="000000"/>
                <w:sz w:val="19"/>
                <w:szCs w:val="19"/>
              </w:rPr>
              <w:t xml:space="preserve">Rules run in the user’s browser, so there is no page reload and no extra server load. Lookups with getReference() use a callback so the form is never blocked.</w:t>
            </w:r>
          </w:p>
        </w:tc>
      </w:tr>
      <w:tr>
        <w:trPr>
          <w:cantSplit/>
        </w:trPr>
        <w:tc>
          <w:tcPr>
            <w:tcW w:w="2200" w:type="dxa"/>
          </w:tcPr>
          <w:p>
            <w:pPr>
              <w:spacing w:before="0" w:after="40" w:line="252" w:lineRule="auto"/>
              <w:jc w:val="left"/>
            </w:pPr>
            <w:r>
              <w:rPr>
                <w:rFonts w:ascii="Arial" w:eastAsia="Arial" w:hAnsi="Arial" w:cs="Arial"/>
                <w:b/>
                <w:color w:val="000000"/>
                <w:sz w:val="19"/>
                <w:szCs w:val="19"/>
              </w:rPr>
              <w:t xml:space="preserve">Security and data integrity</w:t>
            </w:r>
          </w:p>
        </w:tc>
        <w:tc>
          <w:tcPr>
            <w:tcW w:w="6826" w:type="dxa"/>
          </w:tcPr>
          <w:p>
            <w:pPr>
              <w:spacing w:before="0" w:after="40" w:line="252" w:lineRule="auto"/>
              <w:jc w:val="left"/>
            </w:pPr>
            <w:r>
              <w:rPr>
                <w:rFonts w:ascii="Arial" w:eastAsia="Arial" w:hAnsi="Arial" w:cs="Arial"/>
                <w:color w:val="000000"/>
                <w:sz w:val="19"/>
                <w:szCs w:val="19"/>
              </w:rPr>
              <w:t xml:space="preserve">Client-side rules improve usability and guide users, but they are not a security control. ACLs and server-side Business Rules remain responsible for enforcing access and data integrity.</w:t>
            </w:r>
          </w:p>
        </w:tc>
      </w:tr>
      <w:tr>
        <w:trPr>
          <w:cantSplit/>
        </w:trPr>
        <w:tc>
          <w:tcPr>
            <w:tcW w:w="2200" w:type="dxa"/>
          </w:tcPr>
          <w:p>
            <w:pPr>
              <w:spacing w:before="0" w:after="40" w:line="252" w:lineRule="auto"/>
              <w:jc w:val="left"/>
            </w:pPr>
            <w:r>
              <w:rPr>
                <w:rFonts w:ascii="Arial" w:eastAsia="Arial" w:hAnsi="Arial" w:cs="Arial"/>
                <w:b/>
                <w:color w:val="000000"/>
                <w:sz w:val="19"/>
                <w:szCs w:val="19"/>
              </w:rPr>
              <w:t xml:space="preserve">Maintainability</w:t>
            </w:r>
          </w:p>
        </w:tc>
        <w:tc>
          <w:tcPr>
            <w:tcW w:w="6826" w:type="dxa"/>
          </w:tcPr>
          <w:p>
            <w:pPr>
              <w:spacing w:before="0" w:after="40" w:line="252" w:lineRule="auto"/>
              <w:jc w:val="left"/>
            </w:pPr>
            <w:r>
              <w:rPr>
                <w:rFonts w:ascii="Arial" w:eastAsia="Arial" w:hAnsi="Arial" w:cs="Arial"/>
                <w:color w:val="000000"/>
                <w:sz w:val="19"/>
                <w:szCs w:val="19"/>
              </w:rPr>
              <w:t xml:space="preserve">UI Policies are used wherever a simple condition is enough; Client Scripts are used only for logic that needs code. Clear names, conditions and execution order are used for every rule.</w:t>
            </w:r>
          </w:p>
        </w:tc>
      </w:tr>
      <w:tr>
        <w:trPr>
          <w:cantSplit/>
        </w:trPr>
        <w:tc>
          <w:tcPr>
            <w:tcW w:w="2200" w:type="dxa"/>
          </w:tcPr>
          <w:p>
            <w:pPr>
              <w:spacing w:before="0" w:after="40" w:line="252" w:lineRule="auto"/>
              <w:jc w:val="left"/>
            </w:pPr>
            <w:r>
              <w:rPr>
                <w:rFonts w:ascii="Arial" w:eastAsia="Arial" w:hAnsi="Arial" w:cs="Arial"/>
                <w:b/>
                <w:color w:val="000000"/>
                <w:sz w:val="19"/>
                <w:szCs w:val="19"/>
              </w:rPr>
              <w:t xml:space="preserve">Testing</w:t>
            </w:r>
          </w:p>
        </w:tc>
        <w:tc>
          <w:tcPr>
            <w:tcW w:w="6826" w:type="dxa"/>
          </w:tcPr>
          <w:p>
            <w:pPr>
              <w:spacing w:before="0" w:after="40" w:line="252" w:lineRule="auto"/>
              <w:jc w:val="left"/>
            </w:pPr>
            <w:r>
              <w:rPr>
                <w:rFonts w:ascii="Arial" w:eastAsia="Arial" w:hAnsi="Arial" w:cs="Arial"/>
                <w:color w:val="000000"/>
                <w:sz w:val="19"/>
                <w:szCs w:val="19"/>
              </w:rPr>
              <w:t xml:space="preserve">Each rule has test cases. Testing is done by impersonating a caller, an ITIL agent and an administrator, in both the Platform UI and Self Service / Service Portal.</w:t>
            </w:r>
          </w:p>
        </w:tc>
      </w:tr>
      <w:tr>
        <w:trPr>
          <w:cantSplit/>
        </w:trPr>
        <w:tc>
          <w:tcPr>
            <w:tcW w:w="2200" w:type="dxa"/>
          </w:tcPr>
          <w:p>
            <w:pPr>
              <w:spacing w:before="0" w:after="40" w:line="252" w:lineRule="auto"/>
              <w:jc w:val="left"/>
            </w:pPr>
            <w:r>
              <w:rPr>
                <w:rFonts w:ascii="Arial" w:eastAsia="Arial" w:hAnsi="Arial" w:cs="Arial"/>
                <w:b/>
                <w:color w:val="000000"/>
                <w:sz w:val="19"/>
                <w:szCs w:val="19"/>
              </w:rPr>
              <w:t xml:space="preserve">Scalability</w:t>
            </w:r>
          </w:p>
        </w:tc>
        <w:tc>
          <w:tcPr>
            <w:tcW w:w="6826" w:type="dxa"/>
          </w:tcPr>
          <w:p>
            <w:pPr>
              <w:spacing w:before="0" w:after="40" w:line="252" w:lineRule="auto"/>
              <w:jc w:val="left"/>
            </w:pPr>
            <w:r>
              <w:rPr>
                <w:rFonts w:ascii="Arial" w:eastAsia="Arial" w:hAnsi="Arial" w:cs="Arial"/>
                <w:color w:val="000000"/>
                <w:sz w:val="19"/>
                <w:szCs w:val="19"/>
              </w:rPr>
              <w:t xml:space="preserve">The same pattern can be reused for Problem, Change and Service Catalog (Catalog Client Scripts and Catalog UI Policies) with only field names and conditions changed.</w:t>
            </w:r>
          </w:p>
        </w:tc>
      </w:tr>
      <w:tr>
        <w:trPr>
          <w:cantSplit/>
        </w:trPr>
        <w:tc>
          <w:tcPr>
            <w:tcW w:w="2200" w:type="dxa"/>
          </w:tcPr>
          <w:p>
            <w:pPr>
              <w:spacing w:before="0" w:after="40" w:line="252" w:lineRule="auto"/>
              <w:jc w:val="left"/>
            </w:pPr>
            <w:r>
              <w:rPr>
                <w:rFonts w:ascii="Arial" w:eastAsia="Arial" w:hAnsi="Arial" w:cs="Arial"/>
                <w:b/>
                <w:color w:val="000000"/>
                <w:sz w:val="19"/>
                <w:szCs w:val="19"/>
              </w:rPr>
              <w:t xml:space="preserve">Upgrade safety</w:t>
            </w:r>
          </w:p>
        </w:tc>
        <w:tc>
          <w:tcPr>
            <w:tcW w:w="6826" w:type="dxa"/>
          </w:tcPr>
          <w:p>
            <w:pPr>
              <w:spacing w:before="0" w:after="40" w:line="252" w:lineRule="auto"/>
              <w:jc w:val="left"/>
            </w:pPr>
            <w:r>
              <w:rPr>
                <w:rFonts w:ascii="Arial" w:eastAsia="Arial" w:hAnsi="Arial" w:cs="Arial"/>
                <w:color w:val="000000"/>
                <w:sz w:val="19"/>
                <w:szCs w:val="19"/>
              </w:rPr>
              <w:t xml:space="preserve">Only standard ServiceNow features are used, with no core code changes, so the solution is easy to upgrade and to move between instances.</w:t>
            </w:r>
          </w:p>
        </w:tc>
      </w:tr>
    </w:tbl>
    <w:p>
      <w:pPr>
        <w:spacing w:before="0" w:after="0" w:line="264" w:lineRule="auto"/>
        <w:jc w:val="left"/>
      </w:pPr>
      <w:r>
        <w:rPr>
          <w:rFonts w:ascii="Arial" w:eastAsia="Arial" w:hAnsi="Arial" w:cs="Arial"/>
          <w:color w:val="000000"/>
          <w:sz w:val="21"/>
          <w:szCs w:val="21"/>
        </w:rPr>
        <w:t xml:space="preserve"/>
      </w: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DBD6482-AF40-4554-B0D4-FC508BDA3F7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3292A94-2CD0-46C1-BE2A-6FC31987DFB1}"/>
    <w:embedBold r:id="rId3" w:fontKey="{557B7AC1-CF66-4EF2-A531-0A2E3B38E48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5B2108AD-FC03-40D1-863F-47E11AFF107F}"/>
    <w:embedItalic r:id="rId5" w:fontKey="{CC4C1860-D48B-4482-851D-D7697328F418}"/>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6" w:fontKey="{5F058906-38E9-44E8-913D-6D3B4FC97E87}"/>
    <w:embedItalic r:id="rId7" w:fontKey="{95F4DCFF-D500-4839-B623-1F501393DF02}"/>
  </w:font>
  <w:font w:name="Calibri Light">
    <w:panose1 w:val="020F0302020204030204"/>
    <w:charset w:val="00"/>
    <w:family w:val="swiss"/>
    <w:pitch w:val="variable"/>
    <w:sig w:usb0="E4002EFF" w:usb1="C200247B" w:usb2="00000009" w:usb3="00000000" w:csb0="000001FF" w:csb1="00000000"/>
    <w:embedRegular r:id="rId8" w:fontKey="{BFAD829A-61D3-4C1D-AE9A-F7A9B6A4689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multiLevelType w:val="hybridMultilevel"/>
    <w:lvl w:ilvl="0">
      <w:start w:val="1"/>
      <w:numFmt w:val="bullet"/>
      <w:lvlText w:val="•"/>
      <w:lvlJc w:val="left"/>
      <w:pPr>
        <w:ind w:left="500" w:hanging="283"/>
      </w:pPr>
      <w:rPr>
        <w:rFonts w:ascii="Arial" w:hAnsi="Arial" w:cs="Arial"/>
      </w:rPr>
    </w:lvl>
  </w:abstractNum>
  <w:abstractNum w:abstractNumId="61">
    <w:multiLevelType w:val="hybridMultilevel"/>
    <w:lvl w:ilvl="0">
      <w:start w:val="1"/>
      <w:numFmt w:val="decimal"/>
      <w:lvlText w:val="%1."/>
      <w:lvlJc w:val="left"/>
      <w:pPr>
        <w:ind w:left="500" w:hanging="360"/>
      </w:pPr>
      <w:rPr>
        <w:rFonts w:ascii="Arial" w:hAnsi="Arial" w:cs="Arial"/>
      </w:rPr>
    </w:lvl>
  </w:abstractNum>
  <w:num w:numId="1" w16cid:durableId="1863013408">
    <w:abstractNumId w:val="0"/>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267921"/>
    <w:rsid w:val="00862077"/>
    <w:rsid w:val="00E37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architecture.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162</Words>
  <Characters>925</Characters>
  <Application>Microsoft Office Word</Application>
  <DocSecurity>0</DocSecurity>
  <Lines>7</Lines>
  <Paragraphs>2</Paragraphs>
  <ScaleCrop>false</ScaleCrop>
  <Company/>
  <LinksUpToDate>false</LinksUpToDate>
  <CharactersWithSpaces>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2</cp:revision>
  <dcterms:created xsi:type="dcterms:W3CDTF">2022-10-03T08:27:00Z</dcterms:created>
  <dcterms:modified xsi:type="dcterms:W3CDTF">2025-02-15T04:35:00Z</dcterms:modified>
</cp:coreProperties>
</file>