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Project Design Phase-II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Solution Requirements (Functional &amp; Non-functional)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September 2026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Team ID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SWUID2026286057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 Client Script &amp; UI Policy (Incident)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Functional Requirements: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Following are the functional requirements of the proposed solution.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5446"/>
      </w:tblGrid>
      <w:tr>
        <w:trPr>
          <w:cantSplit/>
          <w:tblHeader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 No.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54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 Requirement (Story / Sub-Task)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FR-1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Field State Control (UI Policy)</w:t>
            </w:r>
          </w:p>
        </w:tc>
        <w:tc>
          <w:tcPr>
            <w:tcW w:type="dxa" w:w="54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 Assignment group and Description mandatory when Impact = 1 - High and Urgency = 1 - High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 Assigned to and Additional comments for High Impact / High Urgency incidents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 original field state when the condition is no longer true (Reverse if false)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FR-2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Urgency Field Control (UI Policy Action)</w:t>
            </w:r>
          </w:p>
        </w:tc>
        <w:tc>
          <w:tcPr>
            <w:tcW w:type="dxa" w:w="54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 Urgency read-only when State is Resolved or Closed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 Urgency editable again when the incident is reopened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FR-3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Dependent Field Handling (onChange Client Script)</w:t>
            </w:r>
          </w:p>
        </w:tc>
        <w:tc>
          <w:tcPr>
            <w:tcW w:type="dxa" w:w="54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Clear Subcategory when Category changes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Make Subcategory mandatory once a Category is selected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Display an info message prompting for a valid Subcategory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FR-4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Submission Validation (onSubmit Client Script)</w:t>
            </w:r>
          </w:p>
        </w:tc>
        <w:tc>
          <w:tcPr>
            <w:tcW w:type="dxa" w:w="54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Block submission when Short description or Category is empty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 an error message and set g_form.submitted = false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 false to cancel the save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FR-5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 Editing Safety (onCellEdit Client Script)</w:t>
            </w:r>
          </w:p>
        </w:tc>
        <w:tc>
          <w:tcPr>
            <w:tcW w:type="dxa" w:w="54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Reject empty values entered in the list editor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Reject State changes to Resolved / Closed from the list editor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Always call the callback so the cell exits edit mode</w:t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Non-functional Requirements: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Following are the non-functional requirements of the proposed solution.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6246"/>
      </w:tblGrid>
      <w:tr>
        <w:trPr>
          <w:cantSplit/>
          <w:tblHeader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NFR No.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Non-Functional Requirement</w:t>
            </w:r>
          </w:p>
        </w:tc>
        <w:tc>
          <w:tcPr>
            <w:tcW w:type="dxa" w:w="62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Usability</w:t>
            </w:r>
          </w:p>
        </w:tc>
        <w:tc>
          <w:tcPr>
            <w:tcW w:type="dxa" w:w="62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Clear, concise error and info messages; fields show, hide or lock instantly without a page reload; consistent mandatory indicators on the Incident form.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62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Client-side rules are advisory only; critical rules must be mirrored by server-side Business Rules / ACLs. Scripts must not expose sensitive data; access is governed by ServiceNow roles (e.g., itil).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Reliability</w:t>
            </w:r>
          </w:p>
        </w:tc>
        <w:tc>
          <w:tcPr>
            <w:tcW w:type="dxa" w:w="62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Scripts guard against isLoading and empty values and contain no unhandled exceptions; every rule is covered by a documented test case.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62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synchronous server calls (GlideRecord / getReference without callback) in form-load or onChange scripts; UI Policies are preferred over scripts wherever possible.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62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Logic runs in the browser and is available whenever the ServiceNow instance is available; no dependency on external services.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NFR-6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62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Rules are table-scoped, condition-driven and data-independent; new fields or conditions can be added without restructuring, and changes are promoted via Update Sets.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2026-09-30T19:15:35.944Z</dcterms:created>
  <dcterms:modified xsi:type="dcterms:W3CDTF">2026-09-30T19:15:35.950Z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