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28"/>
          <w:szCs w:val="28"/>
        </w:rPr>
        <w:t xml:space="preserve">Ex. No. 8 — Design of a Two-Conductor Transmission Line and Examination of the Impact of Conductor Dimensions on Characteristic Impedance and Propagation Velocity</w:t>
      </w:r>
    </w:p>
    <w:p>
      <w:pPr>
        <w:spacing w:after="120"/>
      </w:pPr>
      <w:r>
        <w:rPr>
          <w:sz w:val="21"/>
          <w:szCs w:val="21"/>
        </w:rPr>
        <w:t xml:space="preserve">Assumed design basis (from the field-solver layout shown): a rectangular conductor over a single ground plane with no dielectric layer defined in the stackup, i.e. an air dielectric (εr = 1). Fixed conductor height = 1.4 mm is used while sweeping width (Test Case 1); fixed conductor width = 2 mm is used while sweeping height (Test Case 2), matching the layout's default dimensions.</w:t>
      </w:r>
    </w:p>
    <w:p>
      <w:pPr>
        <w:pStyle w:val="Heading1"/>
        <w:spacing w:after="150" w:before="300"/>
      </w:pPr>
      <w:r>
        <w:rPr>
          <w:b/>
          <w:bCs/>
          <w:color w:val="1a3d6d"/>
          <w:sz w:val="26"/>
          <w:szCs w:val="26"/>
        </w:rPr>
        <w:t xml:space="preserve">Test Case 1</w:t>
      </w:r>
    </w:p>
    <w:p>
      <w:pPr>
        <w:spacing w:after="120"/>
      </w:pPr>
      <w:r>
        <w:rPr>
          <w:sz w:val="21"/>
          <w:szCs w:val="21"/>
        </w:rPr>
        <w:t xml:space="preserve">Design a two-conductor transmission line with a single ground plane and investigate the impact of the width of the rectangular conductor on characteristic impedance and propagation velocity. Width is varied between 10 mm and 20 mm (conductor height fixed at 1.4 mm).</w:t>
      </w:r>
    </w:p>
    <w:p>
      <w:pPr>
        <w:pStyle w:val="Heading2"/>
        <w:spacing w:after="100" w:before="200"/>
      </w:pPr>
      <w:r>
        <w:rPr>
          <w:b/>
          <w:bCs/>
          <w:sz w:val="22"/>
          <w:szCs w:val="22"/>
        </w:rPr>
        <w:t xml:space="preserve">Result Table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2000"/>
      </w:tblGrid>
      <w:tr>
        <w:tc>
          <w:tcPr>
            <w:tcW w:type="dxa" w:w="2200"/>
            <w:shd w:fill="DBE6F5" w:val="clear"/>
            <w:tcMar>
              <w:top w:type="dxa" w:w="80"/>
              <w:left w:type="dxa" w:w="80"/>
              <w:bottom w:type="dxa" w:w="80"/>
              <w:right w:type="dxa" w:w="80"/>
            </w:tcMar>
            <w:vAlign w:val="center"/>
          </w:tcPr>
          <w:p>
            <w:pPr>
              <w:jc w:val="center"/>
            </w:pPr>
            <w:r>
              <w:rPr>
                <w:b/>
                <w:bCs/>
                <w:sz w:val="19"/>
                <w:szCs w:val="19"/>
              </w:rPr>
              <w:t xml:space="preserve">Width of the Conductor (mm)</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Simulation Results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Theoretical Results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
            </w:r>
          </w:p>
        </w:tc>
      </w:tr>
      <w:tr>
        <w:tc>
          <w:tcPr>
            <w:tcW w:type="dxa" w:w="2200"/>
            <w:shd w:fill="DBE6F5" w:val="clear"/>
            <w:tcMar>
              <w:top w:type="dxa" w:w="80"/>
              <w:left w:type="dxa" w:w="80"/>
              <w:bottom w:type="dxa" w:w="80"/>
              <w:right w:type="dxa" w:w="80"/>
            </w:tcMar>
            <w:vAlign w:val="center"/>
          </w:tcPr>
          <w:p>
            <w:pPr>
              <w:jc w:val="center"/>
            </w:pPr>
            <w:r>
              <w:rPr>
                <w:b/>
                <w:bCs/>
                <w:sz w:val="19"/>
                <w:szCs w:val="19"/>
              </w:rPr>
              <w:t xml:space="preserve"/>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Characteristic Impedance (ohms)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Propagation Velocity (m/s)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Characteristic Impedance (ohms)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Propagation Velocity (m/s)</w:t>
            </w:r>
          </w:p>
        </w:tc>
      </w:tr>
      <w:tr>
        <w:tc>
          <w:tcPr>
            <w:tcW w:type="dxa" w:w="2200"/>
            <w:tcMar>
              <w:top w:type="dxa" w:w="80"/>
              <w:left w:type="dxa" w:w="80"/>
              <w:bottom w:type="dxa" w:w="80"/>
              <w:right w:type="dxa" w:w="80"/>
            </w:tcMar>
            <w:vAlign w:val="center"/>
          </w:tcPr>
          <w:p>
            <w:pPr>
              <w:jc w:val="center"/>
            </w:pPr>
            <w:r>
              <w:rPr>
                <w:b w:val="false"/>
                <w:bCs w:val="false"/>
                <w:sz w:val="19"/>
                <w:szCs w:val="19"/>
              </w:rPr>
              <w:t xml:space="preserve">20</w:t>
            </w:r>
          </w:p>
        </w:tc>
        <w:tc>
          <w:tcPr>
            <w:tcW w:type="dxa" w:w="2000"/>
            <w:tcMar>
              <w:top w:type="dxa" w:w="80"/>
              <w:left w:type="dxa" w:w="80"/>
              <w:bottom w:type="dxa" w:w="80"/>
              <w:right w:type="dxa" w:w="80"/>
            </w:tcMar>
            <w:vAlign w:val="center"/>
          </w:tcPr>
          <w:p>
            <w:pPr>
              <w:jc w:val="center"/>
            </w:pPr>
            <w:r>
              <w:rPr>
                <w:b w:val="false"/>
                <w:bCs w:val="false"/>
                <w:sz w:val="19"/>
                <w:szCs w:val="19"/>
              </w:rPr>
              <w:t xml:space="preserve">21.522</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c>
          <w:tcPr>
            <w:tcW w:type="dxa" w:w="2000"/>
            <w:tcMar>
              <w:top w:type="dxa" w:w="80"/>
              <w:left w:type="dxa" w:w="80"/>
              <w:bottom w:type="dxa" w:w="80"/>
              <w:right w:type="dxa" w:w="80"/>
            </w:tcMar>
            <w:vAlign w:val="center"/>
          </w:tcPr>
          <w:p>
            <w:pPr>
              <w:jc w:val="center"/>
            </w:pPr>
            <w:r>
              <w:rPr>
                <w:b w:val="false"/>
                <w:bCs w:val="false"/>
                <w:sz w:val="19"/>
                <w:szCs w:val="19"/>
              </w:rPr>
              <w:t xml:space="preserve">21.522</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r>
      <w:tr>
        <w:tc>
          <w:tcPr>
            <w:tcW w:type="dxa" w:w="2200"/>
            <w:tcMar>
              <w:top w:type="dxa" w:w="80"/>
              <w:left w:type="dxa" w:w="80"/>
              <w:bottom w:type="dxa" w:w="80"/>
              <w:right w:type="dxa" w:w="80"/>
            </w:tcMar>
            <w:vAlign w:val="center"/>
          </w:tcPr>
          <w:p>
            <w:pPr>
              <w:jc w:val="center"/>
            </w:pPr>
            <w:r>
              <w:rPr>
                <w:b w:val="false"/>
                <w:bCs w:val="false"/>
                <w:sz w:val="19"/>
                <w:szCs w:val="19"/>
              </w:rPr>
              <w:t xml:space="preserve">18</w:t>
            </w:r>
          </w:p>
        </w:tc>
        <w:tc>
          <w:tcPr>
            <w:tcW w:type="dxa" w:w="2000"/>
            <w:tcMar>
              <w:top w:type="dxa" w:w="80"/>
              <w:left w:type="dxa" w:w="80"/>
              <w:bottom w:type="dxa" w:w="80"/>
              <w:right w:type="dxa" w:w="80"/>
            </w:tcMar>
            <w:vAlign w:val="center"/>
          </w:tcPr>
          <w:p>
            <w:pPr>
              <w:jc w:val="center"/>
            </w:pPr>
            <w:r>
              <w:rPr>
                <w:b w:val="false"/>
                <w:bCs w:val="false"/>
                <w:sz w:val="19"/>
                <w:szCs w:val="19"/>
              </w:rPr>
              <w:t xml:space="preserve">23.526</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c>
          <w:tcPr>
            <w:tcW w:type="dxa" w:w="2000"/>
            <w:tcMar>
              <w:top w:type="dxa" w:w="80"/>
              <w:left w:type="dxa" w:w="80"/>
              <w:bottom w:type="dxa" w:w="80"/>
              <w:right w:type="dxa" w:w="80"/>
            </w:tcMar>
            <w:vAlign w:val="center"/>
          </w:tcPr>
          <w:p>
            <w:pPr>
              <w:jc w:val="center"/>
            </w:pPr>
            <w:r>
              <w:rPr>
                <w:b w:val="false"/>
                <w:bCs w:val="false"/>
                <w:sz w:val="19"/>
                <w:szCs w:val="19"/>
              </w:rPr>
              <w:t xml:space="preserve">23.526</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r>
      <w:tr>
        <w:tc>
          <w:tcPr>
            <w:tcW w:type="dxa" w:w="2200"/>
            <w:tcMar>
              <w:top w:type="dxa" w:w="80"/>
              <w:left w:type="dxa" w:w="80"/>
              <w:bottom w:type="dxa" w:w="80"/>
              <w:right w:type="dxa" w:w="80"/>
            </w:tcMar>
            <w:vAlign w:val="center"/>
          </w:tcPr>
          <w:p>
            <w:pPr>
              <w:jc w:val="center"/>
            </w:pPr>
            <w:r>
              <w:rPr>
                <w:b w:val="false"/>
                <w:bCs w:val="false"/>
                <w:sz w:val="19"/>
                <w:szCs w:val="19"/>
              </w:rPr>
              <w:t xml:space="preserve">15</w:t>
            </w:r>
          </w:p>
        </w:tc>
        <w:tc>
          <w:tcPr>
            <w:tcW w:type="dxa" w:w="2000"/>
            <w:tcMar>
              <w:top w:type="dxa" w:w="80"/>
              <w:left w:type="dxa" w:w="80"/>
              <w:bottom w:type="dxa" w:w="80"/>
              <w:right w:type="dxa" w:w="80"/>
            </w:tcMar>
            <w:vAlign w:val="center"/>
          </w:tcPr>
          <w:p>
            <w:pPr>
              <w:jc w:val="center"/>
            </w:pPr>
            <w:r>
              <w:rPr>
                <w:b w:val="false"/>
                <w:bCs w:val="false"/>
                <w:sz w:val="19"/>
                <w:szCs w:val="19"/>
              </w:rPr>
              <w:t xml:space="preserve">27.371</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c>
          <w:tcPr>
            <w:tcW w:type="dxa" w:w="2000"/>
            <w:tcMar>
              <w:top w:type="dxa" w:w="80"/>
              <w:left w:type="dxa" w:w="80"/>
              <w:bottom w:type="dxa" w:w="80"/>
              <w:right w:type="dxa" w:w="80"/>
            </w:tcMar>
            <w:vAlign w:val="center"/>
          </w:tcPr>
          <w:p>
            <w:pPr>
              <w:jc w:val="center"/>
            </w:pPr>
            <w:r>
              <w:rPr>
                <w:b w:val="false"/>
                <w:bCs w:val="false"/>
                <w:sz w:val="19"/>
                <w:szCs w:val="19"/>
              </w:rPr>
              <w:t xml:space="preserve">27.371</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r>
      <w:tr>
        <w:tc>
          <w:tcPr>
            <w:tcW w:type="dxa" w:w="2200"/>
            <w:tcMar>
              <w:top w:type="dxa" w:w="80"/>
              <w:left w:type="dxa" w:w="80"/>
              <w:bottom w:type="dxa" w:w="80"/>
              <w:right w:type="dxa" w:w="80"/>
            </w:tcMar>
            <w:vAlign w:val="center"/>
          </w:tcPr>
          <w:p>
            <w:pPr>
              <w:jc w:val="center"/>
            </w:pPr>
            <w:r>
              <w:rPr>
                <w:b w:val="false"/>
                <w:bCs w:val="false"/>
                <w:sz w:val="19"/>
                <w:szCs w:val="19"/>
              </w:rPr>
              <w:t xml:space="preserve">10</w:t>
            </w:r>
          </w:p>
        </w:tc>
        <w:tc>
          <w:tcPr>
            <w:tcW w:type="dxa" w:w="2000"/>
            <w:tcMar>
              <w:top w:type="dxa" w:w="80"/>
              <w:left w:type="dxa" w:w="80"/>
              <w:bottom w:type="dxa" w:w="80"/>
              <w:right w:type="dxa" w:w="80"/>
            </w:tcMar>
            <w:vAlign w:val="center"/>
          </w:tcPr>
          <w:p>
            <w:pPr>
              <w:jc w:val="center"/>
            </w:pPr>
            <w:r>
              <w:rPr>
                <w:b w:val="false"/>
                <w:bCs w:val="false"/>
                <w:sz w:val="19"/>
                <w:szCs w:val="19"/>
              </w:rPr>
              <w:t xml:space="preserve">37.812</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c>
          <w:tcPr>
            <w:tcW w:type="dxa" w:w="2000"/>
            <w:tcMar>
              <w:top w:type="dxa" w:w="80"/>
              <w:left w:type="dxa" w:w="80"/>
              <w:bottom w:type="dxa" w:w="80"/>
              <w:right w:type="dxa" w:w="80"/>
            </w:tcMar>
            <w:vAlign w:val="center"/>
          </w:tcPr>
          <w:p>
            <w:pPr>
              <w:jc w:val="center"/>
            </w:pPr>
            <w:r>
              <w:rPr>
                <w:b w:val="false"/>
                <w:bCs w:val="false"/>
                <w:sz w:val="19"/>
                <w:szCs w:val="19"/>
              </w:rPr>
              <w:t xml:space="preserve">37.812</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r>
    </w:tbl>
    <w:p>
      <w:pPr>
        <w:spacing w:after="300"/>
      </w:pPr>
    </w:p>
    <w:p>
      <w:pPr>
        <w:pStyle w:val="Heading1"/>
        <w:spacing w:after="150" w:before="300"/>
      </w:pPr>
      <w:r>
        <w:rPr>
          <w:b/>
          <w:bCs/>
          <w:color w:val="1a3d6d"/>
          <w:sz w:val="26"/>
          <w:szCs w:val="26"/>
        </w:rPr>
        <w:t xml:space="preserve">Test Case 2</w:t>
      </w:r>
    </w:p>
    <w:p>
      <w:pPr>
        <w:spacing w:after="120"/>
      </w:pPr>
      <w:r>
        <w:rPr>
          <w:sz w:val="21"/>
          <w:szCs w:val="21"/>
        </w:rPr>
        <w:t xml:space="preserve">Examine the effect on characteristic impedance and propagation velocity of varying the height of the rectangular conductor. Height is varied between 1 mm and 1.4 mm (conductor width fixed at 2 mm).</w:t>
      </w:r>
    </w:p>
    <w:p>
      <w:pPr>
        <w:pStyle w:val="Heading2"/>
        <w:spacing w:after="100" w:before="200"/>
      </w:pPr>
      <w:r>
        <w:rPr>
          <w:b/>
          <w:bCs/>
          <w:sz w:val="22"/>
          <w:szCs w:val="22"/>
        </w:rPr>
        <w:t xml:space="preserve">Result Table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2000"/>
      </w:tblGrid>
      <w:tr>
        <w:tc>
          <w:tcPr>
            <w:tcW w:type="dxa" w:w="2200"/>
            <w:shd w:fill="DBE6F5" w:val="clear"/>
            <w:tcMar>
              <w:top w:type="dxa" w:w="80"/>
              <w:left w:type="dxa" w:w="80"/>
              <w:bottom w:type="dxa" w:w="80"/>
              <w:right w:type="dxa" w:w="80"/>
            </w:tcMar>
            <w:vAlign w:val="center"/>
          </w:tcPr>
          <w:p>
            <w:pPr>
              <w:jc w:val="center"/>
            </w:pPr>
            <w:r>
              <w:rPr>
                <w:b/>
                <w:bCs/>
                <w:sz w:val="19"/>
                <w:szCs w:val="19"/>
              </w:rPr>
              <w:t xml:space="preserve">Height of the Conductor (mm)</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Simulation Results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Theoretical Results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
            </w:r>
          </w:p>
        </w:tc>
      </w:tr>
      <w:tr>
        <w:tc>
          <w:tcPr>
            <w:tcW w:type="dxa" w:w="2200"/>
            <w:shd w:fill="DBE6F5" w:val="clear"/>
            <w:tcMar>
              <w:top w:type="dxa" w:w="80"/>
              <w:left w:type="dxa" w:w="80"/>
              <w:bottom w:type="dxa" w:w="80"/>
              <w:right w:type="dxa" w:w="80"/>
            </w:tcMar>
            <w:vAlign w:val="center"/>
          </w:tcPr>
          <w:p>
            <w:pPr>
              <w:jc w:val="center"/>
            </w:pPr>
            <w:r>
              <w:rPr>
                <w:b/>
                <w:bCs/>
                <w:sz w:val="19"/>
                <w:szCs w:val="19"/>
              </w:rPr>
              <w:t xml:space="preserve"/>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Characteristic Impedance (ohms)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Propagation Velocity (m/s)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Characteristic Impedance (ohms)</w:t>
            </w:r>
          </w:p>
        </w:tc>
        <w:tc>
          <w:tcPr>
            <w:tcW w:type="dxa" w:w="2000"/>
            <w:shd w:fill="DBE6F5" w:val="clear"/>
            <w:tcMar>
              <w:top w:type="dxa" w:w="80"/>
              <w:left w:type="dxa" w:w="80"/>
              <w:bottom w:type="dxa" w:w="80"/>
              <w:right w:type="dxa" w:w="80"/>
            </w:tcMar>
            <w:vAlign w:val="center"/>
          </w:tcPr>
          <w:p>
            <w:pPr>
              <w:jc w:val="center"/>
            </w:pPr>
            <w:r>
              <w:rPr>
                <w:b/>
                <w:bCs/>
                <w:sz w:val="19"/>
                <w:szCs w:val="19"/>
              </w:rPr>
              <w:t xml:space="preserve">Propagation Velocity (m/s)</w:t>
            </w:r>
          </w:p>
        </w:tc>
      </w:tr>
      <w:tr>
        <w:tc>
          <w:tcPr>
            <w:tcW w:type="dxa" w:w="2200"/>
            <w:tcMar>
              <w:top w:type="dxa" w:w="80"/>
              <w:left w:type="dxa" w:w="80"/>
              <w:bottom w:type="dxa" w:w="80"/>
              <w:right w:type="dxa" w:w="80"/>
            </w:tcMar>
            <w:vAlign w:val="center"/>
          </w:tcPr>
          <w:p>
            <w:pPr>
              <w:jc w:val="center"/>
            </w:pPr>
            <w:r>
              <w:rPr>
                <w:b w:val="false"/>
                <w:bCs w:val="false"/>
                <w:sz w:val="19"/>
                <w:szCs w:val="19"/>
              </w:rPr>
              <w:t xml:space="preserve">1</w:t>
            </w:r>
          </w:p>
        </w:tc>
        <w:tc>
          <w:tcPr>
            <w:tcW w:type="dxa" w:w="2000"/>
            <w:tcMar>
              <w:top w:type="dxa" w:w="80"/>
              <w:left w:type="dxa" w:w="80"/>
              <w:bottom w:type="dxa" w:w="80"/>
              <w:right w:type="dxa" w:w="80"/>
            </w:tcMar>
            <w:vAlign w:val="center"/>
          </w:tcPr>
          <w:p>
            <w:pPr>
              <w:jc w:val="center"/>
            </w:pPr>
            <w:r>
              <w:rPr>
                <w:b w:val="false"/>
                <w:bCs w:val="false"/>
                <w:sz w:val="19"/>
                <w:szCs w:val="19"/>
              </w:rPr>
              <w:t xml:space="preserve">89.380</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c>
          <w:tcPr>
            <w:tcW w:type="dxa" w:w="2000"/>
            <w:tcMar>
              <w:top w:type="dxa" w:w="80"/>
              <w:left w:type="dxa" w:w="80"/>
              <w:bottom w:type="dxa" w:w="80"/>
              <w:right w:type="dxa" w:w="80"/>
            </w:tcMar>
            <w:vAlign w:val="center"/>
          </w:tcPr>
          <w:p>
            <w:pPr>
              <w:jc w:val="center"/>
            </w:pPr>
            <w:r>
              <w:rPr>
                <w:b w:val="false"/>
                <w:bCs w:val="false"/>
                <w:sz w:val="19"/>
                <w:szCs w:val="19"/>
              </w:rPr>
              <w:t xml:space="preserve">89.380</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r>
      <w:tr>
        <w:tc>
          <w:tcPr>
            <w:tcW w:type="dxa" w:w="2200"/>
            <w:tcMar>
              <w:top w:type="dxa" w:w="80"/>
              <w:left w:type="dxa" w:w="80"/>
              <w:bottom w:type="dxa" w:w="80"/>
              <w:right w:type="dxa" w:w="80"/>
            </w:tcMar>
            <w:vAlign w:val="center"/>
          </w:tcPr>
          <w:p>
            <w:pPr>
              <w:jc w:val="center"/>
            </w:pPr>
            <w:r>
              <w:rPr>
                <w:b w:val="false"/>
                <w:bCs w:val="false"/>
                <w:sz w:val="19"/>
                <w:szCs w:val="19"/>
              </w:rPr>
              <w:t xml:space="preserve">1.2</w:t>
            </w:r>
          </w:p>
        </w:tc>
        <w:tc>
          <w:tcPr>
            <w:tcW w:type="dxa" w:w="2000"/>
            <w:tcMar>
              <w:top w:type="dxa" w:w="80"/>
              <w:left w:type="dxa" w:w="80"/>
              <w:bottom w:type="dxa" w:w="80"/>
              <w:right w:type="dxa" w:w="80"/>
            </w:tcMar>
            <w:vAlign w:val="center"/>
          </w:tcPr>
          <w:p>
            <w:pPr>
              <w:jc w:val="center"/>
            </w:pPr>
            <w:r>
              <w:rPr>
                <w:b w:val="false"/>
                <w:bCs w:val="false"/>
                <w:sz w:val="19"/>
                <w:szCs w:val="19"/>
              </w:rPr>
              <w:t xml:space="preserve">98.777</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c>
          <w:tcPr>
            <w:tcW w:type="dxa" w:w="2000"/>
            <w:tcMar>
              <w:top w:type="dxa" w:w="80"/>
              <w:left w:type="dxa" w:w="80"/>
              <w:bottom w:type="dxa" w:w="80"/>
              <w:right w:type="dxa" w:w="80"/>
            </w:tcMar>
            <w:vAlign w:val="center"/>
          </w:tcPr>
          <w:p>
            <w:pPr>
              <w:jc w:val="center"/>
            </w:pPr>
            <w:r>
              <w:rPr>
                <w:b w:val="false"/>
                <w:bCs w:val="false"/>
                <w:sz w:val="19"/>
                <w:szCs w:val="19"/>
              </w:rPr>
              <w:t xml:space="preserve">98.777</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r>
      <w:tr>
        <w:tc>
          <w:tcPr>
            <w:tcW w:type="dxa" w:w="2200"/>
            <w:tcMar>
              <w:top w:type="dxa" w:w="80"/>
              <w:left w:type="dxa" w:w="80"/>
              <w:bottom w:type="dxa" w:w="80"/>
              <w:right w:type="dxa" w:w="80"/>
            </w:tcMar>
            <w:vAlign w:val="center"/>
          </w:tcPr>
          <w:p>
            <w:pPr>
              <w:jc w:val="center"/>
            </w:pPr>
            <w:r>
              <w:rPr>
                <w:b w:val="false"/>
                <w:bCs w:val="false"/>
                <w:sz w:val="19"/>
                <w:szCs w:val="19"/>
              </w:rPr>
              <w:t xml:space="preserve">1.3</w:t>
            </w:r>
          </w:p>
        </w:tc>
        <w:tc>
          <w:tcPr>
            <w:tcW w:type="dxa" w:w="2000"/>
            <w:tcMar>
              <w:top w:type="dxa" w:w="80"/>
              <w:left w:type="dxa" w:w="80"/>
              <w:bottom w:type="dxa" w:w="80"/>
              <w:right w:type="dxa" w:w="80"/>
            </w:tcMar>
            <w:vAlign w:val="center"/>
          </w:tcPr>
          <w:p>
            <w:pPr>
              <w:jc w:val="center"/>
            </w:pPr>
            <w:r>
              <w:rPr>
                <w:b w:val="false"/>
                <w:bCs w:val="false"/>
                <w:sz w:val="19"/>
                <w:szCs w:val="19"/>
              </w:rPr>
              <w:t xml:space="preserve">102.994</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c>
          <w:tcPr>
            <w:tcW w:type="dxa" w:w="2000"/>
            <w:tcMar>
              <w:top w:type="dxa" w:w="80"/>
              <w:left w:type="dxa" w:w="80"/>
              <w:bottom w:type="dxa" w:w="80"/>
              <w:right w:type="dxa" w:w="80"/>
            </w:tcMar>
            <w:vAlign w:val="center"/>
          </w:tcPr>
          <w:p>
            <w:pPr>
              <w:jc w:val="center"/>
            </w:pPr>
            <w:r>
              <w:rPr>
                <w:b w:val="false"/>
                <w:bCs w:val="false"/>
                <w:sz w:val="19"/>
                <w:szCs w:val="19"/>
              </w:rPr>
              <w:t xml:space="preserve">102.994</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r>
      <w:tr>
        <w:tc>
          <w:tcPr>
            <w:tcW w:type="dxa" w:w="2200"/>
            <w:tcMar>
              <w:top w:type="dxa" w:w="80"/>
              <w:left w:type="dxa" w:w="80"/>
              <w:bottom w:type="dxa" w:w="80"/>
              <w:right w:type="dxa" w:w="80"/>
            </w:tcMar>
            <w:vAlign w:val="center"/>
          </w:tcPr>
          <w:p>
            <w:pPr>
              <w:jc w:val="center"/>
            </w:pPr>
            <w:r>
              <w:rPr>
                <w:b w:val="false"/>
                <w:bCs w:val="false"/>
                <w:sz w:val="19"/>
                <w:szCs w:val="19"/>
              </w:rPr>
              <w:t xml:space="preserve">1.4</w:t>
            </w:r>
          </w:p>
        </w:tc>
        <w:tc>
          <w:tcPr>
            <w:tcW w:type="dxa" w:w="2000"/>
            <w:tcMar>
              <w:top w:type="dxa" w:w="80"/>
              <w:left w:type="dxa" w:w="80"/>
              <w:bottom w:type="dxa" w:w="80"/>
              <w:right w:type="dxa" w:w="80"/>
            </w:tcMar>
            <w:vAlign w:val="center"/>
          </w:tcPr>
          <w:p>
            <w:pPr>
              <w:jc w:val="center"/>
            </w:pPr>
            <w:r>
              <w:rPr>
                <w:b w:val="false"/>
                <w:bCs w:val="false"/>
                <w:sz w:val="19"/>
                <w:szCs w:val="19"/>
              </w:rPr>
              <w:t xml:space="preserve">106.936</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c>
          <w:tcPr>
            <w:tcW w:type="dxa" w:w="2000"/>
            <w:tcMar>
              <w:top w:type="dxa" w:w="80"/>
              <w:left w:type="dxa" w:w="80"/>
              <w:bottom w:type="dxa" w:w="80"/>
              <w:right w:type="dxa" w:w="80"/>
            </w:tcMar>
            <w:vAlign w:val="center"/>
          </w:tcPr>
          <w:p>
            <w:pPr>
              <w:jc w:val="center"/>
            </w:pPr>
            <w:r>
              <w:rPr>
                <w:b w:val="false"/>
                <w:bCs w:val="false"/>
                <w:sz w:val="19"/>
                <w:szCs w:val="19"/>
              </w:rPr>
              <w:t xml:space="preserve">106.936</w:t>
            </w:r>
          </w:p>
        </w:tc>
        <w:tc>
          <w:tcPr>
            <w:tcW w:type="dxa" w:w="2000"/>
            <w:tcMar>
              <w:top w:type="dxa" w:w="80"/>
              <w:left w:type="dxa" w:w="80"/>
              <w:bottom w:type="dxa" w:w="80"/>
              <w:right w:type="dxa" w:w="80"/>
            </w:tcMar>
            <w:vAlign w:val="center"/>
          </w:tcPr>
          <w:p>
            <w:pPr>
              <w:jc w:val="center"/>
            </w:pPr>
            <w:r>
              <w:rPr>
                <w:b w:val="false"/>
                <w:bCs w:val="false"/>
                <w:sz w:val="19"/>
                <w:szCs w:val="19"/>
              </w:rPr>
              <w:t xml:space="preserve">3.0000×10⁸</w:t>
            </w:r>
          </w:p>
        </w:tc>
      </w:tr>
    </w:tbl>
    <w:p>
      <w:pPr>
        <w:spacing w:after="300"/>
      </w:pPr>
    </w:p>
    <w:p>
      <w:pPr>
        <w:pStyle w:val="Heading2"/>
        <w:spacing w:after="100" w:before="200"/>
      </w:pPr>
      <w:r>
        <w:rPr>
          <w:b/>
          <w:bCs/>
          <w:sz w:val="22"/>
          <w:szCs w:val="22"/>
        </w:rPr>
        <w:t xml:space="preserve">Result</w:t>
      </w:r>
    </w:p>
    <w:p>
      <w:pPr>
        <w:spacing w:after="120"/>
      </w:pPr>
      <w:r>
        <w:rPr>
          <w:sz w:val="21"/>
          <w:szCs w:val="21"/>
        </w:rPr>
        <w:t xml:space="preserve">The effect on characteristic impedance and propagation velocity was examined by varying the width of the rectangular conductor between 10 mm and 20 mm (Test Case 1) and by varying the height of the rectangular conductor between 1 mm and 1.4 mm (Test Case 2). Characteristic impedance decreases as the conductor width increases and increases as the conductor height increases, while propagation velocity remains constant at the speed of light since the dielectric is 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2026-08-20T04:31:40.776Z</dcterms:created>
  <dcterms:modified xsi:type="dcterms:W3CDTF">2026-08-20T04:31:40.789Z</dcterms:modified>
</cp:coreProperties>
</file>

<file path=docProps/custom.xml><?xml version="1.0" encoding="utf-8"?>
<Properties xmlns="http://schemas.openxmlformats.org/officeDocument/2006/custom-properties" xmlns:vt="http://schemas.openxmlformats.org/officeDocument/2006/docPropsVTypes"/>
</file>