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2f9v7uze2tj1" w:colFirst="0" w:colLast="0"/>
      <w:bookmarkEnd w:id="0"/>
      <w:r>
        <w:rPr>
          <w:b/>
          <w:bCs/>
          <w:sz w:val="46"/>
          <w:szCs w:val="46"/>
          <w:rtl w:val="0"/>
        </w:rPr>
        <w:t>Enterprise Student Record and Academic Management Platform</w:t>
      </w:r>
    </w:p>
    <w:p w14:paraId="00000002">
      <w:pPr>
        <w:spacing w:after="240"/>
        <w:rPr>
          <w:b/>
          <w:bCs/>
        </w:rPr>
      </w:pPr>
      <w:r>
        <w:rPr>
          <w:b/>
          <w:bCs/>
          <w:rtl w:val="0"/>
        </w:rPr>
        <w:t>Unit-1 Mini Project Submission</w:t>
      </w:r>
    </w:p>
    <w:p w14:paraId="00000003">
      <w:pPr>
        <w:spacing w:after="240"/>
        <w:rPr>
          <w:rFonts w:hint="default"/>
          <w:lang w:val="en-US"/>
        </w:rPr>
      </w:pPr>
      <w:r>
        <w:rPr>
          <w:b/>
          <w:bCs/>
          <w:rtl w:val="0"/>
        </w:rPr>
        <w:t>Name:</w:t>
      </w:r>
      <w:r>
        <w:rPr>
          <w:rtl w:val="0"/>
        </w:rPr>
        <w:t xml:space="preserve"> </w:t>
      </w:r>
      <w:r>
        <w:rPr>
          <w:rFonts w:hint="default"/>
          <w:rtl w:val="0"/>
          <w:lang w:val="en-US"/>
        </w:rPr>
        <w:t>Yogesh Nawale</w:t>
      </w:r>
    </w:p>
    <w:p w14:paraId="00000004">
      <w:pPr>
        <w:spacing w:after="240"/>
        <w:rPr>
          <w:rFonts w:hint="default"/>
          <w:lang w:val="en-US"/>
        </w:rPr>
      </w:pPr>
      <w:r>
        <w:rPr>
          <w:b/>
          <w:bCs/>
          <w:rtl w:val="0"/>
        </w:rPr>
        <w:t>PRN:</w:t>
      </w:r>
      <w:r>
        <w:rPr>
          <w:rtl w:val="0"/>
        </w:rPr>
        <w:t xml:space="preserve"> 2125UMLM10</w:t>
      </w:r>
      <w:r>
        <w:rPr>
          <w:rFonts w:hint="default"/>
          <w:rtl w:val="0"/>
          <w:lang w:val="en-US"/>
        </w:rPr>
        <w:t>23</w:t>
      </w:r>
      <w:bookmarkStart w:id="17" w:name="_GoBack"/>
      <w:bookmarkEnd w:id="17"/>
    </w:p>
    <w:p w14:paraId="00000005">
      <w:pPr>
        <w:spacing w:after="240"/>
      </w:pPr>
      <w:r>
        <w:rPr>
          <w:b/>
          <w:bCs/>
          <w:rtl w:val="0"/>
        </w:rPr>
        <w:t>Methodology:</w:t>
      </w:r>
      <w:r>
        <w:rPr>
          <w:rtl w:val="0"/>
        </w:rPr>
        <w:t xml:space="preserve"> Design Thinking, IBM Design Thinking, Agile Product Planning</w:t>
      </w:r>
    </w:p>
    <w:p w14:paraId="00000006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1znqpo3t2ypz" w:colFirst="0" w:colLast="0"/>
      <w:bookmarkEnd w:id="1"/>
      <w:r>
        <w:rPr>
          <w:b/>
          <w:bCs/>
          <w:color w:val="000000"/>
          <w:sz w:val="26"/>
          <w:szCs w:val="26"/>
          <w:rtl w:val="0"/>
        </w:rPr>
        <w:t>1. Business Requirements Document (BRD)</w:t>
      </w:r>
    </w:p>
    <w:p w14:paraId="00000007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Executive Summary:</w:t>
      </w:r>
      <w:r>
        <w:rPr>
          <w:rtl w:val="0"/>
        </w:rPr>
        <w:t xml:space="preserve"> Higher education institutions struggle with fragmented, paper-heavy systems that lead to data redundancy, delayed grade publishing, and administrative bottlenecks.</w:t>
      </w:r>
    </w:p>
    <w:p w14:paraId="00000008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Business Problems:</w:t>
      </w:r>
      <w:r>
        <w:rPr>
          <w:rtl w:val="0"/>
        </w:rPr>
        <w:t xml:space="preserve"> Manual processing leads to human error during mark collation, delayed transcript generation, lack of real-time attendance visibility for students, and siloed communication across departments.</w:t>
      </w:r>
    </w:p>
    <w:p w14:paraId="00000009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Business Objectives:</w:t>
      </w:r>
    </w:p>
    <w:p w14:paraId="0000000A">
      <w:pPr>
        <w:numPr>
          <w:ilvl w:val="1"/>
          <w:numId w:val="1"/>
        </w:numPr>
        <w:spacing w:after="0" w:afterAutospacing="0"/>
        <w:ind w:left="1440" w:hanging="360"/>
      </w:pPr>
      <w:r>
        <w:rPr>
          <w:rtl w:val="0"/>
        </w:rPr>
        <w:t>Centralize academic records across all departments into a single secure platform.</w:t>
      </w:r>
    </w:p>
    <w:p w14:paraId="0000000B">
      <w:pPr>
        <w:numPr>
          <w:ilvl w:val="1"/>
          <w:numId w:val="1"/>
        </w:numPr>
        <w:spacing w:after="0" w:afterAutospacing="0"/>
        <w:ind w:left="1440" w:hanging="360"/>
      </w:pPr>
      <w:r>
        <w:rPr>
          <w:rtl w:val="0"/>
        </w:rPr>
        <w:t>Reduce administrative processing time for grades and admissions by 60%.</w:t>
      </w:r>
    </w:p>
    <w:p w14:paraId="0000000C">
      <w:pPr>
        <w:numPr>
          <w:ilvl w:val="1"/>
          <w:numId w:val="1"/>
        </w:numPr>
        <w:spacing w:after="240"/>
        <w:ind w:left="1440" w:hanging="360"/>
      </w:pPr>
      <w:r>
        <w:rPr>
          <w:rtl w:val="0"/>
        </w:rPr>
        <w:t>Provide real-time role-based access for students, faculty, and administrative staff.</w:t>
      </w:r>
    </w:p>
    <w:p w14:paraId="0000000D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sposgag5004h" w:colFirst="0" w:colLast="0"/>
      <w:bookmarkEnd w:id="2"/>
      <w:r>
        <w:rPr>
          <w:b/>
          <w:bCs/>
          <w:color w:val="000000"/>
          <w:sz w:val="26"/>
          <w:szCs w:val="26"/>
          <w:rtl w:val="0"/>
        </w:rPr>
        <w:t>2. Design Thinking Report</w:t>
      </w:r>
    </w:p>
    <w:p w14:paraId="0000000E">
      <w:pPr>
        <w:numPr>
          <w:ilvl w:val="0"/>
          <w:numId w:val="2"/>
        </w:numPr>
        <w:spacing w:after="0" w:afterAutospacing="0"/>
        <w:ind w:left="720" w:hanging="360"/>
      </w:pPr>
      <w:r>
        <w:rPr>
          <w:b/>
          <w:bCs/>
          <w:rtl w:val="0"/>
        </w:rPr>
        <w:t>Empathize:</w:t>
      </w:r>
      <w:r>
        <w:rPr>
          <w:rtl w:val="0"/>
        </w:rPr>
        <w:t xml:space="preserve"> Conducted interviews and shadowing with students, professors, and administrative clerks to identify daily academic workflows, pain points, and usability barriers.</w:t>
      </w:r>
    </w:p>
    <w:p w14:paraId="0000000F">
      <w:pPr>
        <w:numPr>
          <w:ilvl w:val="0"/>
          <w:numId w:val="2"/>
        </w:numPr>
        <w:spacing w:after="0" w:afterAutospacing="0"/>
        <w:ind w:left="720" w:hanging="360"/>
      </w:pPr>
      <w:r>
        <w:rPr>
          <w:b/>
          <w:bCs/>
          <w:rtl w:val="0"/>
        </w:rPr>
        <w:t>Define:</w:t>
      </w:r>
      <w:r>
        <w:rPr>
          <w:rtl w:val="0"/>
        </w:rPr>
        <w:t xml:space="preserve"> "Academic stakeholders lack a unified, accessible digital ecosystem, causing significant administrative delays, data inconsistency, and poor transparency in academic tracking."</w:t>
      </w:r>
    </w:p>
    <w:p w14:paraId="00000010">
      <w:pPr>
        <w:numPr>
          <w:ilvl w:val="0"/>
          <w:numId w:val="2"/>
        </w:numPr>
        <w:spacing w:after="0" w:afterAutospacing="0"/>
        <w:ind w:left="720" w:hanging="360"/>
      </w:pPr>
      <w:r>
        <w:rPr>
          <w:b/>
          <w:bCs/>
          <w:rtl w:val="0"/>
        </w:rPr>
        <w:t>Ideate:</w:t>
      </w:r>
      <w:r>
        <w:rPr>
          <w:rtl w:val="0"/>
        </w:rPr>
        <w:t xml:space="preserve"> Brainstormed solutions including automated grade point calculations, instant attendance logging via dashboards, secure digital transcripts, and automated low-attendance alerts.</w:t>
      </w:r>
    </w:p>
    <w:p w14:paraId="00000011">
      <w:pPr>
        <w:numPr>
          <w:ilvl w:val="0"/>
          <w:numId w:val="2"/>
        </w:numPr>
        <w:spacing w:after="0" w:afterAutospacing="0"/>
        <w:ind w:left="720" w:hanging="360"/>
      </w:pPr>
      <w:r>
        <w:rPr>
          <w:b/>
          <w:bCs/>
          <w:rtl w:val="0"/>
        </w:rPr>
        <w:t>Prototype:</w:t>
      </w:r>
      <w:r>
        <w:rPr>
          <w:rtl w:val="0"/>
        </w:rPr>
        <w:t xml:space="preserve"> Designed low-fidelity wireframes covering student registration, multi-role authentication portals, faculty grade-entry sheets, and administrative analytics dashboards.</w:t>
      </w:r>
    </w:p>
    <w:p w14:paraId="00000012">
      <w:pPr>
        <w:numPr>
          <w:ilvl w:val="0"/>
          <w:numId w:val="2"/>
        </w:numPr>
        <w:spacing w:after="240"/>
        <w:ind w:left="720" w:hanging="360"/>
      </w:pPr>
      <w:r>
        <w:rPr>
          <w:b/>
          <w:bCs/>
          <w:rtl w:val="0"/>
        </w:rPr>
        <w:t>Test:</w:t>
      </w:r>
      <w:r>
        <w:rPr>
          <w:rtl w:val="0"/>
        </w:rPr>
        <w:t xml:space="preserve"> Walked through wireframes with sample users, receiving feedback to streamline batch mark uploads for professors and simplify course registration workflows for students.</w:t>
      </w:r>
    </w:p>
    <w:p w14:paraId="00000013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sxpje3qlbo" w:colFirst="0" w:colLast="0"/>
      <w:bookmarkEnd w:id="3"/>
      <w:r>
        <w:rPr>
          <w:b/>
          <w:bCs/>
          <w:color w:val="000000"/>
          <w:sz w:val="26"/>
          <w:szCs w:val="26"/>
          <w:rtl w:val="0"/>
        </w:rPr>
        <w:t>3. IBM Design Thinking Framework</w:t>
      </w:r>
    </w:p>
    <w:p w14:paraId="00000014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Focus on User Outcomes:</w:t>
      </w:r>
      <w:r>
        <w:rPr>
          <w:rtl w:val="0"/>
        </w:rPr>
        <w:t xml:space="preserve"> Delivering quantifiable user efficiency over feature volume—enabling students to view verified transcripts instantly rather than waiting weeks for manual paper issuance.</w:t>
      </w:r>
    </w:p>
    <w:p w14:paraId="00000015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Restless Reinvention:</w:t>
      </w:r>
      <w:r>
        <w:rPr>
          <w:rtl w:val="0"/>
        </w:rPr>
        <w:t xml:space="preserve"> Continually iterating interface designs and workflows based on active feedback loops from students and staff.</w:t>
      </w:r>
    </w:p>
    <w:p w14:paraId="00000016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Diverse Empowered Teams:</w:t>
      </w:r>
      <w:r>
        <w:rPr>
          <w:rtl w:val="0"/>
        </w:rPr>
        <w:t xml:space="preserve"> Aligning multidisciplinary stakeholders (developers, academic deans, exam cell officers, and student representatives) to define shared requirements.</w:t>
      </w:r>
    </w:p>
    <w:p w14:paraId="00000017">
      <w:pPr>
        <w:numPr>
          <w:ilvl w:val="0"/>
          <w:numId w:val="3"/>
        </w:numPr>
        <w:spacing w:after="0" w:afterAutospacing="0"/>
        <w:ind w:left="720" w:hanging="360"/>
      </w:pPr>
      <w:r>
        <w:rPr>
          <w:b/>
          <w:bCs/>
          <w:rtl w:val="0"/>
        </w:rPr>
        <w:t>Hills (User-Centric Goals):</w:t>
      </w:r>
    </w:p>
    <w:p w14:paraId="00000018">
      <w:pPr>
        <w:numPr>
          <w:ilvl w:val="1"/>
          <w:numId w:val="3"/>
        </w:numPr>
        <w:spacing w:after="0" w:afterAutospacing="0"/>
        <w:ind w:left="1440" w:hanging="360"/>
      </w:pPr>
      <w:r>
        <w:rPr>
          <w:i/>
          <w:iCs/>
          <w:rtl w:val="0"/>
        </w:rPr>
        <w:t>Student Hill:</w:t>
      </w:r>
      <w:r>
        <w:rPr>
          <w:rtl w:val="0"/>
        </w:rPr>
        <w:t xml:space="preserve"> A student can register for a semester's elective courses and view their timetable in under 2 minutes on a mobile device.</w:t>
      </w:r>
    </w:p>
    <w:p w14:paraId="00000019">
      <w:pPr>
        <w:numPr>
          <w:ilvl w:val="1"/>
          <w:numId w:val="3"/>
        </w:numPr>
        <w:spacing w:after="0" w:afterAutospacing="0"/>
        <w:ind w:left="1440" w:hanging="360"/>
      </w:pPr>
      <w:r>
        <w:rPr>
          <w:i/>
          <w:iCs/>
          <w:rtl w:val="0"/>
        </w:rPr>
        <w:t>Faculty Hill:</w:t>
      </w:r>
      <w:r>
        <w:rPr>
          <w:rtl w:val="0"/>
        </w:rPr>
        <w:t xml:space="preserve"> A professor can log daily class attendance and submit mid-semester marks for 60 students in fewer than 5 clicks.</w:t>
      </w:r>
    </w:p>
    <w:p w14:paraId="0000001A">
      <w:pPr>
        <w:numPr>
          <w:ilvl w:val="1"/>
          <w:numId w:val="3"/>
        </w:numPr>
        <w:spacing w:after="240"/>
        <w:ind w:left="1440" w:hanging="360"/>
      </w:pPr>
      <w:r>
        <w:rPr>
          <w:i/>
          <w:iCs/>
          <w:rtl w:val="0"/>
        </w:rPr>
        <w:t>Admin Hill:</w:t>
      </w:r>
      <w:r>
        <w:rPr>
          <w:rtl w:val="0"/>
        </w:rPr>
        <w:t xml:space="preserve"> The exam cell can compute SGPA/CGPA and publish semester results institution-wide with zero manual formula entry.</w:t>
      </w:r>
    </w:p>
    <w:p w14:paraId="0000001B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ijd7ry7x7ka" w:colFirst="0" w:colLast="0"/>
      <w:bookmarkEnd w:id="4"/>
      <w:r>
        <w:rPr>
          <w:b/>
          <w:bCs/>
          <w:color w:val="000000"/>
          <w:sz w:val="26"/>
          <w:szCs w:val="26"/>
          <w:rtl w:val="0"/>
        </w:rPr>
        <w:t>4. IBM Loop Documentation</w:t>
      </w:r>
    </w:p>
    <w:p w14:paraId="0000001C">
      <w:pPr>
        <w:numPr>
          <w:ilvl w:val="0"/>
          <w:numId w:val="4"/>
        </w:numPr>
        <w:spacing w:after="0" w:afterAutospacing="0"/>
        <w:ind w:left="720" w:hanging="360"/>
      </w:pPr>
      <w:r>
        <w:rPr>
          <w:b/>
          <w:bCs/>
          <w:rtl w:val="0"/>
        </w:rPr>
        <w:t>Observe:</w:t>
      </w:r>
      <w:r>
        <w:rPr>
          <w:rtl w:val="0"/>
        </w:rPr>
        <w:t xml:space="preserve"> Shadowed academic office staff during result collation; noted frequent manual cross-checking between attendance registers and exam sheets.</w:t>
      </w:r>
    </w:p>
    <w:p w14:paraId="0000001D">
      <w:pPr>
        <w:numPr>
          <w:ilvl w:val="0"/>
          <w:numId w:val="4"/>
        </w:numPr>
        <w:spacing w:after="0" w:afterAutospacing="0"/>
        <w:ind w:left="720" w:hanging="360"/>
      </w:pPr>
      <w:r>
        <w:rPr>
          <w:b/>
          <w:bCs/>
          <w:rtl w:val="0"/>
        </w:rPr>
        <w:t>Reflect:</w:t>
      </w:r>
      <w:r>
        <w:rPr>
          <w:rtl w:val="0"/>
        </w:rPr>
        <w:t xml:space="preserve"> Analyzed errors and identified that isolated spreadsheets were the root cause of discrepancies. Prioritized single-source-of-truth database architecture.</w:t>
      </w:r>
    </w:p>
    <w:p w14:paraId="0000001E">
      <w:pPr>
        <w:numPr>
          <w:ilvl w:val="0"/>
          <w:numId w:val="4"/>
        </w:numPr>
        <w:spacing w:after="240"/>
        <w:ind w:left="720" w:hanging="360"/>
      </w:pPr>
      <w:r>
        <w:rPr>
          <w:b/>
          <w:bCs/>
          <w:rtl w:val="0"/>
        </w:rPr>
        <w:t>Make:</w:t>
      </w:r>
      <w:r>
        <w:rPr>
          <w:rtl w:val="0"/>
        </w:rPr>
        <w:t xml:space="preserve"> Prototyped automated result-generation engines and intuitive data-entry interfaces ready for development sprints.</w:t>
      </w:r>
    </w:p>
    <w:p w14:paraId="0000001F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kco00d8daadd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5. Stakeholder Analysis</w:t>
      </w:r>
    </w:p>
    <w:tbl>
      <w:tblPr>
        <w:tblStyle w:val="13"/>
        <w:tblW w:w="87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65"/>
        <w:gridCol w:w="1950"/>
        <w:gridCol w:w="3210"/>
        <w:gridCol w:w="1335"/>
      </w:tblGrid>
      <w:tr w14:paraId="09107D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2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spacing w:after="480"/>
            </w:pPr>
            <w:r>
              <w:rPr>
                <w:b/>
                <w:bCs/>
                <w:rtl w:val="0"/>
              </w:rPr>
              <w:t>Stakeholder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spacing w:after="480"/>
            </w:pPr>
            <w:r>
              <w:rPr>
                <w:b/>
                <w:bCs/>
                <w:rtl w:val="0"/>
              </w:rPr>
              <w:t>Role / Interest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spacing w:after="480"/>
            </w:pPr>
            <w:r>
              <w:rPr>
                <w:b/>
                <w:bCs/>
                <w:rtl w:val="0"/>
              </w:rPr>
              <w:t>Key Responsibilities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spacing w:after="480"/>
            </w:pPr>
            <w:r>
              <w:rPr>
                <w:b/>
                <w:bCs/>
                <w:rtl w:val="0"/>
              </w:rPr>
              <w:t>Impact Level</w:t>
            </w:r>
          </w:p>
        </w:tc>
      </w:tr>
      <w:tr w14:paraId="04178F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spacing w:after="480"/>
            </w:pPr>
            <w:r>
              <w:rPr>
                <w:b/>
                <w:bCs/>
                <w:rtl w:val="0"/>
              </w:rPr>
              <w:t>Students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spacing w:after="480"/>
            </w:pPr>
            <w:r>
              <w:rPr>
                <w:rtl w:val="0"/>
              </w:rPr>
              <w:t>Primary User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spacing w:after="480"/>
            </w:pPr>
            <w:r>
              <w:rPr>
                <w:rtl w:val="0"/>
              </w:rPr>
              <w:t>Course registration, viewing attendance and grades, downloading transcripts.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spacing w:after="480"/>
            </w:pPr>
            <w:r>
              <w:rPr>
                <w:rtl w:val="0"/>
              </w:rPr>
              <w:t>High</w:t>
            </w:r>
          </w:p>
        </w:tc>
      </w:tr>
      <w:tr w14:paraId="1280D1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spacing w:after="480"/>
            </w:pPr>
            <w:r>
              <w:rPr>
                <w:b/>
                <w:bCs/>
                <w:rtl w:val="0"/>
              </w:rPr>
              <w:t>Faculty Members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spacing w:after="480"/>
            </w:pPr>
            <w:r>
              <w:rPr>
                <w:rtl w:val="0"/>
              </w:rPr>
              <w:t>Academic User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spacing w:after="480"/>
            </w:pPr>
            <w:r>
              <w:rPr>
                <w:rtl w:val="0"/>
              </w:rPr>
              <w:t>Logging daily attendance, uploading internal marks, managing course material.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spacing w:after="480"/>
            </w:pPr>
            <w:r>
              <w:rPr>
                <w:rtl w:val="0"/>
              </w:rPr>
              <w:t>High</w:t>
            </w:r>
          </w:p>
        </w:tc>
      </w:tr>
      <w:tr w14:paraId="765EA1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spacing w:after="480"/>
            </w:pPr>
            <w:r>
              <w:rPr>
                <w:b/>
                <w:bCs/>
                <w:rtl w:val="0"/>
              </w:rPr>
              <w:t>Academic Administrators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spacing w:after="480"/>
            </w:pPr>
            <w:r>
              <w:rPr>
                <w:rtl w:val="0"/>
              </w:rPr>
              <w:t>Operations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spacing w:after="480"/>
            </w:pPr>
            <w:r>
              <w:rPr>
                <w:rtl w:val="0"/>
              </w:rPr>
              <w:t>Managing student enrollments, program curriculums, and institutional reports.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spacing w:after="480"/>
            </w:pPr>
            <w:r>
              <w:rPr>
                <w:rtl w:val="0"/>
              </w:rPr>
              <w:t>High</w:t>
            </w:r>
          </w:p>
        </w:tc>
      </w:tr>
      <w:tr w14:paraId="68D180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spacing w:after="480"/>
            </w:pPr>
            <w:r>
              <w:rPr>
                <w:b/>
                <w:bCs/>
                <w:rtl w:val="0"/>
              </w:rPr>
              <w:t>Examination Cell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spacing w:after="480"/>
            </w:pPr>
            <w:r>
              <w:rPr>
                <w:rtl w:val="0"/>
              </w:rPr>
              <w:t>Compliance &amp; Grading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spacing w:after="480"/>
            </w:pPr>
            <w:r>
              <w:rPr>
                <w:rtl w:val="0"/>
              </w:rPr>
              <w:t>Verifying grading criteria, generating semester results, issuing grade cards.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spacing w:after="480"/>
            </w:pPr>
            <w:r>
              <w:rPr>
                <w:rtl w:val="0"/>
              </w:rPr>
              <w:t>High</w:t>
            </w:r>
          </w:p>
        </w:tc>
      </w:tr>
      <w:tr w14:paraId="4E0A02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spacing w:after="480"/>
            </w:pPr>
            <w:r>
              <w:rPr>
                <w:b/>
                <w:bCs/>
                <w:rtl w:val="0"/>
              </w:rPr>
              <w:t>IT Support Personnel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spacing w:after="480"/>
            </w:pPr>
            <w:r>
              <w:rPr>
                <w:rtl w:val="0"/>
              </w:rPr>
              <w:t>Technical Management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spacing w:after="480"/>
            </w:pPr>
            <w:r>
              <w:rPr>
                <w:rtl w:val="0"/>
              </w:rPr>
              <w:t>Managing role-based access, data backups, system uptime, and security audits.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spacing w:after="480"/>
            </w:pPr>
            <w:r>
              <w:rPr>
                <w:rtl w:val="0"/>
              </w:rPr>
              <w:t>Medium</w:t>
            </w:r>
          </w:p>
        </w:tc>
      </w:tr>
    </w:tbl>
    <w:p w14:paraId="00000038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elumu6mpgkqg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6. User Persona Report</w:t>
      </w:r>
    </w:p>
    <w:p w14:paraId="00000039">
      <w:pPr>
        <w:numPr>
          <w:ilvl w:val="0"/>
          <w:numId w:val="5"/>
        </w:numPr>
        <w:spacing w:after="0" w:afterAutospacing="0"/>
        <w:ind w:left="720" w:hanging="360"/>
      </w:pPr>
      <w:r>
        <w:rPr>
          <w:b/>
          <w:bCs/>
          <w:rtl w:val="0"/>
        </w:rPr>
        <w:t>Persona 1: Aarav Patel (Undergraduate Student)</w:t>
      </w:r>
    </w:p>
    <w:p w14:paraId="0000003A">
      <w:pPr>
        <w:numPr>
          <w:ilvl w:val="1"/>
          <w:numId w:val="5"/>
        </w:numPr>
        <w:spacing w:after="0" w:afterAutospacing="0"/>
        <w:ind w:left="1440" w:hanging="360"/>
      </w:pPr>
      <w:r>
        <w:rPr>
          <w:i/>
          <w:iCs/>
          <w:rtl w:val="0"/>
        </w:rPr>
        <w:t>Needs:</w:t>
      </w:r>
      <w:r>
        <w:rPr>
          <w:rtl w:val="0"/>
        </w:rPr>
        <w:t xml:space="preserve"> Quick mobile access to attendance records, real-time internal marks, and exam schedules.</w:t>
      </w:r>
    </w:p>
    <w:p w14:paraId="0000003B">
      <w:pPr>
        <w:numPr>
          <w:ilvl w:val="1"/>
          <w:numId w:val="5"/>
        </w:numPr>
        <w:spacing w:after="0" w:afterAutospacing="0"/>
        <w:ind w:left="1440" w:hanging="360"/>
      </w:pPr>
      <w:r>
        <w:rPr>
          <w:i/>
          <w:iCs/>
          <w:rtl w:val="0"/>
        </w:rPr>
        <w:t>Frustrations:</w:t>
      </w:r>
      <w:r>
        <w:rPr>
          <w:rtl w:val="0"/>
        </w:rPr>
        <w:t xml:space="preserve"> Not knowing attendance shortages until the end of the term; complicated course registration forms.</w:t>
      </w:r>
    </w:p>
    <w:p w14:paraId="0000003C">
      <w:pPr>
        <w:numPr>
          <w:ilvl w:val="1"/>
          <w:numId w:val="5"/>
        </w:numPr>
        <w:spacing w:after="0" w:afterAutospacing="0"/>
        <w:ind w:left="1440" w:hanging="360"/>
      </w:pPr>
      <w:r>
        <w:rPr>
          <w:i/>
          <w:iCs/>
          <w:rtl w:val="0"/>
        </w:rPr>
        <w:t>Goal:</w:t>
      </w:r>
      <w:r>
        <w:rPr>
          <w:rtl w:val="0"/>
        </w:rPr>
        <w:t xml:space="preserve"> Keep track of academic standing without visiting administrative desks.</w:t>
      </w:r>
    </w:p>
    <w:p w14:paraId="0000003D">
      <w:pPr>
        <w:numPr>
          <w:ilvl w:val="0"/>
          <w:numId w:val="5"/>
        </w:numPr>
        <w:spacing w:after="0" w:afterAutospacing="0"/>
        <w:ind w:left="720" w:hanging="360"/>
      </w:pPr>
      <w:r>
        <w:rPr>
          <w:b/>
          <w:bCs/>
          <w:rtl w:val="0"/>
        </w:rPr>
        <w:t>Persona 2: Dr. Priya Sharma (Associate Professor)</w:t>
      </w:r>
    </w:p>
    <w:p w14:paraId="0000003E">
      <w:pPr>
        <w:numPr>
          <w:ilvl w:val="1"/>
          <w:numId w:val="5"/>
        </w:numPr>
        <w:spacing w:after="0" w:afterAutospacing="0"/>
        <w:ind w:left="1440" w:hanging="360"/>
      </w:pPr>
      <w:r>
        <w:rPr>
          <w:i/>
          <w:iCs/>
          <w:rtl w:val="0"/>
        </w:rPr>
        <w:t>Needs:</w:t>
      </w:r>
      <w:r>
        <w:rPr>
          <w:rtl w:val="0"/>
        </w:rPr>
        <w:t xml:space="preserve"> Fast bulk attendance entry and simplified spreadsheet uploads for class assessments.</w:t>
      </w:r>
    </w:p>
    <w:p w14:paraId="0000003F">
      <w:pPr>
        <w:numPr>
          <w:ilvl w:val="1"/>
          <w:numId w:val="5"/>
        </w:numPr>
        <w:spacing w:after="0" w:afterAutospacing="0"/>
        <w:ind w:left="1440" w:hanging="360"/>
      </w:pPr>
      <w:r>
        <w:rPr>
          <w:i/>
          <w:iCs/>
          <w:rtl w:val="0"/>
        </w:rPr>
        <w:t>Frustrations:</w:t>
      </w:r>
      <w:r>
        <w:rPr>
          <w:rtl w:val="0"/>
        </w:rPr>
        <w:t xml:space="preserve"> Repetitive manual paperwork and lost paper attendance sheets.</w:t>
      </w:r>
    </w:p>
    <w:p w14:paraId="00000040">
      <w:pPr>
        <w:numPr>
          <w:ilvl w:val="1"/>
          <w:numId w:val="5"/>
        </w:numPr>
        <w:spacing w:after="0" w:afterAutospacing="0"/>
        <w:ind w:left="1440" w:hanging="360"/>
      </w:pPr>
      <w:r>
        <w:rPr>
          <w:i/>
          <w:iCs/>
          <w:rtl w:val="0"/>
        </w:rPr>
        <w:t>Goal:</w:t>
      </w:r>
      <w:r>
        <w:rPr>
          <w:rtl w:val="0"/>
        </w:rPr>
        <w:t xml:space="preserve"> Spend less time on manual record keeping and more time on teaching and research.</w:t>
      </w:r>
    </w:p>
    <w:p w14:paraId="00000041">
      <w:pPr>
        <w:numPr>
          <w:ilvl w:val="0"/>
          <w:numId w:val="5"/>
        </w:numPr>
        <w:spacing w:after="0" w:afterAutospacing="0"/>
        <w:ind w:left="720" w:hanging="360"/>
      </w:pPr>
      <w:r>
        <w:rPr>
          <w:b/>
          <w:bCs/>
          <w:rtl w:val="0"/>
        </w:rPr>
        <w:t>Persona 3: Rahul Verma (Academic Administrator)</w:t>
      </w:r>
    </w:p>
    <w:p w14:paraId="00000042">
      <w:pPr>
        <w:numPr>
          <w:ilvl w:val="1"/>
          <w:numId w:val="5"/>
        </w:numPr>
        <w:spacing w:after="0" w:afterAutospacing="0"/>
        <w:ind w:left="1440" w:hanging="360"/>
      </w:pPr>
      <w:r>
        <w:rPr>
          <w:i/>
          <w:iCs/>
          <w:rtl w:val="0"/>
        </w:rPr>
        <w:t>Needs:</w:t>
      </w:r>
      <w:r>
        <w:rPr>
          <w:rtl w:val="0"/>
        </w:rPr>
        <w:t xml:space="preserve"> Centralized dashboard showing department-wide enrollment, fee verification status, and audit reports.</w:t>
      </w:r>
    </w:p>
    <w:p w14:paraId="00000043">
      <w:pPr>
        <w:numPr>
          <w:ilvl w:val="1"/>
          <w:numId w:val="5"/>
        </w:numPr>
        <w:spacing w:after="0" w:afterAutospacing="0"/>
        <w:ind w:left="1440" w:hanging="360"/>
      </w:pPr>
      <w:r>
        <w:rPr>
          <w:i/>
          <w:iCs/>
          <w:rtl w:val="0"/>
        </w:rPr>
        <w:t>Frustrations:</w:t>
      </w:r>
      <w:r>
        <w:rPr>
          <w:rtl w:val="0"/>
        </w:rPr>
        <w:t xml:space="preserve"> Reconciling conflicting data entries between faculty sheets and university registries.</w:t>
      </w:r>
    </w:p>
    <w:p w14:paraId="00000044">
      <w:pPr>
        <w:numPr>
          <w:ilvl w:val="1"/>
          <w:numId w:val="5"/>
        </w:numPr>
        <w:spacing w:after="240"/>
        <w:ind w:left="1440" w:hanging="360"/>
      </w:pPr>
      <w:r>
        <w:rPr>
          <w:i/>
          <w:iCs/>
          <w:rtl w:val="0"/>
        </w:rPr>
        <w:t>Goal:</w:t>
      </w:r>
      <w:r>
        <w:rPr>
          <w:rtl w:val="0"/>
        </w:rPr>
        <w:t xml:space="preserve"> Ensure error-free academic audits and swift student record retrieval.</w:t>
      </w:r>
    </w:p>
    <w:p w14:paraId="00000045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5d5j48pav4hx" w:colFirst="0" w:colLast="0"/>
      <w:bookmarkEnd w:id="7"/>
      <w:r>
        <w:rPr>
          <w:b/>
          <w:bCs/>
          <w:color w:val="000000"/>
          <w:sz w:val="26"/>
          <w:szCs w:val="26"/>
          <w:rtl w:val="0"/>
        </w:rPr>
        <w:t>7. Functional Requirements Specification (FRS)</w:t>
      </w:r>
    </w:p>
    <w:p w14:paraId="00000046">
      <w:pPr>
        <w:numPr>
          <w:ilvl w:val="0"/>
          <w:numId w:val="6"/>
        </w:numPr>
        <w:spacing w:after="0" w:afterAutospacing="0"/>
        <w:ind w:left="720" w:hanging="360"/>
      </w:pPr>
      <w:r>
        <w:rPr>
          <w:b/>
          <w:bCs/>
          <w:rtl w:val="0"/>
        </w:rPr>
        <w:t>FR-01 (Authentication &amp; RBAC):</w:t>
      </w:r>
      <w:r>
        <w:rPr>
          <w:rtl w:val="0"/>
        </w:rPr>
        <w:t xml:space="preserve"> The platform must authenticate users via secure login and enforce Role-Based Access Control (Admin, Faculty, Student, Exam Cell).</w:t>
      </w:r>
    </w:p>
    <w:p w14:paraId="00000047">
      <w:pPr>
        <w:numPr>
          <w:ilvl w:val="0"/>
          <w:numId w:val="6"/>
        </w:numPr>
        <w:spacing w:after="0" w:afterAutospacing="0"/>
        <w:ind w:left="720" w:hanging="360"/>
      </w:pPr>
      <w:r>
        <w:rPr>
          <w:b/>
          <w:bCs/>
          <w:rtl w:val="0"/>
        </w:rPr>
        <w:t>FR-02 (Student Registration):</w:t>
      </w:r>
      <w:r>
        <w:rPr>
          <w:rtl w:val="0"/>
        </w:rPr>
        <w:t xml:space="preserve"> System must support bulk CSV student profile onboarding and manual single-entry creation by administrators.</w:t>
      </w:r>
    </w:p>
    <w:p w14:paraId="00000048">
      <w:pPr>
        <w:numPr>
          <w:ilvl w:val="0"/>
          <w:numId w:val="6"/>
        </w:numPr>
        <w:spacing w:after="0" w:afterAutospacing="0"/>
        <w:ind w:left="720" w:hanging="360"/>
      </w:pPr>
      <w:r>
        <w:rPr>
          <w:b/>
          <w:bCs/>
          <w:rtl w:val="0"/>
        </w:rPr>
        <w:t>FR-03 (Course &amp; Elective Management):</w:t>
      </w:r>
      <w:r>
        <w:rPr>
          <w:rtl w:val="0"/>
        </w:rPr>
        <w:t xml:space="preserve"> Students must be able to select and enroll in eligible core and elective courses for active academic semesters.</w:t>
      </w:r>
    </w:p>
    <w:p w14:paraId="00000049">
      <w:pPr>
        <w:numPr>
          <w:ilvl w:val="0"/>
          <w:numId w:val="6"/>
        </w:numPr>
        <w:spacing w:after="0" w:afterAutospacing="0"/>
        <w:ind w:left="720" w:hanging="360"/>
      </w:pPr>
      <w:r>
        <w:rPr>
          <w:b/>
          <w:bCs/>
          <w:rtl w:val="0"/>
        </w:rPr>
        <w:t>FR-04 (Attendance Module):</w:t>
      </w:r>
      <w:r>
        <w:rPr>
          <w:rtl w:val="0"/>
        </w:rPr>
        <w:t xml:space="preserve"> Faculty must be able to mark daily attendance with automated percentage calculation and automatic low-attendance flags ($&lt;75\%$).</w:t>
      </w:r>
    </w:p>
    <w:p w14:paraId="0000004A">
      <w:pPr>
        <w:numPr>
          <w:ilvl w:val="0"/>
          <w:numId w:val="6"/>
        </w:numPr>
        <w:spacing w:after="0" w:afterAutospacing="0"/>
        <w:ind w:left="720" w:hanging="360"/>
      </w:pPr>
      <w:r>
        <w:rPr>
          <w:b/>
          <w:bCs/>
          <w:rtl w:val="0"/>
        </w:rPr>
        <w:t>FR-05 (Marks &amp; Grade Processing):</w:t>
      </w:r>
      <w:r>
        <w:rPr>
          <w:rtl w:val="0"/>
        </w:rPr>
        <w:t xml:space="preserve"> The system must compute weighted internal/external marks, calculate SGPA/CGPA, and convert numeric scores to letter grades.</w:t>
      </w:r>
    </w:p>
    <w:p w14:paraId="0000004B">
      <w:pPr>
        <w:numPr>
          <w:ilvl w:val="0"/>
          <w:numId w:val="6"/>
        </w:numPr>
        <w:spacing w:after="240"/>
        <w:ind w:left="720" w:hanging="360"/>
      </w:pPr>
      <w:r>
        <w:rPr>
          <w:b/>
          <w:bCs/>
          <w:rtl w:val="0"/>
        </w:rPr>
        <w:t>FR-06 (Report Generation):</w:t>
      </w:r>
      <w:r>
        <w:rPr>
          <w:rtl w:val="0"/>
        </w:rPr>
        <w:t xml:space="preserve"> Administrators and students must be able to export official PDF grade sheets, transcripts, and demographic reports.</w:t>
      </w:r>
    </w:p>
    <w:p w14:paraId="0000004C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gf7v0br29nfh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8. Non-Functional Requirements Specification (NFRS)</w:t>
      </w:r>
    </w:p>
    <w:p w14:paraId="0000004D">
      <w:pPr>
        <w:numPr>
          <w:ilvl w:val="0"/>
          <w:numId w:val="7"/>
        </w:numPr>
        <w:spacing w:after="0" w:afterAutospacing="0"/>
        <w:ind w:left="720" w:hanging="360"/>
      </w:pPr>
      <w:r>
        <w:rPr>
          <w:b/>
          <w:bCs/>
          <w:rtl w:val="0"/>
        </w:rPr>
        <w:t>NFR-01 (Performance):</w:t>
      </w:r>
      <w:r>
        <w:rPr>
          <w:rtl w:val="0"/>
        </w:rPr>
        <w:t xml:space="preserve"> Page load times shall remain under 1.5 seconds with up to 1,000 concurrent active users.</w:t>
      </w:r>
    </w:p>
    <w:p w14:paraId="0000004E">
      <w:pPr>
        <w:numPr>
          <w:ilvl w:val="0"/>
          <w:numId w:val="7"/>
        </w:numPr>
        <w:spacing w:after="0" w:afterAutospacing="0"/>
        <w:ind w:left="720" w:hanging="360"/>
      </w:pPr>
      <w:r>
        <w:rPr>
          <w:b/>
          <w:bCs/>
          <w:rtl w:val="0"/>
        </w:rPr>
        <w:t>NFR-02 (Security):</w:t>
      </w:r>
      <w:r>
        <w:rPr>
          <w:rtl w:val="0"/>
        </w:rPr>
        <w:t xml:space="preserve"> All passwords stored using bcrypt hashing; sensitive student personal data encrypted at rest using AES-256 and in transit via TLS 1.3.</w:t>
      </w:r>
    </w:p>
    <w:p w14:paraId="0000004F">
      <w:pPr>
        <w:numPr>
          <w:ilvl w:val="0"/>
          <w:numId w:val="7"/>
        </w:numPr>
        <w:spacing w:after="0" w:afterAutospacing="0"/>
        <w:ind w:left="720" w:hanging="360"/>
      </w:pPr>
      <w:r>
        <w:rPr>
          <w:b/>
          <w:bCs/>
          <w:rtl w:val="0"/>
        </w:rPr>
        <w:t>NFR-03 (Availability &amp; Reliability):</w:t>
      </w:r>
      <w:r>
        <w:rPr>
          <w:rtl w:val="0"/>
        </w:rPr>
        <w:t xml:space="preserve"> 99.9% uptime during academic terms with automated daily database backups.</w:t>
      </w:r>
    </w:p>
    <w:p w14:paraId="00000050">
      <w:pPr>
        <w:numPr>
          <w:ilvl w:val="0"/>
          <w:numId w:val="7"/>
        </w:numPr>
        <w:spacing w:after="0" w:afterAutospacing="0"/>
        <w:ind w:left="720" w:hanging="360"/>
      </w:pPr>
      <w:r>
        <w:rPr>
          <w:b/>
          <w:bCs/>
          <w:rtl w:val="0"/>
        </w:rPr>
        <w:t>NFR-04 (Usability):</w:t>
      </w:r>
      <w:r>
        <w:rPr>
          <w:rtl w:val="0"/>
        </w:rPr>
        <w:t xml:space="preserve"> Responsive design compliant with WCAG 2.1 AA accessibility guidelines across desktop, tablet, and mobile browsers.</w:t>
      </w:r>
    </w:p>
    <w:p w14:paraId="00000051">
      <w:pPr>
        <w:numPr>
          <w:ilvl w:val="0"/>
          <w:numId w:val="7"/>
        </w:numPr>
        <w:spacing w:after="240"/>
        <w:ind w:left="720" w:hanging="360"/>
      </w:pPr>
      <w:r>
        <w:rPr>
          <w:b/>
          <w:bCs/>
          <w:rtl w:val="0"/>
        </w:rPr>
        <w:t>NFR-05 (Scalability):</w:t>
      </w:r>
      <w:r>
        <w:rPr>
          <w:rtl w:val="0"/>
        </w:rPr>
        <w:t xml:space="preserve"> Modular architecture capable of scaling horizontally to accommodate multi-campus expansions.</w:t>
      </w:r>
    </w:p>
    <w:p w14:paraId="00000052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4bgqy8an0w6j" w:colFirst="0" w:colLast="0"/>
      <w:bookmarkEnd w:id="9"/>
      <w:r>
        <w:rPr>
          <w:b/>
          <w:bCs/>
          <w:color w:val="000000"/>
          <w:sz w:val="26"/>
          <w:szCs w:val="26"/>
          <w:rtl w:val="0"/>
        </w:rPr>
        <w:t>9. Product Vision Document</w:t>
      </w:r>
    </w:p>
    <w:p w14:paraId="00000053">
      <w:pPr>
        <w:numPr>
          <w:ilvl w:val="0"/>
          <w:numId w:val="8"/>
        </w:numPr>
        <w:spacing w:after="0" w:afterAutospacing="0"/>
        <w:ind w:left="720" w:hanging="360"/>
      </w:pPr>
      <w:r>
        <w:rPr>
          <w:b/>
          <w:bCs/>
          <w:rtl w:val="0"/>
        </w:rPr>
        <w:t>Vision Statement:</w:t>
      </w:r>
      <w:r>
        <w:rPr>
          <w:rtl w:val="0"/>
        </w:rPr>
        <w:t xml:space="preserve"> To build a dependable, unified, and cloud-ready academic ecosystem that eliminates institutional friction and empowers academic success through digital clarity.</w:t>
      </w:r>
    </w:p>
    <w:p w14:paraId="00000054">
      <w:pPr>
        <w:numPr>
          <w:ilvl w:val="0"/>
          <w:numId w:val="8"/>
        </w:numPr>
        <w:spacing w:after="0" w:afterAutospacing="0"/>
        <w:ind w:left="720" w:hanging="360"/>
      </w:pPr>
      <w:r>
        <w:rPr>
          <w:b/>
          <w:bCs/>
          <w:rtl w:val="0"/>
        </w:rPr>
        <w:t>Mission Statement:</w:t>
      </w:r>
      <w:r>
        <w:rPr>
          <w:rtl w:val="0"/>
        </w:rPr>
        <w:t xml:space="preserve"> Simplify academic administration through intelligent automation, seamless data integration, and human-centered design.</w:t>
      </w:r>
    </w:p>
    <w:p w14:paraId="00000055">
      <w:pPr>
        <w:numPr>
          <w:ilvl w:val="0"/>
          <w:numId w:val="8"/>
        </w:numPr>
        <w:spacing w:after="0" w:afterAutospacing="0"/>
        <w:ind w:left="720" w:hanging="360"/>
      </w:pPr>
      <w:r>
        <w:rPr>
          <w:b/>
          <w:bCs/>
          <w:rtl w:val="0"/>
        </w:rPr>
        <w:t>Key Success Criteria:</w:t>
      </w:r>
    </w:p>
    <w:p w14:paraId="00000056">
      <w:pPr>
        <w:numPr>
          <w:ilvl w:val="1"/>
          <w:numId w:val="8"/>
        </w:numPr>
        <w:spacing w:after="0" w:afterAutospacing="0"/>
        <w:ind w:left="1440" w:hanging="360"/>
      </w:pPr>
      <w:r>
        <w:rPr>
          <w:rtl w:val="0"/>
        </w:rPr>
        <w:t>100% paperless record management for attendance and internal grading.</w:t>
      </w:r>
    </w:p>
    <w:p w14:paraId="00000057">
      <w:pPr>
        <w:numPr>
          <w:ilvl w:val="1"/>
          <w:numId w:val="8"/>
        </w:numPr>
        <w:spacing w:after="0" w:afterAutospacing="0"/>
        <w:ind w:left="1440" w:hanging="360"/>
      </w:pPr>
      <w:r>
        <w:rPr>
          <w:rtl w:val="0"/>
        </w:rPr>
        <w:t>90%+ positive usability rating across student and faculty satisfaction surveys.</w:t>
      </w:r>
    </w:p>
    <w:p w14:paraId="00000058">
      <w:pPr>
        <w:numPr>
          <w:ilvl w:val="1"/>
          <w:numId w:val="8"/>
        </w:numPr>
        <w:spacing w:after="240"/>
        <w:ind w:left="1440" w:hanging="360"/>
      </w:pPr>
      <w:r>
        <w:rPr>
          <w:rtl w:val="0"/>
        </w:rPr>
        <w:t>Reduction of semester result publication turnaround from weeks to within 48 hours.</w:t>
      </w:r>
    </w:p>
    <w:p w14:paraId="00000059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e67fik10jcmp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10. Minimum Viable Product (MVP) Scope</w:t>
      </w:r>
    </w:p>
    <w:p w14:paraId="0000005A">
      <w:pPr>
        <w:spacing w:after="240"/>
      </w:pPr>
      <w:r>
        <w:rPr>
          <w:rtl w:val="0"/>
        </w:rPr>
        <w:t>The first release (MVP) focuses on the primary operational loop necessary to run a semester digitally:</w:t>
      </w:r>
    </w:p>
    <w:p w14:paraId="0000005B">
      <w:pPr>
        <w:numPr>
          <w:ilvl w:val="0"/>
          <w:numId w:val="9"/>
        </w:numPr>
        <w:spacing w:after="0" w:afterAutospacing="0"/>
        <w:ind w:left="720" w:hanging="360"/>
      </w:pPr>
      <w:r>
        <w:rPr>
          <w:rtl w:val="0"/>
        </w:rPr>
        <w:t>Secure Authentication &amp; Role Dispatcher (Student, Faculty, Admin).</w:t>
      </w:r>
    </w:p>
    <w:p w14:paraId="0000005C">
      <w:pPr>
        <w:numPr>
          <w:ilvl w:val="0"/>
          <w:numId w:val="9"/>
        </w:numPr>
        <w:spacing w:after="0" w:afterAutospacing="0"/>
        <w:ind w:left="720" w:hanging="360"/>
      </w:pPr>
      <w:r>
        <w:rPr>
          <w:rtl w:val="0"/>
        </w:rPr>
        <w:t>Student Profile &amp; Enrollment Records.</w:t>
      </w:r>
    </w:p>
    <w:p w14:paraId="0000005D">
      <w:pPr>
        <w:numPr>
          <w:ilvl w:val="0"/>
          <w:numId w:val="9"/>
        </w:numPr>
        <w:spacing w:after="0" w:afterAutospacing="0"/>
        <w:ind w:left="720" w:hanging="360"/>
      </w:pPr>
      <w:r>
        <w:rPr>
          <w:rtl w:val="0"/>
        </w:rPr>
        <w:t>Faculty Daily Attendance Entry &amp; Student Attendance Viewer.</w:t>
      </w:r>
    </w:p>
    <w:p w14:paraId="0000005E">
      <w:pPr>
        <w:numPr>
          <w:ilvl w:val="0"/>
          <w:numId w:val="9"/>
        </w:numPr>
        <w:spacing w:after="0" w:afterAutospacing="0"/>
        <w:ind w:left="720" w:hanging="360"/>
      </w:pPr>
      <w:r>
        <w:rPr>
          <w:rtl w:val="0"/>
        </w:rPr>
        <w:t>Internal Assessment Marks Entry Engine.</w:t>
      </w:r>
    </w:p>
    <w:p w14:paraId="0000005F">
      <w:pPr>
        <w:numPr>
          <w:ilvl w:val="0"/>
          <w:numId w:val="9"/>
        </w:numPr>
        <w:spacing w:after="240"/>
        <w:ind w:left="720" w:hanging="360"/>
      </w:pPr>
      <w:r>
        <w:rPr>
          <w:rtl w:val="0"/>
        </w:rPr>
        <w:t>Standardized Student Grade Card (PDF Export).</w:t>
      </w:r>
    </w:p>
    <w:p w14:paraId="00000060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yufo4bnw3yff" w:colFirst="0" w:colLast="0"/>
      <w:bookmarkEnd w:id="11"/>
      <w:r>
        <w:rPr>
          <w:b/>
          <w:bCs/>
          <w:color w:val="000000"/>
          <w:sz w:val="26"/>
          <w:szCs w:val="26"/>
          <w:rtl w:val="0"/>
        </w:rPr>
        <w:t>11. Phased Product Roadmap</w:t>
      </w:r>
    </w:p>
    <w:p w14:paraId="00000061">
      <w:r>
        <w:rPr>
          <w:rtl w:val="0"/>
        </w:rPr>
        <w:t>Plaintext</w:t>
      </w:r>
    </w:p>
    <w:p w14:paraId="00000062">
      <w:r>
        <w:rPr>
          <w:rtl w:val="0"/>
        </w:rPr>
        <w:t>┌────────────────────────────────────────────────────────┐</w:t>
      </w:r>
    </w:p>
    <w:p w14:paraId="00000063">
      <w:r>
        <w:rPr>
          <w:rtl w:val="0"/>
        </w:rPr>
        <w:t>│ Phase 1: MVP Core (Sprints 1–2)                       │</w:t>
      </w:r>
    </w:p>
    <w:p w14:paraId="00000064">
      <w:r>
        <w:rPr>
          <w:rtl w:val="0"/>
        </w:rPr>
        <w:t>│ • RBAC Auth • Student Registry • Attendance Management │</w:t>
      </w:r>
    </w:p>
    <w:p w14:paraId="00000065">
      <w:r>
        <w:rPr>
          <w:rtl w:val="0"/>
        </w:rPr>
        <w:t>└──────────────────────────┬─────────────────────────────┘</w:t>
      </w:r>
    </w:p>
    <w:p w14:paraId="00000066">
      <w:r>
        <w:rPr>
          <w:rtl w:val="0"/>
        </w:rPr>
        <w:t xml:space="preserve">                           │</w:t>
      </w:r>
    </w:p>
    <w:p w14:paraId="00000067">
      <w:r>
        <w:rPr>
          <w:rtl w:val="0"/>
        </w:rPr>
        <w:t>┌──────────────────────────▼─────────────────────────────┐</w:t>
      </w:r>
    </w:p>
    <w:p w14:paraId="00000068">
      <w:r>
        <w:rPr>
          <w:rtl w:val="0"/>
        </w:rPr>
        <w:t>│ Phase 2: Examination &amp; Grading (Sprints 3–4)           │</w:t>
      </w:r>
    </w:p>
    <w:p w14:paraId="00000069">
      <w:r>
        <w:rPr>
          <w:rtl w:val="0"/>
        </w:rPr>
        <w:t>│ • Assessment Portals • GPA Engine • PDF Grade Cards    │</w:t>
      </w:r>
    </w:p>
    <w:p w14:paraId="0000006A">
      <w:r>
        <w:rPr>
          <w:rtl w:val="0"/>
        </w:rPr>
        <w:t>└──────────────────────────┬─────────────────────────────┘</w:t>
      </w:r>
    </w:p>
    <w:p w14:paraId="0000006B">
      <w:r>
        <w:rPr>
          <w:rtl w:val="0"/>
        </w:rPr>
        <w:t xml:space="preserve">                           │</w:t>
      </w:r>
    </w:p>
    <w:p w14:paraId="0000006C">
      <w:r>
        <w:rPr>
          <w:rtl w:val="0"/>
        </w:rPr>
        <w:t>┌──────────────────────────▼─────────────────────────────┐</w:t>
      </w:r>
    </w:p>
    <w:p w14:paraId="0000006D">
      <w:r>
        <w:rPr>
          <w:rtl w:val="0"/>
        </w:rPr>
        <w:t>│ Phase 3: Analytics &amp; Advanced Features (Sprints 5–6)   │</w:t>
      </w:r>
    </w:p>
    <w:p w14:paraId="0000006E">
      <w:r>
        <w:rPr>
          <w:rtl w:val="0"/>
        </w:rPr>
        <w:t>│ • Admin Analytics • Email/SMS Alerts • Parent Portal   │</w:t>
      </w:r>
    </w:p>
    <w:p w14:paraId="0000006F">
      <w:r>
        <w:rPr>
          <w:rtl w:val="0"/>
        </w:rPr>
        <w:t>└────────────────────────────────────────────────────────┘</w:t>
      </w:r>
    </w:p>
    <w:p w14:paraId="00000070"/>
    <w:p w14:paraId="00000071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wv0pjb5yegx" w:colFirst="0" w:colLast="0"/>
      <w:bookmarkEnd w:id="12"/>
      <w:r>
        <w:rPr>
          <w:b/>
          <w:bCs/>
          <w:color w:val="000000"/>
          <w:sz w:val="26"/>
          <w:szCs w:val="26"/>
          <w:rtl w:val="0"/>
        </w:rPr>
        <w:t>12. Initial System Architecture Diagram</w:t>
      </w:r>
    </w:p>
    <w:p w14:paraId="00000072">
      <w:r>
        <w:rPr>
          <w:rtl w:val="0"/>
        </w:rPr>
        <w:t>Plaintext</w:t>
      </w:r>
    </w:p>
    <w:p w14:paraId="00000073">
      <w:r>
        <w:rPr>
          <w:rtl w:val="0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00000074">
      <w:r>
        <w:rPr>
          <w:rtl w:val="0"/>
        </w:rPr>
        <w:t>│                     Presentation Layer                        │</w:t>
      </w:r>
    </w:p>
    <w:p w14:paraId="00000075">
      <w:r>
        <w:rPr>
          <w:rtl w:val="0"/>
        </w:rPr>
        <w:t>│   Web &amp; Mobile Responsive UI (React.js / Bootstrap)           │</w:t>
      </w:r>
    </w:p>
    <w:p w14:paraId="00000076">
      <w:r>
        <w:rPr>
          <w:rtl w:val="0"/>
        </w:rPr>
        <w:t>└───────────────────────────────┬───────────────────────────────┘</w:t>
      </w:r>
    </w:p>
    <w:p w14:paraId="00000077">
      <w:r>
        <w:rPr>
          <w:rtl w:val="0"/>
        </w:rPr>
        <w:t xml:space="preserve">                                │ HTTPS / REST API</w:t>
      </w:r>
    </w:p>
    <w:p w14:paraId="00000078">
      <w:r>
        <w:rPr>
          <w:rtl w:val="0"/>
        </w:rPr>
        <w:t>┌───────────────────────────────▼───────────────────────────────┐</w:t>
      </w:r>
    </w:p>
    <w:p w14:paraId="00000079">
      <w:r>
        <w:rPr>
          <w:rtl w:val="0"/>
        </w:rPr>
        <w:t>│                     Application / API Layer                   │</w:t>
      </w:r>
    </w:p>
    <w:p w14:paraId="0000007A">
      <w:r>
        <w:rPr>
          <w:rtl w:val="0"/>
        </w:rPr>
        <w:t>│   Node.js / Express or Python / FastAPI (JWT Auth, RBAC)      │</w:t>
      </w:r>
    </w:p>
    <w:p w14:paraId="0000007B">
      <w:r>
        <w:rPr>
          <w:rtl w:val="0"/>
        </w:rPr>
        <w:t>│   - Student Service  - Attendance Service  - Grading Engine   │</w:t>
      </w:r>
    </w:p>
    <w:p w14:paraId="0000007C">
      <w:r>
        <w:rPr>
          <w:rtl w:val="0"/>
        </w:rPr>
        <w:t>└───────────────────────────────┬───────────────────────────────┘</w:t>
      </w:r>
    </w:p>
    <w:p w14:paraId="0000007D">
      <w:r>
        <w:rPr>
          <w:rtl w:val="0"/>
        </w:rPr>
        <w:t xml:space="preserve">                                │ ORM / SQL Driver</w:t>
      </w:r>
    </w:p>
    <w:p w14:paraId="0000007E">
      <w:r>
        <w:rPr>
          <w:rtl w:val="0"/>
        </w:rPr>
        <w:t>┌───────────────────────────────▼───────────────────────────────┐</w:t>
      </w:r>
    </w:p>
    <w:p w14:paraId="0000007F">
      <w:r>
        <w:rPr>
          <w:rtl w:val="0"/>
        </w:rPr>
        <w:t>│                        Data Layer                             │</w:t>
      </w:r>
    </w:p>
    <w:p w14:paraId="00000080">
      <w:r>
        <w:rPr>
          <w:rtl w:val="0"/>
        </w:rPr>
        <w:t>│   PostgreSQL / MySQL (Relational Academic Database)           │</w:t>
      </w:r>
    </w:p>
    <w:p w14:paraId="00000081">
      <w:r>
        <w:rPr>
          <w:rtl w:val="0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00000082"/>
    <w:p w14:paraId="00000083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i5qmpccbrv7x" w:colFirst="0" w:colLast="0"/>
      <w:bookmarkEnd w:id="13"/>
      <w:r>
        <w:rPr>
          <w:b/>
          <w:bCs/>
          <w:color w:val="000000"/>
          <w:sz w:val="26"/>
          <w:szCs w:val="26"/>
          <w:rtl w:val="0"/>
        </w:rPr>
        <w:t>13. Project Charter</w:t>
      </w:r>
    </w:p>
    <w:p w14:paraId="00000084">
      <w:pPr>
        <w:numPr>
          <w:ilvl w:val="0"/>
          <w:numId w:val="10"/>
        </w:numPr>
        <w:spacing w:after="0" w:afterAutospacing="0"/>
        <w:ind w:left="720" w:hanging="360"/>
      </w:pPr>
      <w:r>
        <w:rPr>
          <w:b/>
          <w:bCs/>
          <w:rtl w:val="0"/>
        </w:rPr>
        <w:t>Project Name:</w:t>
      </w:r>
      <w:r>
        <w:rPr>
          <w:rtl w:val="0"/>
        </w:rPr>
        <w:t xml:space="preserve"> Enterprise Student Record and Academic Management Platform</w:t>
      </w:r>
    </w:p>
    <w:p w14:paraId="00000085">
      <w:pPr>
        <w:numPr>
          <w:ilvl w:val="0"/>
          <w:numId w:val="10"/>
        </w:numPr>
        <w:spacing w:after="0" w:afterAutospacing="0"/>
        <w:ind w:left="720" w:hanging="360"/>
      </w:pPr>
      <w:r>
        <w:rPr>
          <w:b/>
          <w:bCs/>
          <w:rtl w:val="0"/>
        </w:rPr>
        <w:t>Project Lead:</w:t>
      </w:r>
      <w:r>
        <w:rPr>
          <w:rtl w:val="0"/>
        </w:rPr>
        <w:t xml:space="preserve"> Om Tambe</w:t>
      </w:r>
    </w:p>
    <w:p w14:paraId="00000086">
      <w:pPr>
        <w:numPr>
          <w:ilvl w:val="0"/>
          <w:numId w:val="10"/>
        </w:numPr>
        <w:spacing w:after="0" w:afterAutospacing="0"/>
        <w:ind w:left="720" w:hanging="360"/>
      </w:pPr>
      <w:r>
        <w:rPr>
          <w:b/>
          <w:bCs/>
          <w:rtl w:val="0"/>
        </w:rPr>
        <w:t>Duration:</w:t>
      </w:r>
      <w:r>
        <w:rPr>
          <w:rtl w:val="0"/>
        </w:rPr>
        <w:t xml:space="preserve"> 4 Weeks (Phase 1: Planning &amp; Design)</w:t>
      </w:r>
    </w:p>
    <w:p w14:paraId="00000087">
      <w:pPr>
        <w:numPr>
          <w:ilvl w:val="0"/>
          <w:numId w:val="10"/>
        </w:numPr>
        <w:spacing w:after="0" w:afterAutospacing="0"/>
        <w:ind w:left="720" w:hanging="360"/>
      </w:pPr>
      <w:r>
        <w:rPr>
          <w:b/>
          <w:bCs/>
          <w:rtl w:val="0"/>
        </w:rPr>
        <w:t>Primary Scope:</w:t>
      </w:r>
      <w:r>
        <w:rPr>
          <w:rtl w:val="0"/>
        </w:rPr>
        <w:t xml:space="preserve"> Deliver end-to-end product design, domain discovery, architecture models, and Git repository setup ready for Sprint 1 development.</w:t>
      </w:r>
    </w:p>
    <w:p w14:paraId="00000088">
      <w:pPr>
        <w:numPr>
          <w:ilvl w:val="0"/>
          <w:numId w:val="10"/>
        </w:numPr>
        <w:spacing w:after="240"/>
        <w:ind w:left="720" w:hanging="360"/>
      </w:pPr>
      <w:r>
        <w:rPr>
          <w:b/>
          <w:bCs/>
          <w:rtl w:val="0"/>
        </w:rPr>
        <w:t>Assumptions &amp; Risks:</w:t>
      </w:r>
      <w:r>
        <w:rPr>
          <w:rtl w:val="0"/>
        </w:rPr>
        <w:t xml:space="preserve"> Assumes stable infrastructure access; risks include complex legacy grading formulas, mitigated by modular GPA engine rule sets.</w:t>
      </w:r>
    </w:p>
    <w:p w14:paraId="00000089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2oid6p9as90b" w:colFirst="0" w:colLast="0"/>
      <w:bookmarkEnd w:id="14"/>
      <w:r>
        <w:rPr>
          <w:b/>
          <w:bCs/>
          <w:color w:val="000000"/>
          <w:sz w:val="26"/>
          <w:szCs w:val="26"/>
          <w:rtl w:val="0"/>
        </w:rPr>
        <w:t>14. Project Repository Initialization</w:t>
      </w:r>
    </w:p>
    <w:p w14:paraId="0000008A">
      <w:pPr>
        <w:spacing w:after="240"/>
      </w:pPr>
      <w:r>
        <w:rPr>
          <w:rtl w:val="0"/>
        </w:rPr>
        <w:t>Standard Git initialization sequence for the product workspace:</w:t>
      </w:r>
    </w:p>
    <w:p w14:paraId="0000008B">
      <w:r>
        <w:rPr>
          <w:rtl w:val="0"/>
        </w:rPr>
        <w:t>Bash</w:t>
      </w:r>
    </w:p>
    <w:p w14:paraId="0000008C">
      <w:r>
        <w:rPr>
          <w:rtl w:val="0"/>
        </w:rPr>
        <w:t># Initialize local repository</w:t>
      </w:r>
    </w:p>
    <w:p w14:paraId="0000008D">
      <w:r>
        <w:rPr>
          <w:rtl w:val="0"/>
        </w:rPr>
        <w:t>git init</w:t>
      </w:r>
    </w:p>
    <w:p w14:paraId="0000008E"/>
    <w:p w14:paraId="0000008F">
      <w:r>
        <w:rPr>
          <w:rtl w:val="0"/>
        </w:rPr>
        <w:t># Configure branch and track project assets</w:t>
      </w:r>
    </w:p>
    <w:p w14:paraId="00000090">
      <w:r>
        <w:rPr>
          <w:rtl w:val="0"/>
        </w:rPr>
        <w:t>git branch -M main</w:t>
      </w:r>
    </w:p>
    <w:p w14:paraId="00000091">
      <w:r>
        <w:rPr>
          <w:rtl w:val="0"/>
        </w:rPr>
        <w:t>git add .</w:t>
      </w:r>
    </w:p>
    <w:p w14:paraId="00000092">
      <w:r>
        <w:rPr>
          <w:rtl w:val="0"/>
        </w:rPr>
        <w:t>git commit -m "feat: Initial commit - Unit 1 Product Planning &amp; Design Specifications"</w:t>
      </w:r>
    </w:p>
    <w:p w14:paraId="00000093"/>
    <w:p w14:paraId="00000094">
      <w:r>
        <w:rPr>
          <w:rtl w:val="0"/>
        </w:rPr>
        <w:t># Remote setup</w:t>
      </w:r>
    </w:p>
    <w:p w14:paraId="00000095">
      <w:r>
        <w:rPr>
          <w:rtl w:val="0"/>
        </w:rPr>
        <w:t># git remote add origin &lt;repository-url&gt;</w:t>
      </w:r>
    </w:p>
    <w:p w14:paraId="00000096">
      <w:r>
        <w:rPr>
          <w:rtl w:val="0"/>
        </w:rPr>
        <w:t># git push -u origin main</w:t>
      </w:r>
    </w:p>
    <w:p w14:paraId="00000097"/>
    <w:p w14:paraId="00000098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4awxxjp01iqc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15. Project Folder Structure</w:t>
      </w:r>
    </w:p>
    <w:p w14:paraId="00000099">
      <w:r>
        <w:rPr>
          <w:rtl w:val="0"/>
        </w:rPr>
        <w:t>Plaintext</w:t>
      </w:r>
    </w:p>
    <w:p w14:paraId="0000009A">
      <w:r>
        <w:rPr>
          <w:rtl w:val="0"/>
        </w:rPr>
        <w:t>student-record-platform/</w:t>
      </w:r>
    </w:p>
    <w:p w14:paraId="0000009B">
      <w:r>
        <w:rPr>
          <w:rtl w:val="0"/>
        </w:rPr>
        <w:t>├── .gitignore</w:t>
      </w:r>
    </w:p>
    <w:p w14:paraId="0000009C">
      <w:r>
        <w:rPr>
          <w:rtl w:val="0"/>
        </w:rPr>
        <w:t>├── README.md</w:t>
      </w:r>
    </w:p>
    <w:p w14:paraId="0000009D">
      <w:r>
        <w:rPr>
          <w:rtl w:val="0"/>
        </w:rPr>
        <w:t>├── docs/</w:t>
      </w:r>
    </w:p>
    <w:p w14:paraId="0000009E">
      <w:r>
        <w:rPr>
          <w:rtl w:val="0"/>
        </w:rPr>
        <w:t>│   ├── BRD.md</w:t>
      </w:r>
    </w:p>
    <w:p w14:paraId="0000009F">
      <w:r>
        <w:rPr>
          <w:rtl w:val="0"/>
        </w:rPr>
        <w:t>│   ├── FRS.md</w:t>
      </w:r>
    </w:p>
    <w:p w14:paraId="000000A0">
      <w:r>
        <w:rPr>
          <w:rtl w:val="0"/>
        </w:rPr>
        <w:t>│   ├── NFRS.md</w:t>
      </w:r>
    </w:p>
    <w:p w14:paraId="000000A1">
      <w:r>
        <w:rPr>
          <w:rtl w:val="0"/>
        </w:rPr>
        <w:t>│   ├── personas.md</w:t>
      </w:r>
    </w:p>
    <w:p w14:paraId="000000A2">
      <w:r>
        <w:rPr>
          <w:rtl w:val="0"/>
        </w:rPr>
        <w:t>│   └── project-charter.md</w:t>
      </w:r>
    </w:p>
    <w:p w14:paraId="000000A3">
      <w:r>
        <w:rPr>
          <w:rtl w:val="0"/>
        </w:rPr>
        <w:t>├── diagrams/</w:t>
      </w:r>
    </w:p>
    <w:p w14:paraId="000000A4">
      <w:r>
        <w:rPr>
          <w:rtl w:val="0"/>
        </w:rPr>
        <w:t>│   ├── system-architecture.png</w:t>
      </w:r>
    </w:p>
    <w:p w14:paraId="000000A5">
      <w:r>
        <w:rPr>
          <w:rtl w:val="0"/>
        </w:rPr>
        <w:t>│   ├── er-diagram.png</w:t>
      </w:r>
    </w:p>
    <w:p w14:paraId="000000A6">
      <w:r>
        <w:rPr>
          <w:rtl w:val="0"/>
        </w:rPr>
        <w:t>│   └── wireframes/</w:t>
      </w:r>
    </w:p>
    <w:p w14:paraId="000000A7">
      <w:r>
        <w:rPr>
          <w:rtl w:val="0"/>
        </w:rPr>
        <w:t>├── frontend/</w:t>
      </w:r>
    </w:p>
    <w:p w14:paraId="000000A8">
      <w:r>
        <w:rPr>
          <w:rtl w:val="0"/>
        </w:rPr>
        <w:t>│   ├── public/</w:t>
      </w:r>
    </w:p>
    <w:p w14:paraId="000000A9">
      <w:r>
        <w:rPr>
          <w:rtl w:val="0"/>
        </w:rPr>
        <w:t>│   └── src/</w:t>
      </w:r>
    </w:p>
    <w:p w14:paraId="000000AA">
      <w:r>
        <w:rPr>
          <w:rtl w:val="0"/>
        </w:rPr>
        <w:t>├── backend/</w:t>
      </w:r>
    </w:p>
    <w:p w14:paraId="000000AB">
      <w:r>
        <w:rPr>
          <w:rtl w:val="0"/>
        </w:rPr>
        <w:t>│   ├── config/</w:t>
      </w:r>
    </w:p>
    <w:p w14:paraId="000000AC">
      <w:r>
        <w:rPr>
          <w:rtl w:val="0"/>
        </w:rPr>
        <w:t>│   ├── controllers/</w:t>
      </w:r>
    </w:p>
    <w:p w14:paraId="000000AD">
      <w:r>
        <w:rPr>
          <w:rtl w:val="0"/>
        </w:rPr>
        <w:t>│   ├── models/</w:t>
      </w:r>
    </w:p>
    <w:p w14:paraId="000000AE">
      <w:r>
        <w:rPr>
          <w:rtl w:val="0"/>
        </w:rPr>
        <w:t>│   ├── routes/</w:t>
      </w:r>
    </w:p>
    <w:p w14:paraId="000000AF">
      <w:r>
        <w:rPr>
          <w:rtl w:val="0"/>
        </w:rPr>
        <w:t>│   └── server.js</w:t>
      </w:r>
    </w:p>
    <w:p w14:paraId="000000B0">
      <w:r>
        <w:rPr>
          <w:rtl w:val="0"/>
        </w:rPr>
        <w:t>├── database/</w:t>
      </w:r>
    </w:p>
    <w:p w14:paraId="000000B1">
      <w:r>
        <w:rPr>
          <w:rtl w:val="0"/>
        </w:rPr>
        <w:t>│   ├── migrations/</w:t>
      </w:r>
    </w:p>
    <w:p w14:paraId="000000B2">
      <w:r>
        <w:rPr>
          <w:rtl w:val="0"/>
        </w:rPr>
        <w:t>│   └── schema.sql</w:t>
      </w:r>
    </w:p>
    <w:p w14:paraId="000000B3">
      <w:r>
        <w:rPr>
          <w:rtl w:val="0"/>
        </w:rPr>
        <w:t>└── tests/</w:t>
      </w:r>
    </w:p>
    <w:p w14:paraId="000000B4">
      <w:r>
        <w:rPr>
          <w:rtl w:val="0"/>
        </w:rPr>
        <w:t xml:space="preserve">    ├── unit/</w:t>
      </w:r>
    </w:p>
    <w:p w14:paraId="000000B5">
      <w:r>
        <w:rPr>
          <w:rtl w:val="0"/>
        </w:rPr>
        <w:t xml:space="preserve">    └── integration/</w:t>
      </w:r>
    </w:p>
    <w:p w14:paraId="000000B6"/>
    <w:p w14:paraId="000000B7">
      <w:pPr>
        <w:pStyle w:val="4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jzwevm93cra7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16. Product Discovery Documentation</w:t>
      </w:r>
    </w:p>
    <w:p w14:paraId="000000B8">
      <w:pPr>
        <w:numPr>
          <w:ilvl w:val="0"/>
          <w:numId w:val="11"/>
        </w:numPr>
        <w:spacing w:after="0" w:afterAutospacing="0"/>
        <w:ind w:left="720" w:hanging="360"/>
      </w:pPr>
      <w:r>
        <w:rPr>
          <w:b/>
          <w:bCs/>
          <w:rtl w:val="0"/>
        </w:rPr>
        <w:t>Target Audience:</w:t>
      </w:r>
      <w:r>
        <w:rPr>
          <w:rtl w:val="0"/>
        </w:rPr>
        <w:t xml:space="preserve"> Academic leaders, university registrars, department heads, professors, and higher education students.</w:t>
      </w:r>
    </w:p>
    <w:p w14:paraId="000000B9">
      <w:pPr>
        <w:numPr>
          <w:ilvl w:val="0"/>
          <w:numId w:val="11"/>
        </w:numPr>
        <w:spacing w:after="0" w:afterAutospacing="0"/>
        <w:ind w:left="720" w:hanging="360"/>
      </w:pPr>
      <w:r>
        <w:rPr>
          <w:b/>
          <w:bCs/>
          <w:rtl w:val="0"/>
        </w:rPr>
        <w:t>Core Value Proposition:</w:t>
      </w:r>
      <w:r>
        <w:rPr>
          <w:rtl w:val="0"/>
        </w:rPr>
        <w:t xml:space="preserve"> A unified academic operating system that eliminates manual record overhead, prevents data loss, and delivers transparent, real-time academic progression data to all stakeholders.</w:t>
      </w:r>
    </w:p>
    <w:p w14:paraId="000000BA">
      <w:pPr>
        <w:numPr>
          <w:ilvl w:val="0"/>
          <w:numId w:val="11"/>
        </w:numPr>
        <w:spacing w:after="240"/>
        <w:ind w:left="720" w:hanging="360"/>
      </w:pPr>
      <w:r>
        <w:rPr>
          <w:b/>
          <w:bCs/>
          <w:rtl w:val="0"/>
        </w:rPr>
        <w:t>Measurable ROI:</w:t>
      </w:r>
      <w:r>
        <w:rPr>
          <w:rtl w:val="0"/>
        </w:rPr>
        <w:t xml:space="preserve"> Up to 70% reduction in paper consumption, zero transcript generation delays, and instantaneous access to institutional compliance and accreditation data.</w:t>
      </w:r>
    </w:p>
    <w:p w14:paraId="000000BB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226637A-0987-4E70-BBB9-B114DA963AC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086EFDF-C0CB-4068-8C6E-FE961E8D80B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8ACB078-59E0-451A-BE9E-B7483E9067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F3498073-1C23-46D6-836C-BC6DF35D90C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3A002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1371</Words>
  <Characters>9483</Characters>
  <TotalTime>0</TotalTime>
  <ScaleCrop>false</ScaleCrop>
  <LinksUpToDate>false</LinksUpToDate>
  <CharactersWithSpaces>11042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2026-10-15T14:32:08Z</dcterms:created>
  <dc:creator>OM</dc:creator>
  <cp:lastModifiedBy>Yogesh Nawle</cp:lastModifiedBy>
  <dcterms:modified xsi:type="dcterms:W3CDTF">2026-10-15T14:32:47Z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eyJoZGlkIjoiODhlZDkwMDYyZDM0NWM1MzFlNWVlMzZlMzQ5YTgyYzIifQ==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7934844E0D7145B09476D5B3850C2356_12</vt:lpwstr>
  </property>
</Properties>
</file>