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00" w:before="15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99FF66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99FF66" w:val="clear"/>
        </w:rPr>
        <w:t>The registered user will login and go to the ‘Team‘ tab and click the ‘Goals’ sub-tab.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00" w:before="15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99FF66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99FF66" w:val="clear"/>
        </w:rPr>
        <w:t>Under the Goals sub-tab, the Group Leader or Co-Leader will set the ‘Group Goals’.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00" w:before="15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99FF66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99FF66" w:val="clear"/>
        </w:rPr>
        <w:t>Under the Target column the Group leader or Co-leader will set the 90 days target for sharing the number of referrals. This will be visible to all the group members.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00" w:before="15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99FF66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99FF66" w:val="clear"/>
        </w:rPr>
        <w:t>Under the Actual column, all the user will see the count of referrals shared by the group members in the present group for the 90 days.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uppressAutoHyphens w:val="true"/>
        <w:bidi w:val="0"/>
        <w:spacing w:lineRule="atLeast" w:line="300" w:before="15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 the Graph, the user will view the Target and Actual bar charts for the current month of the current group.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00" w:before="15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On group shuffling, the goals are reset and Group Leader or Co-Leader will set the goals again. For that month, the graph will show both the Actual and Target bars as ‘0’.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00" w:before="15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This graph will show the data of previous 2 months along with the current month of the current group. The previous months will also be of the current group.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00" w:before="15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If the user has not set the Target in the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Group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Goals, then the Target bar will be ‘0’ and the actual bar will increase based on the referrals shared by the user.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2015-11-20T13:11:59Z</dcterms:created>
  <dc:language>en-IN</dc:language>
  <dcterms:modified xsi:type="dcterms:W3CDTF">2015-11-20T13:12:52Z</dcterms:modified>
  <cp:revision>1</cp:revision>
</cp:coreProperties>
</file>