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 w:after="40"/>
        <w:jc w:val="left"/>
      </w:pPr>
      <w:r>
        <w:rPr>
          <w:rFonts w:ascii="Calibri" w:hAnsi="Calibri"/>
          <w:b/>
          <w:color w:val="185FA5"/>
          <w:sz w:val="56"/>
        </w:rPr>
        <w:t>APEX Pulse</w:t>
      </w:r>
    </w:p>
    <w:p>
      <w:pPr>
        <w:spacing w:after="567"/>
        <w:jc w:val="left"/>
      </w:pPr>
      <w:r>
        <w:rPr>
          <w:rFonts w:ascii="Calibri" w:hAnsi="Calibri"/>
          <w:color w:val="378ADD"/>
          <w:sz w:val="22"/>
        </w:rPr>
        <w:t>AI FinOps Intelligence Layer</w:t>
      </w:r>
    </w:p>
    <w:p>
      <w:pPr>
        <w:spacing w:before="120" w:after="120"/>
        <w:pBdr>
          <w:bottom w:val="single" w:sz="6" w:space="1" w:color="185FA5"/>
        </w:pBdr>
      </w:pPr>
    </w:p>
    <w:p/>
    <w:p>
      <w:pPr>
        <w:spacing w:before="567"/>
        <w:jc w:val="left"/>
      </w:pPr>
      <w:r>
        <w:rPr>
          <w:rFonts w:ascii="Calibri" w:hAnsi="Calibri"/>
          <w:b/>
          <w:color w:val="071E3D"/>
          <w:sz w:val="44"/>
        </w:rPr>
        <w:t>APEX Pulse — Product Backlog &amp; Sprint Plans</w:t>
      </w:r>
    </w:p>
    <w:p>
      <w:pPr>
        <w:spacing w:after="283"/>
      </w:pPr>
      <w:r>
        <w:rPr>
          <w:rFonts w:ascii="Calibri" w:hAnsi="Calibri"/>
          <w:color w:val="556B82"/>
          <w:sz w:val="22"/>
        </w:rPr>
        <w:t>Future sprints S11–S20 · Integration marketplace · SSO · Multi-tenant</w:t>
      </w:r>
    </w:p>
    <w:p/>
    <w:p>
      <w:pPr>
        <w:spacing w:before="40" w:after="40"/>
      </w:pPr>
      <w:r>
        <w:rPr>
          <w:rFonts w:ascii="Courier New" w:hAnsi="Courier New"/>
          <w:color w:val="556B82"/>
          <w:sz w:val="18"/>
        </w:rPr>
        <w:t>Version: 10.0.0 · Sprint 10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Generated: 14 June 2026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Source: BACKLOG.md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Classification: Internal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85FA5"/>
          <w:sz w:val="40"/>
        </w:rPr>
        <w:t>APEX Pulse — Product Backlog &amp; Sprint Planning</w:t>
      </w:r>
    </w:p>
    <w:p>
      <w:pPr>
        <w:spacing w:before="80" w:after="80"/>
        <w:ind w:left="567"/>
        <w:pBdr>
          <w:left w:val="single" w:sz="12" w:space="8" w:color="378ADD"/>
        </w:pBdr>
      </w:pPr>
      <w:r>
        <w:rPr>
          <w:rFonts w:ascii="Calibri" w:hAnsi="Calibri"/>
          <w:i/>
          <w:color w:val="556B82"/>
        </w:rPr>
        <w:t>Future sprints S11–S20. All items below are **planned but not yet implemented**.</w:t>
      </w:r>
    </w:p>
    <w:p>
      <w:pPr>
        <w:spacing w:before="80" w:after="80"/>
        <w:ind w:left="567"/>
        <w:pBdr>
          <w:left w:val="single" w:sz="12" w:space="8" w:color="378ADD"/>
        </w:pBdr>
      </w:pPr>
      <w:r>
        <w:rPr>
          <w:rFonts w:ascii="Calibri" w:hAnsi="Calibri"/>
          <w:i/>
          <w:color w:val="556B82"/>
        </w:rPr>
        <w:t>No code changes are required to plan this backlog.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Guiding Principle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Every feature in this backlog aims to </w:t>
      </w:r>
      <w:r>
        <w:rPr>
          <w:rFonts w:ascii="Calibri" w:hAnsi="Calibri"/>
          <w:b/>
          <w:sz w:val="21"/>
        </w:rPr>
        <w:t>eliminate the need for code changes</w:t>
      </w:r>
      <w:r>
        <w:rPr>
          <w:rFonts w:ascii="Calibri" w:hAnsi="Calibri"/>
          <w:sz w:val="21"/>
        </w:rPr>
        <w:t xml:space="preserve"> to manage the platform. Integrations should be connected through the UI, subscriptions managed through dashboards, and users invited and governed through the admin console — not by editing </w:t>
      </w:r>
      <w:r>
        <w:rPr>
          <w:rFonts w:ascii="Courier New" w:hAnsi="Courier New"/>
          <w:color w:val="185FA5"/>
          <w:sz w:val="19"/>
        </w:rPr>
        <w:t>.env</w:t>
      </w:r>
      <w:r>
        <w:rPr>
          <w:rFonts w:ascii="Calibri" w:hAnsi="Calibri"/>
          <w:sz w:val="21"/>
        </w:rPr>
        <w:t xml:space="preserve"> files or restarting containers.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S11 — In-App Provider Connection UI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Connect AI provider API keys from the Integrations page — no env var edits required.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Provider connection modal</w:t>
      </w:r>
      <w:r>
        <w:rPr>
          <w:rFonts w:ascii="Calibri" w:hAnsi="Calibri"/>
          <w:sz w:val="21"/>
        </w:rPr>
        <w:t xml:space="preserve"> — form with encrypted key input field per provider (Anthropic, OpenAI, Google, Azure, Bedrock)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Connection test</w:t>
      </w:r>
      <w:r>
        <w:rPr>
          <w:rFonts w:ascii="Calibri" w:hAnsi="Calibri"/>
          <w:sz w:val="21"/>
        </w:rPr>
        <w:t xml:space="preserve"> — validate the key against the provider's API before saving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Key vault storage</w:t>
      </w:r>
      <w:r>
        <w:rPr>
          <w:rFonts w:ascii="Calibri" w:hAnsi="Calibri"/>
          <w:sz w:val="21"/>
        </w:rPr>
        <w:t xml:space="preserve"> — store encrypted API keys in the </w:t>
      </w:r>
      <w:r>
        <w:rPr>
          <w:rFonts w:ascii="Calibri" w:hAnsi="Calibri"/>
          <w:color w:val="185FA5"/>
          <w:sz w:val="21"/>
        </w:rPr>
        <w:t>AppConfig</w:t>
      </w:r>
      <w:r>
        <w:rPr>
          <w:rFonts w:ascii="Calibri" w:hAnsi="Calibri"/>
          <w:sz w:val="21"/>
        </w:rPr>
        <w:t xml:space="preserve"> DB table (AES-256-GCM, encryption key from </w:t>
      </w:r>
      <w:r>
        <w:rPr>
          <w:rFonts w:ascii="Calibri" w:hAnsi="Calibri"/>
          <w:color w:val="185FA5"/>
          <w:sz w:val="21"/>
        </w:rPr>
        <w:t>APP_ENCRYPTION_KEY</w:t>
      </w:r>
      <w:r>
        <w:rPr>
          <w:rFonts w:ascii="Calibri" w:hAnsi="Calibri"/>
          <w:sz w:val="21"/>
        </w:rPr>
        <w:t xml:space="preserve"> env var)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Connection status indicators</w:t>
      </w:r>
      <w:r>
        <w:rPr>
          <w:rFonts w:ascii="Calibri" w:hAnsi="Calibri"/>
          <w:sz w:val="21"/>
        </w:rPr>
        <w:t xml:space="preserve"> — live green/red/pending badges per provider on the Integrations page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Key rotation</w:t>
      </w:r>
      <w:r>
        <w:rPr>
          <w:rFonts w:ascii="Calibri" w:hAnsi="Calibri"/>
          <w:sz w:val="21"/>
        </w:rPr>
        <w:t xml:space="preserve"> — re-enter a new key to replace the old one; old key is zeroed immediately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Audit trail</w:t>
      </w:r>
      <w:r>
        <w:rPr>
          <w:rFonts w:ascii="Calibri" w:hAnsi="Calibri"/>
          <w:sz w:val="21"/>
        </w:rPr>
        <w:t xml:space="preserve"> — all key additions and removals logged (never log the key value itself)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API additions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PUT /api/integrations/providers</w:t>
      </w:r>
      <w:r>
        <w:rPr>
          <w:rFonts w:ascii="Calibri" w:hAnsi="Calibri"/>
          <w:sz w:val="21"/>
        </w:rPr>
        <w:t xml:space="preserve"> — store/update encrypted provider key (admin only)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GET /api/integrations/providers</w:t>
      </w:r>
      <w:r>
        <w:rPr>
          <w:rFonts w:ascii="Calibri" w:hAnsi="Calibri"/>
          <w:sz w:val="21"/>
        </w:rPr>
        <w:t xml:space="preserve"> — return connection status for each provider (never return the key)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POST /api/integrations/providers/test</w:t>
      </w:r>
      <w:r>
        <w:rPr>
          <w:rFonts w:ascii="Calibri" w:hAnsi="Calibri"/>
          <w:sz w:val="21"/>
        </w:rPr>
        <w:t xml:space="preserve"> — fire a cheap test call to validate the key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Acceptance criteria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New admin can connect Anthropic and OpenAI from the browser without touching the server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Disconnecting a provider removes the key from the DB and marks that provider as inactive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All provider key operations appear in the audit log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S12 — Subscription &amp; Billing Management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Track team subscriptions, plan tiers, and renewal dates inside APEX Pulse.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Subscription registry</w:t>
      </w:r>
      <w:r>
        <w:rPr>
          <w:rFonts w:ascii="Calibri" w:hAnsi="Calibri"/>
          <w:sz w:val="21"/>
        </w:rPr>
        <w:t xml:space="preserve"> — manage records: provider, plan name, seats, cost/month, renewal date, billing contact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Renewal calendar</w:t>
      </w:r>
      <w:r>
        <w:rPr>
          <w:rFonts w:ascii="Calibri" w:hAnsi="Calibri"/>
          <w:sz w:val="21"/>
        </w:rPr>
        <w:t xml:space="preserve"> — dashboard widget showing upcoming renewals in the next 30/60/90 days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Cost reconciliation</w:t>
      </w:r>
      <w:r>
        <w:rPr>
          <w:rFonts w:ascii="Calibri" w:hAnsi="Calibri"/>
          <w:sz w:val="21"/>
        </w:rPr>
        <w:t xml:space="preserve"> — compare actual API spend against subscription commitments; flag over/under-utilisation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Committed spend tracker</w:t>
      </w:r>
      <w:r>
        <w:rPr>
          <w:rFonts w:ascii="Calibri" w:hAnsi="Calibri"/>
          <w:sz w:val="21"/>
        </w:rPr>
        <w:t xml:space="preserve"> — annual commitments (AWS Savings Plans, Azure Reserved, Anthropic volume deal) with burn-down gauge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Subscription alerts</w:t>
      </w:r>
      <w:r>
        <w:rPr>
          <w:rFonts w:ascii="Calibri" w:hAnsi="Calibri"/>
          <w:sz w:val="21"/>
        </w:rPr>
        <w:t xml:space="preserve"> — notify (Slack/webhook) when a renewal is &lt;30 days away, or when actual spend deviates &gt;20% from committed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CSV/JSON export</w:t>
      </w:r>
      <w:r>
        <w:rPr>
          <w:rFonts w:ascii="Calibri" w:hAnsi="Calibri"/>
          <w:sz w:val="21"/>
        </w:rPr>
        <w:t xml:space="preserve"> — export subscription registry for procurement/finance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New DB model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model Subscription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id           String   @id @default(uuid())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provider     String   // anthropic | openai | azure | aws | github_copilot | cursor ...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planName     String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seats        Int?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monthlyCost  Float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annualCommit Float?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renewalDate  DateTime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billingEmail String?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notes        String?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active       Boolean  @default(true)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createdAt    DateTime @default(now())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updatedAt    DateTime @updatedAt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Acceptance criteria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Finance user can view all subscriptions without logging into each provider portal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Renewal alerts fire to Slack ≥30 days before renewal date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Committed spend burn-down is visible on the Overview page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S13 — Advanced User Management &amp; SSO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Enterprise identity management without manual user creation.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SAML 2.0 / OIDC SSO</w:t>
      </w:r>
      <w:r>
        <w:rPr>
          <w:rFonts w:ascii="Calibri" w:hAnsi="Calibri"/>
          <w:sz w:val="21"/>
        </w:rPr>
        <w:t xml:space="preserve"> — integrate with Okta, Azure AD, Google Workspace, or any SAML IdP; uses </w:t>
      </w:r>
      <w:r>
        <w:rPr>
          <w:rFonts w:ascii="Calibri" w:hAnsi="Calibri"/>
          <w:color w:val="185FA5"/>
          <w:sz w:val="21"/>
        </w:rPr>
        <w:t>next-auth</w:t>
      </w:r>
      <w:r>
        <w:rPr>
          <w:rFonts w:ascii="Calibri" w:hAnsi="Calibri"/>
          <w:sz w:val="21"/>
        </w:rPr>
        <w:t xml:space="preserve"> OIDC provider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SCIM 2.0 provisioning</w:t>
      </w:r>
      <w:r>
        <w:rPr>
          <w:rFonts w:ascii="Calibri" w:hAnsi="Calibri"/>
          <w:sz w:val="21"/>
        </w:rPr>
        <w:t xml:space="preserve"> — auto-provision and deprovision users from Okta/Azure AD; REST endpoint at </w:t>
      </w:r>
      <w:r>
        <w:rPr>
          <w:rFonts w:ascii="Calibri" w:hAnsi="Calibri"/>
          <w:color w:val="185FA5"/>
          <w:sz w:val="21"/>
        </w:rPr>
        <w:t>/api/scim/v2/Users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Group-to-role mapping</w:t>
      </w:r>
      <w:r>
        <w:rPr>
          <w:rFonts w:ascii="Calibri" w:hAnsi="Calibri"/>
          <w:sz w:val="21"/>
        </w:rPr>
        <w:t xml:space="preserve"> — map IdP groups (e.g., </w:t>
      </w:r>
      <w:r>
        <w:rPr>
          <w:rFonts w:ascii="Calibri" w:hAnsi="Calibri"/>
          <w:color w:val="185FA5"/>
          <w:sz w:val="21"/>
        </w:rPr>
        <w:t>finops-admins</w:t>
      </w:r>
      <w:r>
        <w:rPr>
          <w:rFonts w:ascii="Calibri" w:hAnsi="Calibri"/>
          <w:sz w:val="21"/>
        </w:rPr>
        <w:t>) to APEX Pulse roles (</w:t>
      </w:r>
      <w:r>
        <w:rPr>
          <w:rFonts w:ascii="Calibri" w:hAnsi="Calibri"/>
          <w:color w:val="185FA5"/>
          <w:sz w:val="21"/>
        </w:rPr>
        <w:t>admin</w:t>
      </w:r>
      <w:r>
        <w:rPr>
          <w:rFonts w:ascii="Calibri" w:hAnsi="Calibri"/>
          <w:sz w:val="21"/>
        </w:rPr>
        <w:t>) at the tenant level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Bulk invite</w:t>
      </w:r>
      <w:r>
        <w:rPr>
          <w:rFonts w:ascii="Calibri" w:hAnsi="Calibri"/>
          <w:sz w:val="21"/>
        </w:rPr>
        <w:t xml:space="preserve"> — CSV upload to invite many users at once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Session management</w:t>
      </w:r>
      <w:r>
        <w:rPr>
          <w:rFonts w:ascii="Calibri" w:hAnsi="Calibri"/>
          <w:sz w:val="21"/>
        </w:rPr>
        <w:t xml:space="preserve"> — admin can see active sessions per user and force-expire individual sessions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MFA enforcement</w:t>
      </w:r>
      <w:r>
        <w:rPr>
          <w:rFonts w:ascii="Calibri" w:hAnsi="Calibri"/>
          <w:sz w:val="21"/>
        </w:rPr>
        <w:t xml:space="preserve"> — flag at the tenant level to require MFA (delegated to IdP in SSO mode, enforced via session metadata in credentials mode)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Password reset flow</w:t>
      </w:r>
      <w:r>
        <w:rPr>
          <w:rFonts w:ascii="Calibri" w:hAnsi="Calibri"/>
          <w:sz w:val="21"/>
        </w:rPr>
        <w:t xml:space="preserve"> — email-based reset with time-limited tokens (</w:t>
      </w:r>
      <w:r>
        <w:rPr>
          <w:rFonts w:ascii="Calibri" w:hAnsi="Calibri"/>
          <w:color w:val="185FA5"/>
          <w:sz w:val="21"/>
        </w:rPr>
        <w:t>/api/auth/reset-password</w:t>
      </w:r>
      <w:r>
        <w:rPr>
          <w:rFonts w:ascii="Calibri" w:hAnsi="Calibri"/>
          <w:sz w:val="21"/>
        </w:rPr>
        <w:t>)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New API additions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POST /api/scim/v2/Users</w:t>
      </w:r>
      <w:r>
        <w:rPr>
          <w:rFonts w:ascii="Calibri" w:hAnsi="Calibri"/>
          <w:sz w:val="21"/>
        </w:rPr>
        <w:t xml:space="preserve"> — SCIM user provisioning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PATCH /api/scim/v2/Users/:id</w:t>
      </w:r>
      <w:r>
        <w:rPr>
          <w:rFonts w:ascii="Calibri" w:hAnsi="Calibri"/>
          <w:sz w:val="21"/>
        </w:rPr>
        <w:t xml:space="preserve"> — SCIM role/active update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DELETE /api/scim/v2/Users/:id</w:t>
      </w:r>
      <w:r>
        <w:rPr>
          <w:rFonts w:ascii="Calibri" w:hAnsi="Calibri"/>
          <w:sz w:val="21"/>
        </w:rPr>
        <w:t xml:space="preserve"> — SCIM deprovisioning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POST /api/auth/reset-password/request</w:t>
      </w:r>
      <w:r>
        <w:rPr>
          <w:rFonts w:ascii="Calibri" w:hAnsi="Calibri"/>
          <w:sz w:val="21"/>
        </w:rPr>
        <w:t xml:space="preserve"> — send reset email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POST /api/auth/reset-password/confirm</w:t>
      </w:r>
      <w:r>
        <w:rPr>
          <w:rFonts w:ascii="Calibri" w:hAnsi="Calibri"/>
          <w:sz w:val="21"/>
        </w:rPr>
        <w:t xml:space="preserve"> — validate token + set new password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Acceptance criteria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An Okta administrator can push a user to APEX Pulse by assigning the app in Okta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SSO login shows the provider name on the login page instead of credential fields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Deprovisioning in Okta sets </w:t>
      </w:r>
      <w:r>
        <w:rPr>
          <w:rFonts w:ascii="Calibri" w:hAnsi="Calibri"/>
          <w:color w:val="185FA5"/>
          <w:sz w:val="21"/>
        </w:rPr>
        <w:t>active = false</w:t>
      </w:r>
      <w:r>
        <w:rPr>
          <w:rFonts w:ascii="Calibri" w:hAnsi="Calibri"/>
          <w:sz w:val="21"/>
        </w:rPr>
        <w:t xml:space="preserve"> in APEX Pulse within 60 seconds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S14 — Webhook &amp; Alert Management UI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Create, test, and monitor webhooks from the app without env var changes.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Webhook registry</w:t>
      </w:r>
      <w:r>
        <w:rPr>
          <w:rFonts w:ascii="Calibri" w:hAnsi="Calibri"/>
          <w:sz w:val="21"/>
        </w:rPr>
        <w:t xml:space="preserve"> — create named webhooks (Slack, HTTP, PagerDuty, Teams) from the Integrations page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Event type mapping</w:t>
      </w:r>
      <w:r>
        <w:rPr>
          <w:rFonts w:ascii="Calibri" w:hAnsi="Calibri"/>
          <w:sz w:val="21"/>
        </w:rPr>
        <w:t xml:space="preserve"> — choose which alert types trigger each webhook (budget threshold, cache alert, security)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Test delivery</w:t>
      </w:r>
      <w:r>
        <w:rPr>
          <w:rFonts w:ascii="Calibri" w:hAnsi="Calibri"/>
          <w:sz w:val="21"/>
        </w:rPr>
        <w:t xml:space="preserve"> — "Send test" button fires a sample payload immediately and shows the HTTP response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Delivery log</w:t>
      </w:r>
      <w:r>
        <w:rPr>
          <w:rFonts w:ascii="Calibri" w:hAnsi="Calibri"/>
          <w:sz w:val="21"/>
        </w:rPr>
        <w:t xml:space="preserve"> — per-webhook history: status code, latency, payload, timestamp, retry count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Retry policy</w:t>
      </w:r>
      <w:r>
        <w:rPr>
          <w:rFonts w:ascii="Calibri" w:hAnsi="Calibri"/>
          <w:sz w:val="21"/>
        </w:rPr>
        <w:t xml:space="preserve"> — configurable: up to 3 retries with exponential backoff on non-2xx responses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Signature verification</w:t>
      </w:r>
      <w:r>
        <w:rPr>
          <w:rFonts w:ascii="Calibri" w:hAnsi="Calibri"/>
          <w:sz w:val="21"/>
        </w:rPr>
        <w:t xml:space="preserve"> — outbound requests include </w:t>
      </w:r>
      <w:r>
        <w:rPr>
          <w:rFonts w:ascii="Calibri" w:hAnsi="Calibri"/>
          <w:color w:val="185FA5"/>
          <w:sz w:val="21"/>
        </w:rPr>
        <w:t>X-Apex-Signature</w:t>
      </w:r>
      <w:r>
        <w:rPr>
          <w:rFonts w:ascii="Calibri" w:hAnsi="Calibri"/>
          <w:sz w:val="21"/>
        </w:rPr>
        <w:t xml:space="preserve"> (HMAC-SHA256 of the payload)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New DB model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model Webhook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id         String   @id @default(uuid())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name       String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url        String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type       String   // slack | http | pagerduty | teams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events     String   // JSON array: ["budget_threshold","security"]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secret     String   // for HMAC signing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active     Boolean  @default(true)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createdAt  DateTime @default(now())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model WebhookDelivery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id         String   @id @default(uuid())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webhookId  String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alertId    String?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statusCode Int?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latencyMs  Int?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success    Boolean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sentAt     DateTime @default(now())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error      String?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Acceptance criteria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Admin can add a Slack webhook from the browser; it fires on the next budget alert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Delivery log shows all past deliveries with status codes and timestamps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Failed deliveries are retried up to 3 times with exponential backoff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S15 — Integration Marketplace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One-click connections to the tools teams already use, from the UI.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Integrations planned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Data exchanged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Auth method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Jira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issues for anomalies; tag spend by Jira project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OAuth 2.0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Linear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Linear issues for budget alerts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API key (stored encrypted)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GitHub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Copilot seat counts; link spend to repo/team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GitHub App or token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Slack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Rich block messages for alerts; daily digest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OAuth or incoming webhook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Datadog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Push cost metrics as custom metrics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API key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Grafana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Expose </w:t>
            </w:r>
            <w:r>
              <w:rPr>
                <w:rFonts w:ascii="Calibri" w:hAnsi="Calibri"/>
                <w:color w:val="185FA5"/>
                <w:sz w:val="19"/>
              </w:rPr>
              <w:t>/api/metrics</w:t>
            </w:r>
            <w:r>
              <w:rPr>
                <w:rFonts w:ascii="Calibri" w:hAnsi="Calibri"/>
                <w:sz w:val="19"/>
              </w:rPr>
              <w:t xml:space="preserve"> Prometheus endpoint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Token-based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ServiceNow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Create ITSM tickets for critical alerts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Basic auth / OAuth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Architecture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Each integration is a plug-in module in </w:t>
      </w:r>
      <w:r>
        <w:rPr>
          <w:rFonts w:ascii="Calibri" w:hAnsi="Calibri"/>
          <w:color w:val="185FA5"/>
          <w:sz w:val="21"/>
        </w:rPr>
        <w:t>src/lib/integrations/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Common interface: </w:t>
      </w:r>
      <w:r>
        <w:rPr>
          <w:rFonts w:ascii="Calibri" w:hAnsi="Calibri"/>
          <w:color w:val="185FA5"/>
          <w:sz w:val="21"/>
        </w:rPr>
        <w:t>connect(config)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85FA5"/>
          <w:sz w:val="21"/>
        </w:rPr>
        <w:t>test()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85FA5"/>
          <w:sz w:val="21"/>
        </w:rPr>
        <w:t>sync()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85FA5"/>
          <w:sz w:val="21"/>
        </w:rPr>
        <w:t>disconnect()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Credentials stored encrypted in </w:t>
      </w:r>
      <w:r>
        <w:rPr>
          <w:rFonts w:ascii="Calibri" w:hAnsi="Calibri"/>
          <w:color w:val="185FA5"/>
          <w:sz w:val="21"/>
        </w:rPr>
        <w:t>AppConfig</w:t>
      </w:r>
      <w:r>
        <w:rPr>
          <w:rFonts w:ascii="Calibri" w:hAnsi="Calibri"/>
          <w:sz w:val="21"/>
        </w:rPr>
        <w:t xml:space="preserve"> under namespaced keys (</w:t>
      </w:r>
      <w:r>
        <w:rPr>
          <w:rFonts w:ascii="Calibri" w:hAnsi="Calibri"/>
          <w:color w:val="185FA5"/>
          <w:sz w:val="21"/>
        </w:rPr>
        <w:t>integration.jira.token</w:t>
      </w:r>
      <w:r>
        <w:rPr>
          <w:rFonts w:ascii="Calibri" w:hAnsi="Calibri"/>
          <w:sz w:val="21"/>
        </w:rPr>
        <w:t>)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Sync runs on a configurable schedule via a background job (or triggered manually)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Acceptance criteria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Admin connects Jira in 3 clicks (OAuth flow); no code changes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Next alert automatically creates a Jira issue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Integration status is visible on the Integrations page with last-sync timestamp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S16 — Budget Automation &amp; Rules Engine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React to spend automatically — not just alert.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Budget rules</w:t>
      </w:r>
      <w:r>
        <w:rPr>
          <w:rFonts w:ascii="Calibri" w:hAnsi="Calibri"/>
          <w:sz w:val="21"/>
        </w:rPr>
        <w:t xml:space="preserve"> — </w:t>
      </w:r>
      <w:r>
        <w:rPr>
          <w:rFonts w:ascii="Calibri" w:hAnsi="Calibri"/>
          <w:color w:val="185FA5"/>
          <w:sz w:val="21"/>
        </w:rPr>
        <w:t>IF spend &gt; 90% THEN notify channel #finops AND disable non-essential projects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Project spend caps</w:t>
      </w:r>
      <w:r>
        <w:rPr>
          <w:rFonts w:ascii="Calibri" w:hAnsi="Calibri"/>
          <w:sz w:val="21"/>
        </w:rPr>
        <w:t xml:space="preserve"> — hard-stop or soft-warn when a project exceeds its monthly cap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Auto-scale down</w:t>
      </w:r>
      <w:r>
        <w:rPr>
          <w:rFonts w:ascii="Calibri" w:hAnsi="Calibri"/>
          <w:sz w:val="21"/>
        </w:rPr>
        <w:t xml:space="preserve"> — when budget threshold is hit, automatically lower </w:t>
      </w:r>
      <w:r>
        <w:rPr>
          <w:rFonts w:ascii="Calibri" w:hAnsi="Calibri"/>
          <w:color w:val="185FA5"/>
          <w:sz w:val="21"/>
        </w:rPr>
        <w:t>model_routing.default_model</w:t>
      </w:r>
      <w:r>
        <w:rPr>
          <w:rFonts w:ascii="Calibri" w:hAnsi="Calibri"/>
          <w:sz w:val="21"/>
        </w:rPr>
        <w:t xml:space="preserve"> from opus to sonnet via config write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Approval workflows</w:t>
      </w:r>
      <w:r>
        <w:rPr>
          <w:rFonts w:ascii="Calibri" w:hAnsi="Calibri"/>
          <w:sz w:val="21"/>
        </w:rPr>
        <w:t xml:space="preserve"> — budget increase requests require finance-role approval (stored as </w:t>
      </w:r>
      <w:r>
        <w:rPr>
          <w:rFonts w:ascii="Calibri" w:hAnsi="Calibri"/>
          <w:color w:val="185FA5"/>
          <w:sz w:val="21"/>
        </w:rPr>
        <w:t>PendingAction</w:t>
      </w:r>
      <w:r>
        <w:rPr>
          <w:rFonts w:ascii="Calibri" w:hAnsi="Calibri"/>
          <w:sz w:val="21"/>
        </w:rPr>
        <w:t xml:space="preserve"> rows)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Scheduled reports</w:t>
      </w:r>
      <w:r>
        <w:rPr>
          <w:rFonts w:ascii="Calibri" w:hAnsi="Calibri"/>
          <w:sz w:val="21"/>
        </w:rPr>
        <w:t xml:space="preserve"> — weekly/monthly spend digest emailed to configured recipients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New DB model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model BudgetRule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id          String   @id @default(uuid())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name        String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triggerPct  Float    // e.g. 90.0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actions     String   // JSON: [{type:"notify",channel:"#finops"},{type:"config_write",key:"...",value:"..."}]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active      Boolean  @default(true)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lastFiredAt DateTime?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Acceptance criteria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Finance user creates a rule "at 85% warn #finops" from the UI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Rule fires the Slack notification at the configured threshold without admin intervention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S17 — AI-Powered Optimization Engine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Move from static recommendations to live, AI-generated, context-aware suggestions.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Continuous analysis</w:t>
      </w:r>
      <w:r>
        <w:rPr>
          <w:rFonts w:ascii="Calibri" w:hAnsi="Calibri"/>
          <w:sz w:val="21"/>
        </w:rPr>
        <w:t xml:space="preserve"> — background job (every 6 hours) runs Claude Haiku over the last 7 days of usage data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Pattern detection</w:t>
      </w:r>
      <w:r>
        <w:rPr>
          <w:rFonts w:ascii="Calibri" w:hAnsi="Calibri"/>
          <w:sz w:val="21"/>
        </w:rPr>
        <w:t xml:space="preserve"> — identify: unused seat allocations, over-provisioned models for low-complexity tasks, cache hit rate degradation, team spend anomalies vs. historical baseline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Actionable recommendations</w:t>
      </w:r>
      <w:r>
        <w:rPr>
          <w:rFonts w:ascii="Calibri" w:hAnsi="Calibri"/>
          <w:sz w:val="21"/>
        </w:rPr>
        <w:t xml:space="preserve"> — each suggestion includes estimated savings, confidence level, and a one-click "apply" button (for safe config changes) or "create ticket" (for process changes)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Recommendation history</w:t>
      </w:r>
      <w:r>
        <w:rPr>
          <w:rFonts w:ascii="Calibri" w:hAnsi="Calibri"/>
          <w:sz w:val="21"/>
        </w:rPr>
        <w:t xml:space="preserve"> — track which suggestions were applied, dismissed, or expired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ROI tracking</w:t>
      </w:r>
      <w:r>
        <w:rPr>
          <w:rFonts w:ascii="Calibri" w:hAnsi="Calibri"/>
          <w:sz w:val="21"/>
        </w:rPr>
        <w:t xml:space="preserve"> — after applying a suggestion, measure actual savings vs. projected for the next 30 days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API additions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GET /api/ai/recommendations</w:t>
      </w:r>
      <w:r>
        <w:rPr>
          <w:rFonts w:ascii="Calibri" w:hAnsi="Calibri"/>
          <w:sz w:val="21"/>
        </w:rPr>
        <w:t xml:space="preserve"> — returns live recommendations with savings estimates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POST /api/ai/recommendations/:id/apply</w:t>
      </w:r>
      <w:r>
        <w:rPr>
          <w:rFonts w:ascii="Calibri" w:hAnsi="Calibri"/>
          <w:sz w:val="21"/>
        </w:rPr>
        <w:t xml:space="preserve"> — applies the recommended config change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POST /api/ai/recommendations/:id/dismiss</w:t>
      </w:r>
      <w:r>
        <w:rPr>
          <w:rFonts w:ascii="Calibri" w:hAnsi="Calibri"/>
          <w:sz w:val="21"/>
        </w:rPr>
        <w:t xml:space="preserve"> — marks dismissed, won't resurface for 30 days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Acceptance criteria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At least 3 actionable recommendations are surfaced after seeding 30 days of data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Applying a "switch model routing" recommendation changes the config value and logs to audit trail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Recommendations refresh automatically every 6 hours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S18 — Multi-Tenant &amp; Organisation Hierarchy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Support multiple organisations or business units on a single APEX Pulse instance.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Tenant model</w:t>
      </w:r>
      <w:r>
        <w:rPr>
          <w:rFonts w:ascii="Calibri" w:hAnsi="Calibri"/>
          <w:sz w:val="21"/>
        </w:rPr>
        <w:t xml:space="preserve"> — each org has its own set of users, budgets, config, and provider keys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Tenant isolation</w:t>
      </w:r>
      <w:r>
        <w:rPr>
          <w:rFonts w:ascii="Calibri" w:hAnsi="Calibri"/>
          <w:sz w:val="21"/>
        </w:rPr>
        <w:t xml:space="preserve"> — all DB queries are scoped by </w:t>
      </w:r>
      <w:r>
        <w:rPr>
          <w:rFonts w:ascii="Calibri" w:hAnsi="Calibri"/>
          <w:color w:val="185FA5"/>
          <w:sz w:val="21"/>
        </w:rPr>
        <w:t>tenantId</w:t>
      </w:r>
      <w:r>
        <w:rPr>
          <w:rFonts w:ascii="Calibri" w:hAnsi="Calibri"/>
          <w:sz w:val="21"/>
        </w:rPr>
        <w:t>; cross-tenant data access is impossible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Super-admin role</w:t>
      </w:r>
      <w:r>
        <w:rPr>
          <w:rFonts w:ascii="Calibri" w:hAnsi="Calibri"/>
          <w:sz w:val="21"/>
        </w:rPr>
        <w:t xml:space="preserve"> — platform operator can manage all tenants, create new orgs, set tenant-level quotas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Per-tenant RBAC</w:t>
      </w:r>
      <w:r>
        <w:rPr>
          <w:rFonts w:ascii="Calibri" w:hAnsi="Calibri"/>
          <w:sz w:val="21"/>
        </w:rPr>
        <w:t xml:space="preserve"> — each tenant has its own admin; cannot see other tenants' data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Tenant provisioning API</w:t>
      </w:r>
      <w:r>
        <w:rPr>
          <w:rFonts w:ascii="Calibri" w:hAnsi="Calibri"/>
          <w:sz w:val="21"/>
        </w:rPr>
        <w:t xml:space="preserve"> — </w:t>
      </w:r>
      <w:r>
        <w:rPr>
          <w:rFonts w:ascii="Calibri" w:hAnsi="Calibri"/>
          <w:color w:val="185FA5"/>
          <w:sz w:val="21"/>
        </w:rPr>
        <w:t>POST /api/tenants</w:t>
      </w:r>
      <w:r>
        <w:rPr>
          <w:rFonts w:ascii="Calibri" w:hAnsi="Calibri"/>
          <w:sz w:val="21"/>
        </w:rPr>
        <w:t xml:space="preserve"> for platform operators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Schema impact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Most existing models gain a </w:t>
      </w:r>
      <w:r>
        <w:rPr>
          <w:rFonts w:ascii="Courier New" w:hAnsi="Courier New"/>
          <w:color w:val="185FA5"/>
          <w:sz w:val="19"/>
        </w:rPr>
        <w:t>tenantId String</w:t>
      </w:r>
      <w:r>
        <w:rPr>
          <w:rFonts w:ascii="Calibri" w:hAnsi="Calibri"/>
          <w:sz w:val="21"/>
        </w:rPr>
        <w:t xml:space="preserve"> column. A new </w:t>
      </w:r>
      <w:r>
        <w:rPr>
          <w:rFonts w:ascii="Courier New" w:hAnsi="Courier New"/>
          <w:color w:val="185FA5"/>
          <w:sz w:val="19"/>
        </w:rPr>
        <w:t>Tenant</w:t>
      </w:r>
      <w:r>
        <w:rPr>
          <w:rFonts w:ascii="Calibri" w:hAnsi="Calibri"/>
          <w:sz w:val="21"/>
        </w:rPr>
        <w:t xml:space="preserve"> model tracks subscription plan, quota, and feature flags.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Acceptance criteria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Two tenants on the same instance cannot see each other's usage data or users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Super-admin can view a cross-tenant spend summary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Tenant creation takes &lt;60 seconds via API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S19 — Mobile-Optimised Dashboard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Full feature parity on mobile browsers; native app shells optional.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Responsive overhaul</w:t>
      </w:r>
      <w:r>
        <w:rPr>
          <w:rFonts w:ascii="Calibri" w:hAnsi="Calibri"/>
          <w:sz w:val="21"/>
        </w:rPr>
        <w:t xml:space="preserve"> — all pages reflow correctly on 375px–428px viewports (iPhone SE → Pro Max)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Progressive Web App (PWA)</w:t>
      </w:r>
      <w:r>
        <w:rPr>
          <w:rFonts w:ascii="Calibri" w:hAnsi="Calibri"/>
          <w:sz w:val="21"/>
        </w:rPr>
        <w:t xml:space="preserve"> — manifest.json + service worker for "Add to Home Screen"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Push notifications</w:t>
      </w:r>
      <w:r>
        <w:rPr>
          <w:rFonts w:ascii="Calibri" w:hAnsi="Calibri"/>
          <w:sz w:val="21"/>
        </w:rPr>
        <w:t xml:space="preserve"> — budget alerts and critical incidents delivered as browser push notifications (Web Push API)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Touch-optimised charts</w:t>
      </w:r>
      <w:r>
        <w:rPr>
          <w:rFonts w:ascii="Calibri" w:hAnsi="Calibri"/>
          <w:sz w:val="21"/>
        </w:rPr>
        <w:t xml:space="preserve"> — Recharts tooltips and touch targets enlarged for finger input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Offline mode</w:t>
      </w:r>
      <w:r>
        <w:rPr>
          <w:rFonts w:ascii="Calibri" w:hAnsi="Calibri"/>
          <w:sz w:val="21"/>
        </w:rPr>
        <w:t xml:space="preserve"> — service worker caches the last known dashboard state; shows staleness indicator when offline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Acceptance criteria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All 13 pages usable on a 390px-wide screen without horizontal scroll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Budget alert push notification delivered within 60 seconds of threshold crossing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App works in Chrome, Safari iOS, and Firefox Android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S20 — Enterprise Marketplace &amp; ISV Listing</w:t>
      </w:r>
    </w:p>
    <w:p>
      <w:pPr>
        <w:spacing w:before="40" w:after="120"/>
      </w:pPr>
      <w:r>
        <w:rPr>
          <w:rFonts w:ascii="Calibri" w:hAnsi="Calibri"/>
          <w:b/>
          <w:sz w:val="21"/>
        </w:rPr>
        <w:t>Goal:</w:t>
      </w:r>
      <w:r>
        <w:rPr>
          <w:rFonts w:ascii="Calibri" w:hAnsi="Calibri"/>
          <w:sz w:val="21"/>
        </w:rPr>
        <w:t xml:space="preserve"> Package APEX Pulse for enterprise procurement channels.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Features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AWS Marketplace listing</w:t>
      </w:r>
      <w:r>
        <w:rPr>
          <w:rFonts w:ascii="Calibri" w:hAnsi="Calibri"/>
          <w:sz w:val="21"/>
        </w:rPr>
        <w:t xml:space="preserve"> — AMI and ECS-based deployment; metered billing via AWS Marketplace Metering API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Azure Marketplace listing</w:t>
      </w:r>
      <w:r>
        <w:rPr>
          <w:rFonts w:ascii="Calibri" w:hAnsi="Calibri"/>
          <w:sz w:val="21"/>
        </w:rPr>
        <w:t xml:space="preserve"> — managed application or solution template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BYOL support</w:t>
      </w:r>
      <w:r>
        <w:rPr>
          <w:rFonts w:ascii="Calibri" w:hAnsi="Calibri"/>
          <w:sz w:val="21"/>
        </w:rPr>
        <w:t xml:space="preserve"> — license key validation for on-premises deployments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SOC 2 Type II readiness</w:t>
      </w:r>
      <w:r>
        <w:rPr>
          <w:rFonts w:ascii="Calibri" w:hAnsi="Calibri"/>
          <w:sz w:val="21"/>
        </w:rPr>
        <w:t xml:space="preserve"> — evidence package: access logs, change management, encryption-at-rest proof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ISO 27001 readiness</w:t>
      </w:r>
      <w:r>
        <w:rPr>
          <w:rFonts w:ascii="Calibri" w:hAnsi="Calibri"/>
          <w:sz w:val="21"/>
        </w:rPr>
        <w:t xml:space="preserve"> — risk register, asset inventory, policy templates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Penetration test report</w:t>
      </w:r>
      <w:r>
        <w:rPr>
          <w:rFonts w:ascii="Calibri" w:hAnsi="Calibri"/>
          <w:sz w:val="21"/>
        </w:rPr>
        <w:t xml:space="preserve"> — annual third-party pentest with remediation tracking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Acceptance criteria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A customer can deploy APEX Pulse from the AWS Marketplace in under 20 minutes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Compliance evidence package is auto-generated from audit log exports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Backlog Prioritisation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824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Theme</w:t>
            </w:r>
          </w:p>
        </w:tc>
        <w:tc>
          <w:tcPr>
            <w:tcW w:type="dxa" w:w="1824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824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Complexity</w:t>
            </w:r>
          </w:p>
        </w:tc>
        <w:tc>
          <w:tcPr>
            <w:tcW w:type="dxa" w:w="1824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S11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In-App Provider Connection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★★★★★</w:t>
            </w:r>
          </w:p>
        </w:tc>
      </w:tr>
      <w:tr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S12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Subscription Management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★★★★☆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S13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SSO &amp; SCIM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★★★★☆</w:t>
            </w:r>
          </w:p>
        </w:tc>
      </w:tr>
      <w:tr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S14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Webhook Management UI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★★★☆☆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S15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Integration Marketplace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★★★★☆</w:t>
            </w:r>
          </w:p>
        </w:tc>
      </w:tr>
      <w:tr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S16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Budget Automation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★★★★☆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S17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 Optimization Engine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★★★★☆</w:t>
            </w:r>
          </w:p>
        </w:tc>
      </w:tr>
      <w:tr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S18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Multi-Tenant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Very High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★★★☆☆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S19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Mobile PWA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★★★☆☆</w:t>
            </w:r>
          </w:p>
        </w:tc>
      </w:tr>
      <w:tr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S20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Marketplace Listing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Very High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★★☆☆☆</w:t>
            </w:r>
          </w:p>
        </w:tc>
      </w:tr>
    </w:tbl>
    <w:p/>
    <w:p>
      <w:pPr>
        <w:spacing w:before="40" w:after="120"/>
      </w:pPr>
      <w:r>
        <w:rPr>
          <w:rFonts w:ascii="Calibri" w:hAnsi="Calibri"/>
          <w:b/>
          <w:sz w:val="21"/>
        </w:rPr>
        <w:t>Recommended sprint order:</w:t>
      </w:r>
      <w:r>
        <w:rPr>
          <w:rFonts w:ascii="Calibri" w:hAnsi="Calibri"/>
          <w:sz w:val="21"/>
        </w:rPr>
        <w:t xml:space="preserve"> S11 → S12 → S16 → S14 → S13 → S15 → S17 → S19 → S18 → S20</w:t>
      </w:r>
    </w:p>
    <w:p>
      <w:pPr>
        <w:spacing w:before="40" w:after="120"/>
      </w:pPr>
      <w:r>
        <w:rPr>
          <w:rFonts w:ascii="Calibri" w:hAnsi="Calibri"/>
          <w:sz w:val="21"/>
        </w:rPr>
        <w:t>This ordering delivers the highest user value (self-service integrations + budget automation) before the higher-complexity enterprise features (SSO, multi-tenant, marketplace).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6B82"/>
        <w:sz w:val="16"/>
      </w:rPr>
      <w:t xml:space="preserve">APEX Pulse  ·  Confidential  ·  </w:t>
    </w:r>
    <w:r>
      <w:rPr>
        <w:color w:val="556B82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378ADD"/>
      </w:pBdr>
    </w:pPr>
    <w:r>
      <w:rPr>
        <w:rFonts w:ascii="Calibri" w:hAnsi="Calibri"/>
        <w:i/>
        <w:color w:val="556B82"/>
        <w:sz w:val="17"/>
      </w:rPr>
      <w:t>APEX Pulse  ·  APEX Pulse — Product Backlog &amp; Sprint Plans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71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