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 w:after="40"/>
        <w:jc w:val="left"/>
      </w:pPr>
      <w:r>
        <w:rPr>
          <w:rFonts w:ascii="Calibri" w:hAnsi="Calibri"/>
          <w:b/>
          <w:color w:val="185FA5"/>
          <w:sz w:val="56"/>
        </w:rPr>
        <w:t>APEX Pulse</w:t>
      </w:r>
    </w:p>
    <w:p>
      <w:pPr>
        <w:spacing w:after="567"/>
        <w:jc w:val="left"/>
      </w:pPr>
      <w:r>
        <w:rPr>
          <w:rFonts w:ascii="Calibri" w:hAnsi="Calibri"/>
          <w:color w:val="378ADD"/>
          <w:sz w:val="22"/>
        </w:rPr>
        <w:t>AI FinOps Intelligence Layer</w:t>
      </w:r>
    </w:p>
    <w:p>
      <w:pPr>
        <w:spacing w:before="120" w:after="120"/>
        <w:pBdr>
          <w:bottom w:val="single" w:sz="6" w:space="1" w:color="185FA5"/>
        </w:pBdr>
      </w:pPr>
    </w:p>
    <w:p/>
    <w:p>
      <w:pPr>
        <w:spacing w:before="567"/>
        <w:jc w:val="left"/>
      </w:pPr>
      <w:r>
        <w:rPr>
          <w:rFonts w:ascii="Calibri" w:hAnsi="Calibri"/>
          <w:b/>
          <w:color w:val="071E3D"/>
          <w:sz w:val="44"/>
        </w:rPr>
        <w:t>APEX Pulse — Security Reference</w:t>
      </w:r>
    </w:p>
    <w:p>
      <w:pPr>
        <w:spacing w:after="283"/>
      </w:pPr>
      <w:r>
        <w:rPr>
          <w:rFonts w:ascii="Calibri" w:hAnsi="Calibri"/>
          <w:color w:val="556B82"/>
          <w:sz w:val="22"/>
        </w:rPr>
        <w:t>Authentication, RBAC, TLS, audit trail, secrets management</w:t>
      </w:r>
    </w:p>
    <w:p/>
    <w:p>
      <w:pPr>
        <w:spacing w:before="40" w:after="40"/>
      </w:pPr>
      <w:r>
        <w:rPr>
          <w:rFonts w:ascii="Courier New" w:hAnsi="Courier New"/>
          <w:color w:val="556B82"/>
          <w:sz w:val="18"/>
        </w:rPr>
        <w:t>Version: 10.0.0 · Sprint 10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Generated: 14 June 2026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Source: SECURITY.md</w:t>
      </w:r>
    </w:p>
    <w:p>
      <w:pPr>
        <w:spacing w:before="40" w:after="40"/>
      </w:pPr>
      <w:r>
        <w:rPr>
          <w:rFonts w:ascii="Courier New" w:hAnsi="Courier New"/>
          <w:color w:val="556B82"/>
          <w:sz w:val="18"/>
        </w:rPr>
        <w:t>Classification: Internal</w:t>
      </w:r>
    </w:p>
    <w:p>
      <w:r>
        <w:br w:type="page"/>
      </w:r>
    </w:p>
    <w:p>
      <w:pPr>
        <w:pStyle w:val="Heading1"/>
        <w:keepNext/>
        <w:spacing w:before="280" w:after="80"/>
      </w:pPr>
      <w:r>
        <w:rPr>
          <w:rFonts w:ascii="Calibri" w:hAnsi="Calibri"/>
          <w:b/>
          <w:color w:val="185FA5"/>
          <w:sz w:val="40"/>
        </w:rPr>
        <w:t>APEX Pulse — Security Reference</w:t>
      </w:r>
    </w:p>
    <w:p>
      <w:pPr>
        <w:spacing w:before="80" w:after="80"/>
        <w:ind w:left="567"/>
        <w:pBdr>
          <w:left w:val="single" w:sz="12" w:space="8" w:color="378ADD"/>
        </w:pBdr>
      </w:pPr>
      <w:r>
        <w:rPr>
          <w:rFonts w:ascii="Calibri" w:hAnsi="Calibri"/>
          <w:i/>
          <w:color w:val="556B82"/>
        </w:rPr>
        <w:t>Authentication, RBAC, secrets management, network security, and audit trail.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Authentication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Mechanism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APEX Pulse uses </w:t>
      </w:r>
      <w:r>
        <w:rPr>
          <w:rFonts w:ascii="Calibri" w:hAnsi="Calibri"/>
          <w:b/>
          <w:sz w:val="21"/>
        </w:rPr>
        <w:t>NextAuth v4</w:t>
      </w:r>
      <w:r>
        <w:rPr>
          <w:rFonts w:ascii="Calibri" w:hAnsi="Calibri"/>
          <w:sz w:val="21"/>
        </w:rPr>
        <w:t xml:space="preserve"> with stateless JWT sessions (no server-side session store required).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Token format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Signed JWT (HS256, NEXTAUTH_SECRET)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 lifetime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24 hours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Transport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HTTP-only cookie (</w:t>
            </w:r>
            <w:r>
              <w:rPr>
                <w:rFonts w:ascii="Calibri" w:hAnsi="Calibri"/>
                <w:color w:val="185FA5"/>
                <w:sz w:val="19"/>
              </w:rPr>
              <w:t>__Secure-next-auth.session-token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Strategy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jwt</w:t>
            </w:r>
            <w:r>
              <w:rPr>
                <w:rFonts w:ascii="Calibri" w:hAnsi="Calibri"/>
                <w:sz w:val="19"/>
              </w:rPr>
              <w:t xml:space="preserve"> — no DB session rows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Auth providers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Provider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Default role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Credentials (email + password)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Always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DB-stored role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GitHub OAuth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When </w:t>
            </w:r>
            <w:r>
              <w:rPr>
                <w:rFonts w:ascii="Calibri" w:hAnsi="Calibri"/>
                <w:color w:val="185FA5"/>
                <w:sz w:val="19"/>
              </w:rPr>
              <w:t>GITHUB_CLIENT_ID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GITHUB_CLIENT_SECRET</w:t>
            </w:r>
            <w:r>
              <w:rPr>
                <w:rFonts w:ascii="Calibri" w:hAnsi="Calibri"/>
                <w:sz w:val="19"/>
              </w:rPr>
              <w:t xml:space="preserve"> are set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viewer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Env bootstrap admin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When </w:t>
            </w:r>
            <w:r>
              <w:rPr>
                <w:rFonts w:ascii="Calibri" w:hAnsi="Calibri"/>
                <w:color w:val="185FA5"/>
                <w:sz w:val="19"/>
              </w:rPr>
              <w:t>ADMIN_EMAIL</w:t>
            </w:r>
            <w:r>
              <w:rPr>
                <w:rFonts w:ascii="Calibri" w:hAnsi="Calibri"/>
                <w:sz w:val="19"/>
              </w:rPr>
              <w:t xml:space="preserve"> + </w:t>
            </w:r>
            <w:r>
              <w:rPr>
                <w:rFonts w:ascii="Calibri" w:hAnsi="Calibri"/>
                <w:color w:val="185FA5"/>
                <w:sz w:val="19"/>
              </w:rPr>
              <w:t>ADMIN_PASSWORD</w:t>
            </w:r>
            <w:r>
              <w:rPr>
                <w:rFonts w:ascii="Calibri" w:hAnsi="Calibri"/>
                <w:sz w:val="19"/>
              </w:rPr>
              <w:t xml:space="preserve"> are set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Token propagation</w:t>
      </w:r>
    </w:p>
    <w:p>
      <w:pPr>
        <w:spacing w:before="40" w:after="120"/>
      </w:pPr>
      <w:r>
        <w:rPr>
          <w:rFonts w:ascii="Calibri" w:hAnsi="Calibri"/>
          <w:sz w:val="21"/>
        </w:rPr>
        <w:t>The middleware (</w:t>
      </w:r>
      <w:r>
        <w:rPr>
          <w:rFonts w:ascii="Courier New" w:hAnsi="Courier New"/>
          <w:color w:val="185FA5"/>
          <w:sz w:val="19"/>
        </w:rPr>
        <w:t>src/middleware.ts</w:t>
      </w:r>
      <w:r>
        <w:rPr>
          <w:rFonts w:ascii="Calibri" w:hAnsi="Calibri"/>
          <w:sz w:val="21"/>
        </w:rPr>
        <w:t>) validates the JWT on every non-public request and forwards identity headers to API routes: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x-user-id    — UUID from User table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x-user-email — email string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x-user-role  — admin | finance | manager | viewer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API routes read role from </w:t>
      </w:r>
      <w:r>
        <w:rPr>
          <w:rFonts w:ascii="Courier New" w:hAnsi="Courier New"/>
          <w:color w:val="185FA5"/>
          <w:sz w:val="19"/>
        </w:rPr>
        <w:t>x-user-role</w:t>
      </w:r>
      <w:r>
        <w:rPr>
          <w:rFonts w:ascii="Calibri" w:hAnsi="Calibri"/>
          <w:sz w:val="21"/>
        </w:rPr>
        <w:t xml:space="preserve"> rather than re-verifying the JWT, which avoids redundant DB lookups.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Role-Based Access Control (RBAC)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304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admin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Full platform access, user management, config write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finance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Budget management, audit log, all read permissions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manager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All read + data export</w:t>
            </w:r>
          </w:p>
        </w:tc>
      </w:tr>
      <w:tr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viewer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type="dxa" w:w="304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Read-only access to dashboards</w:t>
            </w:r>
          </w:p>
        </w:tc>
      </w:tr>
    </w:tbl>
    <w:p/>
    <w:p>
      <w:pPr>
        <w:spacing w:before="40" w:after="120"/>
      </w:pPr>
      <w:r>
        <w:rPr>
          <w:rFonts w:ascii="Calibri" w:hAnsi="Calibri"/>
          <w:sz w:val="21"/>
        </w:rPr>
        <w:t xml:space="preserve">Roles are </w:t>
      </w:r>
      <w:r>
        <w:rPr>
          <w:rFonts w:ascii="Calibri" w:hAnsi="Calibri"/>
          <w:b/>
          <w:sz w:val="21"/>
        </w:rPr>
        <w:t>additive and hierarchical</w:t>
      </w:r>
      <w:r>
        <w:rPr>
          <w:rFonts w:ascii="Calibri" w:hAnsi="Calibri"/>
          <w:sz w:val="21"/>
        </w:rPr>
        <w:t xml:space="preserve"> — a higher role inherits all lower-role permissions.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Permissions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Permission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viewer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manager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finance</w:t>
            </w:r>
          </w:p>
        </w:tc>
        <w:tc>
          <w:tcPr>
            <w:tcW w:type="dxa" w:w="1824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admin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usage:read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budget:read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optimization:read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config:read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export:read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audit:read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budget:write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config:write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  <w:tr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user:write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1824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✓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Enforcement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Middleware</w:t>
            </w:r>
            <w:r>
              <w:rPr>
                <w:rFonts w:ascii="Calibri" w:hAnsi="Calibri"/>
                <w:sz w:val="19"/>
              </w:rPr>
              <w:t xml:space="preserve"> (</w:t>
            </w:r>
            <w:r>
              <w:rPr>
                <w:rFonts w:ascii="Calibri" w:hAnsi="Calibri"/>
                <w:color w:val="185FA5"/>
                <w:sz w:val="19"/>
              </w:rPr>
              <w:t>src/middleware.ts</w:t>
            </w:r>
            <w:r>
              <w:rPr>
                <w:rFonts w:ascii="Calibri" w:hAnsi="Calibri"/>
                <w:sz w:val="19"/>
              </w:rPr>
              <w:t>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JWT check → 401/redirect on unauthenticated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API routes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hasRole(req.headers['x-user-role'], 'required-role')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Specific permission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can(role, 'permission:name')</w:t>
            </w:r>
            <w:r>
              <w:rPr>
                <w:rFonts w:ascii="Calibri" w:hAnsi="Calibri"/>
                <w:sz w:val="19"/>
              </w:rPr>
              <w:t xml:space="preserve"> from </w:t>
            </w:r>
            <w:r>
              <w:rPr>
                <w:rFonts w:ascii="Calibri" w:hAnsi="Calibri"/>
                <w:color w:val="185FA5"/>
                <w:sz w:val="19"/>
              </w:rPr>
              <w:t>src/lib/rbac.ts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sz w:val="19"/>
              </w:rPr>
              <w:t>UI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Role-gated nav items and action buttons (enforced client-side only — API is the authoritative gate)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Adding a new protected route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{ hasRole } from '@/lib/rbac'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import { type NextRequest, NextResponse } from 'next/server'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export async function POST(req: NextRequest)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const role = req.headers.get('x-user-role')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if (!hasRole(role, 'finance'))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  return NextResponse.json({ error: 'Forbidden' }, { status: 403 })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}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// ...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Audit Trail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Every write operation and auth event is logged to the </w:t>
      </w:r>
      <w:r>
        <w:rPr>
          <w:rFonts w:ascii="Courier New" w:hAnsi="Courier New"/>
          <w:color w:val="185FA5"/>
          <w:sz w:val="19"/>
        </w:rPr>
        <w:t>AuditLog</w:t>
      </w:r>
      <w:r>
        <w:rPr>
          <w:rFonts w:ascii="Calibri" w:hAnsi="Calibri"/>
          <w:sz w:val="21"/>
        </w:rPr>
        <w:t xml:space="preserve"> table: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Event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Trigger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LOGIN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Successful sign-in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LOGOUT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Sign-out (when NextAuth signOut callback fires)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ACCESS_DENIED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403 returned from any API route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CREATE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New user, budget, config key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UPDATE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Role change, budget update, config value edit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DELETE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 deactivation, record removal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Audit log schema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model AuditLog {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id        String   @id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timestamp DateTime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action    String   // CREATE | UPDATE | DELETE | LOGIN | LOGOUT | ACCESS_DENIED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resource  String   // budget | config | user | usage | export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userId   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userEmail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ipAddress String?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before    String?  // JSON</w:t>
      </w:r>
    </w:p>
    <w:p>
      <w:pPr>
        <w:spacing w:before="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 xml:space="preserve">  after     String?  // JSON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}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Querying the audit log</w:t>
      </w:r>
    </w:p>
    <w:p>
      <w:pPr>
        <w:spacing w:before="120" w:after="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GET /api/audit?action=LOGIN&amp;from=2026-01-01&amp;to=2026-06-30</w:t>
      </w:r>
    </w:p>
    <w:p>
      <w:pPr>
        <w:spacing w:before="0" w:after="120"/>
        <w:ind w:left="283"/>
        <w:shd w:val="clear" w:color="auto" w:fill="F4F6F9"/>
      </w:pPr>
      <w:r>
        <w:rPr>
          <w:rFonts w:ascii="Courier New" w:hAnsi="Courier New"/>
          <w:color w:val="071E3D"/>
          <w:sz w:val="17"/>
        </w:rPr>
        <w:t>→ Requires finance or admin role</w:t>
      </w:r>
    </w:p>
    <w:p>
      <w:pPr>
        <w:spacing w:before="40" w:after="120"/>
      </w:pPr>
      <w:r>
        <w:rPr>
          <w:rFonts w:ascii="Calibri" w:hAnsi="Calibri"/>
          <w:sz w:val="21"/>
        </w:rPr>
        <w:t>Audit writes are fire-and-forget — they never block the main operation if the DB is slow.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Network Security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TLS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All production traffic must be TLS-encrypted. The included </w:t>
      </w:r>
      <w:r>
        <w:rPr>
          <w:rFonts w:ascii="Courier New" w:hAnsi="Courier New"/>
          <w:color w:val="185FA5"/>
          <w:sz w:val="19"/>
        </w:rPr>
        <w:t>nginx/nginx.conf</w:t>
      </w:r>
      <w:r>
        <w:rPr>
          <w:rFonts w:ascii="Calibri" w:hAnsi="Calibri"/>
          <w:sz w:val="21"/>
        </w:rPr>
        <w:t xml:space="preserve"> enforces: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TLS 1.2 minimum</w:t>
      </w:r>
      <w:r>
        <w:rPr>
          <w:rFonts w:ascii="Calibri" w:hAnsi="Calibri"/>
          <w:sz w:val="21"/>
        </w:rPr>
        <w:t xml:space="preserve"> (TLS 1.0 and 1.1 disabled)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ECDHE cipher suites</w:t>
      </w:r>
      <w:r>
        <w:rPr>
          <w:rFonts w:ascii="Calibri" w:hAnsi="Calibri"/>
          <w:sz w:val="21"/>
        </w:rPr>
        <w:t xml:space="preserve"> only (forward secrecy)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OCSP stapling</w:t>
      </w:r>
      <w:r>
        <w:rPr>
          <w:rFonts w:ascii="Calibri" w:hAnsi="Calibri"/>
          <w:sz w:val="21"/>
        </w:rPr>
        <w:t xml:space="preserve"> enabled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1"/>
        </w:rPr>
        <w:t>HSTS</w:t>
      </w:r>
      <w:r>
        <w:rPr>
          <w:rFonts w:ascii="Calibri" w:hAnsi="Calibri"/>
          <w:sz w:val="21"/>
        </w:rPr>
        <w:t xml:space="preserve"> with 2-year max-age, includeSubDomains, preload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Security headers</w:t>
      </w:r>
    </w:p>
    <w:p>
      <w:pPr>
        <w:spacing w:before="40" w:after="120"/>
      </w:pPr>
      <w:r>
        <w:rPr>
          <w:rFonts w:ascii="Calibri" w:hAnsi="Calibri"/>
          <w:sz w:val="21"/>
        </w:rPr>
        <w:t>Set by the Nginx layer for all responses: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Strict-Transport-Security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max-age=63072000; includeSubDomains; preload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X-Frame-Options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DENY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X-Content-Type-Options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nosniff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X-XSS-Protection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1; mode=block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Referrer-Policy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strict-origin-when-cross-origin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Content-Security-Policy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See nginx.conf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Permissions-Policy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camera, microphone, geolocation denied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Rate limiting</w:t>
      </w:r>
    </w:p>
    <w:p>
      <w:pPr>
        <w:spacing w:before="40" w:after="120"/>
      </w:pPr>
      <w:r>
        <w:rPr>
          <w:rFonts w:ascii="Calibri" w:hAnsi="Calibri"/>
          <w:sz w:val="21"/>
        </w:rPr>
        <w:t>Two layers: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Nginx</w:t>
      </w:r>
      <w:r>
        <w:rPr>
          <w:rFonts w:ascii="Calibri" w:hAnsi="Calibri"/>
          <w:sz w:val="21"/>
        </w:rPr>
        <w:t xml:space="preserve"> — 30 req/s for </w:t>
      </w:r>
      <w:r>
        <w:rPr>
          <w:rFonts w:ascii="Calibri" w:hAnsi="Calibri"/>
          <w:color w:val="185FA5"/>
          <w:sz w:val="21"/>
        </w:rPr>
        <w:t>/api/*</w:t>
      </w:r>
      <w:r>
        <w:rPr>
          <w:rFonts w:ascii="Calibri" w:hAnsi="Calibri"/>
          <w:sz w:val="21"/>
        </w:rPr>
        <w:t>, 10 req/s for pages (burst allowed)</w:t>
      </w:r>
    </w:p>
    <w:p>
      <w:pPr>
        <w:pStyle w:val="ListNumber"/>
        <w:spacing w:before="20" w:after="20"/>
      </w:pPr>
      <w:r>
        <w:rPr>
          <w:rFonts w:ascii="Calibri" w:hAnsi="Calibri"/>
          <w:b/>
          <w:sz w:val="21"/>
        </w:rPr>
        <w:t>Next.js middleware</w:t>
      </w:r>
      <w:r>
        <w:rPr>
          <w:rFonts w:ascii="Calibri" w:hAnsi="Calibri"/>
          <w:sz w:val="21"/>
        </w:rPr>
        <w:t xml:space="preserve"> — token-bucket limiter per IP, default 120 req/min (configurable via </w:t>
      </w:r>
      <w:r>
        <w:rPr>
          <w:rFonts w:ascii="Calibri" w:hAnsi="Calibri"/>
          <w:color w:val="185FA5"/>
          <w:sz w:val="21"/>
        </w:rPr>
        <w:t>RATE_LIMIT_RPM</w:t>
      </w:r>
      <w:r>
        <w:rPr>
          <w:rFonts w:ascii="Calibri" w:hAnsi="Calibri"/>
          <w:sz w:val="21"/>
        </w:rPr>
        <w:t>)</w:t>
      </w:r>
    </w:p>
    <w:p>
      <w:pPr>
        <w:spacing w:before="40" w:after="120"/>
      </w:pPr>
      <w:r>
        <w:rPr>
          <w:rFonts w:ascii="Calibri" w:hAnsi="Calibri"/>
          <w:sz w:val="21"/>
        </w:rPr>
        <w:t>The middleware limiter catches requests before Nginx (e.g. direct container access in Kubernetes). Nginx limiter protects the edge.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Network isolation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In the Docker Compose stack, the </w:t>
      </w:r>
      <w:r>
        <w:rPr>
          <w:rFonts w:ascii="Courier New" w:hAnsi="Courier New"/>
          <w:color w:val="185FA5"/>
          <w:sz w:val="19"/>
        </w:rPr>
        <w:t>apex-internal</w:t>
      </w:r>
      <w:r>
        <w:rPr>
          <w:rFonts w:ascii="Calibri" w:hAnsi="Calibri"/>
          <w:sz w:val="21"/>
        </w:rPr>
        <w:t xml:space="preserve"> network isolates app and database: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Only </w:t>
      </w:r>
      <w:r>
        <w:rPr>
          <w:rFonts w:ascii="Calibri" w:hAnsi="Calibri"/>
          <w:color w:val="185FA5"/>
          <w:sz w:val="21"/>
        </w:rPr>
        <w:t>nginx</w:t>
      </w:r>
      <w:r>
        <w:rPr>
          <w:rFonts w:ascii="Calibri" w:hAnsi="Calibri"/>
          <w:sz w:val="21"/>
        </w:rPr>
        <w:t xml:space="preserve"> is port-exposed (80, 443)</w:t>
      </w:r>
    </w:p>
    <w:p>
      <w:pPr>
        <w:pStyle w:val="ListBullet"/>
        <w:spacing w:before="20" w:after="20"/>
      </w:pPr>
      <w:r>
        <w:rPr>
          <w:rFonts w:ascii="Calibri" w:hAnsi="Calibri"/>
          <w:color w:val="185FA5"/>
          <w:sz w:val="21"/>
        </w:rPr>
        <w:t>app</w:t>
      </w:r>
      <w:r>
        <w:rPr>
          <w:rFonts w:ascii="Calibri" w:hAnsi="Calibri"/>
          <w:sz w:val="21"/>
        </w:rPr>
        <w:t xml:space="preserve"> and </w:t>
      </w:r>
      <w:r>
        <w:rPr>
          <w:rFonts w:ascii="Calibri" w:hAnsi="Calibri"/>
          <w:color w:val="185FA5"/>
          <w:sz w:val="21"/>
        </w:rPr>
        <w:t>db</w:t>
      </w:r>
      <w:r>
        <w:rPr>
          <w:rFonts w:ascii="Calibri" w:hAnsi="Calibri"/>
          <w:sz w:val="21"/>
        </w:rPr>
        <w:t xml:space="preserve"> are reachable only within the Docker network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Direct database access from the internet is not possible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Secrets Management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Do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Generate </w:t>
      </w:r>
      <w:r>
        <w:rPr>
          <w:rFonts w:ascii="Calibri" w:hAnsi="Calibri"/>
          <w:color w:val="185FA5"/>
          <w:sz w:val="21"/>
        </w:rPr>
        <w:t>NEXTAUTH_SECRET</w:t>
      </w:r>
      <w:r>
        <w:rPr>
          <w:rFonts w:ascii="Calibri" w:hAnsi="Calibri"/>
          <w:sz w:val="21"/>
        </w:rPr>
        <w:t xml:space="preserve"> with </w:t>
      </w:r>
      <w:r>
        <w:rPr>
          <w:rFonts w:ascii="Calibri" w:hAnsi="Calibri"/>
          <w:color w:val="185FA5"/>
          <w:sz w:val="21"/>
        </w:rPr>
        <w:t>openssl rand -base64 32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Store secrets in a vault (HashiCorp Vault, AWS Secrets Manager, Azure Key Vault, GCP Secret Manager) and inject as container env vars at deploy time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Rotate </w:t>
      </w:r>
      <w:r>
        <w:rPr>
          <w:rFonts w:ascii="Calibri" w:hAnsi="Calibri"/>
          <w:color w:val="185FA5"/>
          <w:sz w:val="21"/>
        </w:rPr>
        <w:t>ADMIN_PASSWORD</w:t>
      </w:r>
      <w:r>
        <w:rPr>
          <w:rFonts w:ascii="Calibri" w:hAnsi="Calibri"/>
          <w:sz w:val="21"/>
        </w:rPr>
        <w:t xml:space="preserve"> after first login, then remove the env var entirely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Use Kubernetes Secrets (or Sealed Secrets) for k8s deployments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Don't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Never commit </w:t>
      </w:r>
      <w:r>
        <w:rPr>
          <w:rFonts w:ascii="Calibri" w:hAnsi="Calibri"/>
          <w:color w:val="185FA5"/>
          <w:sz w:val="21"/>
        </w:rPr>
        <w:t>.env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.env.local</w:t>
      </w:r>
      <w:r>
        <w:rPr>
          <w:rFonts w:ascii="Calibri" w:hAnsi="Calibri"/>
          <w:sz w:val="21"/>
        </w:rPr>
        <w:t>, or any file containing real secrets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Never log </w:t>
      </w:r>
      <w:r>
        <w:rPr>
          <w:rFonts w:ascii="Calibri" w:hAnsi="Calibri"/>
          <w:color w:val="185FA5"/>
          <w:sz w:val="21"/>
        </w:rPr>
        <w:t>NEXTAUTH_SECRET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85FA5"/>
          <w:sz w:val="21"/>
        </w:rPr>
        <w:t>ADMIN_PASSWORD</w:t>
      </w:r>
      <w:r>
        <w:rPr>
          <w:rFonts w:ascii="Calibri" w:hAnsi="Calibri"/>
          <w:sz w:val="21"/>
        </w:rPr>
        <w:t>, or API keys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Never set </w:t>
      </w:r>
      <w:r>
        <w:rPr>
          <w:rFonts w:ascii="Calibri" w:hAnsi="Calibri"/>
          <w:color w:val="185FA5"/>
          <w:sz w:val="21"/>
        </w:rPr>
        <w:t>NEXTAUTH_SECRET</w:t>
      </w:r>
      <w:r>
        <w:rPr>
          <w:rFonts w:ascii="Calibri" w:hAnsi="Calibri"/>
          <w:sz w:val="21"/>
        </w:rPr>
        <w:t xml:space="preserve"> to a short or guessable string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Secret rotation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Generate a new </w:t>
      </w:r>
      <w:r>
        <w:rPr>
          <w:rFonts w:ascii="Calibri" w:hAnsi="Calibri"/>
          <w:color w:val="185FA5"/>
          <w:sz w:val="21"/>
        </w:rPr>
        <w:t>NEXTAUTH_SECRET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Update the environment (vault / k8s secret / compose env file)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Restart the app — all existing sessions are invalidated (users must log in again)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 xml:space="preserve">Optionally rotate DB passwords via </w:t>
      </w:r>
      <w:r>
        <w:rPr>
          <w:rFonts w:ascii="Calibri" w:hAnsi="Calibri"/>
          <w:color w:val="185FA5"/>
          <w:sz w:val="21"/>
        </w:rPr>
        <w:t>ALTER USER apex WITH PASSWORD 'new-pass'</w:t>
      </w:r>
      <w:r>
        <w:rPr>
          <w:rFonts w:ascii="Calibri" w:hAnsi="Calibri"/>
          <w:sz w:val="21"/>
        </w:rPr>
        <w:t xml:space="preserve"> and update </w:t>
      </w:r>
      <w:r>
        <w:rPr>
          <w:rFonts w:ascii="Calibri" w:hAnsi="Calibri"/>
          <w:color w:val="185FA5"/>
          <w:sz w:val="21"/>
        </w:rPr>
        <w:t>DATABASE_URL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Password Policy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Passwords are hashed with </w:t>
      </w:r>
      <w:r>
        <w:rPr>
          <w:rFonts w:ascii="Calibri" w:hAnsi="Calibri"/>
          <w:b/>
          <w:sz w:val="21"/>
        </w:rPr>
        <w:t>bcrypt at cost 12</w:t>
      </w:r>
      <w:r>
        <w:rPr>
          <w:rFonts w:ascii="Calibri" w:hAnsi="Calibri"/>
          <w:sz w:val="21"/>
        </w:rPr>
        <w:t xml:space="preserve"> (</w:t>
      </w:r>
      <w:r>
        <w:rPr>
          <w:rFonts w:ascii="Courier New" w:hAnsi="Courier New"/>
          <w:color w:val="185FA5"/>
          <w:sz w:val="19"/>
        </w:rPr>
        <w:t>bcryptjs</w:t>
      </w:r>
      <w:r>
        <w:rPr>
          <w:rFonts w:ascii="Calibri" w:hAnsi="Calibri"/>
          <w:sz w:val="21"/>
        </w:rPr>
        <w:t xml:space="preserve"> library). Minimum password requirements are enforced at the API layer in </w:t>
      </w:r>
      <w:r>
        <w:rPr>
          <w:rFonts w:ascii="Courier New" w:hAnsi="Courier New"/>
          <w:color w:val="185FA5"/>
          <w:sz w:val="19"/>
        </w:rPr>
        <w:t>POST /api/users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At least 8 characters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Mix of upper, lower, digit recommended (not enforced, but documented)</w:t>
      </w:r>
    </w:p>
    <w:p>
      <w:pPr>
        <w:spacing w:before="40" w:after="120"/>
      </w:pPr>
      <w:r>
        <w:rPr>
          <w:rFonts w:ascii="Calibri" w:hAnsi="Calibri"/>
          <w:sz w:val="21"/>
        </w:rPr>
        <w:t>Enforcing organisational password complexity should be done at the identity provider layer (GitHub OAuth, SSO) rather than in the application.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API Security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Protected endpoints</w:t>
      </w:r>
    </w:p>
    <w:p>
      <w:pPr>
        <w:spacing w:before="40" w:after="120"/>
      </w:pPr>
      <w:r>
        <w:rPr>
          <w:rFonts w:ascii="Calibri" w:hAnsi="Calibri"/>
          <w:sz w:val="21"/>
        </w:rPr>
        <w:t xml:space="preserve">All API routes except </w:t>
      </w:r>
      <w:r>
        <w:rPr>
          <w:rFonts w:ascii="Courier New" w:hAnsi="Courier New"/>
          <w:color w:val="185FA5"/>
          <w:sz w:val="19"/>
        </w:rPr>
        <w:t>GET /api/health</w:t>
      </w:r>
      <w:r>
        <w:rPr>
          <w:rFonts w:ascii="Calibri" w:hAnsi="Calibri"/>
          <w:sz w:val="21"/>
        </w:rPr>
        <w:t xml:space="preserve"> and NextAuth routes require a valid JWT session when </w:t>
      </w:r>
      <w:r>
        <w:rPr>
          <w:rFonts w:ascii="Courier New" w:hAnsi="Courier New"/>
          <w:color w:val="185FA5"/>
          <w:sz w:val="19"/>
        </w:rPr>
        <w:t>NEXTAUTH_SECRET</w:t>
      </w:r>
      <w:r>
        <w:rPr>
          <w:rFonts w:ascii="Calibri" w:hAnsi="Calibri"/>
          <w:sz w:val="21"/>
        </w:rPr>
        <w:t xml:space="preserve"> is set.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Input validation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All </w:t>
      </w:r>
      <w:r>
        <w:rPr>
          <w:rFonts w:ascii="Calibri" w:hAnsi="Calibri"/>
          <w:color w:val="185FA5"/>
          <w:sz w:val="21"/>
        </w:rPr>
        <w:t>POST</w:t>
      </w:r>
      <w:r>
        <w:rPr>
          <w:rFonts w:ascii="Calibri" w:hAnsi="Calibri"/>
          <w:sz w:val="21"/>
        </w:rPr>
        <w:t>/</w:t>
      </w:r>
      <w:r>
        <w:rPr>
          <w:rFonts w:ascii="Calibri" w:hAnsi="Calibri"/>
          <w:color w:val="185FA5"/>
          <w:sz w:val="21"/>
        </w:rPr>
        <w:t>PATCH</w:t>
      </w:r>
      <w:r>
        <w:rPr>
          <w:rFonts w:ascii="Calibri" w:hAnsi="Calibri"/>
          <w:sz w:val="21"/>
        </w:rPr>
        <w:t xml:space="preserve"> bodies are parsed and typed; unexpected fields are ignored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Database queries use Prisma parameterised statements (no raw SQL injection risk)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 xml:space="preserve">Amount and percentage fields are validated with </w:t>
      </w:r>
      <w:r>
        <w:rPr>
          <w:rFonts w:ascii="Calibri" w:hAnsi="Calibri"/>
          <w:color w:val="185FA5"/>
          <w:sz w:val="21"/>
        </w:rPr>
        <w:t>isNaN</w:t>
      </w:r>
      <w:r>
        <w:rPr>
          <w:rFonts w:ascii="Calibri" w:hAnsi="Calibri"/>
          <w:sz w:val="21"/>
        </w:rPr>
        <w:t xml:space="preserve"> / range checks</w:t>
      </w:r>
    </w:p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Webhook outbound security</w:t>
      </w:r>
    </w:p>
    <w:p>
      <w:pPr>
        <w:spacing w:before="40" w:after="120"/>
      </w:pPr>
      <w:r>
        <w:rPr>
          <w:rFonts w:ascii="Calibri" w:hAnsi="Calibri"/>
          <w:sz w:val="21"/>
        </w:rPr>
        <w:t>Outbound webhooks (</w:t>
      </w:r>
      <w:r>
        <w:rPr>
          <w:rFonts w:ascii="Courier New" w:hAnsi="Courier New"/>
          <w:color w:val="185FA5"/>
          <w:sz w:val="19"/>
        </w:rPr>
        <w:t>SLACK_WEBHOOK_URL</w:t>
      </w:r>
      <w:r>
        <w:rPr>
          <w:rFonts w:ascii="Calibri" w:hAnsi="Calibri"/>
          <w:sz w:val="21"/>
        </w:rPr>
        <w:t xml:space="preserve">, </w:t>
      </w:r>
      <w:r>
        <w:rPr>
          <w:rFonts w:ascii="Courier New" w:hAnsi="Courier New"/>
          <w:color w:val="185FA5"/>
          <w:sz w:val="19"/>
        </w:rPr>
        <w:t>ALERT_WEBHOOK_URL</w:t>
      </w:r>
      <w:r>
        <w:rPr>
          <w:rFonts w:ascii="Calibri" w:hAnsi="Calibri"/>
          <w:sz w:val="21"/>
        </w:rPr>
        <w:t>) use HTTPS only. No sensitive data (API keys, user PII beyond email) is included in webhook payloads.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Kubernetes Security</w:t>
      </w:r>
    </w:p>
    <w:p>
      <w:pPr>
        <w:spacing w:before="40" w:after="120"/>
      </w:pPr>
      <w:r>
        <w:rPr>
          <w:rFonts w:ascii="Calibri" w:hAnsi="Calibri"/>
          <w:sz w:val="21"/>
        </w:rPr>
        <w:t>The included k8s manifests (</w:t>
      </w:r>
      <w:r>
        <w:rPr>
          <w:rFonts w:ascii="Courier New" w:hAnsi="Courier New"/>
          <w:color w:val="185FA5"/>
          <w:sz w:val="19"/>
        </w:rPr>
        <w:t>k8s/</w:t>
      </w:r>
      <w:r>
        <w:rPr>
          <w:rFonts w:ascii="Calibri" w:hAnsi="Calibri"/>
          <w:sz w:val="21"/>
        </w:rPr>
        <w:t>) enforce: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4561"/>
            <w:shd w:val="clear" w:color="auto" w:fill="185FA5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Setting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Non-root user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runAsNonRoot: true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185FA5"/>
                <w:sz w:val="19"/>
              </w:rPr>
              <w:t>runAsUser: 1001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FS group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fsGroup: 1001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Secrets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In </w:t>
            </w:r>
            <w:r>
              <w:rPr>
                <w:rFonts w:ascii="Calibri" w:hAnsi="Calibri"/>
                <w:color w:val="185FA5"/>
                <w:sz w:val="19"/>
              </w:rPr>
              <w:t>k8s/secret.yaml</w:t>
            </w:r>
            <w:r>
              <w:rPr>
                <w:rFonts w:ascii="Calibri" w:hAnsi="Calibri"/>
                <w:sz w:val="19"/>
              </w:rPr>
              <w:t xml:space="preserve"> (base64-encode values, prefer Sealed Secrets)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Replicas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2 minimum for HA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Rolling update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185FA5"/>
                <w:sz w:val="19"/>
              </w:rPr>
              <w:t>maxUnavailable: 0</w:t>
            </w:r>
            <w:r>
              <w:rPr>
                <w:rFonts w:ascii="Calibri" w:hAnsi="Calibri"/>
                <w:sz w:val="19"/>
              </w:rPr>
              <w:t xml:space="preserve"> (zero-downtime)</w:t>
            </w:r>
          </w:p>
        </w:tc>
      </w:tr>
      <w:tr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Health probes</w:t>
            </w:r>
          </w:p>
        </w:tc>
        <w:tc>
          <w:tcPr>
            <w:tcW w:type="dxa" w:w="4561"/>
            <w:shd w:val="clear" w:color="auto" w:fill="EEF4FB"/>
          </w:tcPr>
          <w:p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 xml:space="preserve">Liveness + readiness on </w:t>
            </w:r>
            <w:r>
              <w:rPr>
                <w:rFonts w:ascii="Calibri" w:hAnsi="Calibri"/>
                <w:color w:val="185FA5"/>
                <w:sz w:val="19"/>
              </w:rPr>
              <w:t>/api/health</w:t>
            </w:r>
          </w:p>
        </w:tc>
      </w:tr>
    </w:tbl>
    <w:p/>
    <w:p>
      <w:pPr>
        <w:pStyle w:val="Heading3"/>
        <w:keepNext/>
        <w:spacing w:before="200" w:after="80"/>
      </w:pPr>
      <w:r>
        <w:rPr>
          <w:rFonts w:ascii="Calibri" w:hAnsi="Calibri"/>
          <w:b/>
          <w:color w:val="378ADD"/>
          <w:sz w:val="26"/>
        </w:rPr>
        <w:t>Recommended additions (not included)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Network policies to restrict pod-to-pod traffic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Pod Security Admission (PSA) enforcement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Image signing + admission webhook</w:t>
      </w:r>
    </w:p>
    <w:p>
      <w:pPr>
        <w:pStyle w:val="ListBullet"/>
        <w:spacing w:before="20" w:after="20"/>
      </w:pPr>
      <w:r>
        <w:rPr>
          <w:rFonts w:ascii="Calibri" w:hAnsi="Calibri"/>
          <w:sz w:val="21"/>
        </w:rPr>
        <w:t>Runtime security (Falco or similar)</w:t>
      </w:r>
    </w:p>
    <w:p>
      <w:pPr>
        <w:spacing w:before="120" w:after="120"/>
        <w:pBdr>
          <w:bottom w:val="single" w:sz="6" w:space="1" w:color="185FA5"/>
        </w:pBdr>
      </w:pPr>
    </w:p>
    <w:p>
      <w:pPr>
        <w:pStyle w:val="Heading2"/>
        <w:keepNext/>
        <w:spacing w:before="200" w:after="80"/>
      </w:pPr>
      <w:r>
        <w:rPr>
          <w:rFonts w:ascii="Calibri" w:hAnsi="Calibri"/>
          <w:b/>
          <w:color w:val="185FA5"/>
          <w:sz w:val="32"/>
        </w:rPr>
        <w:t>Reporting Security Issues</w:t>
      </w:r>
    </w:p>
    <w:p>
      <w:pPr>
        <w:spacing w:before="40" w:after="120"/>
      </w:pPr>
      <w:r>
        <w:rPr>
          <w:rFonts w:ascii="Calibri" w:hAnsi="Calibri"/>
          <w:sz w:val="21"/>
        </w:rPr>
        <w:t>Do not open public GitHub issues for security vulnerabilities. Contact the repository maintainers directly with: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Description of the vulnerability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Steps to reproduce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Potential impact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(Optional) Suggested fix</w:t>
      </w:r>
    </w:p>
    <w:p>
      <w:pPr>
        <w:spacing w:before="40" w:after="120"/>
      </w:pPr>
      <w:r>
        <w:rPr>
          <w:rFonts w:ascii="Calibri" w:hAnsi="Calibri"/>
          <w:sz w:val="21"/>
        </w:rPr>
        <w:t>Allow up to 72 hours for an initial response.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6B82"/>
        <w:sz w:val="16"/>
      </w:rPr>
      <w:t xml:space="preserve">APEX Pulse  ·  Confidential  ·  </w:t>
    </w:r>
    <w:r>
      <w:rPr>
        <w:color w:val="556B82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378ADD"/>
      </w:pBdr>
    </w:pPr>
    <w:r>
      <w:rPr>
        <w:rFonts w:ascii="Calibri" w:hAnsi="Calibri"/>
        <w:i/>
        <w:color w:val="556B82"/>
        <w:sz w:val="17"/>
      </w:rPr>
      <w:t>APEX Pulse  ·  APEX Pulse — Security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71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