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b/>
          <w:color w:val="1A365D"/>
          <w:sz w:val="44"/>
        </w:rPr>
        <w:t>3GPP cellular networks evolution AND TECHNICAL CONTROL WORKFLOWS</w:t>
      </w:r>
    </w:p>
    <w:p>
      <w:pPr>
        <w:spacing w:after="360"/>
        <w:pBdr>
          <w:bottom w:val="single" w:sz="12" w:space="4" w:color="1A365D"/>
        </w:pBdr>
      </w:pPr>
      <w:r>
        <w:rPr>
          <w:i/>
          <w:color w:val="2B6CB0"/>
          <w:sz w:val="23"/>
        </w:rPr>
        <w:t>Executive Meta-Synthesis: Release 18/19 Architecture, Cross-Layer Specifications, and TR 28.908 Managed Frameworks</w:t>
      </w:r>
    </w:p>
    <w:p>
      <w:pPr>
        <w:keepNext/>
        <w:spacing w:before="280" w:after="120"/>
        <w:pBdr>
          <w:bottom w:val="single" w:sz="12" w:space="4" w:color="2B6CB0"/>
        </w:pBdr>
      </w:pPr>
      <w:r>
        <w:rPr>
          <w:b/>
          <w:color w:val="1A365D"/>
          <w:sz w:val="28"/>
        </w:rPr>
        <w:t>MODULE 1: CELLULAR STRATEGIC ROADMAPS (5G-ADVANCED TO 6G INCEPTION)</w:t>
      </w:r>
    </w:p>
    <w:p>
      <w:pPr>
        <w:keepNext/>
        <w:spacing w:before="200" w:after="80"/>
      </w:pPr>
      <w:r>
        <w:rPr>
          <w:b/>
          <w:color w:val="2B6CB0"/>
          <w:sz w:val="23"/>
        </w:rPr>
        <w:t>1.1 Timeline Thresholds and Release Parameters</w:t>
      </w:r>
    </w:p>
    <w:p>
      <w:pPr>
        <w:pStyle w:val="ListBullet"/>
        <w:spacing w:before="0" w:after="40" w:line="276" w:lineRule="auto"/>
      </w:pPr>
      <w:r>
        <w:rPr>
          <w:b/>
          <w:color w:val="2D3748"/>
        </w:rPr>
        <w:t xml:space="preserve">Release 18 (5G-Advanced Baseline): </w:t>
      </w:r>
      <w:r>
        <w:t>Marks the formal functional crystallization of initial intelligent orchestration, achieving functional freeze milestones across TSG RAN, SA, and CT plenaries by mid-2024.</w:t>
      </w:r>
    </w:p>
    <w:p>
      <w:pPr>
        <w:pStyle w:val="ListBullet"/>
        <w:spacing w:before="0" w:after="40" w:line="276" w:lineRule="auto"/>
      </w:pPr>
      <w:r>
        <w:rPr>
          <w:b/>
          <w:color w:val="2D3748"/>
        </w:rPr>
        <w:t xml:space="preserve">Release 19 (Bridge Architecture Framework): </w:t>
      </w:r>
      <w:r>
        <w:t>Functions as an operational structural bridge, formalizing core specification pipelines for automation expansion, network sensing integration, and severe energy minimization protocols.</w:t>
      </w:r>
    </w:p>
    <w:p>
      <w:pPr>
        <w:pStyle w:val="ListBullet"/>
        <w:spacing w:before="0" w:after="40" w:line="276" w:lineRule="auto"/>
      </w:pPr>
      <w:r>
        <w:rPr>
          <w:b/>
          <w:color w:val="2D3748"/>
        </w:rPr>
        <w:t xml:space="preserve">Release 20 (6G Study Inception Framework): </w:t>
      </w:r>
      <w:r>
        <w:t>Establishes project-wide 6G architectural studies with Stage-1 service requirements targeted for sequential plenary approvals, initiating systematic radio interface analysis.</w:t>
      </w:r>
    </w:p>
    <w:p>
      <w:pPr>
        <w:keepNext/>
        <w:spacing w:before="200" w:after="80"/>
      </w:pPr>
      <w:r>
        <w:rPr>
          <w:b/>
          <w:color w:val="2B6CB0"/>
          <w:sz w:val="23"/>
        </w:rPr>
        <w:t>1.2 The 6G Strategic Framework: IMT-2030 Use Cases</w:t>
      </w:r>
    </w:p>
    <w:p>
      <w:r>
        <w:t>Analysis of the Stage-1 Workshop on IMT-2030 Use Cases codifies six overarching functional usage scenarios driving early network planning requirements:</w:t>
      </w:r>
    </w:p>
    <w:p>
      <w:pPr>
        <w:pStyle w:val="ListBullet"/>
        <w:spacing w:before="0" w:after="40" w:line="276" w:lineRule="auto"/>
      </w:pPr>
      <w:r>
        <w:rPr>
          <w:b/>
          <w:color w:val="2D3748"/>
        </w:rPr>
        <w:t xml:space="preserve">Immersive Communication: </w:t>
      </w:r>
      <w:r>
        <w:t>Facilitates advanced holographic interaction, multi-sensorial streaming, and persistent spatial digital twins over extended topological tracking boundaries.</w:t>
      </w:r>
    </w:p>
    <w:p>
      <w:pPr>
        <w:pStyle w:val="ListBullet"/>
        <w:spacing w:before="0" w:after="40" w:line="276" w:lineRule="auto"/>
      </w:pPr>
      <w:r>
        <w:rPr>
          <w:b/>
          <w:color w:val="2D3748"/>
        </w:rPr>
        <w:t xml:space="preserve">Massive Communication: </w:t>
      </w:r>
      <w:r>
        <w:t>Expands vertical scalability constraints to support ultra-dense device profiles, targeting hyper-scalable industrial automated processing grids.</w:t>
      </w:r>
    </w:p>
    <w:p>
      <w:pPr>
        <w:pStyle w:val="ListBullet"/>
        <w:spacing w:before="0" w:after="40" w:line="276" w:lineRule="auto"/>
      </w:pPr>
      <w:r>
        <w:rPr>
          <w:b/>
          <w:color w:val="2D3748"/>
        </w:rPr>
        <w:t xml:space="preserve">Hyper-Reliable &amp; Low-Latency: </w:t>
      </w:r>
      <w:r>
        <w:t>Hardens deterministic transit environments, providing exact transport assurances required by synchronous vehicle automation and utility execution loops.</w:t>
      </w:r>
    </w:p>
    <w:p>
      <w:pPr>
        <w:pStyle w:val="ListBullet"/>
        <w:spacing w:before="0" w:after="40" w:line="276" w:lineRule="auto"/>
      </w:pPr>
      <w:r>
        <w:rPr>
          <w:b/>
          <w:color w:val="2D3748"/>
        </w:rPr>
        <w:t xml:space="preserve">Ubiquitous Connectivity: </w:t>
      </w:r>
      <w:r>
        <w:t>Bridges deep terrestrial divides via native non-terrestrial networking (NTN) mapping across multi-orbit satellite constellations and aerial platforms.</w:t>
      </w:r>
    </w:p>
    <w:p>
      <w:pPr>
        <w:pStyle w:val="ListBullet"/>
        <w:spacing w:before="0" w:after="40" w:line="276" w:lineRule="auto"/>
      </w:pPr>
      <w:r>
        <w:rPr>
          <w:b/>
          <w:color w:val="2D3748"/>
        </w:rPr>
        <w:t xml:space="preserve">AI-Native Layering: </w:t>
      </w:r>
      <w:r>
        <w:t>Integrates compute-centric structural fabrics directly into signaling paths, offering real-time AI-as-a-Service (AIaaS) and immediate model tuning capabilities.</w:t>
      </w:r>
    </w:p>
    <w:p>
      <w:pPr>
        <w:pStyle w:val="ListBullet"/>
        <w:spacing w:before="0" w:after="40" w:line="276" w:lineRule="auto"/>
      </w:pPr>
      <w:r>
        <w:rPr>
          <w:b/>
          <w:color w:val="2D3748"/>
        </w:rPr>
        <w:t xml:space="preserve">Integrated Sensing &amp; Communication (ISAC): </w:t>
      </w:r>
      <w:r>
        <w:t>Converts baseline radio node components into environmental radar fields, enabling synchronized gesture tracking, object localization, and cell coexistence.</w:t>
      </w:r>
    </w:p>
    <w:p>
      <w:pPr>
        <w:keepNext/>
        <w:spacing w:before="200" w:after="80"/>
      </w:pPr>
      <w:r>
        <w:rPr>
          <w:b/>
          <w:color w:val="2B6CB0"/>
          <w:sz w:val="23"/>
        </w:rPr>
        <w:t>1.3 Vertical Utility Integration: TS 28.318 (NSOEU) Framework</w:t>
      </w:r>
    </w:p>
    <w:p>
      <w:r>
        <w:t>Network Services and Operations for Energy Utilities (NSOEU) establishes an explicit bi-directional framework enabling MNOs and Distribution Service Operators (DSOs) to systematically exchange structural mitigation data to resolve critical electrical outages:</w:t>
      </w:r>
    </w:p>
    <w:p>
      <w:pPr>
        <w:pStyle w:val="ListBullet"/>
        <w:spacing w:before="0" w:after="40" w:line="276" w:lineRule="auto"/>
      </w:pPr>
      <w:r>
        <w:rPr>
          <w:b/>
          <w:color w:val="2D3748"/>
        </w:rPr>
        <w:t xml:space="preserve">Proactive Degradation Monitoring: </w:t>
      </w:r>
      <w:r>
        <w:t>Exposes limited network resource model metrics (PerfMetricJob, ThresholdMonitor) allowing DSOs to instantly track uplink/downlink delay metrics and initiate preemptive router switches prior to full transport dropouts.</w:t>
      </w:r>
    </w:p>
    <w:p>
      <w:pPr>
        <w:pStyle w:val="ListBullet"/>
        <w:spacing w:before="0" w:after="40" w:line="276" w:lineRule="auto"/>
      </w:pPr>
      <w:r>
        <w:rPr>
          <w:b/>
          <w:color w:val="2D3748"/>
        </w:rPr>
        <w:t xml:space="preserve">Automated Isolation Loops: </w:t>
      </w:r>
      <w:r>
        <w:t>Exchanges autonomous backup window constraints during local sub-station interruptions, enabling DSOs to execute remote distribution switches before local node energy cells drain completely.</w:t>
      </w:r>
    </w:p>
    <w:p>
      <w:r>
        <w:br w:type="page"/>
      </w:r>
    </w:p>
    <w:p>
      <w:pPr>
        <w:keepNext/>
        <w:spacing w:before="280" w:after="120"/>
        <w:pBdr>
          <w:bottom w:val="single" w:sz="12" w:space="4" w:color="2B6CB0"/>
        </w:pBdr>
      </w:pPr>
      <w:r>
        <w:rPr>
          <w:b/>
          <w:color w:val="1A365D"/>
          <w:sz w:val="28"/>
        </w:rPr>
        <w:t>MODULE 2: CROSS-LAYER TECH SPECS AND TR 28.908 MANAGED WORKFLOWS</w:t>
      </w:r>
    </w:p>
    <w:p>
      <w:pPr>
        <w:keepNext/>
        <w:spacing w:before="200" w:after="80"/>
      </w:pPr>
      <w:r>
        <w:rPr>
          <w:b/>
          <w:color w:val="2B6CB0"/>
          <w:sz w:val="23"/>
        </w:rPr>
        <w:t>2.1 Multimedia Pipelines: XR UE Baseline &amp; PDU Set Transport</w:t>
      </w:r>
    </w:p>
    <w:p>
      <w:r>
        <w:t>To normalize high-throughput, latency-bounded Extended Reality (XR) distribution across mixed-vendor hardware topologies, the technical framework locks exact transport specifications:</w:t>
      </w:r>
    </w:p>
    <w:p>
      <w:pPr>
        <w:pStyle w:val="ListBullet"/>
        <w:spacing w:before="0" w:after="40" w:line="276" w:lineRule="auto"/>
      </w:pPr>
      <w:r>
        <w:rPr>
          <w:b/>
          <w:color w:val="2D3748"/>
        </w:rPr>
        <w:t xml:space="preserve">TS 26.119 Baseline UE Architecture: </w:t>
      </w:r>
      <w:r>
        <w:t>Standardizes distinct device profiles (Thin AR glasses, higher-compute AR glasses, XR phones, HMDs) matching OpenXR parameters to handle presentation loops and pose estimation.</w:t>
      </w:r>
    </w:p>
    <w:p>
      <w:pPr>
        <w:pStyle w:val="ListBullet"/>
        <w:spacing w:before="0" w:after="40" w:line="276" w:lineRule="auto"/>
      </w:pPr>
      <w:r>
        <w:rPr>
          <w:b/>
          <w:color w:val="2D3748"/>
        </w:rPr>
        <w:t xml:space="preserve">Granular PDU Set Marking: </w:t>
      </w:r>
      <w:r>
        <w:t>Replaces blind transport streams with strict Application Data Unit (ADU) frame boundaries via IETF RFC 8285 RTP header extensions, injecting PDU Set Sequence Numbers, size boundaries, and exact priority vectors.</w:t>
      </w:r>
    </w:p>
    <w:p>
      <w:pPr>
        <w:pStyle w:val="ListBullet"/>
        <w:spacing w:before="0" w:after="40" w:line="276" w:lineRule="auto"/>
      </w:pPr>
      <w:r>
        <w:rPr>
          <w:b/>
          <w:color w:val="2D3748"/>
        </w:rPr>
        <w:t xml:space="preserve">Dynamic Priority Discard (PSI): </w:t>
      </w:r>
      <w:r>
        <w:t>Enables air-interface components to execute intelligent, informed frame drops during severe congestion by protecting primary Intra-coded segments while pruning trailing predictive frames.</w:t>
      </w:r>
    </w:p>
    <w:p>
      <w:pPr>
        <w:pStyle w:val="ListBullet"/>
        <w:spacing w:before="0" w:after="40" w:line="276" w:lineRule="auto"/>
      </w:pPr>
      <w:r>
        <w:rPr>
          <w:b/>
          <w:color w:val="2D3748"/>
        </w:rPr>
        <w:t xml:space="preserve">M2R2P Latency Minimization: </w:t>
      </w:r>
      <w:r>
        <w:t>Utilizes inline split-rendering servers to offload heavy geometric computation loops, preserving an exact 50-70 ms Motion-to-Render-to-Photon boundaries over the radio layer.</w:t>
      </w:r>
    </w:p>
    <w:p>
      <w:pPr>
        <w:keepNext/>
        <w:spacing w:before="200" w:after="80"/>
      </w:pPr>
      <w:r>
        <w:rPr>
          <w:b/>
          <w:color w:val="2B6CB0"/>
          <w:sz w:val="23"/>
        </w:rPr>
        <w:t>2.2 Real-Time Communication Interfaces: NG-RTC Architecture</w:t>
      </w:r>
    </w:p>
    <w:p>
      <w:r>
        <w:t>Release 18 completion of TS 29.175 and TS 29.330 formalizes the Next Generation Real-Time Communication (NG-RTC) stack, shifting legacy IMS cores into data-interlinked calling systems:</w:t>
      </w:r>
    </w:p>
    <w:p>
      <w:pPr>
        <w:pStyle w:val="ListBullet"/>
        <w:spacing w:before="0" w:after="40" w:line="276" w:lineRule="auto"/>
      </w:pPr>
      <w:r>
        <w:rPr>
          <w:b/>
          <w:color w:val="2D3748"/>
        </w:rPr>
        <w:t xml:space="preserve">Content-Agnostic Data Channels: </w:t>
      </w:r>
      <w:r>
        <w:t>Establishes secure WebRTC data tunnels directly alongside standard voice/video channels, intrinsically binding active calling loops to real-time interactive overlays.</w:t>
      </w:r>
    </w:p>
    <w:p>
      <w:pPr>
        <w:pStyle w:val="ListBullet"/>
        <w:spacing w:before="0" w:after="40" w:line="276" w:lineRule="auto"/>
      </w:pPr>
      <w:r>
        <w:rPr>
          <w:b/>
          <w:color w:val="2D3748"/>
        </w:rPr>
        <w:t xml:space="preserve">Service-Based Interface (SBI): </w:t>
      </w:r>
      <w:r>
        <w:t>Introduces flexible API invocation paths (Nimsas, Ndcsf) within the IMS core layer, enabling agile registration, routing, and third-party validation cycles.</w:t>
      </w:r>
    </w:p>
    <w:p>
      <w:pPr>
        <w:pStyle w:val="ListBullet"/>
        <w:spacing w:before="0" w:after="40" w:line="276" w:lineRule="auto"/>
      </w:pPr>
      <w:r>
        <w:rPr>
          <w:b/>
          <w:color w:val="2D3748"/>
        </w:rPr>
        <w:t xml:space="preserve">Inline AI Media Processing: </w:t>
      </w:r>
      <w:r>
        <w:t>Deploys deep Natural Language Processing (NLP) and Large Language Model (LLM) processing directly inside localized Media Functions (MF), rendering immediate subtitling or virtual avatars.</w:t>
      </w:r>
    </w:p>
    <w:p>
      <w:pPr>
        <w:keepNext/>
        <w:spacing w:before="200" w:after="80"/>
      </w:pPr>
      <w:r>
        <w:rPr>
          <w:b/>
          <w:color w:val="2B6CB0"/>
          <w:sz w:val="23"/>
        </w:rPr>
        <w:t>2.3 Model Management Framework: TR 28.908 Lifecycle Workflows</w:t>
      </w:r>
    </w:p>
    <w:p>
      <w:r>
        <w:t>TR 28.908 defines the standard five-stage lifecycle sequence managing model propagation throughout the 5G Core and NG-RAN layers:</w:t>
      </w:r>
    </w:p>
    <w:p>
      <w:pPr>
        <w:pStyle w:val="ListBullet"/>
        <w:spacing w:before="0" w:after="40" w:line="276" w:lineRule="auto"/>
      </w:pPr>
      <w:r>
        <w:rPr>
          <w:b/>
          <w:color w:val="2D3748"/>
        </w:rPr>
        <w:t xml:space="preserve">1. Offline Training Phase: </w:t>
      </w:r>
      <w:r>
        <w:t>Executes algorithmic feature refinement on raw performance data collections to compile initial model variants optimized for specific functional target properties.</w:t>
      </w:r>
    </w:p>
    <w:p>
      <w:pPr>
        <w:pStyle w:val="ListBullet"/>
        <w:spacing w:before="0" w:after="40" w:line="276" w:lineRule="auto"/>
      </w:pPr>
      <w:r>
        <w:rPr>
          <w:b/>
          <w:color w:val="2D3748"/>
        </w:rPr>
        <w:t xml:space="preserve">2. Statistical Validation Phase: </w:t>
      </w:r>
      <w:r>
        <w:t>Measures model variance parameters by comparing error tracking distributions between training data segments and reserved validation sets to flag over-fitting flaws.</w:t>
      </w:r>
    </w:p>
    <w:p>
      <w:pPr>
        <w:pStyle w:val="ListBullet"/>
        <w:spacing w:before="0" w:after="40" w:line="276" w:lineRule="auto"/>
      </w:pPr>
      <w:r>
        <w:rPr>
          <w:b/>
          <w:color w:val="2D3748"/>
        </w:rPr>
        <w:t xml:space="preserve">3. Deterministic Testing Phase: </w:t>
      </w:r>
      <w:r>
        <w:t>Evaluates accuracy, precision, and F1 scores against unseen testing data inputs within closed sandboxes before approving production releases.</w:t>
      </w:r>
    </w:p>
    <w:p>
      <w:pPr>
        <w:pStyle w:val="ListBullet"/>
        <w:spacing w:before="0" w:after="40" w:line="276" w:lineRule="auto"/>
      </w:pPr>
      <w:r>
        <w:rPr>
          <w:b/>
          <w:color w:val="2D3748"/>
        </w:rPr>
        <w:t xml:space="preserve">4. Deployment &amp; Loading Phase: </w:t>
      </w:r>
      <w:r>
        <w:t>Transfers validated models to target network functions via formalized software installation loops or standardized configuration management procedures.</w:t>
      </w:r>
    </w:p>
    <w:p>
      <w:pPr>
        <w:spacing w:before="0" w:after="40"/>
      </w:pPr>
      <w:r>
        <w:rPr>
          <w:b/>
        </w:rPr>
        <w:t xml:space="preserve">5. Live Inference Phase: </w:t>
      </w:r>
      <w:r>
        <w:t>Executes live operational estimation loops, generating continuous configuration overrides directly inside live operational communication environments.</w:t>
      </w:r>
    </w:p>
    <w:p>
      <w:r>
        <w:br w:type="page"/>
      </w:r>
    </w:p>
    <w:p>
      <w:pPr>
        <w:keepNext/>
        <w:spacing w:before="280" w:after="120"/>
        <w:pBdr>
          <w:bottom w:val="single" w:sz="12" w:space="4" w:color="2B6CB0"/>
        </w:pBdr>
      </w:pPr>
      <w:r>
        <w:rPr>
          <w:b/>
          <w:color w:val="1A365D"/>
          <w:sz w:val="28"/>
        </w:rPr>
        <w:t>MODULE 3: ADVANCED ORCHESTRATION CONTROLS AND TRUSTWORTHY COMPLIANCE</w:t>
      </w:r>
    </w:p>
    <w:p>
      <w:pPr>
        <w:keepNext/>
        <w:spacing w:before="200" w:after="80"/>
      </w:pPr>
      <w:r>
        <w:rPr>
          <w:b/>
          <w:color w:val="2B6CB0"/>
          <w:sz w:val="23"/>
        </w:rPr>
        <w:t>3.1 Granular Inference Controls: Topological Scope &amp; Partial Activation</w:t>
      </w:r>
    </w:p>
    <w:p>
      <w:pPr>
        <w:pStyle w:val="ListBullet"/>
        <w:spacing w:before="0" w:after="40" w:line="276" w:lineRule="auto"/>
      </w:pPr>
      <w:r>
        <w:rPr>
          <w:b/>
          <w:color w:val="2D3748"/>
        </w:rPr>
        <w:t xml:space="preserve">Monitoring Scope Constraints: </w:t>
      </w:r>
      <w:r>
        <w:t>Defines exact geographical or logical tracking coordinates from which continuous performance telemetry and measurement data are systematically collected.</w:t>
      </w:r>
    </w:p>
    <w:p>
      <w:pPr>
        <w:pStyle w:val="ListBullet"/>
        <w:spacing w:before="0" w:after="40" w:line="276" w:lineRule="auto"/>
      </w:pPr>
      <w:r>
        <w:rPr>
          <w:b/>
          <w:color w:val="2D3748"/>
        </w:rPr>
        <w:t xml:space="preserve">Validity Scope Boundaries: </w:t>
      </w:r>
      <w:r>
        <w:t>Enforces strict regional and environmental operational limits under which an active model instance is authorized to make live system configuration changes.</w:t>
      </w:r>
    </w:p>
    <w:p>
      <w:pPr>
        <w:pStyle w:val="ListBullet"/>
        <w:spacing w:before="0" w:after="40" w:line="276" w:lineRule="auto"/>
      </w:pPr>
      <w:r>
        <w:rPr>
          <w:b/>
          <w:color w:val="2D3748"/>
        </w:rPr>
        <w:t xml:space="preserve">Prepared Standby Scope: </w:t>
      </w:r>
      <w:r>
        <w:t>Establishes a passive deployment zone where model instances are initialized and pre-loaded with current network states to enable instant handovers while preventing ping-pong anomalies.</w:t>
      </w:r>
    </w:p>
    <w:p>
      <w:pPr>
        <w:pStyle w:val="ListBullet"/>
        <w:spacing w:before="0" w:after="40" w:line="276" w:lineRule="auto"/>
      </w:pPr>
      <w:r>
        <w:rPr>
          <w:b/>
          <w:color w:val="2D3748"/>
        </w:rPr>
        <w:t xml:space="preserve">Abstract Activation Steps: </w:t>
      </w:r>
      <w:r>
        <w:t>Provides operators with progressive activation steps (low, medium, high) to scale model execution smoothly over limited cell scopes before rolling out wide deployments.</w:t>
      </w:r>
    </w:p>
    <w:p>
      <w:pPr>
        <w:keepNext/>
        <w:spacing w:before="200" w:after="80"/>
      </w:pPr>
      <w:r>
        <w:rPr>
          <w:b/>
          <w:color w:val="2B6CB0"/>
          <w:sz w:val="23"/>
        </w:rPr>
        <w:t>3.2 Multi-Vendor Conflict Arbitration Loops</w:t>
      </w:r>
    </w:p>
    <w:p>
      <w:r>
        <w:t>To protect network stability from overlapping automation changes, the standardized coordination model implements a centralized orchestration loop: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Functional Component</w:t>
            </w:r>
          </w:p>
        </w:tc>
        <w:tc>
          <w:tcPr>
            <w:tcW w:type="dxa" w:w="259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Standard Interface / Metric</w:t>
            </w:r>
          </w:p>
        </w:tc>
        <w:tc>
          <w:tcPr>
            <w:tcW w:type="dxa" w:w="4464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Operational Mechanism</w:t>
            </w:r>
          </w:p>
        </w:tc>
      </w:tr>
      <w:tr>
        <w:tc>
          <w:tcPr>
            <w:tcW w:type="dxa" w:w="259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sz w:val="18"/>
              </w:rPr>
              <w:t>Recommendation Output</w:t>
            </w:r>
          </w:p>
        </w:tc>
        <w:tc>
          <w:tcPr>
            <w:tcW w:type="dxa" w:w="259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sz w:val="18"/>
              </w:rPr>
              <w:t>recommendedAction</w:t>
            </w:r>
          </w:p>
        </w:tc>
        <w:tc>
          <w:tcPr>
            <w:tcW w:type="dxa" w:w="4464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sz w:val="18"/>
              </w:rPr>
              <w:t>Captures proposed configuration tweaks as a secure hash parameter vector, bound to an explicit expiration window.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sz w:val="18"/>
              </w:rPr>
              <w:t>Central Arbitration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sz w:val="18"/>
              </w:rPr>
              <w:t>AIMLOrchestration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sz w:val="18"/>
              </w:rPr>
              <w:t>Intercepts conflicting parameter tweaks, evaluating regional dependencies to schedule safe execution windows.</w:t>
            </w:r>
          </w:p>
        </w:tc>
      </w:tr>
      <w:tr>
        <w:tc>
          <w:tcPr>
            <w:tcW w:type="dxa" w:w="259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sz w:val="18"/>
              </w:rPr>
              <w:t>Downstream Feedback</w:t>
            </w:r>
          </w:p>
        </w:tc>
        <w:tc>
          <w:tcPr>
            <w:tcW w:type="dxa" w:w="259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sz w:val="18"/>
              </w:rPr>
              <w:t>Action Quality Indicator (AQI)</w:t>
            </w:r>
          </w:p>
        </w:tc>
        <w:tc>
          <w:tcPr>
            <w:tcW w:type="dxa" w:w="4464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sz w:val="18"/>
              </w:rPr>
              <w:t>Reports standardized impact scales back to origin nodes, adjusting local control limits to restrict unstable parameters.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2B6CB0"/>
          <w:sz w:val="23"/>
        </w:rPr>
        <w:t>3.3 The Three Pillars of Trustworthy AI Compliance</w:t>
      </w:r>
    </w:p>
    <w:p>
      <w:r>
        <w:t>To satisfy emerging international regulatory acts, TR 28.908 structures quantitative compliance verification rules under three distinct technological pillars:</w:t>
      </w:r>
    </w:p>
    <w:p>
      <w:pPr>
        <w:pStyle w:val="ListBullet"/>
        <w:spacing w:before="0" w:after="40" w:line="276" w:lineRule="auto"/>
      </w:pPr>
      <w:r>
        <w:rPr>
          <w:b/>
          <w:color w:val="2D3748"/>
        </w:rPr>
        <w:t xml:space="preserve">1. Explainability: </w:t>
      </w:r>
      <w:r>
        <w:t>Quantifies feature relevance using continuous monotonicity evaluation, measuring the precise impact of specific telemetry inputs on final configuration shifts without exposing vendor software secrets.</w:t>
      </w:r>
    </w:p>
    <w:p>
      <w:pPr>
        <w:pStyle w:val="ListBullet"/>
        <w:spacing w:before="0" w:after="40" w:line="276" w:lineRule="auto"/>
      </w:pPr>
      <w:r>
        <w:rPr>
          <w:b/>
          <w:color w:val="2D3748"/>
        </w:rPr>
        <w:t xml:space="preserve">2. Fairness: </w:t>
      </w:r>
      <w:r>
        <w:t>Prunes discriminatory variance via automated disparate impact checking, auditing output ratios between privileged and unprivileged node groups to eliminate historical data bias.</w:t>
      </w:r>
    </w:p>
    <w:p>
      <w:pPr>
        <w:pStyle w:val="ListBullet"/>
        <w:spacing w:before="0" w:after="40" w:line="276" w:lineRule="auto"/>
      </w:pPr>
      <w:r>
        <w:rPr>
          <w:b/>
          <w:color w:val="2D3748"/>
        </w:rPr>
        <w:t xml:space="preserve">3. Robustness: </w:t>
      </w:r>
      <w:r>
        <w:t>Enforces system integrity by tracking strict missingness ratios across live data streams, running automatic mean feature imputation and sandbox testing against deliberate adversarial poisoning attempts.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