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165DB" w:rsidRPr="00742EF9" w:rsidRDefault="00550E77">
      <w:pPr>
        <w:spacing w:before="1200" w:after="200"/>
        <w:jc w:val="center"/>
        <w:rPr>
          <w:color w:val="000000" w:themeColor="text1"/>
        </w:rPr>
      </w:pPr>
      <w:r w:rsidRPr="00742EF9">
        <w:rPr>
          <w:b/>
          <w:bCs/>
          <w:color w:val="000000" w:themeColor="text1"/>
          <w:sz w:val="72"/>
          <w:szCs w:val="72"/>
        </w:rPr>
        <w:t>CLINIGUARD</w:t>
      </w:r>
    </w:p>
    <w:p w:rsidR="005165DB" w:rsidRPr="00742EF9" w:rsidRDefault="00550E77">
      <w:pPr>
        <w:spacing w:after="180"/>
        <w:jc w:val="center"/>
        <w:rPr>
          <w:color w:val="000000" w:themeColor="text1"/>
        </w:rPr>
      </w:pPr>
      <w:r w:rsidRPr="00742EF9">
        <w:rPr>
          <w:color w:val="000000" w:themeColor="text1"/>
          <w:sz w:val="32"/>
          <w:szCs w:val="32"/>
        </w:rPr>
        <w:t>A Multi-Signal Clinical Decision Guard for</w:t>
      </w:r>
    </w:p>
    <w:p w:rsidR="005165DB" w:rsidRPr="00742EF9" w:rsidRDefault="00550E77">
      <w:pPr>
        <w:spacing w:after="480"/>
        <w:jc w:val="center"/>
        <w:rPr>
          <w:color w:val="000000" w:themeColor="text1"/>
        </w:rPr>
      </w:pPr>
      <w:r w:rsidRPr="00742EF9">
        <w:rPr>
          <w:color w:val="000000" w:themeColor="text1"/>
          <w:sz w:val="32"/>
          <w:szCs w:val="32"/>
        </w:rPr>
        <w:t>Real-Time Hallucination Detection in Medical LLMs</w:t>
      </w:r>
    </w:p>
    <w:p w:rsidR="005165DB" w:rsidRPr="00742EF9" w:rsidRDefault="00550E77">
      <w:pPr>
        <w:spacing w:after="200"/>
        <w:jc w:val="center"/>
        <w:rPr>
          <w:color w:val="000000" w:themeColor="text1"/>
        </w:rPr>
      </w:pPr>
      <w:r w:rsidRPr="00742EF9">
        <w:rPr>
          <w:i/>
          <w:iCs/>
          <w:color w:val="000000" w:themeColor="text1"/>
          <w:sz w:val="26"/>
          <w:szCs w:val="26"/>
        </w:rPr>
        <w:t>AI for Healthcare — Capstone Project Report</w:t>
      </w:r>
    </w:p>
    <w:p w:rsidR="005165DB" w:rsidRPr="00742EF9" w:rsidRDefault="00550E77">
      <w:pPr>
        <w:spacing w:before="600" w:after="120"/>
        <w:jc w:val="center"/>
        <w:rPr>
          <w:color w:val="000000" w:themeColor="text1"/>
        </w:rPr>
      </w:pPr>
      <w:r w:rsidRPr="00742EF9">
        <w:rPr>
          <w:b/>
          <w:bCs/>
          <w:color w:val="000000" w:themeColor="text1"/>
        </w:rPr>
        <w:t>Key Performance Metrics</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500"/>
      </w:tblGrid>
      <w:tr w:rsidR="00742EF9" w:rsidRPr="00742EF9">
        <w:tblPrEx>
          <w:tblCellMar>
            <w:top w:w="0" w:type="dxa"/>
            <w:bottom w:w="0" w:type="dxa"/>
          </w:tblCellMar>
        </w:tblPrEx>
        <w:trPr>
          <w:tblHeader/>
        </w:trPr>
        <w:tc>
          <w:tcPr>
            <w:tcW w:w="3500" w:type="dxa"/>
            <w:tcBorders>
              <w:top w:val="single" w:sz="1" w:space="0" w:color="AAAAAA"/>
              <w:left w:val="single" w:sz="1" w:space="0" w:color="AAAAAA"/>
              <w:bottom w:val="single" w:sz="1" w:space="0" w:color="AAAAAA"/>
              <w:right w:val="single" w:sz="1" w:space="0" w:color="AAAAAA"/>
            </w:tcBorders>
            <w:shd w:val="clear" w:color="auto" w:fill="1A3C6E"/>
            <w:tcMar>
              <w:top w:w="80" w:type="dxa"/>
              <w:left w:w="140" w:type="dxa"/>
              <w:bottom w:w="80" w:type="dxa"/>
              <w:right w:w="140" w:type="dxa"/>
            </w:tcMar>
            <w:vAlign w:val="center"/>
          </w:tcPr>
          <w:p w:rsidR="005165DB" w:rsidRPr="00742EF9" w:rsidRDefault="00550E77">
            <w:pPr>
              <w:rPr>
                <w:color w:val="000000" w:themeColor="text1"/>
              </w:rPr>
            </w:pPr>
            <w:r w:rsidRPr="00742EF9">
              <w:rPr>
                <w:b/>
                <w:bCs/>
                <w:color w:val="000000" w:themeColor="text1"/>
                <w:sz w:val="22"/>
                <w:szCs w:val="22"/>
              </w:rPr>
              <w:t>Metric</w:t>
            </w:r>
          </w:p>
        </w:tc>
        <w:tc>
          <w:tcPr>
            <w:tcW w:w="3500" w:type="dxa"/>
            <w:tcBorders>
              <w:top w:val="single" w:sz="1" w:space="0" w:color="AAAAAA"/>
              <w:left w:val="single" w:sz="1" w:space="0" w:color="AAAAAA"/>
              <w:bottom w:val="single" w:sz="1" w:space="0" w:color="AAAAAA"/>
              <w:right w:val="single" w:sz="1" w:space="0" w:color="AAAAAA"/>
            </w:tcBorders>
            <w:shd w:val="clear" w:color="auto" w:fill="1A3C6E"/>
            <w:tcMar>
              <w:top w:w="80" w:type="dxa"/>
              <w:left w:w="140" w:type="dxa"/>
              <w:bottom w:w="80" w:type="dxa"/>
              <w:right w:w="140" w:type="dxa"/>
            </w:tcMar>
            <w:vAlign w:val="center"/>
          </w:tcPr>
          <w:p w:rsidR="005165DB" w:rsidRPr="00742EF9" w:rsidRDefault="00550E77">
            <w:pPr>
              <w:rPr>
                <w:color w:val="000000" w:themeColor="text1"/>
              </w:rPr>
            </w:pPr>
            <w:r w:rsidRPr="00742EF9">
              <w:rPr>
                <w:b/>
                <w:bCs/>
                <w:color w:val="000000" w:themeColor="text1"/>
                <w:sz w:val="22"/>
                <w:szCs w:val="22"/>
              </w:rPr>
              <w:t>Value</w:t>
            </w:r>
          </w:p>
        </w:tc>
      </w:tr>
      <w:tr w:rsidR="00742EF9" w:rsidRPr="00742EF9">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rsidR="005165DB" w:rsidRPr="00742EF9" w:rsidRDefault="00550E77">
            <w:pPr>
              <w:rPr>
                <w:color w:val="000000" w:themeColor="text1"/>
              </w:rPr>
            </w:pPr>
            <w:r w:rsidRPr="00742EF9">
              <w:rPr>
                <w:color w:val="000000" w:themeColor="text1"/>
                <w:sz w:val="22"/>
                <w:szCs w:val="22"/>
              </w:rPr>
              <w:t>AUROC (</w:t>
            </w:r>
            <w:proofErr w:type="spellStart"/>
            <w:r w:rsidRPr="00742EF9">
              <w:rPr>
                <w:color w:val="000000" w:themeColor="text1"/>
                <w:sz w:val="22"/>
                <w:szCs w:val="22"/>
              </w:rPr>
              <w:t>MedHallu</w:t>
            </w:r>
            <w:proofErr w:type="spellEnd"/>
            <w:r w:rsidRPr="00742EF9">
              <w:rPr>
                <w:color w:val="000000" w:themeColor="text1"/>
                <w:sz w:val="22"/>
                <w:szCs w:val="22"/>
              </w:rPr>
              <w:t>)</w:t>
            </w:r>
          </w:p>
        </w:tc>
        <w:tc>
          <w:tcPr>
            <w:tcW w:w="3500" w:type="dxa"/>
            <w:tcBorders>
              <w:top w:val="single" w:sz="1" w:space="0" w:color="AAAAAA"/>
              <w:left w:val="single" w:sz="1" w:space="0" w:color="AAAAAA"/>
              <w:bottom w:val="single" w:sz="1" w:space="0" w:color="AAAAAA"/>
              <w:right w:val="single" w:sz="1" w:space="0" w:color="AAAAAA"/>
            </w:tcBorders>
            <w:shd w:val="clear" w:color="auto" w:fill="E8F4EF"/>
            <w:tcMar>
              <w:top w:w="80" w:type="dxa"/>
              <w:left w:w="140" w:type="dxa"/>
              <w:bottom w:w="80" w:type="dxa"/>
              <w:right w:w="140" w:type="dxa"/>
            </w:tcMar>
            <w:vAlign w:val="center"/>
          </w:tcPr>
          <w:p w:rsidR="005165DB" w:rsidRPr="00742EF9" w:rsidRDefault="00550E77">
            <w:pPr>
              <w:rPr>
                <w:color w:val="000000" w:themeColor="text1"/>
              </w:rPr>
            </w:pPr>
            <w:r w:rsidRPr="00742EF9">
              <w:rPr>
                <w:color w:val="000000" w:themeColor="text1"/>
                <w:sz w:val="22"/>
                <w:szCs w:val="22"/>
              </w:rPr>
              <w:t>0.884</w:t>
            </w:r>
          </w:p>
        </w:tc>
      </w:tr>
      <w:tr w:rsidR="00742EF9" w:rsidRPr="00742EF9">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rsidR="005165DB" w:rsidRPr="00742EF9" w:rsidRDefault="00550E77">
            <w:pPr>
              <w:rPr>
                <w:color w:val="000000" w:themeColor="text1"/>
              </w:rPr>
            </w:pPr>
            <w:r w:rsidRPr="00742EF9">
              <w:rPr>
                <w:color w:val="000000" w:themeColor="text1"/>
                <w:sz w:val="22"/>
                <w:szCs w:val="22"/>
              </w:rPr>
              <w:t>Latency</w:t>
            </w:r>
          </w:p>
        </w:tc>
        <w:tc>
          <w:tcPr>
            <w:tcW w:w="3500" w:type="dxa"/>
            <w:tcBorders>
              <w:top w:val="single" w:sz="1" w:space="0" w:color="AAAAAA"/>
              <w:left w:val="single" w:sz="1" w:space="0" w:color="AAAAAA"/>
              <w:bottom w:val="single" w:sz="1" w:space="0" w:color="AAAAAA"/>
              <w:right w:val="single" w:sz="1" w:space="0" w:color="AAAAAA"/>
            </w:tcBorders>
            <w:shd w:val="clear" w:color="auto" w:fill="E8F4EF"/>
            <w:tcMar>
              <w:top w:w="80" w:type="dxa"/>
              <w:left w:w="140" w:type="dxa"/>
              <w:bottom w:w="80" w:type="dxa"/>
              <w:right w:w="140" w:type="dxa"/>
            </w:tcMar>
            <w:vAlign w:val="center"/>
          </w:tcPr>
          <w:p w:rsidR="005165DB" w:rsidRPr="00742EF9" w:rsidRDefault="00550E77">
            <w:pPr>
              <w:rPr>
                <w:color w:val="000000" w:themeColor="text1"/>
              </w:rPr>
            </w:pPr>
            <w:r w:rsidRPr="00742EF9">
              <w:rPr>
                <w:color w:val="000000" w:themeColor="text1"/>
                <w:sz w:val="22"/>
                <w:szCs w:val="22"/>
              </w:rPr>
              <w:t xml:space="preserve">13.1 </w:t>
            </w:r>
            <w:proofErr w:type="spellStart"/>
            <w:r w:rsidRPr="00742EF9">
              <w:rPr>
                <w:color w:val="000000" w:themeColor="text1"/>
                <w:sz w:val="22"/>
                <w:szCs w:val="22"/>
              </w:rPr>
              <w:t>ms</w:t>
            </w:r>
            <w:proofErr w:type="spellEnd"/>
            <w:r w:rsidRPr="00742EF9">
              <w:rPr>
                <w:color w:val="000000" w:themeColor="text1"/>
                <w:sz w:val="22"/>
                <w:szCs w:val="22"/>
              </w:rPr>
              <w:t>/token</w:t>
            </w:r>
          </w:p>
        </w:tc>
      </w:tr>
      <w:tr w:rsidR="00742EF9" w:rsidRPr="00742EF9">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rsidR="005165DB" w:rsidRPr="00742EF9" w:rsidRDefault="00550E77">
            <w:pPr>
              <w:rPr>
                <w:color w:val="000000" w:themeColor="text1"/>
              </w:rPr>
            </w:pPr>
            <w:r w:rsidRPr="00742EF9">
              <w:rPr>
                <w:color w:val="000000" w:themeColor="text1"/>
                <w:sz w:val="22"/>
                <w:szCs w:val="22"/>
              </w:rPr>
              <w:t>Hallucination Reduction</w:t>
            </w:r>
          </w:p>
        </w:tc>
        <w:tc>
          <w:tcPr>
            <w:tcW w:w="3500" w:type="dxa"/>
            <w:tcBorders>
              <w:top w:val="single" w:sz="1" w:space="0" w:color="AAAAAA"/>
              <w:left w:val="single" w:sz="1" w:space="0" w:color="AAAAAA"/>
              <w:bottom w:val="single" w:sz="1" w:space="0" w:color="AAAAAA"/>
              <w:right w:val="single" w:sz="1" w:space="0" w:color="AAAAAA"/>
            </w:tcBorders>
            <w:shd w:val="clear" w:color="auto" w:fill="E8F4EF"/>
            <w:tcMar>
              <w:top w:w="80" w:type="dxa"/>
              <w:left w:w="140" w:type="dxa"/>
              <w:bottom w:w="80" w:type="dxa"/>
              <w:right w:w="140" w:type="dxa"/>
            </w:tcMar>
            <w:vAlign w:val="center"/>
          </w:tcPr>
          <w:p w:rsidR="005165DB" w:rsidRPr="00742EF9" w:rsidRDefault="00550E77">
            <w:pPr>
              <w:rPr>
                <w:color w:val="000000" w:themeColor="text1"/>
              </w:rPr>
            </w:pPr>
            <w:r w:rsidRPr="00742EF9">
              <w:rPr>
                <w:color w:val="000000" w:themeColor="text1"/>
                <w:sz w:val="22"/>
                <w:szCs w:val="22"/>
              </w:rPr>
              <w:t>67.4%</w:t>
            </w:r>
          </w:p>
        </w:tc>
      </w:tr>
      <w:tr w:rsidR="00742EF9" w:rsidRPr="00742EF9">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rsidR="005165DB" w:rsidRPr="00742EF9" w:rsidRDefault="00550E77">
            <w:pPr>
              <w:rPr>
                <w:color w:val="000000" w:themeColor="text1"/>
              </w:rPr>
            </w:pPr>
            <w:r w:rsidRPr="00742EF9">
              <w:rPr>
                <w:color w:val="000000" w:themeColor="text1"/>
                <w:sz w:val="22"/>
                <w:szCs w:val="22"/>
              </w:rPr>
              <w:t>Clinical Error Detection Speed</w:t>
            </w:r>
          </w:p>
        </w:tc>
        <w:tc>
          <w:tcPr>
            <w:tcW w:w="3500" w:type="dxa"/>
            <w:tcBorders>
              <w:top w:val="single" w:sz="1" w:space="0" w:color="AAAAAA"/>
              <w:left w:val="single" w:sz="1" w:space="0" w:color="AAAAAA"/>
              <w:bottom w:val="single" w:sz="1" w:space="0" w:color="AAAAAA"/>
              <w:right w:val="single" w:sz="1" w:space="0" w:color="AAAAAA"/>
            </w:tcBorders>
            <w:shd w:val="clear" w:color="auto" w:fill="E8F4EF"/>
            <w:tcMar>
              <w:top w:w="80" w:type="dxa"/>
              <w:left w:w="140" w:type="dxa"/>
              <w:bottom w:w="80" w:type="dxa"/>
              <w:right w:w="140" w:type="dxa"/>
            </w:tcMar>
            <w:vAlign w:val="center"/>
          </w:tcPr>
          <w:p w:rsidR="005165DB" w:rsidRPr="00742EF9" w:rsidRDefault="00550E77">
            <w:pPr>
              <w:rPr>
                <w:color w:val="000000" w:themeColor="text1"/>
              </w:rPr>
            </w:pPr>
            <w:r w:rsidRPr="00742EF9">
              <w:rPr>
                <w:color w:val="000000" w:themeColor="text1"/>
                <w:sz w:val="22"/>
                <w:szCs w:val="22"/>
              </w:rPr>
              <w:t>45% Faster</w:t>
            </w:r>
          </w:p>
        </w:tc>
      </w:tr>
    </w:tbl>
    <w:p w:rsidR="005165DB" w:rsidRPr="00742EF9" w:rsidRDefault="005165DB">
      <w:pPr>
        <w:spacing w:before="120" w:after="120"/>
        <w:rPr>
          <w:color w:val="000000" w:themeColor="text1"/>
        </w:rPr>
      </w:pPr>
    </w:p>
    <w:p w:rsidR="005165DB" w:rsidRPr="00742EF9" w:rsidRDefault="00550E77">
      <w:pPr>
        <w:rPr>
          <w:color w:val="000000" w:themeColor="text1"/>
        </w:rPr>
      </w:pPr>
      <w:r w:rsidRPr="00742EF9">
        <w:rPr>
          <w:color w:val="000000" w:themeColor="text1"/>
        </w:rPr>
        <w:br w:type="page"/>
      </w:r>
    </w:p>
    <w:p w:rsidR="005165DB" w:rsidRPr="00742EF9" w:rsidRDefault="00550E77">
      <w:pPr>
        <w:pStyle w:val="Heading1"/>
        <w:rPr>
          <w:color w:val="000000" w:themeColor="text1"/>
        </w:rPr>
      </w:pPr>
      <w:r w:rsidRPr="00742EF9">
        <w:rPr>
          <w:color w:val="000000" w:themeColor="text1"/>
        </w:rPr>
        <w:lastRenderedPageBreak/>
        <w:t>Abstract</w:t>
      </w:r>
    </w:p>
    <w:p w:rsidR="005165DB" w:rsidRPr="00742EF9" w:rsidRDefault="005165DB">
      <w:pPr>
        <w:pBdr>
          <w:bottom w:val="single" w:sz="4" w:space="1" w:color="2E5FA3"/>
        </w:pBdr>
        <w:spacing w:before="200" w:after="200"/>
        <w:rPr>
          <w:color w:val="000000" w:themeColor="text1"/>
        </w:rPr>
      </w:pPr>
    </w:p>
    <w:p w:rsidR="005165DB" w:rsidRPr="00742EF9" w:rsidRDefault="00550E77">
      <w:pPr>
        <w:spacing w:before="80" w:after="120" w:line="360" w:lineRule="auto"/>
        <w:jc w:val="both"/>
        <w:rPr>
          <w:color w:val="000000" w:themeColor="text1"/>
        </w:rPr>
      </w:pPr>
      <w:r w:rsidRPr="00742EF9">
        <w:rPr>
          <w:color w:val="000000" w:themeColor="text1"/>
        </w:rPr>
        <w:t>The widespread adoption of large language models (LLMs) in clinical settings has introduced a critical patient safety challenge: medical hallucinations. These are instances where AI systems generate confident but factually incorrect, outdated, or contextua</w:t>
      </w:r>
      <w:r w:rsidRPr="00742EF9">
        <w:rPr>
          <w:color w:val="000000" w:themeColor="text1"/>
        </w:rPr>
        <w:t>lly inappropriate clinical claims. Unlike general-domain errors, medical hallucinations carry life-threatening consequences, ranging from incorrect drug dosing to missed allergy contraindications and diagnostic drift in long-form clinical reasoning.</w:t>
      </w:r>
    </w:p>
    <w:p w:rsidR="005165DB" w:rsidRPr="00742EF9" w:rsidRDefault="005165DB">
      <w:pPr>
        <w:spacing w:before="120" w:after="120"/>
        <w:rPr>
          <w:color w:val="000000" w:themeColor="text1"/>
        </w:rPr>
      </w:pPr>
    </w:p>
    <w:p w:rsidR="005165DB" w:rsidRPr="00742EF9" w:rsidRDefault="00550E77">
      <w:pPr>
        <w:spacing w:before="80" w:after="120" w:line="360" w:lineRule="auto"/>
        <w:jc w:val="both"/>
        <w:rPr>
          <w:color w:val="000000" w:themeColor="text1"/>
        </w:rPr>
      </w:pPr>
      <w:r w:rsidRPr="00742EF9">
        <w:rPr>
          <w:color w:val="000000" w:themeColor="text1"/>
        </w:rPr>
        <w:t xml:space="preserve">This </w:t>
      </w:r>
      <w:r w:rsidRPr="00742EF9">
        <w:rPr>
          <w:color w:val="000000" w:themeColor="text1"/>
        </w:rPr>
        <w:t>paper presents CLINIGUARD, a novel multi-signal clinical decision guard designed to detect, explain, and mitigate hallucinations in real time during medical LLM inference. CLINIGUARD integrates four complementary detection modules into a single forward-pas</w:t>
      </w:r>
      <w:r w:rsidRPr="00742EF9">
        <w:rPr>
          <w:color w:val="000000" w:themeColor="text1"/>
        </w:rPr>
        <w:t xml:space="preserve">s architecture: (1) Med-ISP (Medical Information State Probes), which monitors hidden layer representations for clinical terminology accuracy against </w:t>
      </w:r>
      <w:proofErr w:type="spellStart"/>
      <w:r w:rsidRPr="00742EF9">
        <w:rPr>
          <w:color w:val="000000" w:themeColor="text1"/>
        </w:rPr>
        <w:t>RxNorm</w:t>
      </w:r>
      <w:proofErr w:type="spellEnd"/>
      <w:r w:rsidRPr="00742EF9">
        <w:rPr>
          <w:color w:val="000000" w:themeColor="text1"/>
        </w:rPr>
        <w:t>; (2) C-AAS (Clinical Attention Alignment Score), which verifies model attention over patient-specif</w:t>
      </w:r>
      <w:r w:rsidRPr="00742EF9">
        <w:rPr>
          <w:color w:val="000000" w:themeColor="text1"/>
        </w:rPr>
        <w:t>ic contextual markers including demographics, vitals, and allergy records; (3) Med-EEM (Medical Entropy-Energy Monitor), which tracks logit-level uncertainty during drug naming; and (4) CDT (Clinical Drift Tracker), which measures cosine similarity of reas</w:t>
      </w:r>
      <w:r w:rsidRPr="00742EF9">
        <w:rPr>
          <w:color w:val="000000" w:themeColor="text1"/>
        </w:rPr>
        <w:t>oning vectors to detect contextual drift in long clinical reports.</w:t>
      </w:r>
    </w:p>
    <w:p w:rsidR="005165DB" w:rsidRPr="00742EF9" w:rsidRDefault="005165DB">
      <w:pPr>
        <w:spacing w:before="120" w:after="120"/>
        <w:rPr>
          <w:color w:val="000000" w:themeColor="text1"/>
        </w:rPr>
      </w:pPr>
    </w:p>
    <w:p w:rsidR="005165DB" w:rsidRPr="00742EF9" w:rsidRDefault="00550E77">
      <w:pPr>
        <w:spacing w:before="80" w:after="120" w:line="360" w:lineRule="auto"/>
        <w:jc w:val="both"/>
        <w:rPr>
          <w:color w:val="000000" w:themeColor="text1"/>
        </w:rPr>
      </w:pPr>
      <w:r w:rsidRPr="00742EF9">
        <w:rPr>
          <w:color w:val="000000" w:themeColor="text1"/>
        </w:rPr>
        <w:t>These signals are fused using task-conditional learned weighting, enabling CLINIGUARD to adapt its risk scoring to the clinical task at hand — whether drug dosing verification, allergy che</w:t>
      </w:r>
      <w:r w:rsidRPr="00742EF9">
        <w:rPr>
          <w:color w:val="000000" w:themeColor="text1"/>
        </w:rPr>
        <w:t xml:space="preserve">cking, or multi-step diagnostic reasoning. An inline RAG (Retrieval-Augmented Generation) pipeline queries UMLS, </w:t>
      </w:r>
      <w:proofErr w:type="spellStart"/>
      <w:r w:rsidRPr="00742EF9">
        <w:rPr>
          <w:color w:val="000000" w:themeColor="text1"/>
        </w:rPr>
        <w:t>RxNorm</w:t>
      </w:r>
      <w:proofErr w:type="spellEnd"/>
      <w:r w:rsidRPr="00742EF9">
        <w:rPr>
          <w:color w:val="000000" w:themeColor="text1"/>
        </w:rPr>
        <w:t>, and PubMed to verify flagged claims, and a calibrated abstention mechanism prevents unverified claims from reaching clinicians.</w:t>
      </w:r>
    </w:p>
    <w:p w:rsidR="005165DB" w:rsidRPr="00742EF9" w:rsidRDefault="005165DB">
      <w:pPr>
        <w:spacing w:before="120" w:after="120"/>
        <w:rPr>
          <w:color w:val="000000" w:themeColor="text1"/>
        </w:rPr>
      </w:pPr>
    </w:p>
    <w:p w:rsidR="005165DB" w:rsidRPr="00742EF9" w:rsidRDefault="00550E77">
      <w:pPr>
        <w:spacing w:before="80" w:after="120" w:line="360" w:lineRule="auto"/>
        <w:jc w:val="both"/>
        <w:rPr>
          <w:color w:val="000000" w:themeColor="text1"/>
        </w:rPr>
      </w:pPr>
      <w:r w:rsidRPr="00742EF9">
        <w:rPr>
          <w:color w:val="000000" w:themeColor="text1"/>
        </w:rPr>
        <w:t xml:space="preserve">Experimental evaluation on three clinical hallucination benchmarks — </w:t>
      </w:r>
      <w:proofErr w:type="spellStart"/>
      <w:r w:rsidRPr="00742EF9">
        <w:rPr>
          <w:color w:val="000000" w:themeColor="text1"/>
        </w:rPr>
        <w:t>MedHallu</w:t>
      </w:r>
      <w:proofErr w:type="spellEnd"/>
      <w:r w:rsidRPr="00742EF9">
        <w:rPr>
          <w:color w:val="000000" w:themeColor="text1"/>
        </w:rPr>
        <w:t xml:space="preserve"> (5,000 SOAP notes), Med-HALT (2,000 real clinical QA hallucinations), and MHB (3,000 doctor-annotated claims) — demonstrates that CLINIGUARD achieves an AUROC of 0.884 (10.6% abo</w:t>
      </w:r>
      <w:r w:rsidRPr="00742EF9">
        <w:rPr>
          <w:color w:val="000000" w:themeColor="text1"/>
        </w:rPr>
        <w:t xml:space="preserve">ve baseline), a Precision@95% Recall of 0.91, and a 67.4% hallucination reduction rate. </w:t>
      </w:r>
      <w:r w:rsidRPr="00742EF9">
        <w:rPr>
          <w:color w:val="000000" w:themeColor="text1"/>
        </w:rPr>
        <w:lastRenderedPageBreak/>
        <w:t xml:space="preserve">Critically, CLINIGUARD operates at 13.1 </w:t>
      </w:r>
      <w:proofErr w:type="spellStart"/>
      <w:r w:rsidRPr="00742EF9">
        <w:rPr>
          <w:color w:val="000000" w:themeColor="text1"/>
        </w:rPr>
        <w:t>ms</w:t>
      </w:r>
      <w:proofErr w:type="spellEnd"/>
      <w:r w:rsidRPr="00742EF9">
        <w:rPr>
          <w:color w:val="000000" w:themeColor="text1"/>
        </w:rPr>
        <w:t>/token — 11.2x faster than multi-sampling uncertainty quantification methods — making it clinically deployable in real-time ch</w:t>
      </w:r>
      <w:r w:rsidRPr="00742EF9">
        <w:rPr>
          <w:color w:val="000000" w:themeColor="text1"/>
        </w:rPr>
        <w:t>at interfaces. A 15-physician user study confirms a 45% improvement in error detection speed and 38% higher decision confidence when using CLINIGUARD color-coded outputs.</w:t>
      </w:r>
    </w:p>
    <w:p w:rsidR="005165DB" w:rsidRPr="00742EF9" w:rsidRDefault="005165DB">
      <w:pPr>
        <w:spacing w:before="120" w:after="120"/>
        <w:rPr>
          <w:color w:val="000000" w:themeColor="text1"/>
        </w:rPr>
      </w:pPr>
    </w:p>
    <w:p w:rsidR="005165DB" w:rsidRPr="00742EF9" w:rsidRDefault="00550E77">
      <w:pPr>
        <w:spacing w:before="80" w:after="120" w:line="360" w:lineRule="auto"/>
        <w:jc w:val="both"/>
        <w:rPr>
          <w:color w:val="000000" w:themeColor="text1"/>
        </w:rPr>
      </w:pPr>
      <w:r w:rsidRPr="00742EF9">
        <w:rPr>
          <w:i/>
          <w:iCs/>
          <w:color w:val="000000" w:themeColor="text1"/>
        </w:rPr>
        <w:t>Keywords: Medical LLMs, Hallucination Detection, Clinical AI Safety, Uncertainty Qua</w:t>
      </w:r>
      <w:r w:rsidRPr="00742EF9">
        <w:rPr>
          <w:i/>
          <w:iCs/>
          <w:color w:val="000000" w:themeColor="text1"/>
        </w:rPr>
        <w:t>ntification, Retrieval-Augmented Generation, Patient Safety, Real-Time Inference Guard</w:t>
      </w:r>
    </w:p>
    <w:p w:rsidR="005165DB" w:rsidRPr="00742EF9" w:rsidRDefault="00550E77">
      <w:pPr>
        <w:rPr>
          <w:color w:val="000000" w:themeColor="text1"/>
        </w:rPr>
      </w:pPr>
      <w:r w:rsidRPr="00742EF9">
        <w:rPr>
          <w:color w:val="000000" w:themeColor="text1"/>
        </w:rPr>
        <w:br w:type="page"/>
      </w:r>
    </w:p>
    <w:p w:rsidR="005165DB" w:rsidRPr="00742EF9" w:rsidRDefault="00550E77">
      <w:pPr>
        <w:pStyle w:val="Heading1"/>
        <w:rPr>
          <w:color w:val="000000" w:themeColor="text1"/>
        </w:rPr>
      </w:pPr>
      <w:r w:rsidRPr="00742EF9">
        <w:rPr>
          <w:color w:val="000000" w:themeColor="text1"/>
        </w:rPr>
        <w:lastRenderedPageBreak/>
        <w:t>1. Introduction</w:t>
      </w:r>
    </w:p>
    <w:p w:rsidR="005165DB" w:rsidRPr="00742EF9" w:rsidRDefault="005165DB">
      <w:pPr>
        <w:pBdr>
          <w:bottom w:val="single" w:sz="4" w:space="1" w:color="2E5FA3"/>
        </w:pBdr>
        <w:spacing w:before="200" w:after="200"/>
        <w:rPr>
          <w:color w:val="000000" w:themeColor="text1"/>
        </w:rPr>
      </w:pPr>
    </w:p>
    <w:p w:rsidR="005165DB" w:rsidRPr="00742EF9" w:rsidRDefault="00550E77">
      <w:pPr>
        <w:pStyle w:val="Heading2"/>
        <w:rPr>
          <w:color w:val="000000" w:themeColor="text1"/>
        </w:rPr>
      </w:pPr>
      <w:r w:rsidRPr="00742EF9">
        <w:rPr>
          <w:color w:val="000000" w:themeColor="text1"/>
        </w:rPr>
        <w:t>1.1 Background and Motivation</w:t>
      </w:r>
    </w:p>
    <w:p w:rsidR="005165DB" w:rsidRPr="00742EF9" w:rsidRDefault="00550E77">
      <w:pPr>
        <w:spacing w:before="80" w:after="120" w:line="360" w:lineRule="auto"/>
        <w:jc w:val="both"/>
        <w:rPr>
          <w:color w:val="000000" w:themeColor="text1"/>
        </w:rPr>
      </w:pPr>
      <w:r w:rsidRPr="00742EF9">
        <w:rPr>
          <w:color w:val="000000" w:themeColor="text1"/>
        </w:rPr>
        <w:t>The rapid integration of artificial intelligence into clinical medicine has produced transformative capabilities in docu</w:t>
      </w:r>
      <w:r w:rsidRPr="00742EF9">
        <w:rPr>
          <w:color w:val="000000" w:themeColor="text1"/>
        </w:rPr>
        <w:t xml:space="preserve">mentation, decision support, and diagnostic reasoning. Large language models, including variants fine-tuned on medical corpora, are increasingly deployed for generating SOAP (Subjective, Objective, Assessment, </w:t>
      </w:r>
      <w:proofErr w:type="gramStart"/>
      <w:r w:rsidRPr="00742EF9">
        <w:rPr>
          <w:color w:val="000000" w:themeColor="text1"/>
        </w:rPr>
        <w:t>Plan</w:t>
      </w:r>
      <w:proofErr w:type="gramEnd"/>
      <w:r w:rsidRPr="00742EF9">
        <w:rPr>
          <w:color w:val="000000" w:themeColor="text1"/>
        </w:rPr>
        <w:t>) notes, answering clinical queries, check</w:t>
      </w:r>
      <w:r w:rsidRPr="00742EF9">
        <w:rPr>
          <w:color w:val="000000" w:themeColor="text1"/>
        </w:rPr>
        <w:t>ing drug interactions, and synthesizing research literature. Healthcare systems globally are piloting LLM-based assistants in emergency departments, primary care clinics, and specialist consultations.</w:t>
      </w:r>
    </w:p>
    <w:p w:rsidR="005165DB" w:rsidRPr="00742EF9" w:rsidRDefault="005165DB">
      <w:pPr>
        <w:spacing w:before="120" w:after="120"/>
        <w:rPr>
          <w:color w:val="000000" w:themeColor="text1"/>
        </w:rPr>
      </w:pPr>
    </w:p>
    <w:p w:rsidR="005165DB" w:rsidRPr="00742EF9" w:rsidRDefault="00550E77">
      <w:pPr>
        <w:spacing w:before="80" w:after="120" w:line="360" w:lineRule="auto"/>
        <w:jc w:val="both"/>
        <w:rPr>
          <w:color w:val="000000" w:themeColor="text1"/>
        </w:rPr>
      </w:pPr>
      <w:r w:rsidRPr="00742EF9">
        <w:rPr>
          <w:color w:val="000000" w:themeColor="text1"/>
        </w:rPr>
        <w:t>However, a fundamental and dangerous limitation persis</w:t>
      </w:r>
      <w:r w:rsidRPr="00742EF9">
        <w:rPr>
          <w:color w:val="000000" w:themeColor="text1"/>
        </w:rPr>
        <w:t>ts across all modern LLMs: hallucination. In the context of natural language generation, hallucination refers to the production of text that is fluent, coherent, and confidently expressed but factually incorrect, fabricated, or inconsistent with the provid</w:t>
      </w:r>
      <w:r w:rsidRPr="00742EF9">
        <w:rPr>
          <w:color w:val="000000" w:themeColor="text1"/>
        </w:rPr>
        <w:t>ed clinical context. While hallucination in general-domain applications — such as generating summaries of public news or writing marketing copy — may be a tolerable inconvenience, in clinical medicine it represents a direct threat to patient safety.</w:t>
      </w:r>
    </w:p>
    <w:p w:rsidR="005165DB" w:rsidRPr="00742EF9" w:rsidRDefault="005165DB">
      <w:pPr>
        <w:spacing w:before="120" w:after="120"/>
        <w:rPr>
          <w:color w:val="000000" w:themeColor="text1"/>
        </w:rPr>
      </w:pPr>
    </w:p>
    <w:p w:rsidR="005165DB" w:rsidRPr="00742EF9" w:rsidRDefault="00550E77">
      <w:pPr>
        <w:spacing w:before="80" w:after="120" w:line="360" w:lineRule="auto"/>
        <w:jc w:val="both"/>
        <w:rPr>
          <w:color w:val="000000" w:themeColor="text1"/>
        </w:rPr>
      </w:pPr>
      <w:r w:rsidRPr="00742EF9">
        <w:rPr>
          <w:color w:val="000000" w:themeColor="text1"/>
        </w:rPr>
        <w:t>Consi</w:t>
      </w:r>
      <w:r w:rsidRPr="00742EF9">
        <w:rPr>
          <w:color w:val="000000" w:themeColor="text1"/>
        </w:rPr>
        <w:t>der three clinical failure modes that exemplify this risk. First, in pediatric dosing errors, a model trained on population-level adult data may recommend a standard 500 mg antibiotic dose for a query involving an 8-year-old patient without adjusting for w</w:t>
      </w:r>
      <w:r w:rsidRPr="00742EF9">
        <w:rPr>
          <w:color w:val="000000" w:themeColor="text1"/>
        </w:rPr>
        <w:t>eight-based dosing protocols, leading to potential overdose. Second, in allergy omission failures, a model generating a treatment plan for a penicillin-allergic patient may, due to reasoning drift or insufficient attention to contextual allergy flags, reco</w:t>
      </w:r>
      <w:r w:rsidRPr="00742EF9">
        <w:rPr>
          <w:color w:val="000000" w:themeColor="text1"/>
        </w:rPr>
        <w:t>mmend amoxicillin — a direct contraindication that could precipitate anaphylaxis. Third, in diagnostic drift, when processing long multi-page patient charts, models lose contextual coherence and begin reasoning about unrelated conditions, producing dangero</w:t>
      </w:r>
      <w:r w:rsidRPr="00742EF9">
        <w:rPr>
          <w:color w:val="000000" w:themeColor="text1"/>
        </w:rPr>
        <w:t>usly misaligned assessments.</w:t>
      </w:r>
    </w:p>
    <w:p w:rsidR="005165DB" w:rsidRPr="00742EF9" w:rsidRDefault="005165DB">
      <w:pPr>
        <w:spacing w:before="120" w:after="120"/>
        <w:rPr>
          <w:color w:val="000000" w:themeColor="text1"/>
        </w:rPr>
      </w:pPr>
    </w:p>
    <w:p w:rsidR="005165DB" w:rsidRPr="00742EF9" w:rsidRDefault="00550E77">
      <w:pPr>
        <w:spacing w:before="80" w:after="120" w:line="360" w:lineRule="auto"/>
        <w:jc w:val="both"/>
        <w:rPr>
          <w:color w:val="000000" w:themeColor="text1"/>
        </w:rPr>
      </w:pPr>
      <w:r w:rsidRPr="00742EF9">
        <w:rPr>
          <w:color w:val="000000" w:themeColor="text1"/>
        </w:rPr>
        <w:lastRenderedPageBreak/>
        <w:t xml:space="preserve">These failure modes share a common characteristic: the model produces incorrect outputs with high confidence, and existing inference pipelines lack the mechanisms to detect, flag, or correct them before clinical presentation. </w:t>
      </w:r>
      <w:r w:rsidRPr="00742EF9">
        <w:rPr>
          <w:color w:val="000000" w:themeColor="text1"/>
        </w:rPr>
        <w:t>The consequence is not merely an inaccurate answer — it is a credible-looking, professionally formatted clinical recommendation that a busy clinician may act upon without independent verification.</w:t>
      </w:r>
    </w:p>
    <w:p w:rsidR="005165DB" w:rsidRPr="00742EF9" w:rsidRDefault="00550E77">
      <w:pPr>
        <w:pStyle w:val="Heading2"/>
        <w:rPr>
          <w:color w:val="000000" w:themeColor="text1"/>
        </w:rPr>
      </w:pPr>
      <w:r w:rsidRPr="00742EF9">
        <w:rPr>
          <w:color w:val="000000" w:themeColor="text1"/>
        </w:rPr>
        <w:t>1.2 Problem Statement</w:t>
      </w:r>
    </w:p>
    <w:p w:rsidR="005165DB" w:rsidRPr="00742EF9" w:rsidRDefault="00550E77">
      <w:pPr>
        <w:spacing w:before="80" w:after="120" w:line="360" w:lineRule="auto"/>
        <w:jc w:val="both"/>
        <w:rPr>
          <w:color w:val="000000" w:themeColor="text1"/>
        </w:rPr>
      </w:pPr>
      <w:r w:rsidRPr="00742EF9">
        <w:rPr>
          <w:color w:val="000000" w:themeColor="text1"/>
        </w:rPr>
        <w:t>Existing approaches to uncertainty qu</w:t>
      </w:r>
      <w:r w:rsidRPr="00742EF9">
        <w:rPr>
          <w:color w:val="000000" w:themeColor="text1"/>
        </w:rPr>
        <w:t>antification and hallucination detection in LLMs face three critical gaps when applied to real-time clinical settings:</w:t>
      </w:r>
    </w:p>
    <w:p w:rsidR="005165DB" w:rsidRPr="00742EF9" w:rsidRDefault="005165DB">
      <w:pPr>
        <w:spacing w:before="120" w:after="120"/>
        <w:rPr>
          <w:color w:val="000000" w:themeColor="text1"/>
        </w:rPr>
      </w:pPr>
    </w:p>
    <w:p w:rsidR="005165DB" w:rsidRPr="00742EF9" w:rsidRDefault="00550E77">
      <w:pPr>
        <w:pStyle w:val="ListParagraph"/>
        <w:numPr>
          <w:ilvl w:val="0"/>
          <w:numId w:val="2"/>
        </w:numPr>
        <w:spacing w:before="60" w:after="60"/>
        <w:rPr>
          <w:color w:val="000000" w:themeColor="text1"/>
        </w:rPr>
      </w:pPr>
      <w:r w:rsidRPr="00742EF9">
        <w:rPr>
          <w:color w:val="000000" w:themeColor="text1"/>
        </w:rPr>
        <w:t>Signal Isolation: Legacy uncertainty quantification systems typically monitor a single signal — either hidden state representations or t</w:t>
      </w:r>
      <w:r w:rsidRPr="00742EF9">
        <w:rPr>
          <w:color w:val="000000" w:themeColor="text1"/>
        </w:rPr>
        <w:t>oken-level probabilities — but not both, and never in combination with clinical relevance signals such as attention to patient context or drug-specific entropy.</w:t>
      </w:r>
    </w:p>
    <w:p w:rsidR="005165DB" w:rsidRPr="00742EF9" w:rsidRDefault="00550E77">
      <w:pPr>
        <w:pStyle w:val="ListParagraph"/>
        <w:numPr>
          <w:ilvl w:val="0"/>
          <w:numId w:val="2"/>
        </w:numPr>
        <w:spacing w:before="60" w:after="60"/>
        <w:rPr>
          <w:color w:val="000000" w:themeColor="text1"/>
        </w:rPr>
      </w:pPr>
      <w:r w:rsidRPr="00742EF9">
        <w:rPr>
          <w:color w:val="000000" w:themeColor="text1"/>
        </w:rPr>
        <w:t xml:space="preserve">Latency: Multi-sampling methods such as Monte Carlo Dropout and ensemble approaches require 5 to 10 additional forward passes through the model, resulting in latencies of 146.5 </w:t>
      </w:r>
      <w:proofErr w:type="spellStart"/>
      <w:r w:rsidRPr="00742EF9">
        <w:rPr>
          <w:color w:val="000000" w:themeColor="text1"/>
        </w:rPr>
        <w:t>ms</w:t>
      </w:r>
      <w:proofErr w:type="spellEnd"/>
      <w:r w:rsidRPr="00742EF9">
        <w:rPr>
          <w:color w:val="000000" w:themeColor="text1"/>
        </w:rPr>
        <w:t>/token or higher. This is computationally prohibitive in real-time clinical c</w:t>
      </w:r>
      <w:r w:rsidRPr="00742EF9">
        <w:rPr>
          <w:color w:val="000000" w:themeColor="text1"/>
        </w:rPr>
        <w:t xml:space="preserve">hat systems, where sub-20 </w:t>
      </w:r>
      <w:proofErr w:type="spellStart"/>
      <w:r w:rsidRPr="00742EF9">
        <w:rPr>
          <w:color w:val="000000" w:themeColor="text1"/>
        </w:rPr>
        <w:t>ms</w:t>
      </w:r>
      <w:proofErr w:type="spellEnd"/>
      <w:r w:rsidRPr="00742EF9">
        <w:rPr>
          <w:color w:val="000000" w:themeColor="text1"/>
        </w:rPr>
        <w:t xml:space="preserve"> response latency is required for fluid clinician-AI interaction.</w:t>
      </w:r>
    </w:p>
    <w:p w:rsidR="005165DB" w:rsidRPr="00742EF9" w:rsidRDefault="00550E77">
      <w:pPr>
        <w:pStyle w:val="ListParagraph"/>
        <w:numPr>
          <w:ilvl w:val="0"/>
          <w:numId w:val="2"/>
        </w:numPr>
        <w:spacing w:before="60" w:after="60"/>
        <w:rPr>
          <w:color w:val="000000" w:themeColor="text1"/>
        </w:rPr>
      </w:pPr>
      <w:r w:rsidRPr="00742EF9">
        <w:rPr>
          <w:color w:val="000000" w:themeColor="text1"/>
        </w:rPr>
        <w:t>Opacity: Even when uncertainty estimates are computed, raw numerical scores (e.g., “82% confidence”) do not explain to clinicians why the model is uncertain, whic</w:t>
      </w:r>
      <w:r w:rsidRPr="00742EF9">
        <w:rPr>
          <w:color w:val="000000" w:themeColor="text1"/>
        </w:rPr>
        <w:t>h specific claims require verification, or what alternative information is available. This opacity erodes clinical trust and adoption.</w:t>
      </w:r>
    </w:p>
    <w:p w:rsidR="005165DB" w:rsidRPr="00742EF9" w:rsidRDefault="005165DB">
      <w:pPr>
        <w:spacing w:before="120" w:after="120"/>
        <w:rPr>
          <w:color w:val="000000" w:themeColor="text1"/>
        </w:rPr>
      </w:pPr>
    </w:p>
    <w:p w:rsidR="005165DB" w:rsidRPr="00742EF9" w:rsidRDefault="00550E77">
      <w:pPr>
        <w:spacing w:before="80" w:after="120" w:line="360" w:lineRule="auto"/>
        <w:jc w:val="both"/>
        <w:rPr>
          <w:color w:val="000000" w:themeColor="text1"/>
        </w:rPr>
      </w:pPr>
      <w:r w:rsidRPr="00742EF9">
        <w:rPr>
          <w:color w:val="000000" w:themeColor="text1"/>
        </w:rPr>
        <w:t xml:space="preserve">CLINIGUARD directly addresses all three gaps through a unified, parallel multi-signal architecture that operates within </w:t>
      </w:r>
      <w:r w:rsidRPr="00742EF9">
        <w:rPr>
          <w:color w:val="000000" w:themeColor="text1"/>
        </w:rPr>
        <w:t>a single forward pass, produces clinician-interpretable color-coded explanations, and actively mitigates detected hallucinations through inline RAG and calibrated abstention.</w:t>
      </w:r>
    </w:p>
    <w:p w:rsidR="005165DB" w:rsidRPr="00742EF9" w:rsidRDefault="00550E77">
      <w:pPr>
        <w:pStyle w:val="Heading2"/>
        <w:rPr>
          <w:color w:val="000000" w:themeColor="text1"/>
        </w:rPr>
      </w:pPr>
      <w:r w:rsidRPr="00742EF9">
        <w:rPr>
          <w:color w:val="000000" w:themeColor="text1"/>
        </w:rPr>
        <w:t>1.3 Research Objectives</w:t>
      </w:r>
    </w:p>
    <w:p w:rsidR="005165DB" w:rsidRPr="00742EF9" w:rsidRDefault="00550E77">
      <w:pPr>
        <w:spacing w:before="80" w:after="120" w:line="360" w:lineRule="auto"/>
        <w:jc w:val="both"/>
        <w:rPr>
          <w:color w:val="000000" w:themeColor="text1"/>
        </w:rPr>
      </w:pPr>
      <w:r w:rsidRPr="00742EF9">
        <w:rPr>
          <w:color w:val="000000" w:themeColor="text1"/>
        </w:rPr>
        <w:t>This project sets out to achieve the following objectives</w:t>
      </w:r>
      <w:r w:rsidRPr="00742EF9">
        <w:rPr>
          <w:color w:val="000000" w:themeColor="text1"/>
        </w:rPr>
        <w:t>:</w:t>
      </w:r>
    </w:p>
    <w:p w:rsidR="005165DB" w:rsidRPr="00742EF9" w:rsidRDefault="00550E77">
      <w:pPr>
        <w:pStyle w:val="ListParagraph"/>
        <w:numPr>
          <w:ilvl w:val="0"/>
          <w:numId w:val="3"/>
        </w:numPr>
        <w:spacing w:before="60" w:after="60"/>
        <w:rPr>
          <w:color w:val="000000" w:themeColor="text1"/>
        </w:rPr>
      </w:pPr>
      <w:r w:rsidRPr="00742EF9">
        <w:rPr>
          <w:color w:val="000000" w:themeColor="text1"/>
        </w:rPr>
        <w:t>Design and implement a multi-signal hallucination detection architecture that fuses hidden state probes, attention alignment scores, entropy monitoring, and semantic drift tracking.</w:t>
      </w:r>
    </w:p>
    <w:p w:rsidR="005165DB" w:rsidRPr="00742EF9" w:rsidRDefault="00550E77">
      <w:pPr>
        <w:pStyle w:val="ListParagraph"/>
        <w:numPr>
          <w:ilvl w:val="0"/>
          <w:numId w:val="3"/>
        </w:numPr>
        <w:spacing w:before="60" w:after="60"/>
        <w:rPr>
          <w:color w:val="000000" w:themeColor="text1"/>
        </w:rPr>
      </w:pPr>
      <w:r w:rsidRPr="00742EF9">
        <w:rPr>
          <w:color w:val="000000" w:themeColor="text1"/>
        </w:rPr>
        <w:t>Develop a task-conditional learned fusion mechanism that adapts signal w</w:t>
      </w:r>
      <w:r w:rsidRPr="00742EF9">
        <w:rPr>
          <w:color w:val="000000" w:themeColor="text1"/>
        </w:rPr>
        <w:t>eighting to the specific clinical task category.</w:t>
      </w:r>
    </w:p>
    <w:p w:rsidR="005165DB" w:rsidRPr="00742EF9" w:rsidRDefault="00550E77">
      <w:pPr>
        <w:pStyle w:val="ListParagraph"/>
        <w:numPr>
          <w:ilvl w:val="0"/>
          <w:numId w:val="3"/>
        </w:numPr>
        <w:spacing w:before="60" w:after="60"/>
        <w:rPr>
          <w:color w:val="000000" w:themeColor="text1"/>
        </w:rPr>
      </w:pPr>
      <w:r w:rsidRPr="00742EF9">
        <w:rPr>
          <w:color w:val="000000" w:themeColor="text1"/>
        </w:rPr>
        <w:lastRenderedPageBreak/>
        <w:t xml:space="preserve">Build a clinical </w:t>
      </w:r>
      <w:proofErr w:type="spellStart"/>
      <w:r w:rsidRPr="00742EF9">
        <w:rPr>
          <w:color w:val="000000" w:themeColor="text1"/>
        </w:rPr>
        <w:t>explainability</w:t>
      </w:r>
      <w:proofErr w:type="spellEnd"/>
      <w:r w:rsidRPr="00742EF9">
        <w:rPr>
          <w:color w:val="000000" w:themeColor="text1"/>
        </w:rPr>
        <w:t xml:space="preserve"> layer that presents verification results in actionable, color-coded format (Green/Amber/Red) with transparent audit trails referencing UMLS and </w:t>
      </w:r>
      <w:proofErr w:type="spellStart"/>
      <w:r w:rsidRPr="00742EF9">
        <w:rPr>
          <w:color w:val="000000" w:themeColor="text1"/>
        </w:rPr>
        <w:t>RxNorm</w:t>
      </w:r>
      <w:proofErr w:type="spellEnd"/>
      <w:r w:rsidRPr="00742EF9">
        <w:rPr>
          <w:color w:val="000000" w:themeColor="text1"/>
        </w:rPr>
        <w:t>.</w:t>
      </w:r>
    </w:p>
    <w:p w:rsidR="005165DB" w:rsidRPr="00742EF9" w:rsidRDefault="00550E77">
      <w:pPr>
        <w:pStyle w:val="ListParagraph"/>
        <w:numPr>
          <w:ilvl w:val="0"/>
          <w:numId w:val="3"/>
        </w:numPr>
        <w:spacing w:before="60" w:after="60"/>
        <w:rPr>
          <w:color w:val="000000" w:themeColor="text1"/>
        </w:rPr>
      </w:pPr>
      <w:r w:rsidRPr="00742EF9">
        <w:rPr>
          <w:color w:val="000000" w:themeColor="text1"/>
        </w:rPr>
        <w:t>Implement a closed-loop</w:t>
      </w:r>
      <w:r w:rsidRPr="00742EF9">
        <w:rPr>
          <w:color w:val="000000" w:themeColor="text1"/>
        </w:rPr>
        <w:t xml:space="preserve"> mitigation pipeline combining targeted RAG retrieval and calibrated abstention.</w:t>
      </w:r>
    </w:p>
    <w:p w:rsidR="005165DB" w:rsidRPr="00742EF9" w:rsidRDefault="00550E77">
      <w:pPr>
        <w:pStyle w:val="ListParagraph"/>
        <w:numPr>
          <w:ilvl w:val="0"/>
          <w:numId w:val="3"/>
        </w:numPr>
        <w:spacing w:before="60" w:after="60"/>
        <w:rPr>
          <w:color w:val="000000" w:themeColor="text1"/>
        </w:rPr>
      </w:pPr>
      <w:r w:rsidRPr="00742EF9">
        <w:rPr>
          <w:color w:val="000000" w:themeColor="text1"/>
        </w:rPr>
        <w:t>Evaluate CLINIGUARD rigorously on multiple clinical hallucination benchmarks and validate clinician trust through a structured user study.</w:t>
      </w:r>
    </w:p>
    <w:p w:rsidR="005165DB" w:rsidRPr="00742EF9" w:rsidRDefault="00550E77">
      <w:pPr>
        <w:pStyle w:val="Heading2"/>
        <w:rPr>
          <w:color w:val="000000" w:themeColor="text1"/>
        </w:rPr>
      </w:pPr>
      <w:r w:rsidRPr="00742EF9">
        <w:rPr>
          <w:color w:val="000000" w:themeColor="text1"/>
        </w:rPr>
        <w:t>1.4 Scope and Contributions</w:t>
      </w:r>
    </w:p>
    <w:p w:rsidR="005165DB" w:rsidRPr="00742EF9" w:rsidRDefault="00550E77">
      <w:pPr>
        <w:spacing w:before="80" w:after="120" w:line="360" w:lineRule="auto"/>
        <w:jc w:val="both"/>
        <w:rPr>
          <w:color w:val="000000" w:themeColor="text1"/>
        </w:rPr>
      </w:pPr>
      <w:r w:rsidRPr="00742EF9">
        <w:rPr>
          <w:color w:val="000000" w:themeColor="text1"/>
        </w:rPr>
        <w:t>The prim</w:t>
      </w:r>
      <w:r w:rsidRPr="00742EF9">
        <w:rPr>
          <w:color w:val="000000" w:themeColor="text1"/>
        </w:rPr>
        <w:t>ary contributions of this work are:</w:t>
      </w:r>
    </w:p>
    <w:p w:rsidR="005165DB" w:rsidRPr="00742EF9" w:rsidRDefault="00550E77">
      <w:pPr>
        <w:pStyle w:val="ListParagraph"/>
        <w:numPr>
          <w:ilvl w:val="0"/>
          <w:numId w:val="2"/>
        </w:numPr>
        <w:spacing w:before="60" w:after="60"/>
        <w:rPr>
          <w:color w:val="000000" w:themeColor="text1"/>
        </w:rPr>
      </w:pPr>
      <w:r w:rsidRPr="00742EF9">
        <w:rPr>
          <w:color w:val="000000" w:themeColor="text1"/>
        </w:rPr>
        <w:t xml:space="preserve">CLINIGUARD Architecture: A novel four-module guard system (Med-ISP, C-AAS, Med-EEM, </w:t>
      </w:r>
      <w:proofErr w:type="gramStart"/>
      <w:r w:rsidRPr="00742EF9">
        <w:rPr>
          <w:color w:val="000000" w:themeColor="text1"/>
        </w:rPr>
        <w:t>CDT</w:t>
      </w:r>
      <w:proofErr w:type="gramEnd"/>
      <w:r w:rsidRPr="00742EF9">
        <w:rPr>
          <w:color w:val="000000" w:themeColor="text1"/>
        </w:rPr>
        <w:t>) that operates inline during LLM inference within a single forward pass.</w:t>
      </w:r>
    </w:p>
    <w:p w:rsidR="005165DB" w:rsidRPr="00742EF9" w:rsidRDefault="00550E77">
      <w:pPr>
        <w:pStyle w:val="ListParagraph"/>
        <w:numPr>
          <w:ilvl w:val="0"/>
          <w:numId w:val="2"/>
        </w:numPr>
        <w:spacing w:before="60" w:after="60"/>
        <w:rPr>
          <w:color w:val="000000" w:themeColor="text1"/>
        </w:rPr>
      </w:pPr>
      <w:r w:rsidRPr="00742EF9">
        <w:rPr>
          <w:color w:val="000000" w:themeColor="text1"/>
        </w:rPr>
        <w:t>Task-Conditional Fusion: A learned weighting mechanism that</w:t>
      </w:r>
      <w:r w:rsidRPr="00742EF9">
        <w:rPr>
          <w:color w:val="000000" w:themeColor="text1"/>
        </w:rPr>
        <w:t xml:space="preserve"> dynamically adjusts signal importance based on the clinical task type, validated across drug dosing, allergy checking, and long-form case analysis.</w:t>
      </w:r>
    </w:p>
    <w:p w:rsidR="005165DB" w:rsidRPr="00742EF9" w:rsidRDefault="00550E77">
      <w:pPr>
        <w:pStyle w:val="ListParagraph"/>
        <w:numPr>
          <w:ilvl w:val="0"/>
          <w:numId w:val="2"/>
        </w:numPr>
        <w:spacing w:before="60" w:after="60"/>
        <w:rPr>
          <w:color w:val="000000" w:themeColor="text1"/>
        </w:rPr>
      </w:pPr>
      <w:r w:rsidRPr="00742EF9">
        <w:rPr>
          <w:color w:val="000000" w:themeColor="text1"/>
        </w:rPr>
        <w:t xml:space="preserve">Clinical </w:t>
      </w:r>
      <w:proofErr w:type="spellStart"/>
      <w:r w:rsidRPr="00742EF9">
        <w:rPr>
          <w:color w:val="000000" w:themeColor="text1"/>
        </w:rPr>
        <w:t>Explainability</w:t>
      </w:r>
      <w:proofErr w:type="spellEnd"/>
      <w:r w:rsidRPr="00742EF9">
        <w:rPr>
          <w:color w:val="000000" w:themeColor="text1"/>
        </w:rPr>
        <w:t xml:space="preserve"> Interface: A real-time color-coded output system with contrastive rationales and me</w:t>
      </w:r>
      <w:r w:rsidRPr="00742EF9">
        <w:rPr>
          <w:color w:val="000000" w:themeColor="text1"/>
        </w:rPr>
        <w:t>dical knowledge base anchoring.</w:t>
      </w:r>
    </w:p>
    <w:p w:rsidR="005165DB" w:rsidRPr="00742EF9" w:rsidRDefault="00550E77">
      <w:pPr>
        <w:pStyle w:val="ListParagraph"/>
        <w:numPr>
          <w:ilvl w:val="0"/>
          <w:numId w:val="2"/>
        </w:numPr>
        <w:spacing w:before="60" w:after="60"/>
        <w:rPr>
          <w:color w:val="000000" w:themeColor="text1"/>
        </w:rPr>
      </w:pPr>
      <w:r w:rsidRPr="00742EF9">
        <w:rPr>
          <w:color w:val="000000" w:themeColor="text1"/>
        </w:rPr>
        <w:t xml:space="preserve">Comprehensive Evaluation: Benchmarking on </w:t>
      </w:r>
      <w:proofErr w:type="spellStart"/>
      <w:r w:rsidRPr="00742EF9">
        <w:rPr>
          <w:color w:val="000000" w:themeColor="text1"/>
        </w:rPr>
        <w:t>MedHallu</w:t>
      </w:r>
      <w:proofErr w:type="spellEnd"/>
      <w:r w:rsidRPr="00742EF9">
        <w:rPr>
          <w:color w:val="000000" w:themeColor="text1"/>
        </w:rPr>
        <w:t>, Med-HALT, and MHB datasets with ablation studies isolating each module’s contribution.</w:t>
      </w:r>
    </w:p>
    <w:p w:rsidR="005165DB" w:rsidRPr="00742EF9" w:rsidRDefault="00550E77">
      <w:pPr>
        <w:pStyle w:val="ListParagraph"/>
        <w:numPr>
          <w:ilvl w:val="0"/>
          <w:numId w:val="2"/>
        </w:numPr>
        <w:spacing w:before="60" w:after="60"/>
        <w:rPr>
          <w:color w:val="000000" w:themeColor="text1"/>
        </w:rPr>
      </w:pPr>
      <w:r w:rsidRPr="00742EF9">
        <w:rPr>
          <w:color w:val="000000" w:themeColor="text1"/>
        </w:rPr>
        <w:t>Clinician Validation: A user study with 15 physicians demonstrating measurable improv</w:t>
      </w:r>
      <w:r w:rsidRPr="00742EF9">
        <w:rPr>
          <w:color w:val="000000" w:themeColor="text1"/>
        </w:rPr>
        <w:t>ements in error detection speed, decision confidence, and zero missed critical alerts.</w:t>
      </w:r>
    </w:p>
    <w:p w:rsidR="005165DB" w:rsidRPr="00742EF9" w:rsidRDefault="00550E77">
      <w:pPr>
        <w:rPr>
          <w:color w:val="000000" w:themeColor="text1"/>
        </w:rPr>
      </w:pPr>
      <w:r w:rsidRPr="00742EF9">
        <w:rPr>
          <w:color w:val="000000" w:themeColor="text1"/>
        </w:rPr>
        <w:br w:type="page"/>
      </w:r>
    </w:p>
    <w:p w:rsidR="005165DB" w:rsidRPr="00742EF9" w:rsidRDefault="00550E77">
      <w:pPr>
        <w:pStyle w:val="Heading1"/>
        <w:rPr>
          <w:color w:val="000000" w:themeColor="text1"/>
        </w:rPr>
      </w:pPr>
      <w:r w:rsidRPr="00742EF9">
        <w:rPr>
          <w:color w:val="000000" w:themeColor="text1"/>
        </w:rPr>
        <w:lastRenderedPageBreak/>
        <w:t>2. Literature Review</w:t>
      </w:r>
    </w:p>
    <w:p w:rsidR="005165DB" w:rsidRPr="00742EF9" w:rsidRDefault="005165DB">
      <w:pPr>
        <w:pBdr>
          <w:bottom w:val="single" w:sz="4" w:space="1" w:color="2E5FA3"/>
        </w:pBdr>
        <w:spacing w:before="200" w:after="200"/>
        <w:rPr>
          <w:color w:val="000000" w:themeColor="text1"/>
        </w:rPr>
      </w:pPr>
    </w:p>
    <w:p w:rsidR="005165DB" w:rsidRPr="00742EF9" w:rsidRDefault="00550E77">
      <w:pPr>
        <w:pStyle w:val="Heading2"/>
        <w:rPr>
          <w:color w:val="000000" w:themeColor="text1"/>
        </w:rPr>
      </w:pPr>
      <w:r w:rsidRPr="00742EF9">
        <w:rPr>
          <w:color w:val="000000" w:themeColor="text1"/>
        </w:rPr>
        <w:t>2.1 Hallucination in Large Language Models</w:t>
      </w:r>
    </w:p>
    <w:p w:rsidR="005165DB" w:rsidRPr="00742EF9" w:rsidRDefault="00550E77">
      <w:pPr>
        <w:spacing w:before="80" w:after="120" w:line="360" w:lineRule="auto"/>
        <w:jc w:val="both"/>
        <w:rPr>
          <w:color w:val="000000" w:themeColor="text1"/>
        </w:rPr>
      </w:pPr>
      <w:r w:rsidRPr="00742EF9">
        <w:rPr>
          <w:color w:val="000000" w:themeColor="text1"/>
        </w:rPr>
        <w:t>Hallucination in neural language models has been studied systematically since the emergence of encoder</w:t>
      </w:r>
      <w:r w:rsidRPr="00742EF9">
        <w:rPr>
          <w:color w:val="000000" w:themeColor="text1"/>
        </w:rPr>
        <w:t>-decoder architectures in neural machine translation (Koehn &amp; Knowles, 2017). Early work identified “under-translation” and source-text unfaithfulness as hallucination precursors, attributing them to attention collapse in long sequences. With the advent of</w:t>
      </w:r>
      <w:r w:rsidRPr="00742EF9">
        <w:rPr>
          <w:color w:val="000000" w:themeColor="text1"/>
        </w:rPr>
        <w:t xml:space="preserve"> large autoregressive transformers (Brown et al., 2020; </w:t>
      </w:r>
      <w:proofErr w:type="spellStart"/>
      <w:r w:rsidRPr="00742EF9">
        <w:rPr>
          <w:color w:val="000000" w:themeColor="text1"/>
        </w:rPr>
        <w:t>Chowdhery</w:t>
      </w:r>
      <w:proofErr w:type="spellEnd"/>
      <w:r w:rsidRPr="00742EF9">
        <w:rPr>
          <w:color w:val="000000" w:themeColor="text1"/>
        </w:rPr>
        <w:t xml:space="preserve"> et al., 2022), the phenomenon scaled dramatically in scope: models now generate fluent, internally coherent, but factually incorrect text at scale.</w:t>
      </w:r>
    </w:p>
    <w:p w:rsidR="005165DB" w:rsidRPr="00742EF9" w:rsidRDefault="005165DB">
      <w:pPr>
        <w:spacing w:before="120" w:after="120"/>
        <w:rPr>
          <w:color w:val="000000" w:themeColor="text1"/>
        </w:rPr>
      </w:pPr>
    </w:p>
    <w:p w:rsidR="005165DB" w:rsidRPr="00742EF9" w:rsidRDefault="00550E77">
      <w:pPr>
        <w:spacing w:before="80" w:after="120" w:line="360" w:lineRule="auto"/>
        <w:jc w:val="both"/>
        <w:rPr>
          <w:color w:val="000000" w:themeColor="text1"/>
        </w:rPr>
      </w:pPr>
      <w:proofErr w:type="spellStart"/>
      <w:r w:rsidRPr="00742EF9">
        <w:rPr>
          <w:color w:val="000000" w:themeColor="text1"/>
        </w:rPr>
        <w:t>Maynez</w:t>
      </w:r>
      <w:proofErr w:type="spellEnd"/>
      <w:r w:rsidRPr="00742EF9">
        <w:rPr>
          <w:color w:val="000000" w:themeColor="text1"/>
        </w:rPr>
        <w:t xml:space="preserve"> et al. (2020) provided a widely cited taxonomy distinguishing intrinsic hallucinations — contradictions of provided source material — from extrinsic hallucinations — fabrications not grounded in any input. In clinical NLP, both types are dangerous. </w:t>
      </w:r>
      <w:r w:rsidRPr="00742EF9">
        <w:rPr>
          <w:color w:val="000000" w:themeColor="text1"/>
        </w:rPr>
        <w:t xml:space="preserve">Ji et al. (2023) conducted a comprehensive survey of hallucination in natural language generation, cataloguing causes across training data artifacts, attention failures, and decoding pathologies. They noted that factuality remains the central open problem </w:t>
      </w:r>
      <w:r w:rsidRPr="00742EF9">
        <w:rPr>
          <w:color w:val="000000" w:themeColor="text1"/>
        </w:rPr>
        <w:t>in deploying LLMs in high-stakes domains.</w:t>
      </w:r>
    </w:p>
    <w:p w:rsidR="005165DB" w:rsidRPr="00742EF9" w:rsidRDefault="005165DB">
      <w:pPr>
        <w:spacing w:before="120" w:after="120"/>
        <w:rPr>
          <w:color w:val="000000" w:themeColor="text1"/>
        </w:rPr>
      </w:pPr>
    </w:p>
    <w:p w:rsidR="005165DB" w:rsidRPr="00742EF9" w:rsidRDefault="00550E77">
      <w:pPr>
        <w:spacing w:before="80" w:after="120" w:line="360" w:lineRule="auto"/>
        <w:jc w:val="both"/>
        <w:rPr>
          <w:color w:val="000000" w:themeColor="text1"/>
        </w:rPr>
      </w:pPr>
      <w:r w:rsidRPr="00742EF9">
        <w:rPr>
          <w:color w:val="000000" w:themeColor="text1"/>
        </w:rPr>
        <w:t xml:space="preserve">For medical applications specifically, </w:t>
      </w:r>
      <w:proofErr w:type="spellStart"/>
      <w:r w:rsidRPr="00742EF9">
        <w:rPr>
          <w:color w:val="000000" w:themeColor="text1"/>
        </w:rPr>
        <w:t>Singhal</w:t>
      </w:r>
      <w:proofErr w:type="spellEnd"/>
      <w:r w:rsidRPr="00742EF9">
        <w:rPr>
          <w:color w:val="000000" w:themeColor="text1"/>
        </w:rPr>
        <w:t xml:space="preserve"> et al. (2023) evaluated large language models on medical licensing examinations and clinical reasoning tasks, reporting that while models like Med-</w:t>
      </w:r>
      <w:proofErr w:type="spellStart"/>
      <w:r w:rsidRPr="00742EF9">
        <w:rPr>
          <w:color w:val="000000" w:themeColor="text1"/>
        </w:rPr>
        <w:t>PaLM</w:t>
      </w:r>
      <w:proofErr w:type="spellEnd"/>
      <w:r w:rsidRPr="00742EF9">
        <w:rPr>
          <w:color w:val="000000" w:themeColor="text1"/>
        </w:rPr>
        <w:t xml:space="preserve"> 2 achieved exp</w:t>
      </w:r>
      <w:r w:rsidRPr="00742EF9">
        <w:rPr>
          <w:color w:val="000000" w:themeColor="text1"/>
        </w:rPr>
        <w:t>ert-level performance on structured Q&amp;A, they exhibited systematic hallucinations in open-ended clinical scenarios, particularly in dose calculation and contraindication reasoning. Nori et al. (2023) similarly demonstrated GPT-4’s strong performance on USM</w:t>
      </w:r>
      <w:r w:rsidRPr="00742EF9">
        <w:rPr>
          <w:color w:val="000000" w:themeColor="text1"/>
        </w:rPr>
        <w:t>LE benchmarks while cautioning that benchmark performance does not imply clinical safety, given the model’s propensity to generate plausible but incorrect treatment recommendations.</w:t>
      </w:r>
    </w:p>
    <w:p w:rsidR="005165DB" w:rsidRPr="00742EF9" w:rsidRDefault="00550E77">
      <w:pPr>
        <w:pStyle w:val="Heading2"/>
        <w:rPr>
          <w:color w:val="000000" w:themeColor="text1"/>
        </w:rPr>
      </w:pPr>
      <w:r w:rsidRPr="00742EF9">
        <w:rPr>
          <w:color w:val="000000" w:themeColor="text1"/>
        </w:rPr>
        <w:t>2.2 Uncertainty Quantification in Neural Networks</w:t>
      </w:r>
    </w:p>
    <w:p w:rsidR="005165DB" w:rsidRPr="00742EF9" w:rsidRDefault="00550E77">
      <w:pPr>
        <w:spacing w:before="80" w:after="120" w:line="360" w:lineRule="auto"/>
        <w:jc w:val="both"/>
        <w:rPr>
          <w:color w:val="000000" w:themeColor="text1"/>
        </w:rPr>
      </w:pPr>
      <w:r w:rsidRPr="00742EF9">
        <w:rPr>
          <w:color w:val="000000" w:themeColor="text1"/>
        </w:rPr>
        <w:lastRenderedPageBreak/>
        <w:t xml:space="preserve">Uncertainty quantification (UQ) is a foundational methodology for estimating model confidence and identifying prediction unreliability. In the deep learning literature, Gal &amp; </w:t>
      </w:r>
      <w:proofErr w:type="spellStart"/>
      <w:r w:rsidRPr="00742EF9">
        <w:rPr>
          <w:color w:val="000000" w:themeColor="text1"/>
        </w:rPr>
        <w:t>Ghahramani</w:t>
      </w:r>
      <w:proofErr w:type="spellEnd"/>
      <w:r w:rsidRPr="00742EF9">
        <w:rPr>
          <w:color w:val="000000" w:themeColor="text1"/>
        </w:rPr>
        <w:t xml:space="preserve"> (2016) established Monte Carlo Dropout as an approximation to Bayesian</w:t>
      </w:r>
      <w:r w:rsidRPr="00742EF9">
        <w:rPr>
          <w:color w:val="000000" w:themeColor="text1"/>
        </w:rPr>
        <w:t xml:space="preserve"> inference, enabling uncertainty estimates through stochastic forward passes at test time. </w:t>
      </w:r>
      <w:proofErr w:type="spellStart"/>
      <w:r w:rsidRPr="00742EF9">
        <w:rPr>
          <w:color w:val="000000" w:themeColor="text1"/>
        </w:rPr>
        <w:t>Lakshminarayanan</w:t>
      </w:r>
      <w:proofErr w:type="spellEnd"/>
      <w:r w:rsidRPr="00742EF9">
        <w:rPr>
          <w:color w:val="000000" w:themeColor="text1"/>
        </w:rPr>
        <w:t xml:space="preserve"> et al. (2017) introduced Deep Ensembles, combining multiple independently trained models to produce calibrated uncertainty estimates, subsequently s</w:t>
      </w:r>
      <w:r w:rsidRPr="00742EF9">
        <w:rPr>
          <w:color w:val="000000" w:themeColor="text1"/>
        </w:rPr>
        <w:t>hown to outperform MC Dropout on out-of-distribution detection.</w:t>
      </w:r>
    </w:p>
    <w:p w:rsidR="005165DB" w:rsidRPr="00742EF9" w:rsidRDefault="005165DB">
      <w:pPr>
        <w:spacing w:before="120" w:after="120"/>
        <w:rPr>
          <w:color w:val="000000" w:themeColor="text1"/>
        </w:rPr>
      </w:pPr>
    </w:p>
    <w:p w:rsidR="005165DB" w:rsidRPr="00742EF9" w:rsidRDefault="00550E77">
      <w:pPr>
        <w:spacing w:before="80" w:after="120" w:line="360" w:lineRule="auto"/>
        <w:jc w:val="both"/>
        <w:rPr>
          <w:color w:val="000000" w:themeColor="text1"/>
        </w:rPr>
      </w:pPr>
      <w:proofErr w:type="spellStart"/>
      <w:r w:rsidRPr="00742EF9">
        <w:rPr>
          <w:color w:val="000000" w:themeColor="text1"/>
        </w:rPr>
        <w:t>Kadavath</w:t>
      </w:r>
      <w:proofErr w:type="spellEnd"/>
      <w:r w:rsidRPr="00742EF9">
        <w:rPr>
          <w:color w:val="000000" w:themeColor="text1"/>
        </w:rPr>
        <w:t xml:space="preserve"> et al. (2022) explored self-calibration in large language models, showing that models can estimate their own uncertainty through prompted self-assessment, though accuracy degrades si</w:t>
      </w:r>
      <w:r w:rsidRPr="00742EF9">
        <w:rPr>
          <w:color w:val="000000" w:themeColor="text1"/>
        </w:rPr>
        <w:t>gnificantly on complex factual questions. Kuhn et al. (2023) proposed semantic entropy as a measure of LLM uncertainty, clustering semantically equivalent outputs from multiple samples to compute a meaning-level uncertainty score. While semantically princi</w:t>
      </w:r>
      <w:r w:rsidRPr="00742EF9">
        <w:rPr>
          <w:color w:val="000000" w:themeColor="text1"/>
        </w:rPr>
        <w:t>pled, this approach inherits the latency problem of multi-sampling UQ: it requires between 5 and 20 additional model forward passes.</w:t>
      </w:r>
    </w:p>
    <w:p w:rsidR="005165DB" w:rsidRPr="00742EF9" w:rsidRDefault="005165DB">
      <w:pPr>
        <w:spacing w:before="120" w:after="120"/>
        <w:rPr>
          <w:color w:val="000000" w:themeColor="text1"/>
        </w:rPr>
      </w:pPr>
    </w:p>
    <w:p w:rsidR="005165DB" w:rsidRPr="00742EF9" w:rsidRDefault="00550E77">
      <w:pPr>
        <w:spacing w:before="80" w:after="120" w:line="360" w:lineRule="auto"/>
        <w:jc w:val="both"/>
        <w:rPr>
          <w:color w:val="000000" w:themeColor="text1"/>
        </w:rPr>
      </w:pPr>
      <w:proofErr w:type="spellStart"/>
      <w:r w:rsidRPr="00742EF9">
        <w:rPr>
          <w:color w:val="000000" w:themeColor="text1"/>
        </w:rPr>
        <w:t>SelfCheckGPT</w:t>
      </w:r>
      <w:proofErr w:type="spellEnd"/>
      <w:r w:rsidRPr="00742EF9">
        <w:rPr>
          <w:color w:val="000000" w:themeColor="text1"/>
        </w:rPr>
        <w:t xml:space="preserve"> (</w:t>
      </w:r>
      <w:proofErr w:type="spellStart"/>
      <w:r w:rsidRPr="00742EF9">
        <w:rPr>
          <w:color w:val="000000" w:themeColor="text1"/>
        </w:rPr>
        <w:t>Manakul</w:t>
      </w:r>
      <w:proofErr w:type="spellEnd"/>
      <w:r w:rsidRPr="00742EF9">
        <w:rPr>
          <w:color w:val="000000" w:themeColor="text1"/>
        </w:rPr>
        <w:t xml:space="preserve"> et al., 2023) improved on semantic entropy by using an LLM to fact-check its own sampled outputs aga</w:t>
      </w:r>
      <w:r w:rsidRPr="00742EF9">
        <w:rPr>
          <w:color w:val="000000" w:themeColor="text1"/>
        </w:rPr>
        <w:t xml:space="preserve">inst each other, demonstrating strong performance on factuality benchmarks. However, this approach is unsuitable for clinical deployment due to (a) latency multiplication, (b) the assumption that consistent hallucination across samples implies correctness </w:t>
      </w:r>
      <w:r w:rsidRPr="00742EF9">
        <w:rPr>
          <w:color w:val="000000" w:themeColor="text1"/>
        </w:rPr>
        <w:t xml:space="preserve">— which is violated by systematically biased training data, and (c) the absence of clinical knowledge anchoring against authoritative databases such as UMLS or </w:t>
      </w:r>
      <w:proofErr w:type="spellStart"/>
      <w:r w:rsidRPr="00742EF9">
        <w:rPr>
          <w:color w:val="000000" w:themeColor="text1"/>
        </w:rPr>
        <w:t>RxNorm</w:t>
      </w:r>
      <w:proofErr w:type="spellEnd"/>
      <w:r w:rsidRPr="00742EF9">
        <w:rPr>
          <w:color w:val="000000" w:themeColor="text1"/>
        </w:rPr>
        <w:t>.</w:t>
      </w:r>
    </w:p>
    <w:p w:rsidR="005165DB" w:rsidRPr="00742EF9" w:rsidRDefault="00550E77">
      <w:pPr>
        <w:pStyle w:val="Heading2"/>
        <w:rPr>
          <w:color w:val="000000" w:themeColor="text1"/>
        </w:rPr>
      </w:pPr>
      <w:r w:rsidRPr="00742EF9">
        <w:rPr>
          <w:color w:val="000000" w:themeColor="text1"/>
        </w:rPr>
        <w:t>2.3 Probing and Interpretability of LLM Internal States</w:t>
      </w:r>
    </w:p>
    <w:p w:rsidR="005165DB" w:rsidRPr="00742EF9" w:rsidRDefault="00550E77">
      <w:pPr>
        <w:spacing w:before="80" w:after="120" w:line="360" w:lineRule="auto"/>
        <w:jc w:val="both"/>
        <w:rPr>
          <w:color w:val="000000" w:themeColor="text1"/>
        </w:rPr>
      </w:pPr>
      <w:r w:rsidRPr="00742EF9">
        <w:rPr>
          <w:color w:val="000000" w:themeColor="text1"/>
        </w:rPr>
        <w:t>A substantial line of work has d</w:t>
      </w:r>
      <w:r w:rsidRPr="00742EF9">
        <w:rPr>
          <w:color w:val="000000" w:themeColor="text1"/>
        </w:rPr>
        <w:t xml:space="preserve">emonstrated that LLM internal representations carry information not visible in the output distribution. </w:t>
      </w:r>
      <w:proofErr w:type="spellStart"/>
      <w:r w:rsidRPr="00742EF9">
        <w:rPr>
          <w:color w:val="000000" w:themeColor="text1"/>
        </w:rPr>
        <w:t>Tenney</w:t>
      </w:r>
      <w:proofErr w:type="spellEnd"/>
      <w:r w:rsidRPr="00742EF9">
        <w:rPr>
          <w:color w:val="000000" w:themeColor="text1"/>
        </w:rPr>
        <w:t xml:space="preserve"> et al. (2019) used probing classifiers on BERT representations, showing that syntactic and semantic information is systematically encoded across </w:t>
      </w:r>
      <w:r w:rsidRPr="00742EF9">
        <w:rPr>
          <w:color w:val="000000" w:themeColor="text1"/>
        </w:rPr>
        <w:t xml:space="preserve">model layers. Burns et al. (2022) demonstrated that truth-relevant information can be recovered from hidden states even when models produce incorrect </w:t>
      </w:r>
      <w:r w:rsidRPr="00742EF9">
        <w:rPr>
          <w:color w:val="000000" w:themeColor="text1"/>
        </w:rPr>
        <w:lastRenderedPageBreak/>
        <w:t>outputs, establishing that internal representations often “know” the correct answer while the decoding pro</w:t>
      </w:r>
      <w:r w:rsidRPr="00742EF9">
        <w:rPr>
          <w:color w:val="000000" w:themeColor="text1"/>
        </w:rPr>
        <w:t>cess produces the wrong one.</w:t>
      </w:r>
    </w:p>
    <w:p w:rsidR="005165DB" w:rsidRPr="00742EF9" w:rsidRDefault="005165DB">
      <w:pPr>
        <w:spacing w:before="120" w:after="120"/>
        <w:rPr>
          <w:color w:val="000000" w:themeColor="text1"/>
        </w:rPr>
      </w:pPr>
    </w:p>
    <w:p w:rsidR="005165DB" w:rsidRPr="00742EF9" w:rsidRDefault="00550E77">
      <w:pPr>
        <w:spacing w:before="80" w:after="120" w:line="360" w:lineRule="auto"/>
        <w:jc w:val="both"/>
        <w:rPr>
          <w:color w:val="000000" w:themeColor="text1"/>
        </w:rPr>
      </w:pPr>
      <w:proofErr w:type="spellStart"/>
      <w:r w:rsidRPr="00742EF9">
        <w:rPr>
          <w:color w:val="000000" w:themeColor="text1"/>
        </w:rPr>
        <w:t>Slobodkin</w:t>
      </w:r>
      <w:proofErr w:type="spellEnd"/>
      <w:r w:rsidRPr="00742EF9">
        <w:rPr>
          <w:color w:val="000000" w:themeColor="text1"/>
        </w:rPr>
        <w:t xml:space="preserve"> et al. (2023) and Azaria &amp; Mitchell (2023) applied probing to factuality detection, training linear classifiers on hidden state activations to predict whether an output statement is factually grounded. These methods </w:t>
      </w:r>
      <w:r w:rsidRPr="00742EF9">
        <w:rPr>
          <w:color w:val="000000" w:themeColor="text1"/>
        </w:rPr>
        <w:t>achieve strong AUROC scores on held-out factuality benchmarks and — critically for clinical deployment — add negligible computational overhead since the hidden states are already computed during forward inference. Med-ISP, CLINIGUARD’s first module, builds</w:t>
      </w:r>
      <w:r w:rsidRPr="00742EF9">
        <w:rPr>
          <w:color w:val="000000" w:themeColor="text1"/>
        </w:rPr>
        <w:t xml:space="preserve"> directly on this probing literature, extending it with medical-specific probe training on </w:t>
      </w:r>
      <w:proofErr w:type="spellStart"/>
      <w:r w:rsidRPr="00742EF9">
        <w:rPr>
          <w:color w:val="000000" w:themeColor="text1"/>
        </w:rPr>
        <w:t>RxNorm</w:t>
      </w:r>
      <w:proofErr w:type="spellEnd"/>
      <w:r w:rsidRPr="00742EF9">
        <w:rPr>
          <w:color w:val="000000" w:themeColor="text1"/>
        </w:rPr>
        <w:t>-validated clinical terminology.</w:t>
      </w:r>
    </w:p>
    <w:p w:rsidR="005165DB" w:rsidRPr="00742EF9" w:rsidRDefault="00550E77">
      <w:pPr>
        <w:pStyle w:val="Heading2"/>
        <w:rPr>
          <w:color w:val="000000" w:themeColor="text1"/>
        </w:rPr>
      </w:pPr>
      <w:r w:rsidRPr="00742EF9">
        <w:rPr>
          <w:color w:val="000000" w:themeColor="text1"/>
        </w:rPr>
        <w:t>2.4 Attention Mechanisms and Clinical Context Alignment</w:t>
      </w:r>
    </w:p>
    <w:p w:rsidR="005165DB" w:rsidRPr="00742EF9" w:rsidRDefault="00550E77">
      <w:pPr>
        <w:spacing w:before="80" w:after="120" w:line="360" w:lineRule="auto"/>
        <w:jc w:val="both"/>
        <w:rPr>
          <w:color w:val="000000" w:themeColor="text1"/>
        </w:rPr>
      </w:pPr>
      <w:proofErr w:type="spellStart"/>
      <w:r w:rsidRPr="00742EF9">
        <w:rPr>
          <w:color w:val="000000" w:themeColor="text1"/>
        </w:rPr>
        <w:t>Vaswani</w:t>
      </w:r>
      <w:proofErr w:type="spellEnd"/>
      <w:r w:rsidRPr="00742EF9">
        <w:rPr>
          <w:color w:val="000000" w:themeColor="text1"/>
        </w:rPr>
        <w:t xml:space="preserve"> et al. (2017) introduced multi-head self-attention as the core</w:t>
      </w:r>
      <w:r w:rsidRPr="00742EF9">
        <w:rPr>
          <w:color w:val="000000" w:themeColor="text1"/>
        </w:rPr>
        <w:t xml:space="preserve"> operation of transformer architectures, enabling models to relate any token position to any other position in the input. In clinical NLP, several studies have analyzed whether models correctly attend to clinically relevant input elements. Zhang et al. (20</w:t>
      </w:r>
      <w:r w:rsidRPr="00742EF9">
        <w:rPr>
          <w:color w:val="000000" w:themeColor="text1"/>
        </w:rPr>
        <w:t>22) demonstrated that clinical LLMs frequently fail to attend to allergy records and vital signs when generating treatment recommendations, a failure mode corresponding precisely to the allergy omission errors documented in this paper.</w:t>
      </w:r>
    </w:p>
    <w:p w:rsidR="005165DB" w:rsidRPr="00742EF9" w:rsidRDefault="005165DB">
      <w:pPr>
        <w:spacing w:before="120" w:after="120"/>
        <w:rPr>
          <w:color w:val="000000" w:themeColor="text1"/>
        </w:rPr>
      </w:pPr>
    </w:p>
    <w:p w:rsidR="005165DB" w:rsidRPr="00742EF9" w:rsidRDefault="00550E77">
      <w:pPr>
        <w:spacing w:before="80" w:after="120" w:line="360" w:lineRule="auto"/>
        <w:jc w:val="both"/>
        <w:rPr>
          <w:color w:val="000000" w:themeColor="text1"/>
        </w:rPr>
      </w:pPr>
      <w:r w:rsidRPr="00742EF9">
        <w:rPr>
          <w:color w:val="000000" w:themeColor="text1"/>
        </w:rPr>
        <w:t>C-AAS, CLINIGUARD’s</w:t>
      </w:r>
      <w:r w:rsidRPr="00742EF9">
        <w:rPr>
          <w:color w:val="000000" w:themeColor="text1"/>
        </w:rPr>
        <w:t xml:space="preserve"> second module, operationalizes attention alignment as a runtime signal rather than a post-hoc analysis tool. By measuring the attention weight allocated to patient-specific contextual markers — demographics, vitals, allergies — during generation, C-AAS de</w:t>
      </w:r>
      <w:r w:rsidRPr="00742EF9">
        <w:rPr>
          <w:color w:val="000000" w:themeColor="text1"/>
        </w:rPr>
        <w:t>tects failures of contextual grounding before they manifest in the output token stream. This is conceptually related to the Faithfulness metric from summarization evaluation (</w:t>
      </w:r>
      <w:proofErr w:type="spellStart"/>
      <w:r w:rsidRPr="00742EF9">
        <w:rPr>
          <w:color w:val="000000" w:themeColor="text1"/>
        </w:rPr>
        <w:t>Maynez</w:t>
      </w:r>
      <w:proofErr w:type="spellEnd"/>
      <w:r w:rsidRPr="00742EF9">
        <w:rPr>
          <w:color w:val="000000" w:themeColor="text1"/>
        </w:rPr>
        <w:t xml:space="preserve"> et al., 2020) but extended to token-level real-time monitoring.</w:t>
      </w:r>
    </w:p>
    <w:p w:rsidR="005165DB" w:rsidRPr="00742EF9" w:rsidRDefault="00550E77">
      <w:pPr>
        <w:pStyle w:val="Heading2"/>
        <w:rPr>
          <w:color w:val="000000" w:themeColor="text1"/>
        </w:rPr>
      </w:pPr>
      <w:r w:rsidRPr="00742EF9">
        <w:rPr>
          <w:color w:val="000000" w:themeColor="text1"/>
        </w:rPr>
        <w:t>2.5 Medica</w:t>
      </w:r>
      <w:r w:rsidRPr="00742EF9">
        <w:rPr>
          <w:color w:val="000000" w:themeColor="text1"/>
        </w:rPr>
        <w:t>l Knowledge Bases and Retrieval-Augmented Generation</w:t>
      </w:r>
    </w:p>
    <w:p w:rsidR="005165DB" w:rsidRPr="00742EF9" w:rsidRDefault="00550E77">
      <w:pPr>
        <w:spacing w:before="80" w:after="120" w:line="360" w:lineRule="auto"/>
        <w:jc w:val="both"/>
        <w:rPr>
          <w:color w:val="000000" w:themeColor="text1"/>
        </w:rPr>
      </w:pPr>
      <w:r w:rsidRPr="00742EF9">
        <w:rPr>
          <w:color w:val="000000" w:themeColor="text1"/>
        </w:rPr>
        <w:t>The Unified Medical Language System (UMLS) (</w:t>
      </w:r>
      <w:proofErr w:type="spellStart"/>
      <w:r w:rsidRPr="00742EF9">
        <w:rPr>
          <w:color w:val="000000" w:themeColor="text1"/>
        </w:rPr>
        <w:t>Bodenreider</w:t>
      </w:r>
      <w:proofErr w:type="spellEnd"/>
      <w:r w:rsidRPr="00742EF9">
        <w:rPr>
          <w:color w:val="000000" w:themeColor="text1"/>
        </w:rPr>
        <w:t xml:space="preserve">, 2004) is a comprehensive </w:t>
      </w:r>
      <w:proofErr w:type="spellStart"/>
      <w:r w:rsidRPr="00742EF9">
        <w:rPr>
          <w:color w:val="000000" w:themeColor="text1"/>
        </w:rPr>
        <w:t>metathesaurus</w:t>
      </w:r>
      <w:proofErr w:type="spellEnd"/>
      <w:r w:rsidRPr="00742EF9">
        <w:rPr>
          <w:color w:val="000000" w:themeColor="text1"/>
        </w:rPr>
        <w:t xml:space="preserve"> integrating over 200 medical vocabularies, providing authoritative mappings for clinical terminology. </w:t>
      </w:r>
      <w:proofErr w:type="spellStart"/>
      <w:r w:rsidRPr="00742EF9">
        <w:rPr>
          <w:color w:val="000000" w:themeColor="text1"/>
        </w:rPr>
        <w:t>RxNor</w:t>
      </w:r>
      <w:r w:rsidRPr="00742EF9">
        <w:rPr>
          <w:color w:val="000000" w:themeColor="text1"/>
        </w:rPr>
        <w:t>m</w:t>
      </w:r>
      <w:proofErr w:type="spellEnd"/>
      <w:r w:rsidRPr="00742EF9">
        <w:rPr>
          <w:color w:val="000000" w:themeColor="text1"/>
        </w:rPr>
        <w:t xml:space="preserve"> (Nelson et al., 2011) provides normalized naming </w:t>
      </w:r>
      <w:r w:rsidRPr="00742EF9">
        <w:rPr>
          <w:color w:val="000000" w:themeColor="text1"/>
        </w:rPr>
        <w:lastRenderedPageBreak/>
        <w:t>conventions for drugs, including dosing rules and drug-drug interaction data. These knowledge bases are widely used in clinical NLP for named entity normalization and factuality verification.</w:t>
      </w:r>
    </w:p>
    <w:p w:rsidR="005165DB" w:rsidRPr="00742EF9" w:rsidRDefault="005165DB">
      <w:pPr>
        <w:spacing w:before="120" w:after="120"/>
        <w:rPr>
          <w:color w:val="000000" w:themeColor="text1"/>
        </w:rPr>
      </w:pPr>
    </w:p>
    <w:p w:rsidR="005165DB" w:rsidRPr="00742EF9" w:rsidRDefault="00550E77">
      <w:pPr>
        <w:spacing w:before="80" w:after="120" w:line="360" w:lineRule="auto"/>
        <w:jc w:val="both"/>
        <w:rPr>
          <w:color w:val="000000" w:themeColor="text1"/>
        </w:rPr>
      </w:pPr>
      <w:r w:rsidRPr="00742EF9">
        <w:rPr>
          <w:color w:val="000000" w:themeColor="text1"/>
        </w:rPr>
        <w:t>Retrieval-Au</w:t>
      </w:r>
      <w:r w:rsidRPr="00742EF9">
        <w:rPr>
          <w:color w:val="000000" w:themeColor="text1"/>
        </w:rPr>
        <w:t xml:space="preserve">gmented Generation (RAG) was introduced by Lewis et al. (2020) as a mechanism to ground LLM outputs in retrieved external knowledge, demonstrating significant improvements in open-domain question answering factuality. In the medical domain, </w:t>
      </w:r>
      <w:proofErr w:type="spellStart"/>
      <w:r w:rsidRPr="00742EF9">
        <w:rPr>
          <w:color w:val="000000" w:themeColor="text1"/>
        </w:rPr>
        <w:t>Xiong</w:t>
      </w:r>
      <w:proofErr w:type="spellEnd"/>
      <w:r w:rsidRPr="00742EF9">
        <w:rPr>
          <w:color w:val="000000" w:themeColor="text1"/>
        </w:rPr>
        <w:t xml:space="preserve"> et al. (2</w:t>
      </w:r>
      <w:r w:rsidRPr="00742EF9">
        <w:rPr>
          <w:color w:val="000000" w:themeColor="text1"/>
        </w:rPr>
        <w:t>024) demonstrated that RAG substantially reduces hallucination rates in clinical question answering by providing context from PubMed abstracts and clinical guidelines during generation.</w:t>
      </w:r>
    </w:p>
    <w:p w:rsidR="005165DB" w:rsidRPr="00742EF9" w:rsidRDefault="005165DB">
      <w:pPr>
        <w:spacing w:before="120" w:after="120"/>
        <w:rPr>
          <w:color w:val="000000" w:themeColor="text1"/>
        </w:rPr>
      </w:pPr>
    </w:p>
    <w:p w:rsidR="005165DB" w:rsidRPr="00742EF9" w:rsidRDefault="00550E77">
      <w:pPr>
        <w:spacing w:before="80" w:after="120" w:line="360" w:lineRule="auto"/>
        <w:jc w:val="both"/>
        <w:rPr>
          <w:color w:val="000000" w:themeColor="text1"/>
        </w:rPr>
      </w:pPr>
      <w:r w:rsidRPr="00742EF9">
        <w:rPr>
          <w:color w:val="000000" w:themeColor="text1"/>
        </w:rPr>
        <w:t>CLINIGUARD extends this RAG paradigm by triggering retrieval selectiv</w:t>
      </w:r>
      <w:r w:rsidRPr="00742EF9">
        <w:rPr>
          <w:color w:val="000000" w:themeColor="text1"/>
        </w:rPr>
        <w:t>ely — only when one or more detection modules flags a claim as uncertain or unverified — rather than performing universal retrieval augmentation. This targeted approach preserves latency for verified claims while providing additional context precisely wher</w:t>
      </w:r>
      <w:r w:rsidRPr="00742EF9">
        <w:rPr>
          <w:color w:val="000000" w:themeColor="text1"/>
        </w:rPr>
        <w:t>e hallucination risk is highest.</w:t>
      </w:r>
    </w:p>
    <w:p w:rsidR="005165DB" w:rsidRPr="00742EF9" w:rsidRDefault="00550E77">
      <w:pPr>
        <w:pStyle w:val="Heading2"/>
        <w:rPr>
          <w:color w:val="000000" w:themeColor="text1"/>
        </w:rPr>
      </w:pPr>
      <w:r w:rsidRPr="00742EF9">
        <w:rPr>
          <w:color w:val="000000" w:themeColor="text1"/>
        </w:rPr>
        <w:t>2.6 Hallucination Benchmarks and Evaluation in Clinical NLP</w:t>
      </w:r>
    </w:p>
    <w:p w:rsidR="005165DB" w:rsidRPr="00742EF9" w:rsidRDefault="00550E77">
      <w:pPr>
        <w:spacing w:before="80" w:after="120" w:line="360" w:lineRule="auto"/>
        <w:jc w:val="both"/>
        <w:rPr>
          <w:color w:val="000000" w:themeColor="text1"/>
        </w:rPr>
      </w:pPr>
      <w:r w:rsidRPr="00742EF9">
        <w:rPr>
          <w:color w:val="000000" w:themeColor="text1"/>
        </w:rPr>
        <w:t xml:space="preserve">Benchmark development for medical LLM hallucination has accelerated significantly since 2022. </w:t>
      </w:r>
      <w:proofErr w:type="spellStart"/>
      <w:r w:rsidRPr="00742EF9">
        <w:rPr>
          <w:color w:val="000000" w:themeColor="text1"/>
        </w:rPr>
        <w:t>HaluEval</w:t>
      </w:r>
      <w:proofErr w:type="spellEnd"/>
      <w:r w:rsidRPr="00742EF9">
        <w:rPr>
          <w:color w:val="000000" w:themeColor="text1"/>
        </w:rPr>
        <w:t xml:space="preserve"> (Li et al., 2023) introduced large-scale hallucination evalu</w:t>
      </w:r>
      <w:r w:rsidRPr="00742EF9">
        <w:rPr>
          <w:color w:val="000000" w:themeColor="text1"/>
        </w:rPr>
        <w:t xml:space="preserve">ation datasets across summarization, question answering, and dialogue, providing baseline comparisons for hallucination detection systems. </w:t>
      </w:r>
      <w:proofErr w:type="spellStart"/>
      <w:r w:rsidRPr="00742EF9">
        <w:rPr>
          <w:color w:val="000000" w:themeColor="text1"/>
        </w:rPr>
        <w:t>MedHallu</w:t>
      </w:r>
      <w:proofErr w:type="spellEnd"/>
      <w:r w:rsidRPr="00742EF9">
        <w:rPr>
          <w:color w:val="000000" w:themeColor="text1"/>
        </w:rPr>
        <w:t xml:space="preserve"> (Zhao et al., 2023) extended this to the clinical domain with 5,000 SOAP notes containing synthetically inje</w:t>
      </w:r>
      <w:r w:rsidRPr="00742EF9">
        <w:rPr>
          <w:color w:val="000000" w:themeColor="text1"/>
        </w:rPr>
        <w:t>cted hallucinations across dosing errors, allergy omissions, and diagnostic inconsistencies.</w:t>
      </w:r>
    </w:p>
    <w:p w:rsidR="005165DB" w:rsidRPr="00742EF9" w:rsidRDefault="005165DB">
      <w:pPr>
        <w:spacing w:before="120" w:after="120"/>
        <w:rPr>
          <w:color w:val="000000" w:themeColor="text1"/>
        </w:rPr>
      </w:pPr>
    </w:p>
    <w:p w:rsidR="005165DB" w:rsidRPr="00742EF9" w:rsidRDefault="00550E77">
      <w:pPr>
        <w:spacing w:before="80" w:after="120" w:line="360" w:lineRule="auto"/>
        <w:jc w:val="both"/>
        <w:rPr>
          <w:color w:val="000000" w:themeColor="text1"/>
        </w:rPr>
      </w:pPr>
      <w:r w:rsidRPr="00742EF9">
        <w:rPr>
          <w:color w:val="000000" w:themeColor="text1"/>
        </w:rPr>
        <w:t>Med-HALT (</w:t>
      </w:r>
      <w:proofErr w:type="spellStart"/>
      <w:r w:rsidRPr="00742EF9">
        <w:rPr>
          <w:color w:val="000000" w:themeColor="text1"/>
        </w:rPr>
        <w:t>Umapathi</w:t>
      </w:r>
      <w:proofErr w:type="spellEnd"/>
      <w:r w:rsidRPr="00742EF9">
        <w:rPr>
          <w:color w:val="000000" w:themeColor="text1"/>
        </w:rPr>
        <w:t xml:space="preserve"> et al., 2023) provided 2,000 real hallucinations extracted from medical LLM outputs on clinical QA benchmarks, offering a more ecologically valid evaluation than synthetic injection. The Medical Hallucination Benchmark (MHB) complements </w:t>
      </w:r>
      <w:r w:rsidRPr="00742EF9">
        <w:rPr>
          <w:color w:val="000000" w:themeColor="text1"/>
        </w:rPr>
        <w:t>these with 3,000 doctor-annotated claims spanning multiple specialties, enabling cross-specialty generalization analysis. CLINIGUARD is evaluated on all three, enabling both comparison with prior work and assessment of generalization.</w:t>
      </w:r>
    </w:p>
    <w:p w:rsidR="005165DB" w:rsidRPr="00742EF9" w:rsidRDefault="00550E77">
      <w:pPr>
        <w:pStyle w:val="Heading2"/>
        <w:rPr>
          <w:color w:val="000000" w:themeColor="text1"/>
        </w:rPr>
      </w:pPr>
      <w:r w:rsidRPr="00742EF9">
        <w:rPr>
          <w:color w:val="000000" w:themeColor="text1"/>
        </w:rPr>
        <w:lastRenderedPageBreak/>
        <w:t>2.7 Research Gaps Add</w:t>
      </w:r>
      <w:r w:rsidRPr="00742EF9">
        <w:rPr>
          <w:color w:val="000000" w:themeColor="text1"/>
        </w:rPr>
        <w:t>ressed by CLINIGUARD</w:t>
      </w:r>
    </w:p>
    <w:p w:rsidR="005165DB" w:rsidRPr="00742EF9" w:rsidRDefault="00550E77">
      <w:pPr>
        <w:spacing w:before="80" w:after="120" w:line="360" w:lineRule="auto"/>
        <w:jc w:val="both"/>
        <w:rPr>
          <w:color w:val="000000" w:themeColor="text1"/>
        </w:rPr>
      </w:pPr>
      <w:r w:rsidRPr="00742EF9">
        <w:rPr>
          <w:color w:val="000000" w:themeColor="text1"/>
        </w:rPr>
        <w:t>A synthesis of the literature reveals three persistent gaps that CLINIGUARD is designed to address. Prior hallucination detection systems rely on single-signal approaches — either probing, or entropy, or attention analysis — without de</w:t>
      </w:r>
      <w:r w:rsidRPr="00742EF9">
        <w:rPr>
          <w:color w:val="000000" w:themeColor="text1"/>
        </w:rPr>
        <w:t xml:space="preserve">monstrating the complementarity of combining all four signal types. As CLINIGUARD’s ablation studies show, no single signal exceeds 75% AUROC, while multi-signal fusion reaches 88.4%. Second, no prior system achieves sub-20 </w:t>
      </w:r>
      <w:proofErr w:type="spellStart"/>
      <w:r w:rsidRPr="00742EF9">
        <w:rPr>
          <w:color w:val="000000" w:themeColor="text1"/>
        </w:rPr>
        <w:t>ms</w:t>
      </w:r>
      <w:proofErr w:type="spellEnd"/>
      <w:r w:rsidRPr="00742EF9">
        <w:rPr>
          <w:color w:val="000000" w:themeColor="text1"/>
        </w:rPr>
        <w:t xml:space="preserve"> per-token latency sufficient </w:t>
      </w:r>
      <w:r w:rsidRPr="00742EF9">
        <w:rPr>
          <w:color w:val="000000" w:themeColor="text1"/>
        </w:rPr>
        <w:t>for real-time clinical deployment within a single forward pass. Third, existing systems produce numerical confidence scores without clinical explanations, failing to support the interpretability requirements of clinical decision-making. CLINIGUARD’s Green/</w:t>
      </w:r>
      <w:r w:rsidRPr="00742EF9">
        <w:rPr>
          <w:color w:val="000000" w:themeColor="text1"/>
        </w:rPr>
        <w:t>Amber/Red interface with contrastive rationales and UMLS/</w:t>
      </w:r>
      <w:proofErr w:type="spellStart"/>
      <w:r w:rsidRPr="00742EF9">
        <w:rPr>
          <w:color w:val="000000" w:themeColor="text1"/>
        </w:rPr>
        <w:t>RxNorm</w:t>
      </w:r>
      <w:proofErr w:type="spellEnd"/>
      <w:r w:rsidRPr="00742EF9">
        <w:rPr>
          <w:color w:val="000000" w:themeColor="text1"/>
        </w:rPr>
        <w:t xml:space="preserve"> anchoring directly addresses this gap.</w:t>
      </w:r>
    </w:p>
    <w:p w:rsidR="005165DB" w:rsidRPr="00742EF9" w:rsidRDefault="00550E77">
      <w:pPr>
        <w:rPr>
          <w:color w:val="000000" w:themeColor="text1"/>
        </w:rPr>
      </w:pPr>
      <w:r w:rsidRPr="00742EF9">
        <w:rPr>
          <w:color w:val="000000" w:themeColor="text1"/>
        </w:rPr>
        <w:br w:type="page"/>
      </w:r>
    </w:p>
    <w:p w:rsidR="005165DB" w:rsidRPr="00742EF9" w:rsidRDefault="00550E77">
      <w:pPr>
        <w:pStyle w:val="Heading1"/>
        <w:rPr>
          <w:color w:val="000000" w:themeColor="text1"/>
        </w:rPr>
      </w:pPr>
      <w:r w:rsidRPr="00742EF9">
        <w:rPr>
          <w:color w:val="000000" w:themeColor="text1"/>
        </w:rPr>
        <w:lastRenderedPageBreak/>
        <w:t>3. System Architecture and Design</w:t>
      </w:r>
    </w:p>
    <w:p w:rsidR="005165DB" w:rsidRPr="00742EF9" w:rsidRDefault="005165DB">
      <w:pPr>
        <w:pBdr>
          <w:bottom w:val="single" w:sz="4" w:space="1" w:color="2E5FA3"/>
        </w:pBdr>
        <w:spacing w:before="200" w:after="200"/>
        <w:rPr>
          <w:color w:val="000000" w:themeColor="text1"/>
        </w:rPr>
      </w:pPr>
    </w:p>
    <w:p w:rsidR="005165DB" w:rsidRPr="00742EF9" w:rsidRDefault="00550E77">
      <w:pPr>
        <w:pStyle w:val="Heading2"/>
        <w:rPr>
          <w:color w:val="000000" w:themeColor="text1"/>
        </w:rPr>
      </w:pPr>
      <w:r w:rsidRPr="00742EF9">
        <w:rPr>
          <w:color w:val="000000" w:themeColor="text1"/>
        </w:rPr>
        <w:t>3.1 Architectural Overview</w:t>
      </w:r>
    </w:p>
    <w:p w:rsidR="005165DB" w:rsidRPr="00742EF9" w:rsidRDefault="00550E77">
      <w:pPr>
        <w:spacing w:before="80" w:after="120" w:line="360" w:lineRule="auto"/>
        <w:jc w:val="both"/>
        <w:rPr>
          <w:color w:val="000000" w:themeColor="text1"/>
        </w:rPr>
      </w:pPr>
      <w:r w:rsidRPr="00742EF9">
        <w:rPr>
          <w:color w:val="000000" w:themeColor="text1"/>
        </w:rPr>
        <w:t>CLINIGUARD is designed as an inline guard layer that intercepts the forward pass of a cli</w:t>
      </w:r>
      <w:r w:rsidRPr="00742EF9">
        <w:rPr>
          <w:color w:val="000000" w:themeColor="text1"/>
        </w:rPr>
        <w:t>nical LLM and computes four complementary hallucination-risk signals in parallel, without requiring additional model passes or external API calls during the primary inference step. The architecture comprises four modules: Multi-Signal Clinical Detection, L</w:t>
      </w:r>
      <w:r w:rsidRPr="00742EF9">
        <w:rPr>
          <w:color w:val="000000" w:themeColor="text1"/>
        </w:rPr>
        <w:t xml:space="preserve">earned Multi-Signal Fusion, Clinical </w:t>
      </w:r>
      <w:proofErr w:type="spellStart"/>
      <w:r w:rsidRPr="00742EF9">
        <w:rPr>
          <w:color w:val="000000" w:themeColor="text1"/>
        </w:rPr>
        <w:t>Explainability</w:t>
      </w:r>
      <w:proofErr w:type="spellEnd"/>
      <w:r w:rsidRPr="00742EF9">
        <w:rPr>
          <w:color w:val="000000" w:themeColor="text1"/>
        </w:rPr>
        <w:t xml:space="preserve"> and Verification, and Closed-Loop Clinical Mitigation.</w:t>
      </w:r>
    </w:p>
    <w:p w:rsidR="005165DB" w:rsidRPr="00742EF9" w:rsidRDefault="005165DB">
      <w:pPr>
        <w:spacing w:before="120" w:after="120"/>
        <w:rPr>
          <w:color w:val="000000" w:themeColor="text1"/>
        </w:rPr>
      </w:pPr>
    </w:p>
    <w:p w:rsidR="005165DB" w:rsidRPr="00742EF9" w:rsidRDefault="00550E77">
      <w:pPr>
        <w:spacing w:before="80" w:after="120" w:line="360" w:lineRule="auto"/>
        <w:jc w:val="both"/>
        <w:rPr>
          <w:color w:val="000000" w:themeColor="text1"/>
        </w:rPr>
      </w:pPr>
      <w:r w:rsidRPr="00742EF9">
        <w:rPr>
          <w:color w:val="000000" w:themeColor="text1"/>
        </w:rPr>
        <w:t>The guard operates on a single clinical input, which passes through the medical LLM in a standard forward pass. During this pass, CLINIGUARD hooks i</w:t>
      </w:r>
      <w:r w:rsidRPr="00742EF9">
        <w:rPr>
          <w:color w:val="000000" w:themeColor="text1"/>
        </w:rPr>
        <w:t xml:space="preserve">nto the model’s intermediate representations — hidden states, attention maps, logits, and token </w:t>
      </w:r>
      <w:proofErr w:type="spellStart"/>
      <w:r w:rsidRPr="00742EF9">
        <w:rPr>
          <w:color w:val="000000" w:themeColor="text1"/>
        </w:rPr>
        <w:t>embeddings</w:t>
      </w:r>
      <w:proofErr w:type="spellEnd"/>
      <w:r w:rsidRPr="00742EF9">
        <w:rPr>
          <w:color w:val="000000" w:themeColor="text1"/>
        </w:rPr>
        <w:t xml:space="preserve"> — to compute its detection signals. The fused risk score is computed immediately upon completion of the forward pass, and the mitigation pipeline is </w:t>
      </w:r>
      <w:r w:rsidRPr="00742EF9">
        <w:rPr>
          <w:color w:val="000000" w:themeColor="text1"/>
        </w:rPr>
        <w:t>triggered only for claims that exceed the configured risk threshold. This design ensures that verified, low-risk outputs incur no additional latency.</w:t>
      </w:r>
    </w:p>
    <w:p w:rsidR="005165DB" w:rsidRPr="00742EF9" w:rsidRDefault="00550E77">
      <w:pPr>
        <w:pStyle w:val="Heading2"/>
        <w:rPr>
          <w:color w:val="000000" w:themeColor="text1"/>
        </w:rPr>
      </w:pPr>
      <w:r w:rsidRPr="00742EF9">
        <w:rPr>
          <w:color w:val="000000" w:themeColor="text1"/>
        </w:rPr>
        <w:t>3.2 Module 1: Multi-Signal Clinical Detector</w:t>
      </w:r>
    </w:p>
    <w:p w:rsidR="005165DB" w:rsidRPr="00742EF9" w:rsidRDefault="00550E77">
      <w:pPr>
        <w:spacing w:before="80" w:after="120" w:line="360" w:lineRule="auto"/>
        <w:jc w:val="both"/>
        <w:rPr>
          <w:color w:val="000000" w:themeColor="text1"/>
        </w:rPr>
      </w:pPr>
      <w:r w:rsidRPr="00742EF9">
        <w:rPr>
          <w:color w:val="000000" w:themeColor="text1"/>
        </w:rPr>
        <w:t>The Multi-Signal Clinical Detector comprises four sub-modules</w:t>
      </w:r>
      <w:r w:rsidRPr="00742EF9">
        <w:rPr>
          <w:color w:val="000000" w:themeColor="text1"/>
        </w:rPr>
        <w:t>, each targeting a distinct failure mode:</w:t>
      </w:r>
    </w:p>
    <w:p w:rsidR="005165DB" w:rsidRPr="00742EF9" w:rsidRDefault="00550E77">
      <w:pPr>
        <w:pStyle w:val="Heading3"/>
        <w:rPr>
          <w:color w:val="000000" w:themeColor="text1"/>
        </w:rPr>
      </w:pPr>
      <w:r w:rsidRPr="00742EF9">
        <w:rPr>
          <w:color w:val="000000" w:themeColor="text1"/>
        </w:rPr>
        <w:t>3.2.1 Med-ISP: Medical Information State Probes</w:t>
      </w:r>
    </w:p>
    <w:p w:rsidR="005165DB" w:rsidRPr="00742EF9" w:rsidRDefault="00550E77">
      <w:pPr>
        <w:spacing w:before="80" w:after="120" w:line="360" w:lineRule="auto"/>
        <w:jc w:val="both"/>
        <w:rPr>
          <w:color w:val="000000" w:themeColor="text1"/>
        </w:rPr>
      </w:pPr>
      <w:r w:rsidRPr="00742EF9">
        <w:rPr>
          <w:color w:val="000000" w:themeColor="text1"/>
        </w:rPr>
        <w:t>Med-ISP trains lightweight linear probe classifiers on the hidden layer activations of the clinical LLM. During training, the probes learn to predict whether the mode</w:t>
      </w:r>
      <w:r w:rsidRPr="00742EF9">
        <w:rPr>
          <w:color w:val="000000" w:themeColor="text1"/>
        </w:rPr>
        <w:t xml:space="preserve">l’s internal representations are consistent with </w:t>
      </w:r>
      <w:proofErr w:type="spellStart"/>
      <w:r w:rsidRPr="00742EF9">
        <w:rPr>
          <w:color w:val="000000" w:themeColor="text1"/>
        </w:rPr>
        <w:t>RxNorm</w:t>
      </w:r>
      <w:proofErr w:type="spellEnd"/>
      <w:r w:rsidRPr="00742EF9">
        <w:rPr>
          <w:color w:val="000000" w:themeColor="text1"/>
        </w:rPr>
        <w:t>-validated clinical terminology at each layer. During inference, probe activations provide a real-time signal indicating whether the model’s internal representation of a clinical claim is grounded in k</w:t>
      </w:r>
      <w:r w:rsidRPr="00742EF9">
        <w:rPr>
          <w:color w:val="000000" w:themeColor="text1"/>
        </w:rPr>
        <w:t xml:space="preserve">nown medical concepts or drifting toward unsupported fabrications. Probes are trained on a held-out set of verified and hallucinated SOAP notes from </w:t>
      </w:r>
      <w:proofErr w:type="spellStart"/>
      <w:r w:rsidRPr="00742EF9">
        <w:rPr>
          <w:color w:val="000000" w:themeColor="text1"/>
        </w:rPr>
        <w:t>MedHallu</w:t>
      </w:r>
      <w:proofErr w:type="spellEnd"/>
      <w:r w:rsidRPr="00742EF9">
        <w:rPr>
          <w:color w:val="000000" w:themeColor="text1"/>
        </w:rPr>
        <w:t xml:space="preserve">, with positive labels corresponding to </w:t>
      </w:r>
      <w:proofErr w:type="spellStart"/>
      <w:r w:rsidRPr="00742EF9">
        <w:rPr>
          <w:color w:val="000000" w:themeColor="text1"/>
        </w:rPr>
        <w:t>RxNorm</w:t>
      </w:r>
      <w:proofErr w:type="spellEnd"/>
      <w:r w:rsidRPr="00742EF9">
        <w:rPr>
          <w:color w:val="000000" w:themeColor="text1"/>
        </w:rPr>
        <w:t>-verified drug names and dosing claims.</w:t>
      </w:r>
    </w:p>
    <w:p w:rsidR="005165DB" w:rsidRPr="00742EF9" w:rsidRDefault="00550E77">
      <w:pPr>
        <w:pStyle w:val="Heading3"/>
        <w:rPr>
          <w:color w:val="000000" w:themeColor="text1"/>
        </w:rPr>
      </w:pPr>
      <w:r w:rsidRPr="00742EF9">
        <w:rPr>
          <w:color w:val="000000" w:themeColor="text1"/>
        </w:rPr>
        <w:t xml:space="preserve">3.2.2 C-AAS: </w:t>
      </w:r>
      <w:r w:rsidRPr="00742EF9">
        <w:rPr>
          <w:color w:val="000000" w:themeColor="text1"/>
        </w:rPr>
        <w:t>Clinical Attention Alignment Score</w:t>
      </w:r>
    </w:p>
    <w:p w:rsidR="005165DB" w:rsidRPr="00742EF9" w:rsidRDefault="00550E77">
      <w:pPr>
        <w:spacing w:before="80" w:after="120" w:line="360" w:lineRule="auto"/>
        <w:jc w:val="both"/>
        <w:rPr>
          <w:color w:val="000000" w:themeColor="text1"/>
        </w:rPr>
      </w:pPr>
      <w:r w:rsidRPr="00742EF9">
        <w:rPr>
          <w:color w:val="000000" w:themeColor="text1"/>
        </w:rPr>
        <w:lastRenderedPageBreak/>
        <w:t>C-AAS quantifies the degree to which the model’s multi-head attention mechanism is attending to clinically relevant input elements. For each generation step, C-AAS computes the aggregate attention weight allocated to toke</w:t>
      </w:r>
      <w:r w:rsidRPr="00742EF9">
        <w:rPr>
          <w:color w:val="000000" w:themeColor="text1"/>
        </w:rPr>
        <w:t>ns corresponding to patient demographics, vital signs, documented allergies, and current medications. Low C-AAS scores — indicating that the model is not attending to these contextual anchors — are strongly predictive of contextually inappropriate outputs,</w:t>
      </w:r>
      <w:r w:rsidRPr="00742EF9">
        <w:rPr>
          <w:color w:val="000000" w:themeColor="text1"/>
        </w:rPr>
        <w:t xml:space="preserve"> including allergy omissions and demographic-unadjusted dosing recommendations. C-AAS weights are computed from the average across all attention heads in the final transformer block, with position-weighted aggregation to emphasize clinically salient token </w:t>
      </w:r>
      <w:r w:rsidRPr="00742EF9">
        <w:rPr>
          <w:color w:val="000000" w:themeColor="text1"/>
        </w:rPr>
        <w:t>positions.</w:t>
      </w:r>
    </w:p>
    <w:p w:rsidR="005165DB" w:rsidRPr="00742EF9" w:rsidRDefault="00550E77">
      <w:pPr>
        <w:pStyle w:val="Heading3"/>
        <w:rPr>
          <w:color w:val="000000" w:themeColor="text1"/>
        </w:rPr>
      </w:pPr>
      <w:r w:rsidRPr="00742EF9">
        <w:rPr>
          <w:color w:val="000000" w:themeColor="text1"/>
        </w:rPr>
        <w:t>3.2.3 Med-EEM: Medical Entropy-Energy Monitor</w:t>
      </w:r>
    </w:p>
    <w:p w:rsidR="005165DB" w:rsidRPr="00742EF9" w:rsidRDefault="00550E77">
      <w:pPr>
        <w:spacing w:before="80" w:after="120" w:line="360" w:lineRule="auto"/>
        <w:jc w:val="both"/>
        <w:rPr>
          <w:color w:val="000000" w:themeColor="text1"/>
        </w:rPr>
      </w:pPr>
      <w:r w:rsidRPr="00742EF9">
        <w:rPr>
          <w:color w:val="000000" w:themeColor="text1"/>
        </w:rPr>
        <w:t>Med-EEM monitors the Shannon entropy of the output logit distribution at each generation step, with particular sensitivity to token positions corresponding to drug names, dosage quantities, and diagn</w:t>
      </w:r>
      <w:r w:rsidRPr="00742EF9">
        <w:rPr>
          <w:color w:val="000000" w:themeColor="text1"/>
        </w:rPr>
        <w:t>ostic terms. High entropy at drug-name positions indicates model uncertainty about the specific pharmacological entity being generated, a reliable precursor to drug hallucination. Med-EEM computes a rolling entropy signal across a sliding window of drug-re</w:t>
      </w:r>
      <w:r w:rsidRPr="00742EF9">
        <w:rPr>
          <w:color w:val="000000" w:themeColor="text1"/>
        </w:rPr>
        <w:t xml:space="preserve">levant token positions, triggering a high-risk flag when entropy exceeds a threshold calibrated on the </w:t>
      </w:r>
      <w:proofErr w:type="spellStart"/>
      <w:r w:rsidRPr="00742EF9">
        <w:rPr>
          <w:color w:val="000000" w:themeColor="text1"/>
        </w:rPr>
        <w:t>MedHallu</w:t>
      </w:r>
      <w:proofErr w:type="spellEnd"/>
      <w:r w:rsidRPr="00742EF9">
        <w:rPr>
          <w:color w:val="000000" w:themeColor="text1"/>
        </w:rPr>
        <w:t xml:space="preserve"> training set.</w:t>
      </w:r>
    </w:p>
    <w:p w:rsidR="005165DB" w:rsidRPr="00742EF9" w:rsidRDefault="00550E77">
      <w:pPr>
        <w:pStyle w:val="Heading3"/>
        <w:rPr>
          <w:color w:val="000000" w:themeColor="text1"/>
        </w:rPr>
      </w:pPr>
      <w:r w:rsidRPr="00742EF9">
        <w:rPr>
          <w:color w:val="000000" w:themeColor="text1"/>
        </w:rPr>
        <w:t>3.2.4 CDT: Clinical Drift Tracker</w:t>
      </w:r>
    </w:p>
    <w:p w:rsidR="005165DB" w:rsidRPr="00742EF9" w:rsidRDefault="00550E77">
      <w:pPr>
        <w:spacing w:before="80" w:after="120" w:line="360" w:lineRule="auto"/>
        <w:jc w:val="both"/>
        <w:rPr>
          <w:color w:val="000000" w:themeColor="text1"/>
        </w:rPr>
      </w:pPr>
      <w:r w:rsidRPr="00742EF9">
        <w:rPr>
          <w:color w:val="000000" w:themeColor="text1"/>
        </w:rPr>
        <w:t>CDT addresses a failure mode specific to long-form clinical reasoning: contextual drift, where t</w:t>
      </w:r>
      <w:r w:rsidRPr="00742EF9">
        <w:rPr>
          <w:color w:val="000000" w:themeColor="text1"/>
        </w:rPr>
        <w:t>he model loses track of the primary clinical question over the course of generating extended reports. CDT computes the cosine similarity between the token embedding of the current generation step and a reference vector derived from the initial clinical que</w:t>
      </w:r>
      <w:r w:rsidRPr="00742EF9">
        <w:rPr>
          <w:color w:val="000000" w:themeColor="text1"/>
        </w:rPr>
        <w:t xml:space="preserve">ry. A sustained decline in cosine similarity indicates that the model’s reasoning is drifting from the clinical context, a pattern strongly associated with diagnostic errors in long case analyses. CDT operates on token </w:t>
      </w:r>
      <w:proofErr w:type="spellStart"/>
      <w:r w:rsidRPr="00742EF9">
        <w:rPr>
          <w:color w:val="000000" w:themeColor="text1"/>
        </w:rPr>
        <w:t>embeddings</w:t>
      </w:r>
      <w:proofErr w:type="spellEnd"/>
      <w:r w:rsidRPr="00742EF9">
        <w:rPr>
          <w:color w:val="000000" w:themeColor="text1"/>
        </w:rPr>
        <w:t xml:space="preserve"> from the model’s input rep</w:t>
      </w:r>
      <w:r w:rsidRPr="00742EF9">
        <w:rPr>
          <w:color w:val="000000" w:themeColor="text1"/>
        </w:rPr>
        <w:t>resentation layer, adding negligible computational overhead.</w:t>
      </w:r>
    </w:p>
    <w:p w:rsidR="005165DB" w:rsidRPr="00742EF9" w:rsidRDefault="00550E77">
      <w:pPr>
        <w:pStyle w:val="Heading2"/>
        <w:rPr>
          <w:color w:val="000000" w:themeColor="text1"/>
        </w:rPr>
      </w:pPr>
      <w:r w:rsidRPr="00742EF9">
        <w:rPr>
          <w:color w:val="000000" w:themeColor="text1"/>
        </w:rPr>
        <w:t>3.3 Module 2: Task-Conditional Learned Fusion</w:t>
      </w:r>
    </w:p>
    <w:p w:rsidR="005165DB" w:rsidRPr="00742EF9" w:rsidRDefault="00550E77">
      <w:pPr>
        <w:spacing w:before="80" w:after="120" w:line="360" w:lineRule="auto"/>
        <w:jc w:val="both"/>
        <w:rPr>
          <w:color w:val="000000" w:themeColor="text1"/>
        </w:rPr>
      </w:pPr>
      <w:r w:rsidRPr="00742EF9">
        <w:rPr>
          <w:color w:val="000000" w:themeColor="text1"/>
        </w:rPr>
        <w:t xml:space="preserve">Raw signal aggregation through simple averaging is inadequate because different clinical tasks require different signal weightings. Allergy checking </w:t>
      </w:r>
      <w:r w:rsidRPr="00742EF9">
        <w:rPr>
          <w:color w:val="000000" w:themeColor="text1"/>
        </w:rPr>
        <w:t xml:space="preserve">requires strong C-AAS sensitivity to contextual attention failures; drug dosing requires strong Med-EEM sensitivity to </w:t>
      </w:r>
      <w:r w:rsidRPr="00742EF9">
        <w:rPr>
          <w:color w:val="000000" w:themeColor="text1"/>
        </w:rPr>
        <w:lastRenderedPageBreak/>
        <w:t>pharmacological uncertainty; long-form case analysis requires strong CDT sensitivity to reasoning drift.</w:t>
      </w:r>
    </w:p>
    <w:p w:rsidR="005165DB" w:rsidRPr="00742EF9" w:rsidRDefault="005165DB">
      <w:pPr>
        <w:spacing w:before="120" w:after="120"/>
        <w:rPr>
          <w:color w:val="000000" w:themeColor="text1"/>
        </w:rPr>
      </w:pPr>
    </w:p>
    <w:p w:rsidR="005165DB" w:rsidRPr="00742EF9" w:rsidRDefault="00550E77">
      <w:pPr>
        <w:spacing w:before="80" w:after="120" w:line="360" w:lineRule="auto"/>
        <w:jc w:val="both"/>
        <w:rPr>
          <w:color w:val="000000" w:themeColor="text1"/>
        </w:rPr>
      </w:pPr>
      <w:r w:rsidRPr="00742EF9">
        <w:rPr>
          <w:color w:val="000000" w:themeColor="text1"/>
        </w:rPr>
        <w:t xml:space="preserve">CLINIGUARD’s fusion module implements task-conditional weighting through a supervised learning framework. Given a labeled training set of hallucinated and verified clinical outputs tagged by task type, the module learns task-specific weight vectors (α, β, </w:t>
      </w:r>
      <w:r w:rsidRPr="00742EF9">
        <w:rPr>
          <w:color w:val="000000" w:themeColor="text1"/>
        </w:rPr>
        <w:t xml:space="preserve">γ, </w:t>
      </w:r>
      <w:proofErr w:type="gramStart"/>
      <w:r w:rsidRPr="00742EF9">
        <w:rPr>
          <w:color w:val="000000" w:themeColor="text1"/>
        </w:rPr>
        <w:t>δ</w:t>
      </w:r>
      <w:proofErr w:type="gramEnd"/>
      <w:r w:rsidRPr="00742EF9">
        <w:rPr>
          <w:color w:val="000000" w:themeColor="text1"/>
        </w:rPr>
        <w:t>) for each of the four signals via logistic regression. The resulting clinical risk score for a given output is:</w:t>
      </w:r>
    </w:p>
    <w:p w:rsidR="005165DB" w:rsidRPr="00742EF9" w:rsidRDefault="00550E77">
      <w:pPr>
        <w:spacing w:before="160" w:after="160"/>
        <w:jc w:val="center"/>
        <w:rPr>
          <w:color w:val="000000" w:themeColor="text1"/>
        </w:rPr>
      </w:pPr>
      <w:proofErr w:type="gramStart"/>
      <w:r w:rsidRPr="00742EF9">
        <w:rPr>
          <w:rFonts w:ascii="Courier New" w:eastAsia="Courier New" w:hAnsi="Courier New" w:cs="Courier New"/>
          <w:b/>
          <w:bCs/>
          <w:color w:val="000000" w:themeColor="text1"/>
        </w:rPr>
        <w:t>Risk(</w:t>
      </w:r>
      <w:proofErr w:type="gramEnd"/>
      <w:r w:rsidRPr="00742EF9">
        <w:rPr>
          <w:rFonts w:ascii="Courier New" w:eastAsia="Courier New" w:hAnsi="Courier New" w:cs="Courier New"/>
          <w:b/>
          <w:bCs/>
          <w:color w:val="000000" w:themeColor="text1"/>
        </w:rPr>
        <w:t>task) = α(task) × Med-ISP + β(task) × C-AAS + γ(task) × Med-EEM + δ(task) × CDT</w:t>
      </w:r>
    </w:p>
    <w:p w:rsidR="005165DB" w:rsidRPr="00742EF9" w:rsidRDefault="00550E77">
      <w:pPr>
        <w:spacing w:before="80" w:after="120" w:line="360" w:lineRule="auto"/>
        <w:jc w:val="both"/>
        <w:rPr>
          <w:color w:val="000000" w:themeColor="text1"/>
        </w:rPr>
      </w:pPr>
      <w:r w:rsidRPr="00742EF9">
        <w:rPr>
          <w:color w:val="000000" w:themeColor="text1"/>
        </w:rPr>
        <w:t xml:space="preserve">At inference time, the task type is classified from the input query using a lightweight BERT-based classifier fine-tuned on a clinical task taxonomy. Task classification adds less than 1 </w:t>
      </w:r>
      <w:proofErr w:type="spellStart"/>
      <w:r w:rsidRPr="00742EF9">
        <w:rPr>
          <w:color w:val="000000" w:themeColor="text1"/>
        </w:rPr>
        <w:t>ms</w:t>
      </w:r>
      <w:proofErr w:type="spellEnd"/>
      <w:r w:rsidRPr="00742EF9">
        <w:rPr>
          <w:color w:val="000000" w:themeColor="text1"/>
        </w:rPr>
        <w:t xml:space="preserve"> to total inference latency.</w:t>
      </w:r>
    </w:p>
    <w:p w:rsidR="005165DB" w:rsidRPr="00742EF9" w:rsidRDefault="00550E77">
      <w:pPr>
        <w:pStyle w:val="Heading2"/>
        <w:rPr>
          <w:color w:val="000000" w:themeColor="text1"/>
        </w:rPr>
      </w:pPr>
      <w:r w:rsidRPr="00742EF9">
        <w:rPr>
          <w:color w:val="000000" w:themeColor="text1"/>
        </w:rPr>
        <w:t xml:space="preserve">3.4 Module 3: Clinical </w:t>
      </w:r>
      <w:proofErr w:type="spellStart"/>
      <w:r w:rsidRPr="00742EF9">
        <w:rPr>
          <w:color w:val="000000" w:themeColor="text1"/>
        </w:rPr>
        <w:t>Explainability</w:t>
      </w:r>
      <w:proofErr w:type="spellEnd"/>
      <w:r w:rsidRPr="00742EF9">
        <w:rPr>
          <w:color w:val="000000" w:themeColor="text1"/>
        </w:rPr>
        <w:t xml:space="preserve"> </w:t>
      </w:r>
      <w:r w:rsidRPr="00742EF9">
        <w:rPr>
          <w:color w:val="000000" w:themeColor="text1"/>
        </w:rPr>
        <w:t>and Verification</w:t>
      </w:r>
    </w:p>
    <w:p w:rsidR="005165DB" w:rsidRPr="00742EF9" w:rsidRDefault="00550E77">
      <w:pPr>
        <w:spacing w:before="80" w:after="120" w:line="360" w:lineRule="auto"/>
        <w:jc w:val="both"/>
        <w:rPr>
          <w:color w:val="000000" w:themeColor="text1"/>
        </w:rPr>
      </w:pPr>
      <w:r w:rsidRPr="00742EF9">
        <w:rPr>
          <w:color w:val="000000" w:themeColor="text1"/>
        </w:rPr>
        <w:t xml:space="preserve">CLINIGUARD produces a three-tier verification output for each clinical claim in the generated text. Green-coded claims have been verified against UMLS canonical vocabulary and </w:t>
      </w:r>
      <w:proofErr w:type="spellStart"/>
      <w:r w:rsidRPr="00742EF9">
        <w:rPr>
          <w:color w:val="000000" w:themeColor="text1"/>
        </w:rPr>
        <w:t>RxNorm</w:t>
      </w:r>
      <w:proofErr w:type="spellEnd"/>
      <w:r w:rsidRPr="00742EF9">
        <w:rPr>
          <w:color w:val="000000" w:themeColor="text1"/>
        </w:rPr>
        <w:t xml:space="preserve"> drug existence and dosing rules. Amber-coded claims have</w:t>
      </w:r>
      <w:r w:rsidRPr="00742EF9">
        <w:rPr>
          <w:color w:val="000000" w:themeColor="text1"/>
        </w:rPr>
        <w:t xml:space="preserve"> not been verified against authoritative databases but have not been detected as contradictory to patient context. Red-coded claims have been flagged as contradicting patient-specific information — including documented allergies, vital sign ranges, or demo</w:t>
      </w:r>
      <w:r w:rsidRPr="00742EF9">
        <w:rPr>
          <w:color w:val="000000" w:themeColor="text1"/>
        </w:rPr>
        <w:t xml:space="preserve">graphic parameters — or as containing drug names not found in </w:t>
      </w:r>
      <w:proofErr w:type="spellStart"/>
      <w:r w:rsidRPr="00742EF9">
        <w:rPr>
          <w:color w:val="000000" w:themeColor="text1"/>
        </w:rPr>
        <w:t>RxNorm</w:t>
      </w:r>
      <w:proofErr w:type="spellEnd"/>
      <w:r w:rsidRPr="00742EF9">
        <w:rPr>
          <w:color w:val="000000" w:themeColor="text1"/>
        </w:rPr>
        <w:t>.</w:t>
      </w:r>
    </w:p>
    <w:p w:rsidR="005165DB" w:rsidRPr="00742EF9" w:rsidRDefault="005165DB">
      <w:pPr>
        <w:spacing w:before="120" w:after="120"/>
        <w:rPr>
          <w:color w:val="000000" w:themeColor="text1"/>
        </w:rPr>
      </w:pPr>
    </w:p>
    <w:p w:rsidR="005165DB" w:rsidRPr="00742EF9" w:rsidRDefault="00550E77">
      <w:pPr>
        <w:spacing w:before="80" w:after="120" w:line="360" w:lineRule="auto"/>
        <w:jc w:val="both"/>
        <w:rPr>
          <w:color w:val="000000" w:themeColor="text1"/>
        </w:rPr>
      </w:pPr>
      <w:r w:rsidRPr="00742EF9">
        <w:rPr>
          <w:color w:val="000000" w:themeColor="text1"/>
        </w:rPr>
        <w:t>In addition to color coding, CLINIGUARD generates contrastive rationales for Amber and Red claims, explaining both what the model claims and what the authoritative database contains. Th</w:t>
      </w:r>
      <w:r w:rsidRPr="00742EF9">
        <w:rPr>
          <w:color w:val="000000" w:themeColor="text1"/>
        </w:rPr>
        <w:t>ese rationales are templated to clinical standards, for example: “Model recommends amoxicillin. Patient record documents penicillin allergy (cross-reactivity risk). Recommend alternative: azithromycin (per clinical guidelines).”</w:t>
      </w:r>
    </w:p>
    <w:p w:rsidR="005165DB" w:rsidRPr="00742EF9" w:rsidRDefault="00550E77">
      <w:pPr>
        <w:pStyle w:val="Heading2"/>
        <w:rPr>
          <w:color w:val="000000" w:themeColor="text1"/>
        </w:rPr>
      </w:pPr>
      <w:r w:rsidRPr="00742EF9">
        <w:rPr>
          <w:color w:val="000000" w:themeColor="text1"/>
        </w:rPr>
        <w:t>3.5 Module 4: Closed-Loop C</w:t>
      </w:r>
      <w:r w:rsidRPr="00742EF9">
        <w:rPr>
          <w:color w:val="000000" w:themeColor="text1"/>
        </w:rPr>
        <w:t>linical Mitigation</w:t>
      </w:r>
    </w:p>
    <w:p w:rsidR="005165DB" w:rsidRPr="00742EF9" w:rsidRDefault="00550E77">
      <w:pPr>
        <w:spacing w:before="80" w:after="120" w:line="360" w:lineRule="auto"/>
        <w:jc w:val="both"/>
        <w:rPr>
          <w:color w:val="000000" w:themeColor="text1"/>
        </w:rPr>
      </w:pPr>
      <w:r w:rsidRPr="00742EF9">
        <w:rPr>
          <w:color w:val="000000" w:themeColor="text1"/>
        </w:rPr>
        <w:t>Detection and explanation alone are insufficient if unverified claims remain in the clinical output. CLINIGUARD’s mitigation module implements two active interventions. For Amber-</w:t>
      </w:r>
      <w:r w:rsidRPr="00742EF9">
        <w:rPr>
          <w:color w:val="000000" w:themeColor="text1"/>
        </w:rPr>
        <w:lastRenderedPageBreak/>
        <w:t xml:space="preserve">coded claims, targeted RAG retrieval queries PubMed, </w:t>
      </w:r>
      <w:proofErr w:type="spellStart"/>
      <w:r w:rsidRPr="00742EF9">
        <w:rPr>
          <w:color w:val="000000" w:themeColor="text1"/>
        </w:rPr>
        <w:t>RxNor</w:t>
      </w:r>
      <w:r w:rsidRPr="00742EF9">
        <w:rPr>
          <w:color w:val="000000" w:themeColor="text1"/>
        </w:rPr>
        <w:t>m</w:t>
      </w:r>
      <w:proofErr w:type="spellEnd"/>
      <w:r w:rsidRPr="00742EF9">
        <w:rPr>
          <w:color w:val="000000" w:themeColor="text1"/>
        </w:rPr>
        <w:t>, and relevant clinical guidelines using the flagged claim as a query, augmenting the model’s context with retrieved evidence. For Red-coded claims, calibrated abstention forces the generation of a standardized disclaimer: “I cannot verify this dosing rec</w:t>
      </w:r>
      <w:r w:rsidRPr="00742EF9">
        <w:rPr>
          <w:color w:val="000000" w:themeColor="text1"/>
        </w:rPr>
        <w:t>ommendation. Please consult the pharmacist or refer to current formulary guidelines.” Each mitigation event is logged to a feedback store, enabling iterative fine-tuning of the model to reduce hallucination frequency over time.</w:t>
      </w:r>
    </w:p>
    <w:p w:rsidR="005165DB" w:rsidRPr="00742EF9" w:rsidRDefault="00550E77">
      <w:pPr>
        <w:rPr>
          <w:color w:val="000000" w:themeColor="text1"/>
        </w:rPr>
      </w:pPr>
      <w:r w:rsidRPr="00742EF9">
        <w:rPr>
          <w:color w:val="000000" w:themeColor="text1"/>
        </w:rPr>
        <w:br w:type="page"/>
      </w:r>
    </w:p>
    <w:p w:rsidR="005165DB" w:rsidRPr="00742EF9" w:rsidRDefault="00550E77">
      <w:pPr>
        <w:pStyle w:val="Heading1"/>
        <w:rPr>
          <w:color w:val="000000" w:themeColor="text1"/>
        </w:rPr>
      </w:pPr>
      <w:r w:rsidRPr="00742EF9">
        <w:rPr>
          <w:color w:val="000000" w:themeColor="text1"/>
        </w:rPr>
        <w:lastRenderedPageBreak/>
        <w:t>4. Implementation</w:t>
      </w:r>
    </w:p>
    <w:p w:rsidR="005165DB" w:rsidRPr="00742EF9" w:rsidRDefault="005165DB">
      <w:pPr>
        <w:pBdr>
          <w:bottom w:val="single" w:sz="4" w:space="1" w:color="2E5FA3"/>
        </w:pBdr>
        <w:spacing w:before="200" w:after="200"/>
        <w:rPr>
          <w:color w:val="000000" w:themeColor="text1"/>
        </w:rPr>
      </w:pPr>
    </w:p>
    <w:p w:rsidR="005165DB" w:rsidRPr="00742EF9" w:rsidRDefault="00550E77">
      <w:pPr>
        <w:pStyle w:val="Heading2"/>
        <w:rPr>
          <w:color w:val="000000" w:themeColor="text1"/>
        </w:rPr>
      </w:pPr>
      <w:r w:rsidRPr="00742EF9">
        <w:rPr>
          <w:color w:val="000000" w:themeColor="text1"/>
        </w:rPr>
        <w:t>4.1 Tec</w:t>
      </w:r>
      <w:r w:rsidRPr="00742EF9">
        <w:rPr>
          <w:color w:val="000000" w:themeColor="text1"/>
        </w:rPr>
        <w:t>hnology Stack</w:t>
      </w:r>
    </w:p>
    <w:p w:rsidR="005165DB" w:rsidRPr="00742EF9" w:rsidRDefault="00550E77">
      <w:pPr>
        <w:spacing w:before="80" w:after="120" w:line="360" w:lineRule="auto"/>
        <w:jc w:val="both"/>
        <w:rPr>
          <w:color w:val="000000" w:themeColor="text1"/>
        </w:rPr>
      </w:pPr>
      <w:r w:rsidRPr="00742EF9">
        <w:rPr>
          <w:color w:val="000000" w:themeColor="text1"/>
        </w:rPr>
        <w:t xml:space="preserve">CLINIGUARD is implemented in Python 3.10, leveraging the Hugging Face Transformers library for LLM integration, hook registration into forward passes, and attention map extraction. The probing classifiers in Med-ISP are implemented using </w:t>
      </w:r>
      <w:proofErr w:type="spellStart"/>
      <w:r w:rsidRPr="00742EF9">
        <w:rPr>
          <w:color w:val="000000" w:themeColor="text1"/>
        </w:rPr>
        <w:t>scik</w:t>
      </w:r>
      <w:r w:rsidRPr="00742EF9">
        <w:rPr>
          <w:color w:val="000000" w:themeColor="text1"/>
        </w:rPr>
        <w:t>it</w:t>
      </w:r>
      <w:proofErr w:type="spellEnd"/>
      <w:r w:rsidRPr="00742EF9">
        <w:rPr>
          <w:color w:val="000000" w:themeColor="text1"/>
        </w:rPr>
        <w:t xml:space="preserve">-learn </w:t>
      </w:r>
      <w:proofErr w:type="spellStart"/>
      <w:r w:rsidRPr="00742EF9">
        <w:rPr>
          <w:color w:val="000000" w:themeColor="text1"/>
        </w:rPr>
        <w:t>LogisticRegression</w:t>
      </w:r>
      <w:proofErr w:type="spellEnd"/>
      <w:r w:rsidRPr="00742EF9">
        <w:rPr>
          <w:color w:val="000000" w:themeColor="text1"/>
        </w:rPr>
        <w:t xml:space="preserve">, trained on GPU-extracted hidden states. The fusion module uses a lightweight logistic regression model trained with </w:t>
      </w:r>
      <w:proofErr w:type="spellStart"/>
      <w:r w:rsidRPr="00742EF9">
        <w:rPr>
          <w:color w:val="000000" w:themeColor="text1"/>
        </w:rPr>
        <w:t>scikit</w:t>
      </w:r>
      <w:proofErr w:type="spellEnd"/>
      <w:r w:rsidRPr="00742EF9">
        <w:rPr>
          <w:color w:val="000000" w:themeColor="text1"/>
        </w:rPr>
        <w:t xml:space="preserve">-learn on signal vectors. The RAG pipeline uses </w:t>
      </w:r>
      <w:proofErr w:type="spellStart"/>
      <w:r w:rsidRPr="00742EF9">
        <w:rPr>
          <w:color w:val="000000" w:themeColor="text1"/>
        </w:rPr>
        <w:t>LangChain</w:t>
      </w:r>
      <w:proofErr w:type="spellEnd"/>
      <w:r w:rsidRPr="00742EF9">
        <w:rPr>
          <w:color w:val="000000" w:themeColor="text1"/>
        </w:rPr>
        <w:t xml:space="preserve"> for retrieval orchestration, with a FAISS vecto</w:t>
      </w:r>
      <w:r w:rsidRPr="00742EF9">
        <w:rPr>
          <w:color w:val="000000" w:themeColor="text1"/>
        </w:rPr>
        <w:t xml:space="preserve">r store indexing PubMed abstracts and a direct </w:t>
      </w:r>
      <w:proofErr w:type="spellStart"/>
      <w:r w:rsidRPr="00742EF9">
        <w:rPr>
          <w:color w:val="000000" w:themeColor="text1"/>
        </w:rPr>
        <w:t>RxNorm</w:t>
      </w:r>
      <w:proofErr w:type="spellEnd"/>
      <w:r w:rsidRPr="00742EF9">
        <w:rPr>
          <w:color w:val="000000" w:themeColor="text1"/>
        </w:rPr>
        <w:t xml:space="preserve"> API integration for drug verification. The </w:t>
      </w:r>
      <w:proofErr w:type="spellStart"/>
      <w:r w:rsidRPr="00742EF9">
        <w:rPr>
          <w:color w:val="000000" w:themeColor="text1"/>
        </w:rPr>
        <w:t>explainability</w:t>
      </w:r>
      <w:proofErr w:type="spellEnd"/>
      <w:r w:rsidRPr="00742EF9">
        <w:rPr>
          <w:color w:val="000000" w:themeColor="text1"/>
        </w:rPr>
        <w:t xml:space="preserve"> interface is implemented as a </w:t>
      </w:r>
      <w:proofErr w:type="spellStart"/>
      <w:r w:rsidRPr="00742EF9">
        <w:rPr>
          <w:color w:val="000000" w:themeColor="text1"/>
        </w:rPr>
        <w:t>FastAPI</w:t>
      </w:r>
      <w:proofErr w:type="spellEnd"/>
      <w:r w:rsidRPr="00742EF9">
        <w:rPr>
          <w:color w:val="000000" w:themeColor="text1"/>
        </w:rPr>
        <w:t xml:space="preserve"> </w:t>
      </w:r>
      <w:proofErr w:type="spellStart"/>
      <w:r w:rsidRPr="00742EF9">
        <w:rPr>
          <w:color w:val="000000" w:themeColor="text1"/>
        </w:rPr>
        <w:t>microservice</w:t>
      </w:r>
      <w:proofErr w:type="spellEnd"/>
      <w:r w:rsidRPr="00742EF9">
        <w:rPr>
          <w:color w:val="000000" w:themeColor="text1"/>
        </w:rPr>
        <w:t xml:space="preserve"> exposing a REST endpoint, enabling integration with existing EHR (Electronic Health Record) c</w:t>
      </w:r>
      <w:r w:rsidRPr="00742EF9">
        <w:rPr>
          <w:color w:val="000000" w:themeColor="text1"/>
        </w:rPr>
        <w:t>hat interfaces.</w:t>
      </w:r>
    </w:p>
    <w:p w:rsidR="005165DB" w:rsidRPr="00742EF9" w:rsidRDefault="00550E77">
      <w:pPr>
        <w:pStyle w:val="Heading2"/>
        <w:rPr>
          <w:color w:val="000000" w:themeColor="text1"/>
        </w:rPr>
      </w:pPr>
      <w:r w:rsidRPr="00742EF9">
        <w:rPr>
          <w:color w:val="000000" w:themeColor="text1"/>
        </w:rPr>
        <w:t>4.2 Dataset Preparation</w:t>
      </w:r>
    </w:p>
    <w:p w:rsidR="005165DB" w:rsidRPr="00742EF9" w:rsidRDefault="00550E77">
      <w:pPr>
        <w:spacing w:before="80" w:after="120" w:line="360" w:lineRule="auto"/>
        <w:jc w:val="both"/>
        <w:rPr>
          <w:color w:val="000000" w:themeColor="text1"/>
        </w:rPr>
      </w:pPr>
      <w:r w:rsidRPr="00742EF9">
        <w:rPr>
          <w:color w:val="000000" w:themeColor="text1"/>
        </w:rPr>
        <w:t xml:space="preserve">Three datasets were used for training and evaluation. </w:t>
      </w:r>
      <w:proofErr w:type="spellStart"/>
      <w:r w:rsidRPr="00742EF9">
        <w:rPr>
          <w:color w:val="000000" w:themeColor="text1"/>
        </w:rPr>
        <w:t>MedHallu</w:t>
      </w:r>
      <w:proofErr w:type="spellEnd"/>
      <w:r w:rsidRPr="00742EF9">
        <w:rPr>
          <w:color w:val="000000" w:themeColor="text1"/>
        </w:rPr>
        <w:t xml:space="preserve"> consists of 5,000 SOAP notes with synthetically injected hallucinations covering dosing errors (1,800 instances), allergy omissions (1,500 instances), an</w:t>
      </w:r>
      <w:r w:rsidRPr="00742EF9">
        <w:rPr>
          <w:color w:val="000000" w:themeColor="text1"/>
        </w:rPr>
        <w:t>d contextual inconsistencies (1,700 instances). Med-HALT provides 2,000 real hallucinations from medical LLM outputs on clinical QA, covering diagnostic reasoning errors and drug interaction failures. MHB provides 3,000 doctor-annotated claims across cardi</w:t>
      </w:r>
      <w:r w:rsidRPr="00742EF9">
        <w:rPr>
          <w:color w:val="000000" w:themeColor="text1"/>
        </w:rPr>
        <w:t>ology, oncology, pediatrics, and internal medicine, with binary true/false labels verified by board-certified physicians.</w:t>
      </w:r>
    </w:p>
    <w:p w:rsidR="005165DB" w:rsidRPr="00742EF9" w:rsidRDefault="005165DB">
      <w:pPr>
        <w:spacing w:before="120" w:after="120"/>
        <w:rPr>
          <w:color w:val="000000" w:themeColor="text1"/>
        </w:rPr>
      </w:pPr>
    </w:p>
    <w:p w:rsidR="005165DB" w:rsidRPr="00742EF9" w:rsidRDefault="00550E77">
      <w:pPr>
        <w:spacing w:before="80" w:after="120" w:line="360" w:lineRule="auto"/>
        <w:jc w:val="both"/>
        <w:rPr>
          <w:color w:val="000000" w:themeColor="text1"/>
        </w:rPr>
      </w:pPr>
      <w:r w:rsidRPr="00742EF9">
        <w:rPr>
          <w:color w:val="000000" w:themeColor="text1"/>
        </w:rPr>
        <w:t>Each dataset was split into 70% training, 15% validation, and 15% test partitions. Signal vectors (Med-ISP probe activations, C-AAS s</w:t>
      </w:r>
      <w:r w:rsidRPr="00742EF9">
        <w:rPr>
          <w:color w:val="000000" w:themeColor="text1"/>
        </w:rPr>
        <w:t>cores, Med-EEM entropy trajectories, CDT cosine similarity profiles) were extracted for each training instance and used to train the fusion module’s task-conditional weight vectors.</w:t>
      </w:r>
    </w:p>
    <w:p w:rsidR="005165DB" w:rsidRPr="00742EF9" w:rsidRDefault="00550E77">
      <w:pPr>
        <w:pStyle w:val="Heading2"/>
        <w:rPr>
          <w:color w:val="000000" w:themeColor="text1"/>
        </w:rPr>
      </w:pPr>
      <w:r w:rsidRPr="00742EF9">
        <w:rPr>
          <w:color w:val="000000" w:themeColor="text1"/>
        </w:rPr>
        <w:t>4.3 Evaluation Protocol</w:t>
      </w:r>
    </w:p>
    <w:p w:rsidR="005165DB" w:rsidRPr="00742EF9" w:rsidRDefault="00550E77">
      <w:pPr>
        <w:spacing w:before="80" w:after="120" w:line="360" w:lineRule="auto"/>
        <w:jc w:val="both"/>
        <w:rPr>
          <w:color w:val="000000" w:themeColor="text1"/>
        </w:rPr>
      </w:pPr>
      <w:r w:rsidRPr="00742EF9">
        <w:rPr>
          <w:color w:val="000000" w:themeColor="text1"/>
        </w:rPr>
        <w:t>CLINIGUARD was evaluated against four baselines: M</w:t>
      </w:r>
      <w:r w:rsidRPr="00742EF9">
        <w:rPr>
          <w:color w:val="000000" w:themeColor="text1"/>
        </w:rPr>
        <w:t xml:space="preserve">onte Carlo Dropout (10 forward passes, temperature=0.8), Deep Ensemble (5 models), </w:t>
      </w:r>
      <w:proofErr w:type="spellStart"/>
      <w:r w:rsidRPr="00742EF9">
        <w:rPr>
          <w:color w:val="000000" w:themeColor="text1"/>
        </w:rPr>
        <w:t>HaluEval</w:t>
      </w:r>
      <w:proofErr w:type="spellEnd"/>
      <w:r w:rsidRPr="00742EF9">
        <w:rPr>
          <w:color w:val="000000" w:themeColor="text1"/>
        </w:rPr>
        <w:t xml:space="preserve"> prompting-based detection, and </w:t>
      </w:r>
      <w:proofErr w:type="spellStart"/>
      <w:r w:rsidRPr="00742EF9">
        <w:rPr>
          <w:color w:val="000000" w:themeColor="text1"/>
        </w:rPr>
        <w:t>SelfCheckGPT</w:t>
      </w:r>
      <w:proofErr w:type="spellEnd"/>
      <w:r w:rsidRPr="00742EF9">
        <w:rPr>
          <w:color w:val="000000" w:themeColor="text1"/>
        </w:rPr>
        <w:t xml:space="preserve"> (5 sampled outputs). All baselines were evaluated on identical </w:t>
      </w:r>
      <w:r w:rsidRPr="00742EF9">
        <w:rPr>
          <w:color w:val="000000" w:themeColor="text1"/>
        </w:rPr>
        <w:lastRenderedPageBreak/>
        <w:t>test splits. Primary evaluation metrics include AUROC (ov</w:t>
      </w:r>
      <w:r w:rsidRPr="00742EF9">
        <w:rPr>
          <w:color w:val="000000" w:themeColor="text1"/>
        </w:rPr>
        <w:t>erall discriminative performance), Precision at 95% Recall (clinical safety critical: minimizing missed detections at the cost of false alarms), and per-token inference latency. Ablation studies were conducted by disabling individual modules to isolate eac</w:t>
      </w:r>
      <w:r w:rsidRPr="00742EF9">
        <w:rPr>
          <w:color w:val="000000" w:themeColor="text1"/>
        </w:rPr>
        <w:t>h signal’s independent contribution.</w:t>
      </w:r>
    </w:p>
    <w:p w:rsidR="005165DB" w:rsidRPr="00742EF9" w:rsidRDefault="00550E77">
      <w:pPr>
        <w:rPr>
          <w:color w:val="000000" w:themeColor="text1"/>
        </w:rPr>
      </w:pPr>
      <w:r w:rsidRPr="00742EF9">
        <w:rPr>
          <w:color w:val="000000" w:themeColor="text1"/>
        </w:rPr>
        <w:br w:type="page"/>
      </w:r>
    </w:p>
    <w:p w:rsidR="005165DB" w:rsidRPr="00742EF9" w:rsidRDefault="00550E77">
      <w:pPr>
        <w:pStyle w:val="Heading1"/>
        <w:rPr>
          <w:color w:val="000000" w:themeColor="text1"/>
        </w:rPr>
      </w:pPr>
      <w:r w:rsidRPr="00742EF9">
        <w:rPr>
          <w:color w:val="000000" w:themeColor="text1"/>
        </w:rPr>
        <w:lastRenderedPageBreak/>
        <w:t>5. Experimental Results</w:t>
      </w:r>
    </w:p>
    <w:p w:rsidR="005165DB" w:rsidRPr="00742EF9" w:rsidRDefault="005165DB">
      <w:pPr>
        <w:pBdr>
          <w:bottom w:val="single" w:sz="4" w:space="1" w:color="2E5FA3"/>
        </w:pBdr>
        <w:spacing w:before="200" w:after="200"/>
        <w:rPr>
          <w:color w:val="000000" w:themeColor="text1"/>
        </w:rPr>
      </w:pPr>
    </w:p>
    <w:p w:rsidR="005165DB" w:rsidRPr="00742EF9" w:rsidRDefault="00550E77">
      <w:pPr>
        <w:pStyle w:val="Heading2"/>
        <w:rPr>
          <w:color w:val="000000" w:themeColor="text1"/>
        </w:rPr>
      </w:pPr>
      <w:r w:rsidRPr="00742EF9">
        <w:rPr>
          <w:color w:val="000000" w:themeColor="text1"/>
        </w:rPr>
        <w:t>5.1 Quantitative Performance</w:t>
      </w:r>
    </w:p>
    <w:p w:rsidR="005165DB" w:rsidRPr="00742EF9" w:rsidRDefault="00550E77">
      <w:pPr>
        <w:spacing w:before="80" w:after="120" w:line="360" w:lineRule="auto"/>
        <w:jc w:val="both"/>
        <w:rPr>
          <w:color w:val="000000" w:themeColor="text1"/>
        </w:rPr>
      </w:pPr>
      <w:r w:rsidRPr="00742EF9">
        <w:rPr>
          <w:color w:val="000000" w:themeColor="text1"/>
        </w:rPr>
        <w:t>Table 1 presents the quantitative performance of CLINIGUARD against all baselines across the three evaluation datasets.</w:t>
      </w:r>
    </w:p>
    <w:p w:rsidR="005165DB" w:rsidRPr="00742EF9" w:rsidRDefault="005165DB">
      <w:pPr>
        <w:spacing w:before="120" w:after="1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10"/>
        <w:gridCol w:w="1662"/>
        <w:gridCol w:w="1592"/>
        <w:gridCol w:w="1797"/>
        <w:gridCol w:w="1599"/>
      </w:tblGrid>
      <w:tr w:rsidR="00742EF9" w:rsidRPr="00742EF9">
        <w:tblPrEx>
          <w:tblCellMar>
            <w:top w:w="0" w:type="dxa"/>
            <w:bottom w:w="0" w:type="dxa"/>
          </w:tblCellMar>
        </w:tblPrEx>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A3C6E"/>
            <w:tcMar>
              <w:top w:w="80" w:type="dxa"/>
              <w:left w:w="140" w:type="dxa"/>
              <w:bottom w:w="80" w:type="dxa"/>
              <w:right w:w="140" w:type="dxa"/>
            </w:tcMar>
            <w:vAlign w:val="center"/>
          </w:tcPr>
          <w:p w:rsidR="005165DB" w:rsidRPr="00742EF9" w:rsidRDefault="00550E77">
            <w:pPr>
              <w:rPr>
                <w:color w:val="000000" w:themeColor="text1"/>
              </w:rPr>
            </w:pPr>
            <w:r w:rsidRPr="00742EF9">
              <w:rPr>
                <w:b/>
                <w:bCs/>
                <w:color w:val="000000" w:themeColor="text1"/>
                <w:sz w:val="22"/>
                <w:szCs w:val="22"/>
              </w:rPr>
              <w:t>Metric</w:t>
            </w:r>
          </w:p>
        </w:tc>
        <w:tc>
          <w:tcPr>
            <w:tcW w:w="1640" w:type="dxa"/>
            <w:tcBorders>
              <w:top w:val="single" w:sz="1" w:space="0" w:color="AAAAAA"/>
              <w:left w:val="single" w:sz="1" w:space="0" w:color="AAAAAA"/>
              <w:bottom w:val="single" w:sz="1" w:space="0" w:color="AAAAAA"/>
              <w:right w:val="single" w:sz="1" w:space="0" w:color="AAAAAA"/>
            </w:tcBorders>
            <w:shd w:val="clear" w:color="auto" w:fill="1A3C6E"/>
            <w:tcMar>
              <w:top w:w="80" w:type="dxa"/>
              <w:left w:w="140" w:type="dxa"/>
              <w:bottom w:w="80" w:type="dxa"/>
              <w:right w:w="140" w:type="dxa"/>
            </w:tcMar>
            <w:vAlign w:val="center"/>
          </w:tcPr>
          <w:p w:rsidR="005165DB" w:rsidRPr="00742EF9" w:rsidRDefault="00550E77">
            <w:pPr>
              <w:rPr>
                <w:color w:val="000000" w:themeColor="text1"/>
              </w:rPr>
            </w:pPr>
            <w:r w:rsidRPr="00742EF9">
              <w:rPr>
                <w:b/>
                <w:bCs/>
                <w:color w:val="000000" w:themeColor="text1"/>
                <w:sz w:val="22"/>
                <w:szCs w:val="22"/>
              </w:rPr>
              <w:t>CLINIGUARD</w:t>
            </w:r>
          </w:p>
        </w:tc>
        <w:tc>
          <w:tcPr>
            <w:tcW w:w="1640" w:type="dxa"/>
            <w:tcBorders>
              <w:top w:val="single" w:sz="1" w:space="0" w:color="AAAAAA"/>
              <w:left w:val="single" w:sz="1" w:space="0" w:color="AAAAAA"/>
              <w:bottom w:val="single" w:sz="1" w:space="0" w:color="AAAAAA"/>
              <w:right w:val="single" w:sz="1" w:space="0" w:color="AAAAAA"/>
            </w:tcBorders>
            <w:shd w:val="clear" w:color="auto" w:fill="1A3C6E"/>
            <w:tcMar>
              <w:top w:w="80" w:type="dxa"/>
              <w:left w:w="140" w:type="dxa"/>
              <w:bottom w:w="80" w:type="dxa"/>
              <w:right w:w="140" w:type="dxa"/>
            </w:tcMar>
            <w:vAlign w:val="center"/>
          </w:tcPr>
          <w:p w:rsidR="005165DB" w:rsidRPr="00742EF9" w:rsidRDefault="00550E77">
            <w:pPr>
              <w:rPr>
                <w:color w:val="000000" w:themeColor="text1"/>
              </w:rPr>
            </w:pPr>
            <w:r w:rsidRPr="00742EF9">
              <w:rPr>
                <w:b/>
                <w:bCs/>
                <w:color w:val="000000" w:themeColor="text1"/>
                <w:sz w:val="22"/>
                <w:szCs w:val="22"/>
              </w:rPr>
              <w:t>MC Dropout</w:t>
            </w:r>
          </w:p>
        </w:tc>
        <w:tc>
          <w:tcPr>
            <w:tcW w:w="1640" w:type="dxa"/>
            <w:tcBorders>
              <w:top w:val="single" w:sz="1" w:space="0" w:color="AAAAAA"/>
              <w:left w:val="single" w:sz="1" w:space="0" w:color="AAAAAA"/>
              <w:bottom w:val="single" w:sz="1" w:space="0" w:color="AAAAAA"/>
              <w:right w:val="single" w:sz="1" w:space="0" w:color="AAAAAA"/>
            </w:tcBorders>
            <w:shd w:val="clear" w:color="auto" w:fill="1A3C6E"/>
            <w:tcMar>
              <w:top w:w="80" w:type="dxa"/>
              <w:left w:w="140" w:type="dxa"/>
              <w:bottom w:w="80" w:type="dxa"/>
              <w:right w:w="140" w:type="dxa"/>
            </w:tcMar>
            <w:vAlign w:val="center"/>
          </w:tcPr>
          <w:p w:rsidR="005165DB" w:rsidRPr="00742EF9" w:rsidRDefault="00550E77">
            <w:pPr>
              <w:rPr>
                <w:color w:val="000000" w:themeColor="text1"/>
              </w:rPr>
            </w:pPr>
            <w:proofErr w:type="spellStart"/>
            <w:r w:rsidRPr="00742EF9">
              <w:rPr>
                <w:b/>
                <w:bCs/>
                <w:color w:val="000000" w:themeColor="text1"/>
                <w:sz w:val="22"/>
                <w:szCs w:val="22"/>
              </w:rPr>
              <w:t>SelfCheckGPT</w:t>
            </w:r>
            <w:proofErr w:type="spellEnd"/>
          </w:p>
        </w:tc>
        <w:tc>
          <w:tcPr>
            <w:tcW w:w="1640" w:type="dxa"/>
            <w:tcBorders>
              <w:top w:val="single" w:sz="1" w:space="0" w:color="AAAAAA"/>
              <w:left w:val="single" w:sz="1" w:space="0" w:color="AAAAAA"/>
              <w:bottom w:val="single" w:sz="1" w:space="0" w:color="AAAAAA"/>
              <w:right w:val="single" w:sz="1" w:space="0" w:color="AAAAAA"/>
            </w:tcBorders>
            <w:shd w:val="clear" w:color="auto" w:fill="1A3C6E"/>
            <w:tcMar>
              <w:top w:w="80" w:type="dxa"/>
              <w:left w:w="140" w:type="dxa"/>
              <w:bottom w:w="80" w:type="dxa"/>
              <w:right w:w="140" w:type="dxa"/>
            </w:tcMar>
            <w:vAlign w:val="center"/>
          </w:tcPr>
          <w:p w:rsidR="005165DB" w:rsidRPr="00742EF9" w:rsidRDefault="00550E77">
            <w:pPr>
              <w:rPr>
                <w:color w:val="000000" w:themeColor="text1"/>
              </w:rPr>
            </w:pPr>
            <w:proofErr w:type="spellStart"/>
            <w:r w:rsidRPr="00742EF9">
              <w:rPr>
                <w:b/>
                <w:bCs/>
                <w:color w:val="000000" w:themeColor="text1"/>
                <w:sz w:val="22"/>
                <w:szCs w:val="22"/>
              </w:rPr>
              <w:t>HaluEval</w:t>
            </w:r>
            <w:proofErr w:type="spellEnd"/>
          </w:p>
        </w:tc>
      </w:tr>
      <w:tr w:rsidR="00742EF9" w:rsidRPr="00742EF9">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rsidR="005165DB" w:rsidRPr="00742EF9" w:rsidRDefault="00550E77">
            <w:pPr>
              <w:rPr>
                <w:color w:val="000000" w:themeColor="text1"/>
              </w:rPr>
            </w:pPr>
            <w:r w:rsidRPr="00742EF9">
              <w:rPr>
                <w:color w:val="000000" w:themeColor="text1"/>
                <w:sz w:val="22"/>
                <w:szCs w:val="22"/>
              </w:rPr>
              <w:t>AUROC (</w:t>
            </w:r>
            <w:proofErr w:type="spellStart"/>
            <w:r w:rsidRPr="00742EF9">
              <w:rPr>
                <w:color w:val="000000" w:themeColor="text1"/>
                <w:sz w:val="22"/>
                <w:szCs w:val="22"/>
              </w:rPr>
              <w:t>MedHallu</w:t>
            </w:r>
            <w:proofErr w:type="spellEnd"/>
            <w:r w:rsidRPr="00742EF9">
              <w:rPr>
                <w:color w:val="000000" w:themeColor="text1"/>
                <w:sz w:val="22"/>
                <w:szCs w:val="22"/>
              </w:rPr>
              <w:t>)</w:t>
            </w:r>
          </w:p>
        </w:tc>
        <w:tc>
          <w:tcPr>
            <w:tcW w:w="1640" w:type="dxa"/>
            <w:tcBorders>
              <w:top w:val="single" w:sz="1" w:space="0" w:color="AAAAAA"/>
              <w:left w:val="single" w:sz="1" w:space="0" w:color="AAAAAA"/>
              <w:bottom w:val="single" w:sz="1" w:space="0" w:color="AAAAAA"/>
              <w:right w:val="single" w:sz="1" w:space="0" w:color="AAAAAA"/>
            </w:tcBorders>
            <w:shd w:val="clear" w:color="auto" w:fill="E8F4EF"/>
            <w:tcMar>
              <w:top w:w="80" w:type="dxa"/>
              <w:left w:w="140" w:type="dxa"/>
              <w:bottom w:w="80" w:type="dxa"/>
              <w:right w:w="140" w:type="dxa"/>
            </w:tcMar>
            <w:vAlign w:val="center"/>
          </w:tcPr>
          <w:p w:rsidR="005165DB" w:rsidRPr="00742EF9" w:rsidRDefault="00550E77">
            <w:pPr>
              <w:rPr>
                <w:color w:val="000000" w:themeColor="text1"/>
              </w:rPr>
            </w:pPr>
            <w:r w:rsidRPr="00742EF9">
              <w:rPr>
                <w:color w:val="000000" w:themeColor="text1"/>
                <w:sz w:val="22"/>
                <w:szCs w:val="22"/>
              </w:rPr>
              <w:t>0.884</w:t>
            </w:r>
          </w:p>
        </w:tc>
        <w:tc>
          <w:tcPr>
            <w:tcW w:w="1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rsidR="005165DB" w:rsidRPr="00742EF9" w:rsidRDefault="00550E77">
            <w:pPr>
              <w:rPr>
                <w:color w:val="000000" w:themeColor="text1"/>
              </w:rPr>
            </w:pPr>
            <w:r w:rsidRPr="00742EF9">
              <w:rPr>
                <w:color w:val="000000" w:themeColor="text1"/>
                <w:sz w:val="22"/>
                <w:szCs w:val="22"/>
              </w:rPr>
              <w:t>0.799</w:t>
            </w:r>
          </w:p>
        </w:tc>
        <w:tc>
          <w:tcPr>
            <w:tcW w:w="1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rsidR="005165DB" w:rsidRPr="00742EF9" w:rsidRDefault="00550E77">
            <w:pPr>
              <w:rPr>
                <w:color w:val="000000" w:themeColor="text1"/>
              </w:rPr>
            </w:pPr>
            <w:r w:rsidRPr="00742EF9">
              <w:rPr>
                <w:color w:val="000000" w:themeColor="text1"/>
                <w:sz w:val="22"/>
                <w:szCs w:val="22"/>
              </w:rPr>
              <w:t>0.801</w:t>
            </w:r>
          </w:p>
        </w:tc>
        <w:tc>
          <w:tcPr>
            <w:tcW w:w="1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rsidR="005165DB" w:rsidRPr="00742EF9" w:rsidRDefault="00550E77">
            <w:pPr>
              <w:rPr>
                <w:color w:val="000000" w:themeColor="text1"/>
              </w:rPr>
            </w:pPr>
            <w:r w:rsidRPr="00742EF9">
              <w:rPr>
                <w:color w:val="000000" w:themeColor="text1"/>
                <w:sz w:val="22"/>
                <w:szCs w:val="22"/>
              </w:rPr>
              <w:t>0.764</w:t>
            </w:r>
          </w:p>
        </w:tc>
      </w:tr>
      <w:tr w:rsidR="00742EF9" w:rsidRPr="00742EF9">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rsidR="005165DB" w:rsidRPr="00742EF9" w:rsidRDefault="00550E77">
            <w:pPr>
              <w:rPr>
                <w:color w:val="000000" w:themeColor="text1"/>
              </w:rPr>
            </w:pPr>
            <w:r w:rsidRPr="00742EF9">
              <w:rPr>
                <w:color w:val="000000" w:themeColor="text1"/>
                <w:sz w:val="22"/>
                <w:szCs w:val="22"/>
              </w:rPr>
              <w:t>AUROC (Med-HALT)</w:t>
            </w:r>
          </w:p>
        </w:tc>
        <w:tc>
          <w:tcPr>
            <w:tcW w:w="1640" w:type="dxa"/>
            <w:tcBorders>
              <w:top w:val="single" w:sz="1" w:space="0" w:color="AAAAAA"/>
              <w:left w:val="single" w:sz="1" w:space="0" w:color="AAAAAA"/>
              <w:bottom w:val="single" w:sz="1" w:space="0" w:color="AAAAAA"/>
              <w:right w:val="single" w:sz="1" w:space="0" w:color="AAAAAA"/>
            </w:tcBorders>
            <w:shd w:val="clear" w:color="auto" w:fill="E8F4EF"/>
            <w:tcMar>
              <w:top w:w="80" w:type="dxa"/>
              <w:left w:w="140" w:type="dxa"/>
              <w:bottom w:w="80" w:type="dxa"/>
              <w:right w:w="140" w:type="dxa"/>
            </w:tcMar>
            <w:vAlign w:val="center"/>
          </w:tcPr>
          <w:p w:rsidR="005165DB" w:rsidRPr="00742EF9" w:rsidRDefault="00550E77">
            <w:pPr>
              <w:rPr>
                <w:color w:val="000000" w:themeColor="text1"/>
              </w:rPr>
            </w:pPr>
            <w:r w:rsidRPr="00742EF9">
              <w:rPr>
                <w:color w:val="000000" w:themeColor="text1"/>
                <w:sz w:val="22"/>
                <w:szCs w:val="22"/>
              </w:rPr>
              <w:t>0.871</w:t>
            </w:r>
          </w:p>
        </w:tc>
        <w:tc>
          <w:tcPr>
            <w:tcW w:w="1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rsidR="005165DB" w:rsidRPr="00742EF9" w:rsidRDefault="00550E77">
            <w:pPr>
              <w:rPr>
                <w:color w:val="000000" w:themeColor="text1"/>
              </w:rPr>
            </w:pPr>
            <w:r w:rsidRPr="00742EF9">
              <w:rPr>
                <w:color w:val="000000" w:themeColor="text1"/>
                <w:sz w:val="22"/>
                <w:szCs w:val="22"/>
              </w:rPr>
              <w:t>0.783</w:t>
            </w:r>
          </w:p>
        </w:tc>
        <w:tc>
          <w:tcPr>
            <w:tcW w:w="1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rsidR="005165DB" w:rsidRPr="00742EF9" w:rsidRDefault="00550E77">
            <w:pPr>
              <w:rPr>
                <w:color w:val="000000" w:themeColor="text1"/>
              </w:rPr>
            </w:pPr>
            <w:r w:rsidRPr="00742EF9">
              <w:rPr>
                <w:color w:val="000000" w:themeColor="text1"/>
                <w:sz w:val="22"/>
                <w:szCs w:val="22"/>
              </w:rPr>
              <w:t>0.792</w:t>
            </w:r>
          </w:p>
        </w:tc>
        <w:tc>
          <w:tcPr>
            <w:tcW w:w="1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rsidR="005165DB" w:rsidRPr="00742EF9" w:rsidRDefault="00550E77">
            <w:pPr>
              <w:rPr>
                <w:color w:val="000000" w:themeColor="text1"/>
              </w:rPr>
            </w:pPr>
            <w:r w:rsidRPr="00742EF9">
              <w:rPr>
                <w:color w:val="000000" w:themeColor="text1"/>
                <w:sz w:val="22"/>
                <w:szCs w:val="22"/>
              </w:rPr>
              <w:t>0.751</w:t>
            </w:r>
          </w:p>
        </w:tc>
      </w:tr>
      <w:tr w:rsidR="00742EF9" w:rsidRPr="00742EF9">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rsidR="005165DB" w:rsidRPr="00742EF9" w:rsidRDefault="00550E77">
            <w:pPr>
              <w:rPr>
                <w:color w:val="000000" w:themeColor="text1"/>
              </w:rPr>
            </w:pPr>
            <w:r w:rsidRPr="00742EF9">
              <w:rPr>
                <w:color w:val="000000" w:themeColor="text1"/>
                <w:sz w:val="22"/>
                <w:szCs w:val="22"/>
              </w:rPr>
              <w:t>AUROC (MHB)</w:t>
            </w:r>
          </w:p>
        </w:tc>
        <w:tc>
          <w:tcPr>
            <w:tcW w:w="1640" w:type="dxa"/>
            <w:tcBorders>
              <w:top w:val="single" w:sz="1" w:space="0" w:color="AAAAAA"/>
              <w:left w:val="single" w:sz="1" w:space="0" w:color="AAAAAA"/>
              <w:bottom w:val="single" w:sz="1" w:space="0" w:color="AAAAAA"/>
              <w:right w:val="single" w:sz="1" w:space="0" w:color="AAAAAA"/>
            </w:tcBorders>
            <w:shd w:val="clear" w:color="auto" w:fill="E8F4EF"/>
            <w:tcMar>
              <w:top w:w="80" w:type="dxa"/>
              <w:left w:w="140" w:type="dxa"/>
              <w:bottom w:w="80" w:type="dxa"/>
              <w:right w:w="140" w:type="dxa"/>
            </w:tcMar>
            <w:vAlign w:val="center"/>
          </w:tcPr>
          <w:p w:rsidR="005165DB" w:rsidRPr="00742EF9" w:rsidRDefault="00550E77">
            <w:pPr>
              <w:rPr>
                <w:color w:val="000000" w:themeColor="text1"/>
              </w:rPr>
            </w:pPr>
            <w:r w:rsidRPr="00742EF9">
              <w:rPr>
                <w:color w:val="000000" w:themeColor="text1"/>
                <w:sz w:val="22"/>
                <w:szCs w:val="22"/>
              </w:rPr>
              <w:t>0.862</w:t>
            </w:r>
          </w:p>
        </w:tc>
        <w:tc>
          <w:tcPr>
            <w:tcW w:w="1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rsidR="005165DB" w:rsidRPr="00742EF9" w:rsidRDefault="00550E77">
            <w:pPr>
              <w:rPr>
                <w:color w:val="000000" w:themeColor="text1"/>
              </w:rPr>
            </w:pPr>
            <w:r w:rsidRPr="00742EF9">
              <w:rPr>
                <w:color w:val="000000" w:themeColor="text1"/>
                <w:sz w:val="22"/>
                <w:szCs w:val="22"/>
              </w:rPr>
              <w:t>0.776</w:t>
            </w:r>
          </w:p>
        </w:tc>
        <w:tc>
          <w:tcPr>
            <w:tcW w:w="1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rsidR="005165DB" w:rsidRPr="00742EF9" w:rsidRDefault="00550E77">
            <w:pPr>
              <w:rPr>
                <w:color w:val="000000" w:themeColor="text1"/>
              </w:rPr>
            </w:pPr>
            <w:r w:rsidRPr="00742EF9">
              <w:rPr>
                <w:color w:val="000000" w:themeColor="text1"/>
                <w:sz w:val="22"/>
                <w:szCs w:val="22"/>
              </w:rPr>
              <w:t>0.784</w:t>
            </w:r>
          </w:p>
        </w:tc>
        <w:tc>
          <w:tcPr>
            <w:tcW w:w="1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rsidR="005165DB" w:rsidRPr="00742EF9" w:rsidRDefault="00550E77">
            <w:pPr>
              <w:rPr>
                <w:color w:val="000000" w:themeColor="text1"/>
              </w:rPr>
            </w:pPr>
            <w:r w:rsidRPr="00742EF9">
              <w:rPr>
                <w:color w:val="000000" w:themeColor="text1"/>
                <w:sz w:val="22"/>
                <w:szCs w:val="22"/>
              </w:rPr>
              <w:t>0.742</w:t>
            </w:r>
          </w:p>
        </w:tc>
      </w:tr>
      <w:tr w:rsidR="00742EF9" w:rsidRPr="00742EF9">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rsidR="005165DB" w:rsidRPr="00742EF9" w:rsidRDefault="00550E77">
            <w:pPr>
              <w:rPr>
                <w:color w:val="000000" w:themeColor="text1"/>
              </w:rPr>
            </w:pPr>
            <w:r w:rsidRPr="00742EF9">
              <w:rPr>
                <w:color w:val="000000" w:themeColor="text1"/>
                <w:sz w:val="22"/>
                <w:szCs w:val="22"/>
              </w:rPr>
              <w:t>Precision@95% Recall</w:t>
            </w:r>
          </w:p>
        </w:tc>
        <w:tc>
          <w:tcPr>
            <w:tcW w:w="1640" w:type="dxa"/>
            <w:tcBorders>
              <w:top w:val="single" w:sz="1" w:space="0" w:color="AAAAAA"/>
              <w:left w:val="single" w:sz="1" w:space="0" w:color="AAAAAA"/>
              <w:bottom w:val="single" w:sz="1" w:space="0" w:color="AAAAAA"/>
              <w:right w:val="single" w:sz="1" w:space="0" w:color="AAAAAA"/>
            </w:tcBorders>
            <w:shd w:val="clear" w:color="auto" w:fill="E8F4EF"/>
            <w:tcMar>
              <w:top w:w="80" w:type="dxa"/>
              <w:left w:w="140" w:type="dxa"/>
              <w:bottom w:w="80" w:type="dxa"/>
              <w:right w:w="140" w:type="dxa"/>
            </w:tcMar>
            <w:vAlign w:val="center"/>
          </w:tcPr>
          <w:p w:rsidR="005165DB" w:rsidRPr="00742EF9" w:rsidRDefault="00550E77">
            <w:pPr>
              <w:rPr>
                <w:color w:val="000000" w:themeColor="text1"/>
              </w:rPr>
            </w:pPr>
            <w:r w:rsidRPr="00742EF9">
              <w:rPr>
                <w:color w:val="000000" w:themeColor="text1"/>
                <w:sz w:val="22"/>
                <w:szCs w:val="22"/>
              </w:rPr>
              <w:t>0.91</w:t>
            </w:r>
          </w:p>
        </w:tc>
        <w:tc>
          <w:tcPr>
            <w:tcW w:w="1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rsidR="005165DB" w:rsidRPr="00742EF9" w:rsidRDefault="00550E77">
            <w:pPr>
              <w:rPr>
                <w:color w:val="000000" w:themeColor="text1"/>
              </w:rPr>
            </w:pPr>
            <w:r w:rsidRPr="00742EF9">
              <w:rPr>
                <w:color w:val="000000" w:themeColor="text1"/>
                <w:sz w:val="22"/>
                <w:szCs w:val="22"/>
              </w:rPr>
              <w:t>0.78</w:t>
            </w:r>
          </w:p>
        </w:tc>
        <w:tc>
          <w:tcPr>
            <w:tcW w:w="1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rsidR="005165DB" w:rsidRPr="00742EF9" w:rsidRDefault="00550E77">
            <w:pPr>
              <w:rPr>
                <w:color w:val="000000" w:themeColor="text1"/>
              </w:rPr>
            </w:pPr>
            <w:r w:rsidRPr="00742EF9">
              <w:rPr>
                <w:color w:val="000000" w:themeColor="text1"/>
                <w:sz w:val="22"/>
                <w:szCs w:val="22"/>
              </w:rPr>
              <w:t>0.80</w:t>
            </w:r>
          </w:p>
        </w:tc>
        <w:tc>
          <w:tcPr>
            <w:tcW w:w="1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rsidR="005165DB" w:rsidRPr="00742EF9" w:rsidRDefault="00550E77">
            <w:pPr>
              <w:rPr>
                <w:color w:val="000000" w:themeColor="text1"/>
              </w:rPr>
            </w:pPr>
            <w:r w:rsidRPr="00742EF9">
              <w:rPr>
                <w:color w:val="000000" w:themeColor="text1"/>
                <w:sz w:val="22"/>
                <w:szCs w:val="22"/>
              </w:rPr>
              <w:t>0.74</w:t>
            </w:r>
          </w:p>
        </w:tc>
      </w:tr>
      <w:tr w:rsidR="00742EF9" w:rsidRPr="00742EF9">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rsidR="005165DB" w:rsidRPr="00742EF9" w:rsidRDefault="00550E77">
            <w:pPr>
              <w:rPr>
                <w:color w:val="000000" w:themeColor="text1"/>
              </w:rPr>
            </w:pPr>
            <w:r w:rsidRPr="00742EF9">
              <w:rPr>
                <w:color w:val="000000" w:themeColor="text1"/>
                <w:sz w:val="22"/>
                <w:szCs w:val="22"/>
              </w:rPr>
              <w:t>Latency (</w:t>
            </w:r>
            <w:proofErr w:type="spellStart"/>
            <w:r w:rsidRPr="00742EF9">
              <w:rPr>
                <w:color w:val="000000" w:themeColor="text1"/>
                <w:sz w:val="22"/>
                <w:szCs w:val="22"/>
              </w:rPr>
              <w:t>ms</w:t>
            </w:r>
            <w:proofErr w:type="spellEnd"/>
            <w:r w:rsidRPr="00742EF9">
              <w:rPr>
                <w:color w:val="000000" w:themeColor="text1"/>
                <w:sz w:val="22"/>
                <w:szCs w:val="22"/>
              </w:rPr>
              <w:t>/token)</w:t>
            </w:r>
          </w:p>
        </w:tc>
        <w:tc>
          <w:tcPr>
            <w:tcW w:w="1640" w:type="dxa"/>
            <w:tcBorders>
              <w:top w:val="single" w:sz="1" w:space="0" w:color="AAAAAA"/>
              <w:left w:val="single" w:sz="1" w:space="0" w:color="AAAAAA"/>
              <w:bottom w:val="single" w:sz="1" w:space="0" w:color="AAAAAA"/>
              <w:right w:val="single" w:sz="1" w:space="0" w:color="AAAAAA"/>
            </w:tcBorders>
            <w:shd w:val="clear" w:color="auto" w:fill="E8F4EF"/>
            <w:tcMar>
              <w:top w:w="80" w:type="dxa"/>
              <w:left w:w="140" w:type="dxa"/>
              <w:bottom w:w="80" w:type="dxa"/>
              <w:right w:w="140" w:type="dxa"/>
            </w:tcMar>
            <w:vAlign w:val="center"/>
          </w:tcPr>
          <w:p w:rsidR="005165DB" w:rsidRPr="00742EF9" w:rsidRDefault="00550E77">
            <w:pPr>
              <w:rPr>
                <w:color w:val="000000" w:themeColor="text1"/>
              </w:rPr>
            </w:pPr>
            <w:r w:rsidRPr="00742EF9">
              <w:rPr>
                <w:color w:val="000000" w:themeColor="text1"/>
                <w:sz w:val="22"/>
                <w:szCs w:val="22"/>
              </w:rPr>
              <w:t>13.1</w:t>
            </w:r>
          </w:p>
        </w:tc>
        <w:tc>
          <w:tcPr>
            <w:tcW w:w="1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rsidR="005165DB" w:rsidRPr="00742EF9" w:rsidRDefault="00550E77">
            <w:pPr>
              <w:rPr>
                <w:color w:val="000000" w:themeColor="text1"/>
              </w:rPr>
            </w:pPr>
            <w:r w:rsidRPr="00742EF9">
              <w:rPr>
                <w:color w:val="000000" w:themeColor="text1"/>
                <w:sz w:val="22"/>
                <w:szCs w:val="22"/>
              </w:rPr>
              <w:t>146.5</w:t>
            </w:r>
          </w:p>
        </w:tc>
        <w:tc>
          <w:tcPr>
            <w:tcW w:w="1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rsidR="005165DB" w:rsidRPr="00742EF9" w:rsidRDefault="00550E77">
            <w:pPr>
              <w:rPr>
                <w:color w:val="000000" w:themeColor="text1"/>
              </w:rPr>
            </w:pPr>
            <w:r w:rsidRPr="00742EF9">
              <w:rPr>
                <w:color w:val="000000" w:themeColor="text1"/>
                <w:sz w:val="22"/>
                <w:szCs w:val="22"/>
              </w:rPr>
              <w:t>132.0</w:t>
            </w:r>
          </w:p>
        </w:tc>
        <w:tc>
          <w:tcPr>
            <w:tcW w:w="1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rsidR="005165DB" w:rsidRPr="00742EF9" w:rsidRDefault="00550E77">
            <w:pPr>
              <w:rPr>
                <w:color w:val="000000" w:themeColor="text1"/>
              </w:rPr>
            </w:pPr>
            <w:r w:rsidRPr="00742EF9">
              <w:rPr>
                <w:color w:val="000000" w:themeColor="text1"/>
                <w:sz w:val="22"/>
                <w:szCs w:val="22"/>
              </w:rPr>
              <w:t>18.4</w:t>
            </w:r>
          </w:p>
        </w:tc>
      </w:tr>
      <w:tr w:rsidR="00742EF9" w:rsidRPr="00742EF9">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rsidR="005165DB" w:rsidRPr="00742EF9" w:rsidRDefault="00550E77">
            <w:pPr>
              <w:rPr>
                <w:color w:val="000000" w:themeColor="text1"/>
              </w:rPr>
            </w:pPr>
            <w:r w:rsidRPr="00742EF9">
              <w:rPr>
                <w:color w:val="000000" w:themeColor="text1"/>
                <w:sz w:val="22"/>
                <w:szCs w:val="22"/>
              </w:rPr>
              <w:t>Hallucination Reduction</w:t>
            </w:r>
          </w:p>
        </w:tc>
        <w:tc>
          <w:tcPr>
            <w:tcW w:w="1640" w:type="dxa"/>
            <w:tcBorders>
              <w:top w:val="single" w:sz="1" w:space="0" w:color="AAAAAA"/>
              <w:left w:val="single" w:sz="1" w:space="0" w:color="AAAAAA"/>
              <w:bottom w:val="single" w:sz="1" w:space="0" w:color="AAAAAA"/>
              <w:right w:val="single" w:sz="1" w:space="0" w:color="AAAAAA"/>
            </w:tcBorders>
            <w:shd w:val="clear" w:color="auto" w:fill="E8F4EF"/>
            <w:tcMar>
              <w:top w:w="80" w:type="dxa"/>
              <w:left w:w="140" w:type="dxa"/>
              <w:bottom w:w="80" w:type="dxa"/>
              <w:right w:w="140" w:type="dxa"/>
            </w:tcMar>
            <w:vAlign w:val="center"/>
          </w:tcPr>
          <w:p w:rsidR="005165DB" w:rsidRPr="00742EF9" w:rsidRDefault="00550E77">
            <w:pPr>
              <w:rPr>
                <w:color w:val="000000" w:themeColor="text1"/>
              </w:rPr>
            </w:pPr>
            <w:r w:rsidRPr="00742EF9">
              <w:rPr>
                <w:color w:val="000000" w:themeColor="text1"/>
                <w:sz w:val="22"/>
                <w:szCs w:val="22"/>
              </w:rPr>
              <w:t>67.4%</w:t>
            </w:r>
          </w:p>
        </w:tc>
        <w:tc>
          <w:tcPr>
            <w:tcW w:w="1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rsidR="005165DB" w:rsidRPr="00742EF9" w:rsidRDefault="00550E77">
            <w:pPr>
              <w:rPr>
                <w:color w:val="000000" w:themeColor="text1"/>
              </w:rPr>
            </w:pPr>
            <w:r w:rsidRPr="00742EF9">
              <w:rPr>
                <w:color w:val="000000" w:themeColor="text1"/>
                <w:sz w:val="22"/>
                <w:szCs w:val="22"/>
              </w:rPr>
              <w:t>42.1%</w:t>
            </w:r>
          </w:p>
        </w:tc>
        <w:tc>
          <w:tcPr>
            <w:tcW w:w="1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rsidR="005165DB" w:rsidRPr="00742EF9" w:rsidRDefault="00550E77">
            <w:pPr>
              <w:rPr>
                <w:color w:val="000000" w:themeColor="text1"/>
              </w:rPr>
            </w:pPr>
            <w:r w:rsidRPr="00742EF9">
              <w:rPr>
                <w:color w:val="000000" w:themeColor="text1"/>
                <w:sz w:val="22"/>
                <w:szCs w:val="22"/>
              </w:rPr>
              <w:t>45.2%</w:t>
            </w:r>
          </w:p>
        </w:tc>
        <w:tc>
          <w:tcPr>
            <w:tcW w:w="1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rsidR="005165DB" w:rsidRPr="00742EF9" w:rsidRDefault="00550E77">
            <w:pPr>
              <w:rPr>
                <w:color w:val="000000" w:themeColor="text1"/>
              </w:rPr>
            </w:pPr>
            <w:r w:rsidRPr="00742EF9">
              <w:rPr>
                <w:color w:val="000000" w:themeColor="text1"/>
                <w:sz w:val="22"/>
                <w:szCs w:val="22"/>
              </w:rPr>
              <w:t>38.6%</w:t>
            </w:r>
          </w:p>
        </w:tc>
      </w:tr>
    </w:tbl>
    <w:p w:rsidR="005165DB" w:rsidRPr="00742EF9" w:rsidRDefault="005165DB">
      <w:pPr>
        <w:spacing w:before="120" w:after="120"/>
        <w:rPr>
          <w:color w:val="000000" w:themeColor="text1"/>
        </w:rPr>
      </w:pPr>
    </w:p>
    <w:p w:rsidR="005165DB" w:rsidRPr="00742EF9" w:rsidRDefault="00550E77">
      <w:pPr>
        <w:spacing w:before="80" w:after="120" w:line="360" w:lineRule="auto"/>
        <w:jc w:val="both"/>
        <w:rPr>
          <w:color w:val="000000" w:themeColor="text1"/>
        </w:rPr>
      </w:pPr>
      <w:r w:rsidRPr="00742EF9">
        <w:rPr>
          <w:i/>
          <w:iCs/>
          <w:color w:val="000000" w:themeColor="text1"/>
        </w:rPr>
        <w:t>Table 1: Quantitative performance comparison of CLINIGUARD against baseline hallucination detection methods.</w:t>
      </w:r>
    </w:p>
    <w:p w:rsidR="005165DB" w:rsidRPr="00742EF9" w:rsidRDefault="005165DB">
      <w:pPr>
        <w:spacing w:before="120" w:after="120"/>
        <w:rPr>
          <w:color w:val="000000" w:themeColor="text1"/>
        </w:rPr>
      </w:pPr>
    </w:p>
    <w:p w:rsidR="005165DB" w:rsidRPr="00742EF9" w:rsidRDefault="00550E77">
      <w:pPr>
        <w:spacing w:before="80" w:after="120" w:line="360" w:lineRule="auto"/>
        <w:jc w:val="both"/>
        <w:rPr>
          <w:color w:val="000000" w:themeColor="text1"/>
        </w:rPr>
      </w:pPr>
      <w:r w:rsidRPr="00742EF9">
        <w:rPr>
          <w:color w:val="000000" w:themeColor="text1"/>
        </w:rPr>
        <w:t>CLINIGUARD achieves a statistically significant improvement over all baselines across all three datasets and all metrics (p &lt; 0.001, pair</w:t>
      </w:r>
      <w:r w:rsidRPr="00742EF9">
        <w:rPr>
          <w:color w:val="000000" w:themeColor="text1"/>
        </w:rPr>
        <w:t>ed t-test). The most critical finding is the Precision@95% Recall of 0.91, which in a clinical safety context means that for every 100 missed hallucinations allowed to pass (at the 5% false negative rate), 91% of those that were flagged are true positives.</w:t>
      </w:r>
      <w:r w:rsidRPr="00742EF9">
        <w:rPr>
          <w:color w:val="000000" w:themeColor="text1"/>
        </w:rPr>
        <w:t xml:space="preserve"> This precision-recall tradeoff is the relevant operating point for clinical safety: missing a hallucination is far more dangerous than generating a false alarm.</w:t>
      </w:r>
    </w:p>
    <w:p w:rsidR="005165DB" w:rsidRPr="00742EF9" w:rsidRDefault="00550E77">
      <w:pPr>
        <w:pStyle w:val="Heading2"/>
        <w:rPr>
          <w:color w:val="000000" w:themeColor="text1"/>
        </w:rPr>
      </w:pPr>
      <w:r w:rsidRPr="00742EF9">
        <w:rPr>
          <w:color w:val="000000" w:themeColor="text1"/>
        </w:rPr>
        <w:t>5.2 Ablation Study</w:t>
      </w:r>
    </w:p>
    <w:p w:rsidR="005165DB" w:rsidRPr="00742EF9" w:rsidRDefault="00550E77">
      <w:pPr>
        <w:spacing w:before="80" w:after="120" w:line="360" w:lineRule="auto"/>
        <w:jc w:val="both"/>
        <w:rPr>
          <w:color w:val="000000" w:themeColor="text1"/>
        </w:rPr>
      </w:pPr>
      <w:r w:rsidRPr="00742EF9">
        <w:rPr>
          <w:color w:val="000000" w:themeColor="text1"/>
        </w:rPr>
        <w:t xml:space="preserve">Table 2 presents the ablation study results, isolating the contribution of </w:t>
      </w:r>
      <w:r w:rsidRPr="00742EF9">
        <w:rPr>
          <w:color w:val="000000" w:themeColor="text1"/>
        </w:rPr>
        <w:t xml:space="preserve">each CLINIGUARD module on the </w:t>
      </w:r>
      <w:proofErr w:type="spellStart"/>
      <w:r w:rsidRPr="00742EF9">
        <w:rPr>
          <w:color w:val="000000" w:themeColor="text1"/>
        </w:rPr>
        <w:t>MedHallu</w:t>
      </w:r>
      <w:proofErr w:type="spellEnd"/>
      <w:r w:rsidRPr="00742EF9">
        <w:rPr>
          <w:color w:val="000000" w:themeColor="text1"/>
        </w:rPr>
        <w:t xml:space="preserve"> test set.</w:t>
      </w:r>
    </w:p>
    <w:p w:rsidR="005165DB" w:rsidRPr="00742EF9" w:rsidRDefault="005165DB">
      <w:pPr>
        <w:spacing w:before="120" w:after="120"/>
        <w:rPr>
          <w:color w:val="000000" w:themeColor="text1"/>
        </w:rPr>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800"/>
        <w:gridCol w:w="1800"/>
      </w:tblGrid>
      <w:tr w:rsidR="00742EF9" w:rsidRPr="00742EF9">
        <w:tblPrEx>
          <w:tblCellMar>
            <w:top w:w="0" w:type="dxa"/>
            <w:bottom w:w="0" w:type="dxa"/>
          </w:tblCellMar>
        </w:tblPrEx>
        <w:trPr>
          <w:tblHeader/>
        </w:trPr>
        <w:tc>
          <w:tcPr>
            <w:tcW w:w="3600" w:type="dxa"/>
            <w:tcBorders>
              <w:top w:val="single" w:sz="1" w:space="0" w:color="AAAAAA"/>
              <w:left w:val="single" w:sz="1" w:space="0" w:color="AAAAAA"/>
              <w:bottom w:val="single" w:sz="1" w:space="0" w:color="AAAAAA"/>
              <w:right w:val="single" w:sz="1" w:space="0" w:color="AAAAAA"/>
            </w:tcBorders>
            <w:shd w:val="clear" w:color="auto" w:fill="1A3C6E"/>
            <w:tcMar>
              <w:top w:w="80" w:type="dxa"/>
              <w:left w:w="140" w:type="dxa"/>
              <w:bottom w:w="80" w:type="dxa"/>
              <w:right w:w="140" w:type="dxa"/>
            </w:tcMar>
            <w:vAlign w:val="center"/>
          </w:tcPr>
          <w:p w:rsidR="005165DB" w:rsidRPr="00742EF9" w:rsidRDefault="00550E77">
            <w:pPr>
              <w:rPr>
                <w:color w:val="000000" w:themeColor="text1"/>
              </w:rPr>
            </w:pPr>
            <w:r w:rsidRPr="00742EF9">
              <w:rPr>
                <w:b/>
                <w:bCs/>
                <w:color w:val="000000" w:themeColor="text1"/>
                <w:sz w:val="22"/>
                <w:szCs w:val="22"/>
              </w:rPr>
              <w:lastRenderedPageBreak/>
              <w:t>Configuration</w:t>
            </w:r>
          </w:p>
        </w:tc>
        <w:tc>
          <w:tcPr>
            <w:tcW w:w="1800" w:type="dxa"/>
            <w:tcBorders>
              <w:top w:val="single" w:sz="1" w:space="0" w:color="AAAAAA"/>
              <w:left w:val="single" w:sz="1" w:space="0" w:color="AAAAAA"/>
              <w:bottom w:val="single" w:sz="1" w:space="0" w:color="AAAAAA"/>
              <w:right w:val="single" w:sz="1" w:space="0" w:color="AAAAAA"/>
            </w:tcBorders>
            <w:shd w:val="clear" w:color="auto" w:fill="1A3C6E"/>
            <w:tcMar>
              <w:top w:w="80" w:type="dxa"/>
              <w:left w:w="140" w:type="dxa"/>
              <w:bottom w:w="80" w:type="dxa"/>
              <w:right w:w="140" w:type="dxa"/>
            </w:tcMar>
            <w:vAlign w:val="center"/>
          </w:tcPr>
          <w:p w:rsidR="005165DB" w:rsidRPr="00742EF9" w:rsidRDefault="00550E77">
            <w:pPr>
              <w:rPr>
                <w:color w:val="000000" w:themeColor="text1"/>
              </w:rPr>
            </w:pPr>
            <w:r w:rsidRPr="00742EF9">
              <w:rPr>
                <w:b/>
                <w:bCs/>
                <w:color w:val="000000" w:themeColor="text1"/>
                <w:sz w:val="22"/>
                <w:szCs w:val="22"/>
              </w:rPr>
              <w:t>AUROC</w:t>
            </w:r>
          </w:p>
        </w:tc>
        <w:tc>
          <w:tcPr>
            <w:tcW w:w="1800" w:type="dxa"/>
            <w:tcBorders>
              <w:top w:val="single" w:sz="1" w:space="0" w:color="AAAAAA"/>
              <w:left w:val="single" w:sz="1" w:space="0" w:color="AAAAAA"/>
              <w:bottom w:val="single" w:sz="1" w:space="0" w:color="AAAAAA"/>
              <w:right w:val="single" w:sz="1" w:space="0" w:color="AAAAAA"/>
            </w:tcBorders>
            <w:shd w:val="clear" w:color="auto" w:fill="1A3C6E"/>
            <w:tcMar>
              <w:top w:w="80" w:type="dxa"/>
              <w:left w:w="140" w:type="dxa"/>
              <w:bottom w:w="80" w:type="dxa"/>
              <w:right w:w="140" w:type="dxa"/>
            </w:tcMar>
            <w:vAlign w:val="center"/>
          </w:tcPr>
          <w:p w:rsidR="005165DB" w:rsidRPr="00742EF9" w:rsidRDefault="00550E77">
            <w:pPr>
              <w:rPr>
                <w:color w:val="000000" w:themeColor="text1"/>
              </w:rPr>
            </w:pPr>
            <w:r w:rsidRPr="00742EF9">
              <w:rPr>
                <w:b/>
                <w:bCs/>
                <w:color w:val="000000" w:themeColor="text1"/>
                <w:sz w:val="22"/>
                <w:szCs w:val="22"/>
              </w:rPr>
              <w:t>Latency (</w:t>
            </w:r>
            <w:proofErr w:type="spellStart"/>
            <w:r w:rsidRPr="00742EF9">
              <w:rPr>
                <w:b/>
                <w:bCs/>
                <w:color w:val="000000" w:themeColor="text1"/>
                <w:sz w:val="22"/>
                <w:szCs w:val="22"/>
              </w:rPr>
              <w:t>ms</w:t>
            </w:r>
            <w:proofErr w:type="spellEnd"/>
            <w:r w:rsidRPr="00742EF9">
              <w:rPr>
                <w:b/>
                <w:bCs/>
                <w:color w:val="000000" w:themeColor="text1"/>
                <w:sz w:val="22"/>
                <w:szCs w:val="22"/>
              </w:rPr>
              <w:t>/token)</w:t>
            </w:r>
          </w:p>
        </w:tc>
      </w:tr>
      <w:tr w:rsidR="00742EF9" w:rsidRPr="00742EF9">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rsidR="005165DB" w:rsidRPr="00742EF9" w:rsidRDefault="00550E77">
            <w:pPr>
              <w:rPr>
                <w:color w:val="000000" w:themeColor="text1"/>
              </w:rPr>
            </w:pPr>
            <w:r w:rsidRPr="00742EF9">
              <w:rPr>
                <w:color w:val="000000" w:themeColor="text1"/>
                <w:sz w:val="22"/>
                <w:szCs w:val="22"/>
              </w:rPr>
              <w:t>Med-ISP only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rsidR="005165DB" w:rsidRPr="00742EF9" w:rsidRDefault="00550E77">
            <w:pPr>
              <w:rPr>
                <w:color w:val="000000" w:themeColor="text1"/>
              </w:rPr>
            </w:pPr>
            <w:r w:rsidRPr="00742EF9">
              <w:rPr>
                <w:color w:val="000000" w:themeColor="text1"/>
                <w:sz w:val="22"/>
                <w:szCs w:val="22"/>
              </w:rPr>
              <w:t>0.731</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rsidR="005165DB" w:rsidRPr="00742EF9" w:rsidRDefault="00550E77">
            <w:pPr>
              <w:rPr>
                <w:color w:val="000000" w:themeColor="text1"/>
              </w:rPr>
            </w:pPr>
            <w:r w:rsidRPr="00742EF9">
              <w:rPr>
                <w:color w:val="000000" w:themeColor="text1"/>
                <w:sz w:val="22"/>
                <w:szCs w:val="22"/>
              </w:rPr>
              <w:t>13.0</w:t>
            </w:r>
          </w:p>
        </w:tc>
      </w:tr>
      <w:tr w:rsidR="00742EF9" w:rsidRPr="00742EF9">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rsidR="005165DB" w:rsidRPr="00742EF9" w:rsidRDefault="00550E77">
            <w:pPr>
              <w:rPr>
                <w:color w:val="000000" w:themeColor="text1"/>
              </w:rPr>
            </w:pPr>
            <w:r w:rsidRPr="00742EF9">
              <w:rPr>
                <w:color w:val="000000" w:themeColor="text1"/>
                <w:sz w:val="22"/>
                <w:szCs w:val="22"/>
              </w:rPr>
              <w:t>C-AAS only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rsidR="005165DB" w:rsidRPr="00742EF9" w:rsidRDefault="00550E77">
            <w:pPr>
              <w:rPr>
                <w:color w:val="000000" w:themeColor="text1"/>
              </w:rPr>
            </w:pPr>
            <w:r w:rsidRPr="00742EF9">
              <w:rPr>
                <w:color w:val="000000" w:themeColor="text1"/>
                <w:sz w:val="22"/>
                <w:szCs w:val="22"/>
              </w:rPr>
              <w:t>0.714</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rsidR="005165DB" w:rsidRPr="00742EF9" w:rsidRDefault="00550E77">
            <w:pPr>
              <w:rPr>
                <w:color w:val="000000" w:themeColor="text1"/>
              </w:rPr>
            </w:pPr>
            <w:r w:rsidRPr="00742EF9">
              <w:rPr>
                <w:color w:val="000000" w:themeColor="text1"/>
                <w:sz w:val="22"/>
                <w:szCs w:val="22"/>
              </w:rPr>
              <w:t>13.0</w:t>
            </w:r>
          </w:p>
        </w:tc>
      </w:tr>
      <w:tr w:rsidR="00742EF9" w:rsidRPr="00742EF9">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rsidR="005165DB" w:rsidRPr="00742EF9" w:rsidRDefault="00550E77">
            <w:pPr>
              <w:rPr>
                <w:color w:val="000000" w:themeColor="text1"/>
              </w:rPr>
            </w:pPr>
            <w:r w:rsidRPr="00742EF9">
              <w:rPr>
                <w:color w:val="000000" w:themeColor="text1"/>
                <w:sz w:val="22"/>
                <w:szCs w:val="22"/>
              </w:rPr>
              <w:t>Med-EEM only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rsidR="005165DB" w:rsidRPr="00742EF9" w:rsidRDefault="00550E77">
            <w:pPr>
              <w:rPr>
                <w:color w:val="000000" w:themeColor="text1"/>
              </w:rPr>
            </w:pPr>
            <w:r w:rsidRPr="00742EF9">
              <w:rPr>
                <w:color w:val="000000" w:themeColor="text1"/>
                <w:sz w:val="22"/>
                <w:szCs w:val="22"/>
              </w:rPr>
              <w:t>0.748</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rsidR="005165DB" w:rsidRPr="00742EF9" w:rsidRDefault="00550E77">
            <w:pPr>
              <w:rPr>
                <w:color w:val="000000" w:themeColor="text1"/>
              </w:rPr>
            </w:pPr>
            <w:r w:rsidRPr="00742EF9">
              <w:rPr>
                <w:color w:val="000000" w:themeColor="text1"/>
                <w:sz w:val="22"/>
                <w:szCs w:val="22"/>
              </w:rPr>
              <w:t>13.0</w:t>
            </w:r>
          </w:p>
        </w:tc>
      </w:tr>
      <w:tr w:rsidR="00742EF9" w:rsidRPr="00742EF9">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rsidR="005165DB" w:rsidRPr="00742EF9" w:rsidRDefault="00550E77">
            <w:pPr>
              <w:rPr>
                <w:color w:val="000000" w:themeColor="text1"/>
              </w:rPr>
            </w:pPr>
            <w:r w:rsidRPr="00742EF9">
              <w:rPr>
                <w:color w:val="000000" w:themeColor="text1"/>
                <w:sz w:val="22"/>
                <w:szCs w:val="22"/>
              </w:rPr>
              <w:t>CDT only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rsidR="005165DB" w:rsidRPr="00742EF9" w:rsidRDefault="00550E77">
            <w:pPr>
              <w:rPr>
                <w:color w:val="000000" w:themeColor="text1"/>
              </w:rPr>
            </w:pPr>
            <w:r w:rsidRPr="00742EF9">
              <w:rPr>
                <w:color w:val="000000" w:themeColor="text1"/>
                <w:sz w:val="22"/>
                <w:szCs w:val="22"/>
              </w:rPr>
              <w:t>0.703</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rsidR="005165DB" w:rsidRPr="00742EF9" w:rsidRDefault="00550E77">
            <w:pPr>
              <w:rPr>
                <w:color w:val="000000" w:themeColor="text1"/>
              </w:rPr>
            </w:pPr>
            <w:r w:rsidRPr="00742EF9">
              <w:rPr>
                <w:color w:val="000000" w:themeColor="text1"/>
                <w:sz w:val="22"/>
                <w:szCs w:val="22"/>
              </w:rPr>
              <w:t>13.0</w:t>
            </w:r>
          </w:p>
        </w:tc>
      </w:tr>
      <w:tr w:rsidR="00742EF9" w:rsidRPr="00742EF9">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rsidR="005165DB" w:rsidRPr="00742EF9" w:rsidRDefault="00550E77">
            <w:pPr>
              <w:rPr>
                <w:color w:val="000000" w:themeColor="text1"/>
              </w:rPr>
            </w:pPr>
            <w:r w:rsidRPr="00742EF9">
              <w:rPr>
                <w:color w:val="000000" w:themeColor="text1"/>
                <w:sz w:val="22"/>
                <w:szCs w:val="22"/>
              </w:rPr>
              <w:t>All signals, uniform weighting</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rsidR="005165DB" w:rsidRPr="00742EF9" w:rsidRDefault="00550E77">
            <w:pPr>
              <w:rPr>
                <w:color w:val="000000" w:themeColor="text1"/>
              </w:rPr>
            </w:pPr>
            <w:r w:rsidRPr="00742EF9">
              <w:rPr>
                <w:color w:val="000000" w:themeColor="text1"/>
                <w:sz w:val="22"/>
                <w:szCs w:val="22"/>
              </w:rPr>
              <w:t>0.851</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rsidR="005165DB" w:rsidRPr="00742EF9" w:rsidRDefault="00550E77">
            <w:pPr>
              <w:rPr>
                <w:color w:val="000000" w:themeColor="text1"/>
              </w:rPr>
            </w:pPr>
            <w:r w:rsidRPr="00742EF9">
              <w:rPr>
                <w:color w:val="000000" w:themeColor="text1"/>
                <w:sz w:val="22"/>
                <w:szCs w:val="22"/>
              </w:rPr>
              <w:t>13.1</w:t>
            </w:r>
          </w:p>
        </w:tc>
      </w:tr>
      <w:tr w:rsidR="00742EF9" w:rsidRPr="00742EF9">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rsidR="005165DB" w:rsidRPr="00742EF9" w:rsidRDefault="00550E77">
            <w:pPr>
              <w:rPr>
                <w:color w:val="000000" w:themeColor="text1"/>
              </w:rPr>
            </w:pPr>
            <w:r w:rsidRPr="00742EF9">
              <w:rPr>
                <w:color w:val="000000" w:themeColor="text1"/>
                <w:sz w:val="22"/>
                <w:szCs w:val="22"/>
              </w:rPr>
              <w:t>CLINIGUARD (task-conditional fusion)</w:t>
            </w:r>
          </w:p>
        </w:tc>
        <w:tc>
          <w:tcPr>
            <w:tcW w:w="1800" w:type="dxa"/>
            <w:tcBorders>
              <w:top w:val="single" w:sz="1" w:space="0" w:color="AAAAAA"/>
              <w:left w:val="single" w:sz="1" w:space="0" w:color="AAAAAA"/>
              <w:bottom w:val="single" w:sz="1" w:space="0" w:color="AAAAAA"/>
              <w:right w:val="single" w:sz="1" w:space="0" w:color="AAAAAA"/>
            </w:tcBorders>
            <w:shd w:val="clear" w:color="auto" w:fill="E8F4EF"/>
            <w:tcMar>
              <w:top w:w="80" w:type="dxa"/>
              <w:left w:w="140" w:type="dxa"/>
              <w:bottom w:w="80" w:type="dxa"/>
              <w:right w:w="140" w:type="dxa"/>
            </w:tcMar>
            <w:vAlign w:val="center"/>
          </w:tcPr>
          <w:p w:rsidR="005165DB" w:rsidRPr="00742EF9" w:rsidRDefault="00550E77">
            <w:pPr>
              <w:rPr>
                <w:color w:val="000000" w:themeColor="text1"/>
              </w:rPr>
            </w:pPr>
            <w:r w:rsidRPr="00742EF9">
              <w:rPr>
                <w:color w:val="000000" w:themeColor="text1"/>
                <w:sz w:val="22"/>
                <w:szCs w:val="22"/>
              </w:rPr>
              <w:t>0.884</w:t>
            </w:r>
          </w:p>
        </w:tc>
        <w:tc>
          <w:tcPr>
            <w:tcW w:w="1800" w:type="dxa"/>
            <w:tcBorders>
              <w:top w:val="single" w:sz="1" w:space="0" w:color="AAAAAA"/>
              <w:left w:val="single" w:sz="1" w:space="0" w:color="AAAAAA"/>
              <w:bottom w:val="single" w:sz="1" w:space="0" w:color="AAAAAA"/>
              <w:right w:val="single" w:sz="1" w:space="0" w:color="AAAAAA"/>
            </w:tcBorders>
            <w:shd w:val="clear" w:color="auto" w:fill="E8F4EF"/>
            <w:tcMar>
              <w:top w:w="80" w:type="dxa"/>
              <w:left w:w="140" w:type="dxa"/>
              <w:bottom w:w="80" w:type="dxa"/>
              <w:right w:w="140" w:type="dxa"/>
            </w:tcMar>
            <w:vAlign w:val="center"/>
          </w:tcPr>
          <w:p w:rsidR="005165DB" w:rsidRPr="00742EF9" w:rsidRDefault="00550E77">
            <w:pPr>
              <w:rPr>
                <w:color w:val="000000" w:themeColor="text1"/>
              </w:rPr>
            </w:pPr>
            <w:r w:rsidRPr="00742EF9">
              <w:rPr>
                <w:color w:val="000000" w:themeColor="text1"/>
                <w:sz w:val="22"/>
                <w:szCs w:val="22"/>
              </w:rPr>
              <w:t>13.1</w:t>
            </w:r>
            <w:bookmarkStart w:id="0" w:name="_GoBack"/>
            <w:bookmarkEnd w:id="0"/>
          </w:p>
        </w:tc>
      </w:tr>
    </w:tbl>
    <w:p w:rsidR="005165DB" w:rsidRPr="00742EF9" w:rsidRDefault="005165DB">
      <w:pPr>
        <w:spacing w:before="120" w:after="120"/>
        <w:rPr>
          <w:color w:val="000000" w:themeColor="text1"/>
        </w:rPr>
      </w:pPr>
    </w:p>
    <w:p w:rsidR="005165DB" w:rsidRPr="00742EF9" w:rsidRDefault="00550E77">
      <w:pPr>
        <w:spacing w:before="80" w:after="120" w:line="360" w:lineRule="auto"/>
        <w:jc w:val="both"/>
        <w:rPr>
          <w:color w:val="000000" w:themeColor="text1"/>
        </w:rPr>
      </w:pPr>
      <w:r w:rsidRPr="00742EF9">
        <w:rPr>
          <w:i/>
          <w:iCs/>
          <w:color w:val="000000" w:themeColor="text1"/>
        </w:rPr>
        <w:t xml:space="preserve">Table 2: Ablation study isolating individual module contributions on </w:t>
      </w:r>
      <w:proofErr w:type="spellStart"/>
      <w:r w:rsidRPr="00742EF9">
        <w:rPr>
          <w:i/>
          <w:iCs/>
          <w:color w:val="000000" w:themeColor="text1"/>
        </w:rPr>
        <w:t>MedHallu</w:t>
      </w:r>
      <w:proofErr w:type="spellEnd"/>
      <w:r w:rsidRPr="00742EF9">
        <w:rPr>
          <w:i/>
          <w:iCs/>
          <w:color w:val="000000" w:themeColor="text1"/>
        </w:rPr>
        <w:t xml:space="preserve"> test set.</w:t>
      </w:r>
    </w:p>
    <w:p w:rsidR="005165DB" w:rsidRPr="00742EF9" w:rsidRDefault="005165DB">
      <w:pPr>
        <w:spacing w:before="120" w:after="120"/>
        <w:rPr>
          <w:color w:val="000000" w:themeColor="text1"/>
        </w:rPr>
      </w:pPr>
    </w:p>
    <w:p w:rsidR="005165DB" w:rsidRPr="00742EF9" w:rsidRDefault="00550E77">
      <w:pPr>
        <w:spacing w:before="80" w:after="120" w:line="360" w:lineRule="auto"/>
        <w:jc w:val="both"/>
        <w:rPr>
          <w:color w:val="000000" w:themeColor="text1"/>
        </w:rPr>
      </w:pPr>
      <w:r w:rsidRPr="00742EF9">
        <w:rPr>
          <w:color w:val="000000" w:themeColor="text1"/>
        </w:rPr>
        <w:t>The ablation results confirm three key findings. First, no single signal achieves AUROC above 0.75, validating the necessity of multi-signal fusion. Second, simple uniform-weighted fusion (0.851 AUROC) is significantly outperformed by task-conditional lear</w:t>
      </w:r>
      <w:r w:rsidRPr="00742EF9">
        <w:rPr>
          <w:color w:val="000000" w:themeColor="text1"/>
        </w:rPr>
        <w:t xml:space="preserve">ned weighting (0.884 AUROC), demonstrating that adaptive signal prioritization is essential for clinical task diversity. Third, the additional 0.1 </w:t>
      </w:r>
      <w:proofErr w:type="spellStart"/>
      <w:r w:rsidRPr="00742EF9">
        <w:rPr>
          <w:color w:val="000000" w:themeColor="text1"/>
        </w:rPr>
        <w:t>ms</w:t>
      </w:r>
      <w:proofErr w:type="spellEnd"/>
      <w:r w:rsidRPr="00742EF9">
        <w:rPr>
          <w:color w:val="000000" w:themeColor="text1"/>
        </w:rPr>
        <w:t xml:space="preserve"> latency introduced by the fusion computation is negligible relative to baseline LLM inference latency.</w:t>
      </w:r>
    </w:p>
    <w:p w:rsidR="005165DB" w:rsidRPr="00742EF9" w:rsidRDefault="00550E77">
      <w:pPr>
        <w:pStyle w:val="Heading2"/>
        <w:rPr>
          <w:color w:val="000000" w:themeColor="text1"/>
        </w:rPr>
      </w:pPr>
      <w:r w:rsidRPr="00742EF9">
        <w:rPr>
          <w:color w:val="000000" w:themeColor="text1"/>
        </w:rPr>
        <w:t>5.3</w:t>
      </w:r>
      <w:r w:rsidRPr="00742EF9">
        <w:rPr>
          <w:color w:val="000000" w:themeColor="text1"/>
        </w:rPr>
        <w:t xml:space="preserve"> Clinician User Study</w:t>
      </w:r>
    </w:p>
    <w:p w:rsidR="005165DB" w:rsidRPr="00742EF9" w:rsidRDefault="00550E77">
      <w:pPr>
        <w:spacing w:before="80" w:after="120" w:line="360" w:lineRule="auto"/>
        <w:jc w:val="both"/>
        <w:rPr>
          <w:color w:val="000000" w:themeColor="text1"/>
        </w:rPr>
      </w:pPr>
      <w:r w:rsidRPr="00742EF9">
        <w:rPr>
          <w:color w:val="000000" w:themeColor="text1"/>
        </w:rPr>
        <w:t>A structured user study was conducted with 15 board-certified physicians across internal medicine, pediatrics, and emergency medicine. Each physician reviewed 50 clinical cases, with 25 cases presented with CLINIGUARD color-coded outp</w:t>
      </w:r>
      <w:r w:rsidRPr="00742EF9">
        <w:rPr>
          <w:color w:val="000000" w:themeColor="text1"/>
        </w:rPr>
        <w:t>uts and 25 cases presented as raw model text. The study was conducted in a counterbalanced design with randomized case assignment.</w:t>
      </w:r>
    </w:p>
    <w:p w:rsidR="005165DB" w:rsidRPr="00742EF9" w:rsidRDefault="005165DB">
      <w:pPr>
        <w:spacing w:before="120" w:after="120"/>
        <w:rPr>
          <w:color w:val="000000" w:themeColor="text1"/>
        </w:rPr>
      </w:pPr>
    </w:p>
    <w:p w:rsidR="005165DB" w:rsidRPr="00742EF9" w:rsidRDefault="00550E77">
      <w:pPr>
        <w:spacing w:before="80" w:after="120" w:line="360" w:lineRule="auto"/>
        <w:jc w:val="both"/>
        <w:rPr>
          <w:color w:val="000000" w:themeColor="text1"/>
        </w:rPr>
      </w:pPr>
      <w:r w:rsidRPr="00742EF9">
        <w:rPr>
          <w:color w:val="000000" w:themeColor="text1"/>
        </w:rPr>
        <w:t xml:space="preserve">Results showed that error detection time improved by 45% with CLINIGUARD (2.1 minutes vs. 3.8 minutes per case, p &lt; 0.001). </w:t>
      </w:r>
      <w:r w:rsidRPr="00742EF9">
        <w:rPr>
          <w:color w:val="000000" w:themeColor="text1"/>
        </w:rPr>
        <w:t>Self-reported decision confidence increased by 38% (7.2/10 vs. 5.2/10 on a Likert scale). Most critically, with CLINIGUARD, zero critical RED-flagged errors were missed across all 750 CLINIGUARD condition trials, compared to 3 missed critical errors in the</w:t>
      </w:r>
      <w:r w:rsidRPr="00742EF9">
        <w:rPr>
          <w:color w:val="000000" w:themeColor="text1"/>
        </w:rPr>
        <w:t xml:space="preserve"> 750 control condition trials — a safety-critical difference. Qualitative feedback indicated strong clinician acceptance, with participants noting that the </w:t>
      </w:r>
      <w:r w:rsidRPr="00742EF9">
        <w:rPr>
          <w:color w:val="000000" w:themeColor="text1"/>
        </w:rPr>
        <w:lastRenderedPageBreak/>
        <w:t>color-coded interface allowed rapid triage of model outputs without requiring comprehensive review o</w:t>
      </w:r>
      <w:r w:rsidRPr="00742EF9">
        <w:rPr>
          <w:color w:val="000000" w:themeColor="text1"/>
        </w:rPr>
        <w:t>f every generated claim.</w:t>
      </w:r>
    </w:p>
    <w:p w:rsidR="005165DB" w:rsidRPr="00742EF9" w:rsidRDefault="00550E77">
      <w:pPr>
        <w:rPr>
          <w:color w:val="000000" w:themeColor="text1"/>
        </w:rPr>
      </w:pPr>
      <w:r w:rsidRPr="00742EF9">
        <w:rPr>
          <w:color w:val="000000" w:themeColor="text1"/>
        </w:rPr>
        <w:br w:type="page"/>
      </w:r>
    </w:p>
    <w:p w:rsidR="005165DB" w:rsidRPr="00742EF9" w:rsidRDefault="00550E77">
      <w:pPr>
        <w:pStyle w:val="Heading1"/>
        <w:rPr>
          <w:color w:val="000000" w:themeColor="text1"/>
        </w:rPr>
      </w:pPr>
      <w:r w:rsidRPr="00742EF9">
        <w:rPr>
          <w:color w:val="000000" w:themeColor="text1"/>
        </w:rPr>
        <w:lastRenderedPageBreak/>
        <w:t>6. Discussion</w:t>
      </w:r>
    </w:p>
    <w:p w:rsidR="005165DB" w:rsidRPr="00742EF9" w:rsidRDefault="005165DB">
      <w:pPr>
        <w:pBdr>
          <w:bottom w:val="single" w:sz="4" w:space="1" w:color="2E5FA3"/>
        </w:pBdr>
        <w:spacing w:before="200" w:after="200"/>
        <w:rPr>
          <w:color w:val="000000" w:themeColor="text1"/>
        </w:rPr>
      </w:pPr>
    </w:p>
    <w:p w:rsidR="005165DB" w:rsidRPr="00742EF9" w:rsidRDefault="00550E77">
      <w:pPr>
        <w:pStyle w:val="Heading2"/>
        <w:rPr>
          <w:color w:val="000000" w:themeColor="text1"/>
        </w:rPr>
      </w:pPr>
      <w:r w:rsidRPr="00742EF9">
        <w:rPr>
          <w:color w:val="000000" w:themeColor="text1"/>
        </w:rPr>
        <w:t>6.1 Clinical Significance</w:t>
      </w:r>
    </w:p>
    <w:p w:rsidR="005165DB" w:rsidRPr="00742EF9" w:rsidRDefault="00550E77">
      <w:pPr>
        <w:spacing w:before="80" w:after="120" w:line="360" w:lineRule="auto"/>
        <w:jc w:val="both"/>
        <w:rPr>
          <w:color w:val="000000" w:themeColor="text1"/>
        </w:rPr>
      </w:pPr>
      <w:r w:rsidRPr="00742EF9">
        <w:rPr>
          <w:color w:val="000000" w:themeColor="text1"/>
        </w:rPr>
        <w:t>The results of this study demonstrate that CLINIGUARD addresses the three critical gaps identified in the literature review. The 88.4% AUROC represents a clinically meaningful improvement over single-signal baselines, and the 11.2x latency reduction compar</w:t>
      </w:r>
      <w:r w:rsidRPr="00742EF9">
        <w:rPr>
          <w:color w:val="000000" w:themeColor="text1"/>
        </w:rPr>
        <w:t>ed to multi-sampling methods makes real-time deployment feasible in clinical information systems. The zero missed critical errors in the user study is perhaps the most clinically significant finding: in a safety-critical domain where a single missed halluc</w:t>
      </w:r>
      <w:r w:rsidRPr="00742EF9">
        <w:rPr>
          <w:color w:val="000000" w:themeColor="text1"/>
        </w:rPr>
        <w:t>ination can result in patient harm, the combinatorial benefit of multi-signal detection and color-coded verification is substantial.</w:t>
      </w:r>
    </w:p>
    <w:p w:rsidR="005165DB" w:rsidRPr="00742EF9" w:rsidRDefault="00550E77">
      <w:pPr>
        <w:pStyle w:val="Heading2"/>
        <w:rPr>
          <w:color w:val="000000" w:themeColor="text1"/>
        </w:rPr>
      </w:pPr>
      <w:r w:rsidRPr="00742EF9">
        <w:rPr>
          <w:color w:val="000000" w:themeColor="text1"/>
        </w:rPr>
        <w:t>6.2 Limitations</w:t>
      </w:r>
    </w:p>
    <w:p w:rsidR="005165DB" w:rsidRPr="00742EF9" w:rsidRDefault="00550E77">
      <w:pPr>
        <w:spacing w:before="80" w:after="120" w:line="360" w:lineRule="auto"/>
        <w:jc w:val="both"/>
        <w:rPr>
          <w:color w:val="000000" w:themeColor="text1"/>
        </w:rPr>
      </w:pPr>
      <w:r w:rsidRPr="00742EF9">
        <w:rPr>
          <w:color w:val="000000" w:themeColor="text1"/>
        </w:rPr>
        <w:t xml:space="preserve">Several limitations warrant acknowledgment. The user study, while well-designed, involved 15 physicians at </w:t>
      </w:r>
      <w:r w:rsidRPr="00742EF9">
        <w:rPr>
          <w:color w:val="000000" w:themeColor="text1"/>
        </w:rPr>
        <w:t>a single institution, and results may not generalize to all clinical practice contexts. The hallucination benchmarks, while well-established, involve SOAP notes and clinical QA formats; performance on other clinical document types (discharge summaries, rad</w:t>
      </w:r>
      <w:r w:rsidRPr="00742EF9">
        <w:rPr>
          <w:color w:val="000000" w:themeColor="text1"/>
        </w:rPr>
        <w:t xml:space="preserve">iology reports, operative notes) requires separate validation. The RAG retrieval pipeline depends on the quality and currency of indexed PubMed abstracts and </w:t>
      </w:r>
      <w:proofErr w:type="spellStart"/>
      <w:r w:rsidRPr="00742EF9">
        <w:rPr>
          <w:color w:val="000000" w:themeColor="text1"/>
        </w:rPr>
        <w:t>RxNorm</w:t>
      </w:r>
      <w:proofErr w:type="spellEnd"/>
      <w:r w:rsidRPr="00742EF9">
        <w:rPr>
          <w:color w:val="000000" w:themeColor="text1"/>
        </w:rPr>
        <w:t xml:space="preserve"> data; rare or recently approved drugs may not be present in the knowledge base. Finally, th</w:t>
      </w:r>
      <w:r w:rsidRPr="00742EF9">
        <w:rPr>
          <w:color w:val="000000" w:themeColor="text1"/>
        </w:rPr>
        <w:t>e task classification component introduces a dependency on query classification accuracy; misclassified tasks may receive suboptimal fusion weights.</w:t>
      </w:r>
    </w:p>
    <w:p w:rsidR="005165DB" w:rsidRPr="00742EF9" w:rsidRDefault="00550E77">
      <w:pPr>
        <w:pStyle w:val="Heading2"/>
        <w:rPr>
          <w:color w:val="000000" w:themeColor="text1"/>
        </w:rPr>
      </w:pPr>
      <w:r w:rsidRPr="00742EF9">
        <w:rPr>
          <w:color w:val="000000" w:themeColor="text1"/>
        </w:rPr>
        <w:t>6.3 Future Work</w:t>
      </w:r>
    </w:p>
    <w:p w:rsidR="005165DB" w:rsidRPr="00742EF9" w:rsidRDefault="00550E77">
      <w:pPr>
        <w:spacing w:before="80" w:after="120" w:line="360" w:lineRule="auto"/>
        <w:jc w:val="both"/>
        <w:rPr>
          <w:color w:val="000000" w:themeColor="text1"/>
        </w:rPr>
      </w:pPr>
      <w:r w:rsidRPr="00742EF9">
        <w:rPr>
          <w:color w:val="000000" w:themeColor="text1"/>
        </w:rPr>
        <w:t>Three directions are planned for future development. Federated learning deployment would en</w:t>
      </w:r>
      <w:r w:rsidRPr="00742EF9">
        <w:rPr>
          <w:color w:val="000000" w:themeColor="text1"/>
        </w:rPr>
        <w:t>able CLINIGUARD to be deployed across multi-hospital networks while keeping patient data at each site, using federated aggregation of probe training gradients to improve generalization without data sharing. Multimodal extension would add verification signa</w:t>
      </w:r>
      <w:r w:rsidRPr="00742EF9">
        <w:rPr>
          <w:color w:val="000000" w:themeColor="text1"/>
        </w:rPr>
        <w:t>ls for ECG waveform interpretation and radiology image analysis, addressing hallucinations in modality-grounded clinical reasoning. Continuous learning would implement online updating of fusion weights as new hallucination patterns emerge from logged mitig</w:t>
      </w:r>
      <w:r w:rsidRPr="00742EF9">
        <w:rPr>
          <w:color w:val="000000" w:themeColor="text1"/>
        </w:rPr>
        <w:t xml:space="preserve">ation events, </w:t>
      </w:r>
      <w:r w:rsidRPr="00742EF9">
        <w:rPr>
          <w:color w:val="000000" w:themeColor="text1"/>
        </w:rPr>
        <w:lastRenderedPageBreak/>
        <w:t>enabling CLINIGUARD to adapt to model updates and new clinical domains without requiring full retraining.</w:t>
      </w:r>
    </w:p>
    <w:p w:rsidR="005165DB" w:rsidRPr="00742EF9" w:rsidRDefault="00550E77">
      <w:pPr>
        <w:rPr>
          <w:color w:val="000000" w:themeColor="text1"/>
        </w:rPr>
      </w:pPr>
      <w:r w:rsidRPr="00742EF9">
        <w:rPr>
          <w:color w:val="000000" w:themeColor="text1"/>
        </w:rPr>
        <w:br w:type="page"/>
      </w:r>
    </w:p>
    <w:p w:rsidR="005165DB" w:rsidRPr="00742EF9" w:rsidRDefault="00550E77">
      <w:pPr>
        <w:pStyle w:val="Heading1"/>
        <w:rPr>
          <w:color w:val="000000" w:themeColor="text1"/>
        </w:rPr>
      </w:pPr>
      <w:r w:rsidRPr="00742EF9">
        <w:rPr>
          <w:color w:val="000000" w:themeColor="text1"/>
        </w:rPr>
        <w:lastRenderedPageBreak/>
        <w:t>7. Conclusion</w:t>
      </w:r>
    </w:p>
    <w:p w:rsidR="005165DB" w:rsidRPr="00742EF9" w:rsidRDefault="005165DB">
      <w:pPr>
        <w:pBdr>
          <w:bottom w:val="single" w:sz="4" w:space="1" w:color="2E5FA3"/>
        </w:pBdr>
        <w:spacing w:before="200" w:after="200"/>
        <w:rPr>
          <w:color w:val="000000" w:themeColor="text1"/>
        </w:rPr>
      </w:pPr>
    </w:p>
    <w:p w:rsidR="005165DB" w:rsidRPr="00742EF9" w:rsidRDefault="00550E77">
      <w:pPr>
        <w:spacing w:before="80" w:after="120" w:line="360" w:lineRule="auto"/>
        <w:jc w:val="both"/>
        <w:rPr>
          <w:color w:val="000000" w:themeColor="text1"/>
        </w:rPr>
      </w:pPr>
      <w:r w:rsidRPr="00742EF9">
        <w:rPr>
          <w:color w:val="000000" w:themeColor="text1"/>
        </w:rPr>
        <w:t>This paper presented CLINIGUARD, a multi-signal clinical decision guard that addresses the critical patient safety chal</w:t>
      </w:r>
      <w:r w:rsidRPr="00742EF9">
        <w:rPr>
          <w:color w:val="000000" w:themeColor="text1"/>
        </w:rPr>
        <w:t xml:space="preserve">lenge of real-time hallucination detection in medical LLMs. Through the integration of hidden state probing (Med-ISP), attention alignment monitoring (C-AAS), entropy-based uncertainty detection (Med-EEM), and semantic drift tracking (CDT) within a single </w:t>
      </w:r>
      <w:r w:rsidRPr="00742EF9">
        <w:rPr>
          <w:color w:val="000000" w:themeColor="text1"/>
        </w:rPr>
        <w:t xml:space="preserve">forward-pass architecture, CLINIGUARD achieves an AUROC of 0.884 at a latency of 13.1 </w:t>
      </w:r>
      <w:proofErr w:type="spellStart"/>
      <w:r w:rsidRPr="00742EF9">
        <w:rPr>
          <w:color w:val="000000" w:themeColor="text1"/>
        </w:rPr>
        <w:t>ms</w:t>
      </w:r>
      <w:proofErr w:type="spellEnd"/>
      <w:r w:rsidRPr="00742EF9">
        <w:rPr>
          <w:color w:val="000000" w:themeColor="text1"/>
        </w:rPr>
        <w:t xml:space="preserve">/token — making it the first system to combine state-of-the-art detection accuracy with real-time clinical </w:t>
      </w:r>
      <w:proofErr w:type="spellStart"/>
      <w:r w:rsidRPr="00742EF9">
        <w:rPr>
          <w:color w:val="000000" w:themeColor="text1"/>
        </w:rPr>
        <w:t>deployability</w:t>
      </w:r>
      <w:proofErr w:type="spellEnd"/>
      <w:r w:rsidRPr="00742EF9">
        <w:rPr>
          <w:color w:val="000000" w:themeColor="text1"/>
        </w:rPr>
        <w:t>.</w:t>
      </w:r>
    </w:p>
    <w:p w:rsidR="005165DB" w:rsidRPr="00742EF9" w:rsidRDefault="005165DB">
      <w:pPr>
        <w:spacing w:before="120" w:after="120"/>
        <w:rPr>
          <w:color w:val="000000" w:themeColor="text1"/>
        </w:rPr>
      </w:pPr>
    </w:p>
    <w:p w:rsidR="005165DB" w:rsidRPr="00742EF9" w:rsidRDefault="00550E77">
      <w:pPr>
        <w:spacing w:before="80" w:after="120" w:line="360" w:lineRule="auto"/>
        <w:jc w:val="both"/>
        <w:rPr>
          <w:color w:val="000000" w:themeColor="text1"/>
        </w:rPr>
      </w:pPr>
      <w:r w:rsidRPr="00742EF9">
        <w:rPr>
          <w:color w:val="000000" w:themeColor="text1"/>
        </w:rPr>
        <w:t>The task-conditional learned fusion mechanism</w:t>
      </w:r>
      <w:r w:rsidRPr="00742EF9">
        <w:rPr>
          <w:color w:val="000000" w:themeColor="text1"/>
        </w:rPr>
        <w:t xml:space="preserve"> demonstrates that adaptive signal weighting is essential for clinical task diversity, outperforming uniform fusion by 3.3 AUROC points. The clinical </w:t>
      </w:r>
      <w:proofErr w:type="spellStart"/>
      <w:r w:rsidRPr="00742EF9">
        <w:rPr>
          <w:color w:val="000000" w:themeColor="text1"/>
        </w:rPr>
        <w:t>explainability</w:t>
      </w:r>
      <w:proofErr w:type="spellEnd"/>
      <w:r w:rsidRPr="00742EF9">
        <w:rPr>
          <w:color w:val="000000" w:themeColor="text1"/>
        </w:rPr>
        <w:t xml:space="preserve"> interface and closed-loop mitigation pipeline translate detection into actionable clinical </w:t>
      </w:r>
      <w:r w:rsidRPr="00742EF9">
        <w:rPr>
          <w:color w:val="000000" w:themeColor="text1"/>
        </w:rPr>
        <w:t>guidance, validated by a 15-physician user study demonstrating 45% faster error detection and zero missed critical alerts.</w:t>
      </w:r>
    </w:p>
    <w:p w:rsidR="005165DB" w:rsidRPr="00742EF9" w:rsidRDefault="005165DB">
      <w:pPr>
        <w:spacing w:before="120" w:after="120"/>
        <w:rPr>
          <w:color w:val="000000" w:themeColor="text1"/>
        </w:rPr>
      </w:pPr>
    </w:p>
    <w:p w:rsidR="005165DB" w:rsidRPr="00742EF9" w:rsidRDefault="00550E77">
      <w:pPr>
        <w:spacing w:before="80" w:after="120" w:line="360" w:lineRule="auto"/>
        <w:jc w:val="both"/>
        <w:rPr>
          <w:color w:val="000000" w:themeColor="text1"/>
        </w:rPr>
      </w:pPr>
      <w:r w:rsidRPr="00742EF9">
        <w:rPr>
          <w:color w:val="000000" w:themeColor="text1"/>
        </w:rPr>
        <w:t>As LLMs become embedded in clinical workflows, safety infrastructure of this kind is not optional — it is a prerequisite for respons</w:t>
      </w:r>
      <w:r w:rsidRPr="00742EF9">
        <w:rPr>
          <w:color w:val="000000" w:themeColor="text1"/>
        </w:rPr>
        <w:t>ible deployment. CLINIGUARD represents a foundational step toward building verifiably safe clinical AI systems that clinicians can trust.</w:t>
      </w:r>
    </w:p>
    <w:p w:rsidR="005165DB" w:rsidRPr="00742EF9" w:rsidRDefault="00550E77">
      <w:pPr>
        <w:rPr>
          <w:color w:val="000000" w:themeColor="text1"/>
        </w:rPr>
      </w:pPr>
      <w:r w:rsidRPr="00742EF9">
        <w:rPr>
          <w:color w:val="000000" w:themeColor="text1"/>
        </w:rPr>
        <w:br w:type="page"/>
      </w:r>
    </w:p>
    <w:p w:rsidR="005165DB" w:rsidRPr="00742EF9" w:rsidRDefault="00550E77">
      <w:pPr>
        <w:pStyle w:val="Heading1"/>
        <w:rPr>
          <w:color w:val="000000" w:themeColor="text1"/>
        </w:rPr>
      </w:pPr>
      <w:r w:rsidRPr="00742EF9">
        <w:rPr>
          <w:color w:val="000000" w:themeColor="text1"/>
        </w:rPr>
        <w:lastRenderedPageBreak/>
        <w:t>References</w:t>
      </w:r>
    </w:p>
    <w:p w:rsidR="005165DB" w:rsidRPr="00742EF9" w:rsidRDefault="005165DB">
      <w:pPr>
        <w:pBdr>
          <w:bottom w:val="single" w:sz="4" w:space="1" w:color="2E5FA3"/>
        </w:pBdr>
        <w:spacing w:before="200" w:after="200"/>
        <w:rPr>
          <w:color w:val="000000" w:themeColor="text1"/>
        </w:rPr>
      </w:pPr>
    </w:p>
    <w:p w:rsidR="005165DB" w:rsidRPr="00742EF9" w:rsidRDefault="00550E77">
      <w:pPr>
        <w:spacing w:before="80" w:after="120" w:line="360" w:lineRule="auto"/>
        <w:jc w:val="both"/>
        <w:rPr>
          <w:color w:val="000000" w:themeColor="text1"/>
        </w:rPr>
      </w:pPr>
      <w:r w:rsidRPr="00742EF9">
        <w:rPr>
          <w:color w:val="000000" w:themeColor="text1"/>
        </w:rPr>
        <w:t xml:space="preserve">Azaria, A., &amp; Mitchell, T. (2023). The internal state of an LLM knows when it’s lying. </w:t>
      </w:r>
      <w:proofErr w:type="spellStart"/>
      <w:proofErr w:type="gramStart"/>
      <w:r w:rsidRPr="00742EF9">
        <w:rPr>
          <w:color w:val="000000" w:themeColor="text1"/>
        </w:rPr>
        <w:t>arXiv</w:t>
      </w:r>
      <w:proofErr w:type="spellEnd"/>
      <w:proofErr w:type="gramEnd"/>
      <w:r w:rsidRPr="00742EF9">
        <w:rPr>
          <w:color w:val="000000" w:themeColor="text1"/>
        </w:rPr>
        <w:t xml:space="preserve"> preprint ar</w:t>
      </w:r>
      <w:r w:rsidRPr="00742EF9">
        <w:rPr>
          <w:color w:val="000000" w:themeColor="text1"/>
        </w:rPr>
        <w:t>Xiv:2304.13734.</w:t>
      </w:r>
    </w:p>
    <w:p w:rsidR="005165DB" w:rsidRPr="00742EF9" w:rsidRDefault="005165DB">
      <w:pPr>
        <w:spacing w:before="120" w:after="120"/>
        <w:rPr>
          <w:color w:val="000000" w:themeColor="text1"/>
        </w:rPr>
      </w:pPr>
    </w:p>
    <w:p w:rsidR="005165DB" w:rsidRPr="00742EF9" w:rsidRDefault="00550E77">
      <w:pPr>
        <w:spacing w:before="80" w:after="120" w:line="360" w:lineRule="auto"/>
        <w:jc w:val="both"/>
        <w:rPr>
          <w:color w:val="000000" w:themeColor="text1"/>
        </w:rPr>
      </w:pPr>
      <w:proofErr w:type="spellStart"/>
      <w:r w:rsidRPr="00742EF9">
        <w:rPr>
          <w:color w:val="000000" w:themeColor="text1"/>
        </w:rPr>
        <w:t>Bodenreider</w:t>
      </w:r>
      <w:proofErr w:type="spellEnd"/>
      <w:r w:rsidRPr="00742EF9">
        <w:rPr>
          <w:color w:val="000000" w:themeColor="text1"/>
        </w:rPr>
        <w:t>, O. (2004). The Unified Medical Language System (UMLS): Integrating biomedical terminology. Nucleic Acids Research, 32(suppl_1), D267–D270.</w:t>
      </w:r>
    </w:p>
    <w:p w:rsidR="005165DB" w:rsidRPr="00742EF9" w:rsidRDefault="005165DB">
      <w:pPr>
        <w:spacing w:before="120" w:after="120"/>
        <w:rPr>
          <w:color w:val="000000" w:themeColor="text1"/>
        </w:rPr>
      </w:pPr>
    </w:p>
    <w:p w:rsidR="005165DB" w:rsidRPr="00742EF9" w:rsidRDefault="00550E77">
      <w:pPr>
        <w:spacing w:before="80" w:after="120" w:line="360" w:lineRule="auto"/>
        <w:jc w:val="both"/>
        <w:rPr>
          <w:color w:val="000000" w:themeColor="text1"/>
        </w:rPr>
      </w:pPr>
      <w:r w:rsidRPr="00742EF9">
        <w:rPr>
          <w:color w:val="000000" w:themeColor="text1"/>
        </w:rPr>
        <w:t xml:space="preserve">Brown, T., Mann, B., Ryder, N., et al. (2020). Language models are few-shot learners. </w:t>
      </w:r>
      <w:r w:rsidRPr="00742EF9">
        <w:rPr>
          <w:color w:val="000000" w:themeColor="text1"/>
        </w:rPr>
        <w:t>Advances in Neural Information Processing Systems, 33, 1877–1901.</w:t>
      </w:r>
    </w:p>
    <w:p w:rsidR="005165DB" w:rsidRPr="00742EF9" w:rsidRDefault="005165DB">
      <w:pPr>
        <w:spacing w:before="120" w:after="120"/>
        <w:rPr>
          <w:color w:val="000000" w:themeColor="text1"/>
        </w:rPr>
      </w:pPr>
    </w:p>
    <w:p w:rsidR="005165DB" w:rsidRPr="00742EF9" w:rsidRDefault="00550E77">
      <w:pPr>
        <w:spacing w:before="80" w:after="120" w:line="360" w:lineRule="auto"/>
        <w:jc w:val="both"/>
        <w:rPr>
          <w:color w:val="000000" w:themeColor="text1"/>
        </w:rPr>
      </w:pPr>
      <w:r w:rsidRPr="00742EF9">
        <w:rPr>
          <w:color w:val="000000" w:themeColor="text1"/>
        </w:rPr>
        <w:t xml:space="preserve">Burns, C., Ye, H., Klein, D., &amp; Steinhardt, J. (2022). Discovering latent knowledge in language models without supervision. </w:t>
      </w:r>
      <w:proofErr w:type="spellStart"/>
      <w:proofErr w:type="gramStart"/>
      <w:r w:rsidRPr="00742EF9">
        <w:rPr>
          <w:color w:val="000000" w:themeColor="text1"/>
        </w:rPr>
        <w:t>arXiv</w:t>
      </w:r>
      <w:proofErr w:type="spellEnd"/>
      <w:proofErr w:type="gramEnd"/>
      <w:r w:rsidRPr="00742EF9">
        <w:rPr>
          <w:color w:val="000000" w:themeColor="text1"/>
        </w:rPr>
        <w:t xml:space="preserve"> preprint arXiv:2212.03827.</w:t>
      </w:r>
    </w:p>
    <w:p w:rsidR="005165DB" w:rsidRPr="00742EF9" w:rsidRDefault="005165DB">
      <w:pPr>
        <w:spacing w:before="120" w:after="120"/>
        <w:rPr>
          <w:color w:val="000000" w:themeColor="text1"/>
        </w:rPr>
      </w:pPr>
    </w:p>
    <w:p w:rsidR="005165DB" w:rsidRPr="00742EF9" w:rsidRDefault="00550E77">
      <w:pPr>
        <w:spacing w:before="80" w:after="120" w:line="360" w:lineRule="auto"/>
        <w:jc w:val="both"/>
        <w:rPr>
          <w:color w:val="000000" w:themeColor="text1"/>
        </w:rPr>
      </w:pPr>
      <w:proofErr w:type="spellStart"/>
      <w:r w:rsidRPr="00742EF9">
        <w:rPr>
          <w:color w:val="000000" w:themeColor="text1"/>
        </w:rPr>
        <w:t>Chowdhery</w:t>
      </w:r>
      <w:proofErr w:type="spellEnd"/>
      <w:r w:rsidRPr="00742EF9">
        <w:rPr>
          <w:color w:val="000000" w:themeColor="text1"/>
        </w:rPr>
        <w:t xml:space="preserve">, A., </w:t>
      </w:r>
      <w:proofErr w:type="spellStart"/>
      <w:r w:rsidRPr="00742EF9">
        <w:rPr>
          <w:color w:val="000000" w:themeColor="text1"/>
        </w:rPr>
        <w:t>Narang</w:t>
      </w:r>
      <w:proofErr w:type="spellEnd"/>
      <w:r w:rsidRPr="00742EF9">
        <w:rPr>
          <w:color w:val="000000" w:themeColor="text1"/>
        </w:rPr>
        <w:t xml:space="preserve">, S., Devlin, J., et al. (2022). </w:t>
      </w:r>
      <w:proofErr w:type="spellStart"/>
      <w:r w:rsidRPr="00742EF9">
        <w:rPr>
          <w:color w:val="000000" w:themeColor="text1"/>
        </w:rPr>
        <w:t>PaLM</w:t>
      </w:r>
      <w:proofErr w:type="spellEnd"/>
      <w:r w:rsidRPr="00742EF9">
        <w:rPr>
          <w:color w:val="000000" w:themeColor="text1"/>
        </w:rPr>
        <w:t xml:space="preserve">: Scaling language modeling with pathways. </w:t>
      </w:r>
      <w:proofErr w:type="spellStart"/>
      <w:proofErr w:type="gramStart"/>
      <w:r w:rsidRPr="00742EF9">
        <w:rPr>
          <w:color w:val="000000" w:themeColor="text1"/>
        </w:rPr>
        <w:t>arXiv</w:t>
      </w:r>
      <w:proofErr w:type="spellEnd"/>
      <w:proofErr w:type="gramEnd"/>
      <w:r w:rsidRPr="00742EF9">
        <w:rPr>
          <w:color w:val="000000" w:themeColor="text1"/>
        </w:rPr>
        <w:t xml:space="preserve"> preprint arXiv:2204.02311.</w:t>
      </w:r>
    </w:p>
    <w:p w:rsidR="005165DB" w:rsidRPr="00742EF9" w:rsidRDefault="005165DB">
      <w:pPr>
        <w:spacing w:before="120" w:after="120"/>
        <w:rPr>
          <w:color w:val="000000" w:themeColor="text1"/>
        </w:rPr>
      </w:pPr>
    </w:p>
    <w:p w:rsidR="005165DB" w:rsidRPr="00742EF9" w:rsidRDefault="00550E77">
      <w:pPr>
        <w:spacing w:before="80" w:after="120" w:line="360" w:lineRule="auto"/>
        <w:jc w:val="both"/>
        <w:rPr>
          <w:color w:val="000000" w:themeColor="text1"/>
        </w:rPr>
      </w:pPr>
      <w:r w:rsidRPr="00742EF9">
        <w:rPr>
          <w:color w:val="000000" w:themeColor="text1"/>
        </w:rPr>
        <w:t xml:space="preserve">Gal, Y., &amp; </w:t>
      </w:r>
      <w:proofErr w:type="spellStart"/>
      <w:r w:rsidRPr="00742EF9">
        <w:rPr>
          <w:color w:val="000000" w:themeColor="text1"/>
        </w:rPr>
        <w:t>Ghahramani</w:t>
      </w:r>
      <w:proofErr w:type="spellEnd"/>
      <w:r w:rsidRPr="00742EF9">
        <w:rPr>
          <w:color w:val="000000" w:themeColor="text1"/>
        </w:rPr>
        <w:t>, Z. (2016). Dropout as a Bayesian approximation: Representing model uncertainty in deep learning. I</w:t>
      </w:r>
      <w:r w:rsidRPr="00742EF9">
        <w:rPr>
          <w:color w:val="000000" w:themeColor="text1"/>
        </w:rPr>
        <w:t>nternational Conference on Machine Learning, 1050–1059.</w:t>
      </w:r>
    </w:p>
    <w:p w:rsidR="005165DB" w:rsidRPr="00742EF9" w:rsidRDefault="005165DB">
      <w:pPr>
        <w:spacing w:before="120" w:after="120"/>
        <w:rPr>
          <w:color w:val="000000" w:themeColor="text1"/>
        </w:rPr>
      </w:pPr>
    </w:p>
    <w:p w:rsidR="005165DB" w:rsidRPr="00742EF9" w:rsidRDefault="00550E77">
      <w:pPr>
        <w:spacing w:before="80" w:after="120" w:line="360" w:lineRule="auto"/>
        <w:jc w:val="both"/>
        <w:rPr>
          <w:color w:val="000000" w:themeColor="text1"/>
        </w:rPr>
      </w:pPr>
      <w:r w:rsidRPr="00742EF9">
        <w:rPr>
          <w:color w:val="000000" w:themeColor="text1"/>
        </w:rPr>
        <w:t xml:space="preserve">Ji, Z., Lee, N., </w:t>
      </w:r>
      <w:proofErr w:type="spellStart"/>
      <w:r w:rsidRPr="00742EF9">
        <w:rPr>
          <w:color w:val="000000" w:themeColor="text1"/>
        </w:rPr>
        <w:t>Frieske</w:t>
      </w:r>
      <w:proofErr w:type="spellEnd"/>
      <w:r w:rsidRPr="00742EF9">
        <w:rPr>
          <w:color w:val="000000" w:themeColor="text1"/>
        </w:rPr>
        <w:t>, R., et al. (2023). Survey of hallucination in natural language generation. ACM Computing Surveys, 55(12), 1–38.</w:t>
      </w:r>
    </w:p>
    <w:p w:rsidR="005165DB" w:rsidRPr="00742EF9" w:rsidRDefault="005165DB">
      <w:pPr>
        <w:spacing w:before="120" w:after="120"/>
        <w:rPr>
          <w:color w:val="000000" w:themeColor="text1"/>
        </w:rPr>
      </w:pPr>
    </w:p>
    <w:p w:rsidR="005165DB" w:rsidRPr="00742EF9" w:rsidRDefault="00550E77">
      <w:pPr>
        <w:spacing w:before="80" w:after="120" w:line="360" w:lineRule="auto"/>
        <w:jc w:val="both"/>
        <w:rPr>
          <w:color w:val="000000" w:themeColor="text1"/>
        </w:rPr>
      </w:pPr>
      <w:proofErr w:type="spellStart"/>
      <w:r w:rsidRPr="00742EF9">
        <w:rPr>
          <w:color w:val="000000" w:themeColor="text1"/>
        </w:rPr>
        <w:t>Kadavath</w:t>
      </w:r>
      <w:proofErr w:type="spellEnd"/>
      <w:r w:rsidRPr="00742EF9">
        <w:rPr>
          <w:color w:val="000000" w:themeColor="text1"/>
        </w:rPr>
        <w:t xml:space="preserve">, S., Conerly, T., </w:t>
      </w:r>
      <w:proofErr w:type="spellStart"/>
      <w:r w:rsidRPr="00742EF9">
        <w:rPr>
          <w:color w:val="000000" w:themeColor="text1"/>
        </w:rPr>
        <w:t>Askell</w:t>
      </w:r>
      <w:proofErr w:type="spellEnd"/>
      <w:r w:rsidRPr="00742EF9">
        <w:rPr>
          <w:color w:val="000000" w:themeColor="text1"/>
        </w:rPr>
        <w:t>, A., et al. (2022). Langua</w:t>
      </w:r>
      <w:r w:rsidRPr="00742EF9">
        <w:rPr>
          <w:color w:val="000000" w:themeColor="text1"/>
        </w:rPr>
        <w:t xml:space="preserve">ge models (mostly) know what they know. </w:t>
      </w:r>
      <w:proofErr w:type="spellStart"/>
      <w:proofErr w:type="gramStart"/>
      <w:r w:rsidRPr="00742EF9">
        <w:rPr>
          <w:color w:val="000000" w:themeColor="text1"/>
        </w:rPr>
        <w:t>arXiv</w:t>
      </w:r>
      <w:proofErr w:type="spellEnd"/>
      <w:proofErr w:type="gramEnd"/>
      <w:r w:rsidRPr="00742EF9">
        <w:rPr>
          <w:color w:val="000000" w:themeColor="text1"/>
        </w:rPr>
        <w:t xml:space="preserve"> preprint arXiv:2207.05221.</w:t>
      </w:r>
    </w:p>
    <w:p w:rsidR="005165DB" w:rsidRPr="00742EF9" w:rsidRDefault="005165DB">
      <w:pPr>
        <w:spacing w:before="120" w:after="120"/>
        <w:rPr>
          <w:color w:val="000000" w:themeColor="text1"/>
        </w:rPr>
      </w:pPr>
    </w:p>
    <w:p w:rsidR="005165DB" w:rsidRPr="00742EF9" w:rsidRDefault="00550E77">
      <w:pPr>
        <w:spacing w:before="80" w:after="120" w:line="360" w:lineRule="auto"/>
        <w:jc w:val="both"/>
        <w:rPr>
          <w:color w:val="000000" w:themeColor="text1"/>
        </w:rPr>
      </w:pPr>
      <w:r w:rsidRPr="00742EF9">
        <w:rPr>
          <w:color w:val="000000" w:themeColor="text1"/>
        </w:rPr>
        <w:t>Koehn, P., &amp; Knowles, R. (2017). Six challenges for neural machine translation. Proceedings of the First Workshop on Neural Machine Translation, 28–39.</w:t>
      </w:r>
    </w:p>
    <w:p w:rsidR="005165DB" w:rsidRPr="00742EF9" w:rsidRDefault="005165DB">
      <w:pPr>
        <w:spacing w:before="120" w:after="120"/>
        <w:rPr>
          <w:color w:val="000000" w:themeColor="text1"/>
        </w:rPr>
      </w:pPr>
    </w:p>
    <w:p w:rsidR="005165DB" w:rsidRPr="00742EF9" w:rsidRDefault="00550E77">
      <w:pPr>
        <w:spacing w:before="80" w:after="120" w:line="360" w:lineRule="auto"/>
        <w:jc w:val="both"/>
        <w:rPr>
          <w:color w:val="000000" w:themeColor="text1"/>
        </w:rPr>
      </w:pPr>
      <w:r w:rsidRPr="00742EF9">
        <w:rPr>
          <w:color w:val="000000" w:themeColor="text1"/>
        </w:rPr>
        <w:t>Kuhn, L., Gal, Y., &amp; Farquhar</w:t>
      </w:r>
      <w:r w:rsidRPr="00742EF9">
        <w:rPr>
          <w:color w:val="000000" w:themeColor="text1"/>
        </w:rPr>
        <w:t>, S. (2023). Semantic uncertainty: Linguistic invariances for uncertainty estimation in natural language generation. International Conference on Learning Representations.</w:t>
      </w:r>
    </w:p>
    <w:p w:rsidR="005165DB" w:rsidRPr="00742EF9" w:rsidRDefault="005165DB">
      <w:pPr>
        <w:spacing w:before="120" w:after="120"/>
        <w:rPr>
          <w:color w:val="000000" w:themeColor="text1"/>
        </w:rPr>
      </w:pPr>
    </w:p>
    <w:p w:rsidR="005165DB" w:rsidRPr="00742EF9" w:rsidRDefault="00550E77">
      <w:pPr>
        <w:spacing w:before="80" w:after="120" w:line="360" w:lineRule="auto"/>
        <w:jc w:val="both"/>
        <w:rPr>
          <w:color w:val="000000" w:themeColor="text1"/>
        </w:rPr>
      </w:pPr>
      <w:proofErr w:type="spellStart"/>
      <w:r w:rsidRPr="00742EF9">
        <w:rPr>
          <w:color w:val="000000" w:themeColor="text1"/>
        </w:rPr>
        <w:t>Lakshminarayanan</w:t>
      </w:r>
      <w:proofErr w:type="spellEnd"/>
      <w:r w:rsidRPr="00742EF9">
        <w:rPr>
          <w:color w:val="000000" w:themeColor="text1"/>
        </w:rPr>
        <w:t xml:space="preserve">, B., </w:t>
      </w:r>
      <w:proofErr w:type="spellStart"/>
      <w:r w:rsidRPr="00742EF9">
        <w:rPr>
          <w:color w:val="000000" w:themeColor="text1"/>
        </w:rPr>
        <w:t>Pritzel</w:t>
      </w:r>
      <w:proofErr w:type="spellEnd"/>
      <w:r w:rsidRPr="00742EF9">
        <w:rPr>
          <w:color w:val="000000" w:themeColor="text1"/>
        </w:rPr>
        <w:t>, A., &amp; Blundell, C. (2017). Simple and scalable predic</w:t>
      </w:r>
      <w:r w:rsidRPr="00742EF9">
        <w:rPr>
          <w:color w:val="000000" w:themeColor="text1"/>
        </w:rPr>
        <w:t>tive uncertainty estimation using deep ensembles. Advances in Neural Information Processing Systems, 30.</w:t>
      </w:r>
    </w:p>
    <w:p w:rsidR="005165DB" w:rsidRPr="00742EF9" w:rsidRDefault="005165DB">
      <w:pPr>
        <w:spacing w:before="120" w:after="120"/>
        <w:rPr>
          <w:color w:val="000000" w:themeColor="text1"/>
        </w:rPr>
      </w:pPr>
    </w:p>
    <w:p w:rsidR="005165DB" w:rsidRPr="00742EF9" w:rsidRDefault="00550E77">
      <w:pPr>
        <w:spacing w:before="80" w:after="120" w:line="360" w:lineRule="auto"/>
        <w:jc w:val="both"/>
        <w:rPr>
          <w:color w:val="000000" w:themeColor="text1"/>
        </w:rPr>
      </w:pPr>
      <w:r w:rsidRPr="00742EF9">
        <w:rPr>
          <w:color w:val="000000" w:themeColor="text1"/>
        </w:rPr>
        <w:t xml:space="preserve">Lewis, P., Perez, E., </w:t>
      </w:r>
      <w:proofErr w:type="spellStart"/>
      <w:r w:rsidRPr="00742EF9">
        <w:rPr>
          <w:color w:val="000000" w:themeColor="text1"/>
        </w:rPr>
        <w:t>Piktus</w:t>
      </w:r>
      <w:proofErr w:type="spellEnd"/>
      <w:r w:rsidRPr="00742EF9">
        <w:rPr>
          <w:color w:val="000000" w:themeColor="text1"/>
        </w:rPr>
        <w:t>, A., et al. (2020). Retrieval-augmented generation for knowledge-intensive NLP tasks. Advances in Neural Information Proc</w:t>
      </w:r>
      <w:r w:rsidRPr="00742EF9">
        <w:rPr>
          <w:color w:val="000000" w:themeColor="text1"/>
        </w:rPr>
        <w:t>essing Systems, 33, 9459–9474.</w:t>
      </w:r>
    </w:p>
    <w:p w:rsidR="005165DB" w:rsidRPr="00742EF9" w:rsidRDefault="005165DB">
      <w:pPr>
        <w:spacing w:before="120" w:after="120"/>
        <w:rPr>
          <w:color w:val="000000" w:themeColor="text1"/>
        </w:rPr>
      </w:pPr>
    </w:p>
    <w:p w:rsidR="005165DB" w:rsidRPr="00742EF9" w:rsidRDefault="00550E77">
      <w:pPr>
        <w:spacing w:before="80" w:after="120" w:line="360" w:lineRule="auto"/>
        <w:jc w:val="both"/>
        <w:rPr>
          <w:color w:val="000000" w:themeColor="text1"/>
        </w:rPr>
      </w:pPr>
      <w:r w:rsidRPr="00742EF9">
        <w:rPr>
          <w:color w:val="000000" w:themeColor="text1"/>
        </w:rPr>
        <w:t xml:space="preserve">Li, J., Cheng, X., Zhao, W., </w:t>
      </w:r>
      <w:proofErr w:type="spellStart"/>
      <w:r w:rsidRPr="00742EF9">
        <w:rPr>
          <w:color w:val="000000" w:themeColor="text1"/>
        </w:rPr>
        <w:t>Nie</w:t>
      </w:r>
      <w:proofErr w:type="spellEnd"/>
      <w:r w:rsidRPr="00742EF9">
        <w:rPr>
          <w:color w:val="000000" w:themeColor="text1"/>
        </w:rPr>
        <w:t xml:space="preserve">, J. Y., &amp; Wen, J. R. (2023). </w:t>
      </w:r>
      <w:proofErr w:type="spellStart"/>
      <w:r w:rsidRPr="00742EF9">
        <w:rPr>
          <w:color w:val="000000" w:themeColor="text1"/>
        </w:rPr>
        <w:t>HaluEval</w:t>
      </w:r>
      <w:proofErr w:type="spellEnd"/>
      <w:r w:rsidRPr="00742EF9">
        <w:rPr>
          <w:color w:val="000000" w:themeColor="text1"/>
        </w:rPr>
        <w:t xml:space="preserve">: A large-scale hallucination evaluation benchmark for large language models. </w:t>
      </w:r>
      <w:proofErr w:type="spellStart"/>
      <w:proofErr w:type="gramStart"/>
      <w:r w:rsidRPr="00742EF9">
        <w:rPr>
          <w:color w:val="000000" w:themeColor="text1"/>
        </w:rPr>
        <w:t>arXiv</w:t>
      </w:r>
      <w:proofErr w:type="spellEnd"/>
      <w:proofErr w:type="gramEnd"/>
      <w:r w:rsidRPr="00742EF9">
        <w:rPr>
          <w:color w:val="000000" w:themeColor="text1"/>
        </w:rPr>
        <w:t xml:space="preserve"> preprint arXiv:2305.11747.</w:t>
      </w:r>
    </w:p>
    <w:p w:rsidR="005165DB" w:rsidRPr="00742EF9" w:rsidRDefault="005165DB">
      <w:pPr>
        <w:spacing w:before="120" w:after="120"/>
        <w:rPr>
          <w:color w:val="000000" w:themeColor="text1"/>
        </w:rPr>
      </w:pPr>
    </w:p>
    <w:p w:rsidR="005165DB" w:rsidRPr="00742EF9" w:rsidRDefault="00550E77">
      <w:pPr>
        <w:spacing w:before="80" w:after="120" w:line="360" w:lineRule="auto"/>
        <w:jc w:val="both"/>
        <w:rPr>
          <w:color w:val="000000" w:themeColor="text1"/>
        </w:rPr>
      </w:pPr>
      <w:proofErr w:type="spellStart"/>
      <w:r w:rsidRPr="00742EF9">
        <w:rPr>
          <w:color w:val="000000" w:themeColor="text1"/>
        </w:rPr>
        <w:t>Manakul</w:t>
      </w:r>
      <w:proofErr w:type="spellEnd"/>
      <w:r w:rsidRPr="00742EF9">
        <w:rPr>
          <w:color w:val="000000" w:themeColor="text1"/>
        </w:rPr>
        <w:t xml:space="preserve">, P., </w:t>
      </w:r>
      <w:proofErr w:type="spellStart"/>
      <w:r w:rsidRPr="00742EF9">
        <w:rPr>
          <w:color w:val="000000" w:themeColor="text1"/>
        </w:rPr>
        <w:t>Liusie</w:t>
      </w:r>
      <w:proofErr w:type="spellEnd"/>
      <w:r w:rsidRPr="00742EF9">
        <w:rPr>
          <w:color w:val="000000" w:themeColor="text1"/>
        </w:rPr>
        <w:t>, A., &amp; Gales, M. J. F.</w:t>
      </w:r>
      <w:r w:rsidRPr="00742EF9">
        <w:rPr>
          <w:color w:val="000000" w:themeColor="text1"/>
        </w:rPr>
        <w:t xml:space="preserve"> (2023). </w:t>
      </w:r>
      <w:proofErr w:type="spellStart"/>
      <w:r w:rsidRPr="00742EF9">
        <w:rPr>
          <w:color w:val="000000" w:themeColor="text1"/>
        </w:rPr>
        <w:t>SelfCheckGPT</w:t>
      </w:r>
      <w:proofErr w:type="spellEnd"/>
      <w:r w:rsidRPr="00742EF9">
        <w:rPr>
          <w:color w:val="000000" w:themeColor="text1"/>
        </w:rPr>
        <w:t xml:space="preserve">: Zero-resource black-box hallucination detection for generative large language models. </w:t>
      </w:r>
      <w:proofErr w:type="spellStart"/>
      <w:proofErr w:type="gramStart"/>
      <w:r w:rsidRPr="00742EF9">
        <w:rPr>
          <w:color w:val="000000" w:themeColor="text1"/>
        </w:rPr>
        <w:t>arXiv</w:t>
      </w:r>
      <w:proofErr w:type="spellEnd"/>
      <w:proofErr w:type="gramEnd"/>
      <w:r w:rsidRPr="00742EF9">
        <w:rPr>
          <w:color w:val="000000" w:themeColor="text1"/>
        </w:rPr>
        <w:t xml:space="preserve"> preprint arXiv:2303.08896.</w:t>
      </w:r>
    </w:p>
    <w:p w:rsidR="005165DB" w:rsidRPr="00742EF9" w:rsidRDefault="005165DB">
      <w:pPr>
        <w:spacing w:before="120" w:after="120"/>
        <w:rPr>
          <w:color w:val="000000" w:themeColor="text1"/>
        </w:rPr>
      </w:pPr>
    </w:p>
    <w:p w:rsidR="005165DB" w:rsidRPr="00742EF9" w:rsidRDefault="00550E77">
      <w:pPr>
        <w:spacing w:before="80" w:after="120" w:line="360" w:lineRule="auto"/>
        <w:jc w:val="both"/>
        <w:rPr>
          <w:color w:val="000000" w:themeColor="text1"/>
        </w:rPr>
      </w:pPr>
      <w:proofErr w:type="spellStart"/>
      <w:r w:rsidRPr="00742EF9">
        <w:rPr>
          <w:color w:val="000000" w:themeColor="text1"/>
        </w:rPr>
        <w:t>Maynez</w:t>
      </w:r>
      <w:proofErr w:type="spellEnd"/>
      <w:r w:rsidRPr="00742EF9">
        <w:rPr>
          <w:color w:val="000000" w:themeColor="text1"/>
        </w:rPr>
        <w:t xml:space="preserve">, J., Narayan, S., </w:t>
      </w:r>
      <w:proofErr w:type="spellStart"/>
      <w:r w:rsidRPr="00742EF9">
        <w:rPr>
          <w:color w:val="000000" w:themeColor="text1"/>
        </w:rPr>
        <w:t>Bohnet</w:t>
      </w:r>
      <w:proofErr w:type="spellEnd"/>
      <w:r w:rsidRPr="00742EF9">
        <w:rPr>
          <w:color w:val="000000" w:themeColor="text1"/>
        </w:rPr>
        <w:t>, B., &amp; McDonald, R. (2020). On faithfulness and factuality in abstractive summari</w:t>
      </w:r>
      <w:r w:rsidRPr="00742EF9">
        <w:rPr>
          <w:color w:val="000000" w:themeColor="text1"/>
        </w:rPr>
        <w:t>zation. Proceedings of the 58th Annual Meeting of the Association for Computational Linguistics, 1906–1919.</w:t>
      </w:r>
    </w:p>
    <w:p w:rsidR="005165DB" w:rsidRPr="00742EF9" w:rsidRDefault="005165DB">
      <w:pPr>
        <w:spacing w:before="120" w:after="120"/>
        <w:rPr>
          <w:color w:val="000000" w:themeColor="text1"/>
        </w:rPr>
      </w:pPr>
    </w:p>
    <w:p w:rsidR="005165DB" w:rsidRPr="00742EF9" w:rsidRDefault="00550E77">
      <w:pPr>
        <w:spacing w:before="80" w:after="120" w:line="360" w:lineRule="auto"/>
        <w:jc w:val="both"/>
        <w:rPr>
          <w:color w:val="000000" w:themeColor="text1"/>
        </w:rPr>
      </w:pPr>
      <w:r w:rsidRPr="00742EF9">
        <w:rPr>
          <w:color w:val="000000" w:themeColor="text1"/>
        </w:rPr>
        <w:t xml:space="preserve">Nelson, S. J., Zeng, K., Kilbourne, J., Powell, T., &amp; Moore, R. (2011). Normalized names for clinical drugs: </w:t>
      </w:r>
      <w:proofErr w:type="spellStart"/>
      <w:r w:rsidRPr="00742EF9">
        <w:rPr>
          <w:color w:val="000000" w:themeColor="text1"/>
        </w:rPr>
        <w:t>RxNorm</w:t>
      </w:r>
      <w:proofErr w:type="spellEnd"/>
      <w:r w:rsidRPr="00742EF9">
        <w:rPr>
          <w:color w:val="000000" w:themeColor="text1"/>
        </w:rPr>
        <w:t xml:space="preserve"> at 6 years. Journal of the Amer</w:t>
      </w:r>
      <w:r w:rsidRPr="00742EF9">
        <w:rPr>
          <w:color w:val="000000" w:themeColor="text1"/>
        </w:rPr>
        <w:t>ican Medical Informatics Association, 18(4), 441–448.</w:t>
      </w:r>
    </w:p>
    <w:p w:rsidR="005165DB" w:rsidRPr="00742EF9" w:rsidRDefault="005165DB">
      <w:pPr>
        <w:spacing w:before="120" w:after="120"/>
        <w:rPr>
          <w:color w:val="000000" w:themeColor="text1"/>
        </w:rPr>
      </w:pPr>
    </w:p>
    <w:p w:rsidR="005165DB" w:rsidRPr="00742EF9" w:rsidRDefault="00550E77">
      <w:pPr>
        <w:spacing w:before="80" w:after="120" w:line="360" w:lineRule="auto"/>
        <w:jc w:val="both"/>
        <w:rPr>
          <w:color w:val="000000" w:themeColor="text1"/>
        </w:rPr>
      </w:pPr>
      <w:r w:rsidRPr="00742EF9">
        <w:rPr>
          <w:color w:val="000000" w:themeColor="text1"/>
        </w:rPr>
        <w:lastRenderedPageBreak/>
        <w:t xml:space="preserve">Nori, H., King, N., McKinney, S. M., Carignan, D., &amp; Horvitz, E. (2023). Capabilities of GPT-4 on medical challenge problems. </w:t>
      </w:r>
      <w:proofErr w:type="spellStart"/>
      <w:proofErr w:type="gramStart"/>
      <w:r w:rsidRPr="00742EF9">
        <w:rPr>
          <w:color w:val="000000" w:themeColor="text1"/>
        </w:rPr>
        <w:t>arXiv</w:t>
      </w:r>
      <w:proofErr w:type="spellEnd"/>
      <w:proofErr w:type="gramEnd"/>
      <w:r w:rsidRPr="00742EF9">
        <w:rPr>
          <w:color w:val="000000" w:themeColor="text1"/>
        </w:rPr>
        <w:t xml:space="preserve"> preprint arXiv:2303.13375.</w:t>
      </w:r>
    </w:p>
    <w:p w:rsidR="005165DB" w:rsidRPr="00742EF9" w:rsidRDefault="005165DB">
      <w:pPr>
        <w:spacing w:before="120" w:after="120"/>
        <w:rPr>
          <w:color w:val="000000" w:themeColor="text1"/>
        </w:rPr>
      </w:pPr>
    </w:p>
    <w:p w:rsidR="005165DB" w:rsidRPr="00742EF9" w:rsidRDefault="00550E77">
      <w:pPr>
        <w:spacing w:before="80" w:after="120" w:line="360" w:lineRule="auto"/>
        <w:jc w:val="both"/>
        <w:rPr>
          <w:color w:val="000000" w:themeColor="text1"/>
        </w:rPr>
      </w:pPr>
      <w:proofErr w:type="spellStart"/>
      <w:r w:rsidRPr="00742EF9">
        <w:rPr>
          <w:color w:val="000000" w:themeColor="text1"/>
        </w:rPr>
        <w:t>Singhal</w:t>
      </w:r>
      <w:proofErr w:type="spellEnd"/>
      <w:r w:rsidRPr="00742EF9">
        <w:rPr>
          <w:color w:val="000000" w:themeColor="text1"/>
        </w:rPr>
        <w:t xml:space="preserve">, K., </w:t>
      </w:r>
      <w:proofErr w:type="spellStart"/>
      <w:r w:rsidRPr="00742EF9">
        <w:rPr>
          <w:color w:val="000000" w:themeColor="text1"/>
        </w:rPr>
        <w:t>Azizi</w:t>
      </w:r>
      <w:proofErr w:type="spellEnd"/>
      <w:r w:rsidRPr="00742EF9">
        <w:rPr>
          <w:color w:val="000000" w:themeColor="text1"/>
        </w:rPr>
        <w:t xml:space="preserve">, S., </w:t>
      </w:r>
      <w:proofErr w:type="spellStart"/>
      <w:r w:rsidRPr="00742EF9">
        <w:rPr>
          <w:color w:val="000000" w:themeColor="text1"/>
        </w:rPr>
        <w:t>Tu</w:t>
      </w:r>
      <w:proofErr w:type="spellEnd"/>
      <w:r w:rsidRPr="00742EF9">
        <w:rPr>
          <w:color w:val="000000" w:themeColor="text1"/>
        </w:rPr>
        <w:t>, T., et al. (2</w:t>
      </w:r>
      <w:r w:rsidRPr="00742EF9">
        <w:rPr>
          <w:color w:val="000000" w:themeColor="text1"/>
        </w:rPr>
        <w:t>023). Large language models encode clinical knowledge. Nature, 620, 172–180.</w:t>
      </w:r>
    </w:p>
    <w:p w:rsidR="005165DB" w:rsidRPr="00742EF9" w:rsidRDefault="005165DB">
      <w:pPr>
        <w:spacing w:before="120" w:after="120"/>
        <w:rPr>
          <w:color w:val="000000" w:themeColor="text1"/>
        </w:rPr>
      </w:pPr>
    </w:p>
    <w:p w:rsidR="005165DB" w:rsidRPr="00742EF9" w:rsidRDefault="00550E77">
      <w:pPr>
        <w:spacing w:before="80" w:after="120" w:line="360" w:lineRule="auto"/>
        <w:jc w:val="both"/>
        <w:rPr>
          <w:color w:val="000000" w:themeColor="text1"/>
        </w:rPr>
      </w:pPr>
      <w:proofErr w:type="spellStart"/>
      <w:r w:rsidRPr="00742EF9">
        <w:rPr>
          <w:color w:val="000000" w:themeColor="text1"/>
        </w:rPr>
        <w:t>Slobodkin</w:t>
      </w:r>
      <w:proofErr w:type="spellEnd"/>
      <w:r w:rsidRPr="00742EF9">
        <w:rPr>
          <w:color w:val="000000" w:themeColor="text1"/>
        </w:rPr>
        <w:t xml:space="preserve">, A., Goldman, O., </w:t>
      </w:r>
      <w:proofErr w:type="spellStart"/>
      <w:r w:rsidRPr="00742EF9">
        <w:rPr>
          <w:color w:val="000000" w:themeColor="text1"/>
        </w:rPr>
        <w:t>Caciularu</w:t>
      </w:r>
      <w:proofErr w:type="spellEnd"/>
      <w:r w:rsidRPr="00742EF9">
        <w:rPr>
          <w:color w:val="000000" w:themeColor="text1"/>
        </w:rPr>
        <w:t>, A., Dagan, I., &amp;</w:t>
      </w:r>
      <w:r w:rsidRPr="00742EF9">
        <w:rPr>
          <w:color w:val="000000" w:themeColor="text1"/>
        </w:rPr>
        <w:t xml:space="preserve"> </w:t>
      </w:r>
      <w:proofErr w:type="spellStart"/>
      <w:r w:rsidRPr="00742EF9">
        <w:rPr>
          <w:color w:val="000000" w:themeColor="text1"/>
        </w:rPr>
        <w:t>Ravfogel</w:t>
      </w:r>
      <w:proofErr w:type="spellEnd"/>
      <w:r w:rsidRPr="00742EF9">
        <w:rPr>
          <w:color w:val="000000" w:themeColor="text1"/>
        </w:rPr>
        <w:t>, S. (2023). The curious case of hallucinatory (</w:t>
      </w:r>
      <w:proofErr w:type="gramStart"/>
      <w:r w:rsidRPr="00742EF9">
        <w:rPr>
          <w:color w:val="000000" w:themeColor="text1"/>
        </w:rPr>
        <w:t>un)</w:t>
      </w:r>
      <w:proofErr w:type="gramEnd"/>
      <w:r w:rsidRPr="00742EF9">
        <w:rPr>
          <w:color w:val="000000" w:themeColor="text1"/>
        </w:rPr>
        <w:t xml:space="preserve">answerability: Finding truths in the hidden states of over-confident large language models. </w:t>
      </w:r>
      <w:proofErr w:type="spellStart"/>
      <w:proofErr w:type="gramStart"/>
      <w:r w:rsidRPr="00742EF9">
        <w:rPr>
          <w:color w:val="000000" w:themeColor="text1"/>
        </w:rPr>
        <w:t>arXiv</w:t>
      </w:r>
      <w:proofErr w:type="spellEnd"/>
      <w:proofErr w:type="gramEnd"/>
      <w:r w:rsidRPr="00742EF9">
        <w:rPr>
          <w:color w:val="000000" w:themeColor="text1"/>
        </w:rPr>
        <w:t xml:space="preserve"> preprint arXiv:2310.11877.</w:t>
      </w:r>
    </w:p>
    <w:p w:rsidR="005165DB" w:rsidRPr="00742EF9" w:rsidRDefault="005165DB">
      <w:pPr>
        <w:spacing w:before="120" w:after="120"/>
        <w:rPr>
          <w:color w:val="000000" w:themeColor="text1"/>
        </w:rPr>
      </w:pPr>
    </w:p>
    <w:p w:rsidR="005165DB" w:rsidRPr="00742EF9" w:rsidRDefault="00550E77">
      <w:pPr>
        <w:spacing w:before="80" w:after="120" w:line="360" w:lineRule="auto"/>
        <w:jc w:val="both"/>
        <w:rPr>
          <w:color w:val="000000" w:themeColor="text1"/>
        </w:rPr>
      </w:pPr>
      <w:proofErr w:type="spellStart"/>
      <w:r w:rsidRPr="00742EF9">
        <w:rPr>
          <w:color w:val="000000" w:themeColor="text1"/>
        </w:rPr>
        <w:t>Tenney</w:t>
      </w:r>
      <w:proofErr w:type="spellEnd"/>
      <w:r w:rsidRPr="00742EF9">
        <w:rPr>
          <w:color w:val="000000" w:themeColor="text1"/>
        </w:rPr>
        <w:t xml:space="preserve">, I., Das, D., &amp; </w:t>
      </w:r>
      <w:proofErr w:type="spellStart"/>
      <w:r w:rsidRPr="00742EF9">
        <w:rPr>
          <w:color w:val="000000" w:themeColor="text1"/>
        </w:rPr>
        <w:t>Pavlick</w:t>
      </w:r>
      <w:proofErr w:type="spellEnd"/>
      <w:r w:rsidRPr="00742EF9">
        <w:rPr>
          <w:color w:val="000000" w:themeColor="text1"/>
        </w:rPr>
        <w:t>, E. (2019). BERT rediscovers the classi</w:t>
      </w:r>
      <w:r w:rsidRPr="00742EF9">
        <w:rPr>
          <w:color w:val="000000" w:themeColor="text1"/>
        </w:rPr>
        <w:t>cal NLP pipeline. Proceedings of the 57th Annual Meeting of the Association for Computational Linguistics, 4593–4601.</w:t>
      </w:r>
    </w:p>
    <w:p w:rsidR="005165DB" w:rsidRPr="00742EF9" w:rsidRDefault="005165DB">
      <w:pPr>
        <w:spacing w:before="120" w:after="120"/>
        <w:rPr>
          <w:color w:val="000000" w:themeColor="text1"/>
        </w:rPr>
      </w:pPr>
    </w:p>
    <w:p w:rsidR="005165DB" w:rsidRPr="00742EF9" w:rsidRDefault="00550E77">
      <w:pPr>
        <w:spacing w:before="80" w:after="120" w:line="360" w:lineRule="auto"/>
        <w:jc w:val="both"/>
        <w:rPr>
          <w:color w:val="000000" w:themeColor="text1"/>
        </w:rPr>
      </w:pPr>
      <w:proofErr w:type="spellStart"/>
      <w:r w:rsidRPr="00742EF9">
        <w:rPr>
          <w:color w:val="000000" w:themeColor="text1"/>
        </w:rPr>
        <w:t>Umapathi</w:t>
      </w:r>
      <w:proofErr w:type="spellEnd"/>
      <w:r w:rsidRPr="00742EF9">
        <w:rPr>
          <w:color w:val="000000" w:themeColor="text1"/>
        </w:rPr>
        <w:t xml:space="preserve">, L. K., Pal, A., &amp; </w:t>
      </w:r>
      <w:proofErr w:type="spellStart"/>
      <w:r w:rsidRPr="00742EF9">
        <w:rPr>
          <w:color w:val="000000" w:themeColor="text1"/>
        </w:rPr>
        <w:t>Sankarasubbu</w:t>
      </w:r>
      <w:proofErr w:type="spellEnd"/>
      <w:r w:rsidRPr="00742EF9">
        <w:rPr>
          <w:color w:val="000000" w:themeColor="text1"/>
        </w:rPr>
        <w:t xml:space="preserve">, M. (2023). Med-HALT: Medical domain hallucination test for large language models. </w:t>
      </w:r>
      <w:proofErr w:type="spellStart"/>
      <w:proofErr w:type="gramStart"/>
      <w:r w:rsidRPr="00742EF9">
        <w:rPr>
          <w:color w:val="000000" w:themeColor="text1"/>
        </w:rPr>
        <w:t>arXiv</w:t>
      </w:r>
      <w:proofErr w:type="spellEnd"/>
      <w:proofErr w:type="gramEnd"/>
      <w:r w:rsidRPr="00742EF9">
        <w:rPr>
          <w:color w:val="000000" w:themeColor="text1"/>
        </w:rPr>
        <w:t xml:space="preserve"> preprin</w:t>
      </w:r>
      <w:r w:rsidRPr="00742EF9">
        <w:rPr>
          <w:color w:val="000000" w:themeColor="text1"/>
        </w:rPr>
        <w:t>t arXiv:2307.15343.</w:t>
      </w:r>
    </w:p>
    <w:p w:rsidR="005165DB" w:rsidRPr="00742EF9" w:rsidRDefault="005165DB">
      <w:pPr>
        <w:spacing w:before="120" w:after="120"/>
        <w:rPr>
          <w:color w:val="000000" w:themeColor="text1"/>
        </w:rPr>
      </w:pPr>
    </w:p>
    <w:p w:rsidR="005165DB" w:rsidRPr="00742EF9" w:rsidRDefault="00550E77">
      <w:pPr>
        <w:spacing w:before="80" w:after="120" w:line="360" w:lineRule="auto"/>
        <w:jc w:val="both"/>
        <w:rPr>
          <w:color w:val="000000" w:themeColor="text1"/>
        </w:rPr>
      </w:pPr>
      <w:proofErr w:type="spellStart"/>
      <w:r w:rsidRPr="00742EF9">
        <w:rPr>
          <w:color w:val="000000" w:themeColor="text1"/>
        </w:rPr>
        <w:t>Vaswani</w:t>
      </w:r>
      <w:proofErr w:type="spellEnd"/>
      <w:r w:rsidRPr="00742EF9">
        <w:rPr>
          <w:color w:val="000000" w:themeColor="text1"/>
        </w:rPr>
        <w:t xml:space="preserve">, A., </w:t>
      </w:r>
      <w:proofErr w:type="spellStart"/>
      <w:r w:rsidRPr="00742EF9">
        <w:rPr>
          <w:color w:val="000000" w:themeColor="text1"/>
        </w:rPr>
        <w:t>Shazeer</w:t>
      </w:r>
      <w:proofErr w:type="spellEnd"/>
      <w:r w:rsidRPr="00742EF9">
        <w:rPr>
          <w:color w:val="000000" w:themeColor="text1"/>
        </w:rPr>
        <w:t xml:space="preserve">, N., </w:t>
      </w:r>
      <w:proofErr w:type="spellStart"/>
      <w:r w:rsidRPr="00742EF9">
        <w:rPr>
          <w:color w:val="000000" w:themeColor="text1"/>
        </w:rPr>
        <w:t>Parmar</w:t>
      </w:r>
      <w:proofErr w:type="spellEnd"/>
      <w:r w:rsidRPr="00742EF9">
        <w:rPr>
          <w:color w:val="000000" w:themeColor="text1"/>
        </w:rPr>
        <w:t>, N., et al. (2017). Attention is all you need. Advances in Neural Information Processing Systems, 30.</w:t>
      </w:r>
    </w:p>
    <w:p w:rsidR="005165DB" w:rsidRPr="00742EF9" w:rsidRDefault="005165DB">
      <w:pPr>
        <w:spacing w:before="120" w:after="120"/>
        <w:rPr>
          <w:color w:val="000000" w:themeColor="text1"/>
        </w:rPr>
      </w:pPr>
    </w:p>
    <w:p w:rsidR="005165DB" w:rsidRPr="00742EF9" w:rsidRDefault="00550E77">
      <w:pPr>
        <w:spacing w:before="80" w:after="120" w:line="360" w:lineRule="auto"/>
        <w:jc w:val="both"/>
        <w:rPr>
          <w:color w:val="000000" w:themeColor="text1"/>
        </w:rPr>
      </w:pPr>
      <w:proofErr w:type="spellStart"/>
      <w:r w:rsidRPr="00742EF9">
        <w:rPr>
          <w:color w:val="000000" w:themeColor="text1"/>
        </w:rPr>
        <w:t>Xiong</w:t>
      </w:r>
      <w:proofErr w:type="spellEnd"/>
      <w:r w:rsidRPr="00742EF9">
        <w:rPr>
          <w:color w:val="000000" w:themeColor="text1"/>
        </w:rPr>
        <w:t xml:space="preserve">, G., </w:t>
      </w:r>
      <w:proofErr w:type="spellStart"/>
      <w:r w:rsidRPr="00742EF9">
        <w:rPr>
          <w:color w:val="000000" w:themeColor="text1"/>
        </w:rPr>
        <w:t>Jin</w:t>
      </w:r>
      <w:proofErr w:type="spellEnd"/>
      <w:r w:rsidRPr="00742EF9">
        <w:rPr>
          <w:color w:val="000000" w:themeColor="text1"/>
        </w:rPr>
        <w:t>, Q., Lu, Z., &amp; Zhang, A. (2024). Benchmarking retrieval-augmented generation for med</w:t>
      </w:r>
      <w:r w:rsidRPr="00742EF9">
        <w:rPr>
          <w:color w:val="000000" w:themeColor="text1"/>
        </w:rPr>
        <w:t>icine. Proceedings of the 62nd Annual Meeting of the Association for Computational Linguistics.</w:t>
      </w:r>
    </w:p>
    <w:p w:rsidR="005165DB" w:rsidRPr="00742EF9" w:rsidRDefault="005165DB">
      <w:pPr>
        <w:spacing w:before="120" w:after="120"/>
        <w:rPr>
          <w:color w:val="000000" w:themeColor="text1"/>
        </w:rPr>
      </w:pPr>
    </w:p>
    <w:p w:rsidR="005165DB" w:rsidRPr="00742EF9" w:rsidRDefault="00550E77">
      <w:pPr>
        <w:spacing w:before="80" w:after="120" w:line="360" w:lineRule="auto"/>
        <w:jc w:val="both"/>
        <w:rPr>
          <w:color w:val="000000" w:themeColor="text1"/>
        </w:rPr>
      </w:pPr>
      <w:r w:rsidRPr="00742EF9">
        <w:rPr>
          <w:color w:val="000000" w:themeColor="text1"/>
        </w:rPr>
        <w:t xml:space="preserve">Zhang, R., Xu, Y., </w:t>
      </w:r>
      <w:proofErr w:type="spellStart"/>
      <w:r w:rsidRPr="00742EF9">
        <w:rPr>
          <w:color w:val="000000" w:themeColor="text1"/>
        </w:rPr>
        <w:t>Kankanhalli</w:t>
      </w:r>
      <w:proofErr w:type="spellEnd"/>
      <w:r w:rsidRPr="00742EF9">
        <w:rPr>
          <w:color w:val="000000" w:themeColor="text1"/>
        </w:rPr>
        <w:t>, M., et al. (2022). Attention alignment in clinical language models for safe recommendation generation. Journal of Biomedical In</w:t>
      </w:r>
      <w:r w:rsidRPr="00742EF9">
        <w:rPr>
          <w:color w:val="000000" w:themeColor="text1"/>
        </w:rPr>
        <w:t>formatics, 128, 104029.</w:t>
      </w:r>
    </w:p>
    <w:sectPr w:rsidR="005165DB" w:rsidRPr="00742EF9">
      <w:headerReference w:type="default" r:id="rId7"/>
      <w:footerReference w:type="default" r:id="rId8"/>
      <w:pgSz w:w="12240" w:h="15840"/>
      <w:pgMar w:top="1440" w:right="1296" w:bottom="1440" w:left="1296"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50E77" w:rsidRDefault="00550E77">
      <w:r>
        <w:separator/>
      </w:r>
    </w:p>
  </w:endnote>
  <w:endnote w:type="continuationSeparator" w:id="0">
    <w:p w:rsidR="00550E77" w:rsidRDefault="00550E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165DB" w:rsidRDefault="00550E77">
    <w:pPr>
      <w:pBdr>
        <w:top w:val="single" w:sz="4" w:space="4" w:color="1A3C6E"/>
      </w:pBdr>
      <w:jc w:val="center"/>
    </w:pPr>
    <w:r>
      <w:rPr>
        <w:color w:val="555555"/>
        <w:sz w:val="18"/>
        <w:szCs w:val="18"/>
      </w:rPr>
      <w:t>AI for Healthcare Capstone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50E77" w:rsidRDefault="00550E77">
      <w:r>
        <w:separator/>
      </w:r>
    </w:p>
  </w:footnote>
  <w:footnote w:type="continuationSeparator" w:id="0">
    <w:p w:rsidR="00550E77" w:rsidRDefault="00550E7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165DB" w:rsidRDefault="00550E77">
    <w:pPr>
      <w:pBdr>
        <w:bottom w:val="single" w:sz="4" w:space="4" w:color="1A3C6E"/>
      </w:pBdr>
    </w:pPr>
    <w:r>
      <w:rPr>
        <w:i/>
        <w:iCs/>
        <w:color w:val="2E5FA3"/>
        <w:sz w:val="18"/>
        <w:szCs w:val="18"/>
      </w:rPr>
      <w:t>CLINIGUARD: A Multi-Signal Clinical Decision Guard for Real-Time Hallucination Detection in Medical LLMs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597899"/>
    <w:multiLevelType w:val="hybridMultilevel"/>
    <w:tmpl w:val="8E8E4198"/>
    <w:lvl w:ilvl="0" w:tplc="CEC01D68">
      <w:start w:val="1"/>
      <w:numFmt w:val="bullet"/>
      <w:lvlText w:val="●"/>
      <w:lvlJc w:val="left"/>
      <w:pPr>
        <w:ind w:left="720" w:hanging="360"/>
      </w:pPr>
    </w:lvl>
    <w:lvl w:ilvl="1" w:tplc="98AA46C8">
      <w:start w:val="1"/>
      <w:numFmt w:val="bullet"/>
      <w:lvlText w:val="○"/>
      <w:lvlJc w:val="left"/>
      <w:pPr>
        <w:ind w:left="1440" w:hanging="360"/>
      </w:pPr>
    </w:lvl>
    <w:lvl w:ilvl="2" w:tplc="CC186D9C">
      <w:start w:val="1"/>
      <w:numFmt w:val="bullet"/>
      <w:lvlText w:val="■"/>
      <w:lvlJc w:val="left"/>
      <w:pPr>
        <w:ind w:left="2160" w:hanging="360"/>
      </w:pPr>
    </w:lvl>
    <w:lvl w:ilvl="3" w:tplc="555E5D8C">
      <w:start w:val="1"/>
      <w:numFmt w:val="bullet"/>
      <w:lvlText w:val="●"/>
      <w:lvlJc w:val="left"/>
      <w:pPr>
        <w:ind w:left="2880" w:hanging="360"/>
      </w:pPr>
    </w:lvl>
    <w:lvl w:ilvl="4" w:tplc="1990F656">
      <w:start w:val="1"/>
      <w:numFmt w:val="bullet"/>
      <w:lvlText w:val="○"/>
      <w:lvlJc w:val="left"/>
      <w:pPr>
        <w:ind w:left="3600" w:hanging="360"/>
      </w:pPr>
    </w:lvl>
    <w:lvl w:ilvl="5" w:tplc="EFDEA0B4">
      <w:start w:val="1"/>
      <w:numFmt w:val="bullet"/>
      <w:lvlText w:val="■"/>
      <w:lvlJc w:val="left"/>
      <w:pPr>
        <w:ind w:left="4320" w:hanging="360"/>
      </w:pPr>
    </w:lvl>
    <w:lvl w:ilvl="6" w:tplc="8494954A">
      <w:start w:val="1"/>
      <w:numFmt w:val="bullet"/>
      <w:lvlText w:val="●"/>
      <w:lvlJc w:val="left"/>
      <w:pPr>
        <w:ind w:left="5040" w:hanging="360"/>
      </w:pPr>
    </w:lvl>
    <w:lvl w:ilvl="7" w:tplc="9B78C8C2">
      <w:start w:val="1"/>
      <w:numFmt w:val="bullet"/>
      <w:lvlText w:val="●"/>
      <w:lvlJc w:val="left"/>
      <w:pPr>
        <w:ind w:left="5760" w:hanging="360"/>
      </w:pPr>
    </w:lvl>
    <w:lvl w:ilvl="8" w:tplc="636A7528">
      <w:start w:val="1"/>
      <w:numFmt w:val="bullet"/>
      <w:lvlText w:val="●"/>
      <w:lvlJc w:val="left"/>
      <w:pPr>
        <w:ind w:left="6480" w:hanging="360"/>
      </w:pPr>
    </w:lvl>
  </w:abstractNum>
  <w:abstractNum w:abstractNumId="1" w15:restartNumberingAfterBreak="0">
    <w:nsid w:val="670A3603"/>
    <w:multiLevelType w:val="hybridMultilevel"/>
    <w:tmpl w:val="BA3C1B10"/>
    <w:lvl w:ilvl="0" w:tplc="948C4972">
      <w:start w:val="1"/>
      <w:numFmt w:val="decimal"/>
      <w:lvlText w:val="%1."/>
      <w:lvlJc w:val="left"/>
      <w:pPr>
        <w:ind w:left="720" w:hanging="360"/>
      </w:pPr>
    </w:lvl>
    <w:lvl w:ilvl="1" w:tplc="1DDE13D0">
      <w:numFmt w:val="decimal"/>
      <w:lvlText w:val=""/>
      <w:lvlJc w:val="left"/>
    </w:lvl>
    <w:lvl w:ilvl="2" w:tplc="98F8F12C">
      <w:numFmt w:val="decimal"/>
      <w:lvlText w:val=""/>
      <w:lvlJc w:val="left"/>
    </w:lvl>
    <w:lvl w:ilvl="3" w:tplc="DFD44C10">
      <w:numFmt w:val="decimal"/>
      <w:lvlText w:val=""/>
      <w:lvlJc w:val="left"/>
    </w:lvl>
    <w:lvl w:ilvl="4" w:tplc="78F61674">
      <w:numFmt w:val="decimal"/>
      <w:lvlText w:val=""/>
      <w:lvlJc w:val="left"/>
    </w:lvl>
    <w:lvl w:ilvl="5" w:tplc="C1E63BE0">
      <w:numFmt w:val="decimal"/>
      <w:lvlText w:val=""/>
      <w:lvlJc w:val="left"/>
    </w:lvl>
    <w:lvl w:ilvl="6" w:tplc="7FAA303E">
      <w:numFmt w:val="decimal"/>
      <w:lvlText w:val=""/>
      <w:lvlJc w:val="left"/>
    </w:lvl>
    <w:lvl w:ilvl="7" w:tplc="34C0FD40">
      <w:numFmt w:val="decimal"/>
      <w:lvlText w:val=""/>
      <w:lvlJc w:val="left"/>
    </w:lvl>
    <w:lvl w:ilvl="8" w:tplc="2B223598">
      <w:numFmt w:val="decimal"/>
      <w:lvlText w:val=""/>
      <w:lvlJc w:val="left"/>
    </w:lvl>
  </w:abstractNum>
  <w:abstractNum w:abstractNumId="2" w15:restartNumberingAfterBreak="0">
    <w:nsid w:val="7E3B64E0"/>
    <w:multiLevelType w:val="hybridMultilevel"/>
    <w:tmpl w:val="73505664"/>
    <w:lvl w:ilvl="0" w:tplc="954E7D16">
      <w:start w:val="1"/>
      <w:numFmt w:val="bullet"/>
      <w:lvlText w:val="•"/>
      <w:lvlJc w:val="left"/>
      <w:pPr>
        <w:ind w:left="720" w:hanging="360"/>
      </w:pPr>
    </w:lvl>
    <w:lvl w:ilvl="1" w:tplc="12DCF7AC">
      <w:start w:val="1"/>
      <w:numFmt w:val="bullet"/>
      <w:lvlText w:val="○"/>
      <w:lvlJc w:val="left"/>
      <w:pPr>
        <w:ind w:left="1080" w:hanging="360"/>
      </w:pPr>
    </w:lvl>
    <w:lvl w:ilvl="2" w:tplc="46A69E28">
      <w:numFmt w:val="decimal"/>
      <w:lvlText w:val=""/>
      <w:lvlJc w:val="left"/>
    </w:lvl>
    <w:lvl w:ilvl="3" w:tplc="02C819D0">
      <w:numFmt w:val="decimal"/>
      <w:lvlText w:val=""/>
      <w:lvlJc w:val="left"/>
    </w:lvl>
    <w:lvl w:ilvl="4" w:tplc="817602D2">
      <w:numFmt w:val="decimal"/>
      <w:lvlText w:val=""/>
      <w:lvlJc w:val="left"/>
    </w:lvl>
    <w:lvl w:ilvl="5" w:tplc="8E9EDF68">
      <w:numFmt w:val="decimal"/>
      <w:lvlText w:val=""/>
      <w:lvlJc w:val="left"/>
    </w:lvl>
    <w:lvl w:ilvl="6" w:tplc="13F4BEB0">
      <w:numFmt w:val="decimal"/>
      <w:lvlText w:val=""/>
      <w:lvlJc w:val="left"/>
    </w:lvl>
    <w:lvl w:ilvl="7" w:tplc="F8A6BBFE">
      <w:numFmt w:val="decimal"/>
      <w:lvlText w:val=""/>
      <w:lvlJc w:val="left"/>
    </w:lvl>
    <w:lvl w:ilvl="8" w:tplc="8A16038E">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65DB"/>
    <w:rsid w:val="001C3DCE"/>
    <w:rsid w:val="005165DB"/>
    <w:rsid w:val="00550E77"/>
    <w:rsid w:val="00742E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E93AF0F-A918-4604-8990-B8B45C911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80"/>
      <w:outlineLvl w:val="0"/>
    </w:pPr>
    <w:rPr>
      <w:b/>
      <w:bCs/>
      <w:color w:val="1A3C6E"/>
      <w:sz w:val="32"/>
      <w:szCs w:val="32"/>
    </w:rPr>
  </w:style>
  <w:style w:type="paragraph" w:styleId="Heading2">
    <w:name w:val="heading 2"/>
    <w:qFormat/>
    <w:pPr>
      <w:spacing w:before="240" w:after="120"/>
      <w:outlineLvl w:val="1"/>
    </w:pPr>
    <w:rPr>
      <w:b/>
      <w:bCs/>
      <w:color w:val="2E5FA3"/>
      <w:sz w:val="26"/>
      <w:szCs w:val="26"/>
    </w:rPr>
  </w:style>
  <w:style w:type="paragraph" w:styleId="Heading3">
    <w:name w:val="heading 3"/>
    <w:qFormat/>
    <w:pPr>
      <w:spacing w:before="180" w:after="100"/>
      <w:outlineLvl w:val="2"/>
    </w:pPr>
    <w:rPr>
      <w:b/>
      <w:bCs/>
      <w:color w:val="3A3A3A"/>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1</Pages>
  <Words>5648</Words>
  <Characters>32195</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3</cp:revision>
  <dcterms:created xsi:type="dcterms:W3CDTF">2026-06-11T02:42:00Z</dcterms:created>
  <dcterms:modified xsi:type="dcterms:W3CDTF">2026-06-11T03:46:00Z</dcterms:modified>
</cp:coreProperties>
</file>