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AE05" w14:textId="77777777" w:rsidR="00AC43DC" w:rsidRDefault="00AC43DC" w:rsidP="00AC43DC">
      <w:r>
        <w:t>Financial Analysis of [PUT YOUR ASSET NAME - e.g., GOLD / NIFTY / TCS]</w:t>
      </w:r>
    </w:p>
    <w:p w14:paraId="60DAE216" w14:textId="0945A0DE" w:rsidR="00AC43DC" w:rsidRDefault="00AC43DC" w:rsidP="00AC43DC">
      <w:r>
        <w:t xml:space="preserve">     </w:t>
      </w:r>
      <w:r>
        <w:tab/>
        <w:t xml:space="preserve">                 </w:t>
      </w:r>
      <w:proofErr w:type="gramStart"/>
      <w:r>
        <w:t>NAME :</w:t>
      </w:r>
      <w:proofErr w:type="gramEnd"/>
      <w:r>
        <w:t xml:space="preserve">  </w:t>
      </w:r>
      <w:proofErr w:type="spellStart"/>
      <w:proofErr w:type="gramStart"/>
      <w:r>
        <w:t>M.Yogesh</w:t>
      </w:r>
      <w:proofErr w:type="spellEnd"/>
      <w:proofErr w:type="gramEnd"/>
      <w:r>
        <w:tab/>
      </w:r>
      <w:r>
        <w:tab/>
      </w:r>
    </w:p>
    <w:p w14:paraId="482051F7" w14:textId="4C369B8F" w:rsidR="00AC43DC" w:rsidRDefault="00AC43DC" w:rsidP="00AC43DC">
      <w:r>
        <w:t xml:space="preserve">                 </w:t>
      </w:r>
      <w:proofErr w:type="gramStart"/>
      <w:r>
        <w:t>REGISTER  NUMBER</w:t>
      </w:r>
      <w:proofErr w:type="gramEnd"/>
      <w:r>
        <w:t xml:space="preserve"> :  26BSC</w:t>
      </w:r>
      <w:r>
        <w:t>108</w:t>
      </w:r>
    </w:p>
    <w:p w14:paraId="1AF540C2" w14:textId="77777777" w:rsidR="00AC43DC" w:rsidRDefault="00AC43DC" w:rsidP="00AC43DC">
      <w:proofErr w:type="gramStart"/>
      <w:r>
        <w:t>DEPARTMENT :</w:t>
      </w:r>
      <w:proofErr w:type="gramEnd"/>
      <w:r>
        <w:t xml:space="preserve"> B.SC COMPUTER SCIENCE (AI </w:t>
      </w:r>
      <w:proofErr w:type="gramStart"/>
      <w:r>
        <w:t>&amp;  DS</w:t>
      </w:r>
      <w:proofErr w:type="gramEnd"/>
      <w:r>
        <w:t>)</w:t>
      </w:r>
    </w:p>
    <w:p w14:paraId="4DC205A7" w14:textId="77777777" w:rsidR="00AC43DC" w:rsidRDefault="00AC43DC" w:rsidP="00AC43DC">
      <w:r>
        <w:t xml:space="preserve">                              </w:t>
      </w:r>
      <w:proofErr w:type="gramStart"/>
      <w:r>
        <w:t>DATE :</w:t>
      </w:r>
      <w:proofErr w:type="gramEnd"/>
      <w:r>
        <w:t xml:space="preserve">  16 \ 09 \ 2026</w:t>
      </w:r>
    </w:p>
    <w:p w14:paraId="275FB3D5" w14:textId="77777777" w:rsidR="00AC43DC" w:rsidRDefault="00AC43DC" w:rsidP="00AC43DC">
      <w:r>
        <w:t xml:space="preserve">                           </w:t>
      </w:r>
      <w:proofErr w:type="gramStart"/>
      <w:r>
        <w:t>GOOGLE  COLAB</w:t>
      </w:r>
      <w:proofErr w:type="gramEnd"/>
      <w:r>
        <w:t xml:space="preserve">   </w:t>
      </w:r>
      <w:proofErr w:type="gramStart"/>
      <w:r>
        <w:t>LINK :</w:t>
      </w:r>
      <w:proofErr w:type="gramEnd"/>
    </w:p>
    <w:p w14:paraId="1D82B5E4" w14:textId="0036793A" w:rsidR="00AC43DC" w:rsidRDefault="00AC43DC" w:rsidP="00AC43DC">
      <w:r w:rsidRPr="00AC43DC">
        <w:t>https://colab.research.google.com/drive/1u7iUyMzsoFLCtEBreqFVjoq3gFOlVe-x?usp=sharing</w:t>
      </w:r>
    </w:p>
    <w:p w14:paraId="3A88B88E" w14:textId="77777777" w:rsidR="00AC43DC" w:rsidRDefault="00AC43DC" w:rsidP="00AC43DC">
      <w:r>
        <w:t> </w:t>
      </w:r>
    </w:p>
    <w:p w14:paraId="2A1CF96D" w14:textId="77777777" w:rsidR="00AC43DC" w:rsidRDefault="00AC43DC" w:rsidP="00AC43DC">
      <w:r>
        <w:t>OBJECTIVE</w:t>
      </w:r>
    </w:p>
    <w:p w14:paraId="34999C45" w14:textId="77777777" w:rsidR="00AC43DC" w:rsidRDefault="00AC43DC" w:rsidP="00AC43DC">
      <w:r>
        <w:t xml:space="preserve">The main objective of this report is to analyze the historical financial data of Gold. To identify price trends, trading behavior, and volatility patterns and to generate key financial insights for investment decision making using technical indicators like Moving Average, Return Distribution and Volatility Analysis. This report is prepared using Python in Google </w:t>
      </w:r>
      <w:proofErr w:type="spellStart"/>
      <w:r>
        <w:t>Colab</w:t>
      </w:r>
      <w:proofErr w:type="spellEnd"/>
      <w:r>
        <w:t>.</w:t>
      </w:r>
    </w:p>
    <w:p w14:paraId="040CDC76" w14:textId="77777777" w:rsidR="00AC43DC" w:rsidRDefault="00AC43DC" w:rsidP="00AC43DC">
      <w:r>
        <w:t>HISTORICAL PRICE TREND</w:t>
      </w:r>
    </w:p>
    <w:p w14:paraId="7C7242BA" w14:textId="77777777" w:rsidR="00AC43DC" w:rsidRDefault="00AC43DC" w:rsidP="00AC43DC">
      <w:r>
        <w:t xml:space="preserve">This section shows the closing price movement over time. The closing price line plot indicates the overall market trend. From the chart, it is observed that </w:t>
      </w:r>
      <w:proofErr w:type="gramStart"/>
      <w:r>
        <w:t>Gold</w:t>
      </w:r>
      <w:proofErr w:type="gramEnd"/>
      <w:r>
        <w:t xml:space="preserve"> price was around $1820 in early March, corrected to $1732 in June and then recovered to $1783 in September. This shows a downtrend followed by an uptrend indicating market recovery.</w:t>
      </w:r>
    </w:p>
    <w:p w14:paraId="645A70A6" w14:textId="55D5883A" w:rsidR="004149ED" w:rsidRPr="004149ED" w:rsidRDefault="004149ED" w:rsidP="004149ED">
      <w:r w:rsidRPr="004149ED">
        <w:drawing>
          <wp:inline distT="0" distB="0" distL="0" distR="0" wp14:anchorId="5C3124B7" wp14:editId="40995819">
            <wp:extent cx="5943600" cy="2780665"/>
            <wp:effectExtent l="0" t="0" r="0" b="635"/>
            <wp:docPr id="1796801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0F243E22" w14:textId="77777777" w:rsidR="000635B1" w:rsidRDefault="000635B1" w:rsidP="00AC43DC"/>
    <w:p w14:paraId="590FB03D" w14:textId="17C5824B" w:rsidR="00AC43DC" w:rsidRDefault="00AC43DC" w:rsidP="00AC43DC">
      <w:r>
        <w:lastRenderedPageBreak/>
        <w:t>TRADING VOLUME ANALYSIS</w:t>
      </w:r>
    </w:p>
    <w:p w14:paraId="49E8EA2D" w14:textId="77777777" w:rsidR="00AC43DC" w:rsidRDefault="00AC43DC" w:rsidP="00AC43DC">
      <w:r>
        <w:t>Trading volume indicates market participation and liquidity. High volume during price rise indicates strong buying interest. The volume plot shows fluctuations between 1 million to 6 million. Volume spikes are observed during high price movements, which confirms that price changes are supported by volume. Low volume periods indicate consolidation.</w:t>
      </w:r>
    </w:p>
    <w:p w14:paraId="36D8883C" w14:textId="77777777" w:rsidR="004149ED" w:rsidRDefault="004149ED" w:rsidP="00AC43DC"/>
    <w:p w14:paraId="11B4610F" w14:textId="77777777" w:rsidR="004149ED" w:rsidRDefault="004149ED" w:rsidP="00AC43DC"/>
    <w:p w14:paraId="181250EB" w14:textId="77777777" w:rsidR="004149ED" w:rsidRDefault="004149ED" w:rsidP="00AC43DC"/>
    <w:p w14:paraId="241C7F31" w14:textId="2A21E720" w:rsidR="004149ED" w:rsidRPr="004149ED" w:rsidRDefault="004149ED" w:rsidP="004149ED">
      <w:r w:rsidRPr="004149ED">
        <w:drawing>
          <wp:inline distT="0" distB="0" distL="0" distR="0" wp14:anchorId="08F4600B" wp14:editId="2539814B">
            <wp:extent cx="5943600" cy="2416810"/>
            <wp:effectExtent l="0" t="0" r="0" b="2540"/>
            <wp:docPr id="7935272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381A9675" w14:textId="77777777" w:rsidR="004149ED" w:rsidRDefault="004149ED" w:rsidP="00AC43DC"/>
    <w:p w14:paraId="6F665273" w14:textId="77777777" w:rsidR="00AC43DC" w:rsidRDefault="00AC43DC" w:rsidP="00AC43DC">
      <w:r>
        <w:t xml:space="preserve"> </w:t>
      </w:r>
    </w:p>
    <w:p w14:paraId="4375E742" w14:textId="77777777" w:rsidR="00AC43DC" w:rsidRDefault="00AC43DC" w:rsidP="00AC43DC"/>
    <w:p w14:paraId="4235456E" w14:textId="77777777" w:rsidR="000635B1" w:rsidRDefault="000635B1" w:rsidP="00AC43DC"/>
    <w:p w14:paraId="1A2738CB" w14:textId="77777777" w:rsidR="000635B1" w:rsidRDefault="000635B1" w:rsidP="00AC43DC"/>
    <w:p w14:paraId="7B08CECE" w14:textId="77777777" w:rsidR="000635B1" w:rsidRDefault="000635B1" w:rsidP="00AC43DC"/>
    <w:p w14:paraId="4A658361" w14:textId="77777777" w:rsidR="000635B1" w:rsidRDefault="000635B1" w:rsidP="00AC43DC"/>
    <w:p w14:paraId="1B735636" w14:textId="77777777" w:rsidR="000635B1" w:rsidRDefault="000635B1" w:rsidP="00AC43DC"/>
    <w:p w14:paraId="65C40FC7" w14:textId="77777777" w:rsidR="000635B1" w:rsidRDefault="000635B1" w:rsidP="00AC43DC"/>
    <w:p w14:paraId="27E63876" w14:textId="77777777" w:rsidR="000635B1" w:rsidRDefault="000635B1" w:rsidP="00AC43DC"/>
    <w:p w14:paraId="10023782" w14:textId="77777777" w:rsidR="000635B1" w:rsidRDefault="000635B1" w:rsidP="00AC43DC"/>
    <w:p w14:paraId="1D35B4F5" w14:textId="4610DD2F" w:rsidR="00AC43DC" w:rsidRDefault="00AC43DC" w:rsidP="00AC43DC">
      <w:r>
        <w:lastRenderedPageBreak/>
        <w:t>MOVING AVERAGE ANALYSIS</w:t>
      </w:r>
    </w:p>
    <w:p w14:paraId="306BD6A6" w14:textId="77777777" w:rsidR="00AC43DC" w:rsidRDefault="00AC43DC" w:rsidP="00AC43DC">
      <w:r>
        <w:t>Moving averages smooth out price data to identify trend direction. 20-Day SMA is for short-term trend and 50-Day SMA is for medium-term trend. When 20-Day SMA crosses above 50-Day SMA it is called Golden Cross which is a buy signal. When it crosses below it is Death Cross which is a sell signal. In our analysis, Death Cross occurred in April and Golden Cross occurred in late August indicating bullish momentum for future.</w:t>
      </w:r>
    </w:p>
    <w:p w14:paraId="0B971FDD" w14:textId="77777777" w:rsidR="004149ED" w:rsidRDefault="004149ED" w:rsidP="00AC43DC"/>
    <w:p w14:paraId="139BD74F" w14:textId="77777777" w:rsidR="004149ED" w:rsidRDefault="004149ED" w:rsidP="00AC43DC"/>
    <w:p w14:paraId="2B52CD0A" w14:textId="746EA9FA" w:rsidR="004149ED" w:rsidRPr="004149ED" w:rsidRDefault="004149ED" w:rsidP="004149ED">
      <w:r w:rsidRPr="004149ED">
        <w:drawing>
          <wp:inline distT="0" distB="0" distL="0" distR="0" wp14:anchorId="1639327E" wp14:editId="28057538">
            <wp:extent cx="5943600" cy="2804795"/>
            <wp:effectExtent l="0" t="0" r="0" b="0"/>
            <wp:docPr id="1516608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04795"/>
                    </a:xfrm>
                    <a:prstGeom prst="rect">
                      <a:avLst/>
                    </a:prstGeom>
                    <a:noFill/>
                    <a:ln>
                      <a:noFill/>
                    </a:ln>
                  </pic:spPr>
                </pic:pic>
              </a:graphicData>
            </a:graphic>
          </wp:inline>
        </w:drawing>
      </w:r>
    </w:p>
    <w:p w14:paraId="753FAD9E" w14:textId="77777777" w:rsidR="004149ED" w:rsidRDefault="004149ED" w:rsidP="00AC43DC"/>
    <w:p w14:paraId="5AAA9087" w14:textId="77777777" w:rsidR="00AC43DC" w:rsidRDefault="00AC43DC" w:rsidP="00AC43DC">
      <w:r>
        <w:t xml:space="preserve"> </w:t>
      </w:r>
    </w:p>
    <w:p w14:paraId="5C77821A" w14:textId="77777777" w:rsidR="00AC43DC" w:rsidRDefault="00AC43DC" w:rsidP="00AC43DC"/>
    <w:p w14:paraId="53326252" w14:textId="77777777" w:rsidR="000635B1" w:rsidRDefault="000635B1" w:rsidP="00AC43DC"/>
    <w:p w14:paraId="5480B735" w14:textId="77777777" w:rsidR="000635B1" w:rsidRDefault="000635B1" w:rsidP="00AC43DC"/>
    <w:p w14:paraId="71A2D01C" w14:textId="77777777" w:rsidR="000635B1" w:rsidRDefault="000635B1" w:rsidP="00AC43DC"/>
    <w:p w14:paraId="1AD26720" w14:textId="77777777" w:rsidR="000635B1" w:rsidRDefault="000635B1" w:rsidP="00AC43DC"/>
    <w:p w14:paraId="472A9D20" w14:textId="77777777" w:rsidR="000635B1" w:rsidRDefault="000635B1" w:rsidP="00AC43DC"/>
    <w:p w14:paraId="0A3867D3" w14:textId="77777777" w:rsidR="000635B1" w:rsidRDefault="000635B1" w:rsidP="00AC43DC"/>
    <w:p w14:paraId="146BACFA" w14:textId="77777777" w:rsidR="000635B1" w:rsidRDefault="000635B1" w:rsidP="00AC43DC"/>
    <w:p w14:paraId="6FC71155" w14:textId="30F3CF7D" w:rsidR="00AC43DC" w:rsidRDefault="00AC43DC" w:rsidP="00AC43DC">
      <w:r>
        <w:lastRenderedPageBreak/>
        <w:t>RETURN DISTRIBUTION</w:t>
      </w:r>
    </w:p>
    <w:p w14:paraId="42F0EDAE" w14:textId="77777777" w:rsidR="00AC43DC" w:rsidRDefault="00AC43DC" w:rsidP="00AC43DC">
      <w:r>
        <w:t>Daily Return is calculated as (Close today - Close yesterday)/Close yesterday _ 100. The Histogram + KDE plot shows how returns are distributed. The returns are centered around 0% to 0.1% and most returns are between -0.5% to +0.5%. The distribution is approximately normal, meaning extreme losses are rare. This indicates Gold is relatively stable for daily trading.</w:t>
      </w:r>
    </w:p>
    <w:p w14:paraId="4CED76EC" w14:textId="77777777" w:rsidR="000635B1" w:rsidRDefault="000635B1" w:rsidP="00AC43DC"/>
    <w:p w14:paraId="653267A2" w14:textId="77777777" w:rsidR="000635B1" w:rsidRDefault="000635B1" w:rsidP="00AC43DC"/>
    <w:p w14:paraId="3EDB3363" w14:textId="760BE9A6" w:rsidR="000635B1" w:rsidRPr="000635B1" w:rsidRDefault="000635B1" w:rsidP="000635B1">
      <w:r w:rsidRPr="000635B1">
        <w:drawing>
          <wp:inline distT="0" distB="0" distL="0" distR="0" wp14:anchorId="16D685E4" wp14:editId="6F5DA18F">
            <wp:extent cx="5943600" cy="3826510"/>
            <wp:effectExtent l="0" t="0" r="0" b="2540"/>
            <wp:docPr id="10598613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7DAF92FB" w14:textId="4CF81B0C" w:rsidR="00AC43DC" w:rsidRDefault="00AC43DC" w:rsidP="00AC43DC">
      <w:r>
        <w:t xml:space="preserve"> </w:t>
      </w:r>
    </w:p>
    <w:p w14:paraId="53A6A9A2" w14:textId="77777777" w:rsidR="00AC43DC" w:rsidRDefault="00AC43DC" w:rsidP="00AC43DC"/>
    <w:p w14:paraId="0487398F" w14:textId="77777777" w:rsidR="000635B1" w:rsidRDefault="000635B1" w:rsidP="00AC43DC"/>
    <w:p w14:paraId="6F3D0134" w14:textId="77777777" w:rsidR="000635B1" w:rsidRDefault="000635B1" w:rsidP="00AC43DC"/>
    <w:p w14:paraId="22BCE802" w14:textId="77777777" w:rsidR="000635B1" w:rsidRDefault="000635B1" w:rsidP="00AC43DC"/>
    <w:p w14:paraId="36197A04" w14:textId="77777777" w:rsidR="000635B1" w:rsidRDefault="000635B1" w:rsidP="00AC43DC"/>
    <w:p w14:paraId="7A3B4D9A" w14:textId="77777777" w:rsidR="000635B1" w:rsidRDefault="000635B1" w:rsidP="00AC43DC"/>
    <w:p w14:paraId="3BC68ED5" w14:textId="40182B20" w:rsidR="00AC43DC" w:rsidRDefault="00AC43DC" w:rsidP="00AC43DC">
      <w:r>
        <w:lastRenderedPageBreak/>
        <w:t>VOLATILITY ANALYSIS</w:t>
      </w:r>
    </w:p>
    <w:p w14:paraId="4B625932" w14:textId="77777777" w:rsidR="00AC43DC" w:rsidRDefault="00AC43DC" w:rsidP="00AC43DC">
      <w:r>
        <w:t>Volatility is measured as rolling 20-day standard deviation of returns. High volatility means high risk. The plot shows volatility between 0.18% to 0.33%. Top 5 high volatility days are identified as early July 2026. These days show high uncertainty and may correspond to market news or global events. Volatility clustering is observed, meaning high volatility days come together.</w:t>
      </w:r>
    </w:p>
    <w:p w14:paraId="1704A883" w14:textId="501D0B20" w:rsidR="00AC43DC" w:rsidRDefault="00AC43DC" w:rsidP="00AC43DC">
      <w:r>
        <w:t>_</w:t>
      </w:r>
    </w:p>
    <w:p w14:paraId="1B45C2AA" w14:textId="77777777" w:rsidR="000635B1" w:rsidRDefault="000635B1" w:rsidP="00AC43DC"/>
    <w:p w14:paraId="3B175754" w14:textId="77777777" w:rsidR="000635B1" w:rsidRDefault="000635B1" w:rsidP="00AC43DC"/>
    <w:p w14:paraId="4041F95D" w14:textId="77777777" w:rsidR="000635B1" w:rsidRDefault="000635B1" w:rsidP="00AC43DC"/>
    <w:p w14:paraId="5EC4615F" w14:textId="77777777" w:rsidR="000635B1" w:rsidRDefault="000635B1" w:rsidP="00AC43DC"/>
    <w:p w14:paraId="663EF38E" w14:textId="0846C00B" w:rsidR="000635B1" w:rsidRPr="000635B1" w:rsidRDefault="000635B1" w:rsidP="000635B1">
      <w:r w:rsidRPr="000635B1">
        <w:drawing>
          <wp:inline distT="0" distB="0" distL="0" distR="0" wp14:anchorId="3F1D6881" wp14:editId="4916BC68">
            <wp:extent cx="5943600" cy="2402205"/>
            <wp:effectExtent l="0" t="0" r="0" b="0"/>
            <wp:docPr id="4754312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02205"/>
                    </a:xfrm>
                    <a:prstGeom prst="rect">
                      <a:avLst/>
                    </a:prstGeom>
                    <a:noFill/>
                    <a:ln>
                      <a:noFill/>
                    </a:ln>
                  </pic:spPr>
                </pic:pic>
              </a:graphicData>
            </a:graphic>
          </wp:inline>
        </w:drawing>
      </w:r>
    </w:p>
    <w:p w14:paraId="3DFF3E7A" w14:textId="77777777" w:rsidR="000635B1" w:rsidRDefault="000635B1" w:rsidP="00AC43DC"/>
    <w:p w14:paraId="28C158CC" w14:textId="77777777" w:rsidR="00AC43DC" w:rsidRDefault="00AC43DC" w:rsidP="00AC43DC">
      <w:r>
        <w:t xml:space="preserve"> </w:t>
      </w:r>
    </w:p>
    <w:p w14:paraId="1C784E39" w14:textId="77777777" w:rsidR="00AC43DC" w:rsidRDefault="00AC43DC" w:rsidP="00AC43DC"/>
    <w:p w14:paraId="0D43D6B0" w14:textId="77777777" w:rsidR="000635B1" w:rsidRDefault="00AC43DC" w:rsidP="00AC43DC">
      <w:r>
        <w:t xml:space="preserve"> </w:t>
      </w:r>
    </w:p>
    <w:p w14:paraId="6EC07CE9" w14:textId="77777777" w:rsidR="000635B1" w:rsidRDefault="000635B1" w:rsidP="00AC43DC"/>
    <w:p w14:paraId="29CE594F" w14:textId="77777777" w:rsidR="000635B1" w:rsidRDefault="000635B1" w:rsidP="00AC43DC"/>
    <w:p w14:paraId="2D180625" w14:textId="77777777" w:rsidR="000635B1" w:rsidRDefault="000635B1" w:rsidP="00AC43DC"/>
    <w:p w14:paraId="486B55B6" w14:textId="77777777" w:rsidR="000635B1" w:rsidRDefault="000635B1" w:rsidP="00AC43DC"/>
    <w:p w14:paraId="70829E66" w14:textId="77777777" w:rsidR="000635B1" w:rsidRDefault="000635B1" w:rsidP="00AC43DC"/>
    <w:p w14:paraId="4E9B0665" w14:textId="77777777" w:rsidR="000635B1" w:rsidRDefault="000635B1" w:rsidP="00AC43DC"/>
    <w:p w14:paraId="4E5D9874" w14:textId="5E03B09B" w:rsidR="00AC43DC" w:rsidRDefault="00AC43DC" w:rsidP="00AC43DC">
      <w:r>
        <w:t>KEY FINANCIAL INSIGHTS (5 Insights)</w:t>
      </w:r>
    </w:p>
    <w:p w14:paraId="77AE795F" w14:textId="77777777" w:rsidR="00AC43DC" w:rsidRDefault="00AC43DC" w:rsidP="00AC43DC">
      <w:r>
        <w:t>The Gold price shows a U-shaped recovery pattern - after correction in June, it recovered strongly in August-September indicating bullish reversal.</w:t>
      </w:r>
    </w:p>
    <w:p w14:paraId="7B732C8A" w14:textId="77777777" w:rsidR="00AC43DC" w:rsidRDefault="00AC43DC" w:rsidP="00AC43DC">
      <w:r>
        <w:t>Golden Cross in late August (20-SMA crossing above 50-SMA) gives a clear buy signal for medium-term investors.</w:t>
      </w:r>
    </w:p>
    <w:p w14:paraId="0C80B43B" w14:textId="77777777" w:rsidR="00AC43DC" w:rsidRDefault="00AC43DC" w:rsidP="00AC43DC">
      <w:r>
        <w:t>Trading volume confirms the price trend - volume increases during uptrend showing strong buyer interest.</w:t>
      </w:r>
    </w:p>
    <w:p w14:paraId="408EE5EB" w14:textId="77777777" w:rsidR="00AC43DC" w:rsidRDefault="00AC43DC" w:rsidP="00AC43DC">
      <w:r>
        <w:t>Return distribution is near normal with 68% of daily returns within ±0.25%, indicating moderate risk and low probability of extreme loss.</w:t>
      </w:r>
    </w:p>
    <w:p w14:paraId="451741D6" w14:textId="77777777" w:rsidR="00AC43DC" w:rsidRDefault="00AC43DC" w:rsidP="00AC43DC">
      <w:r>
        <w:t>Volatility is moderate with average 0.26%, but clusters in early July, so investors should use stop-loss during high volatility periods.</w:t>
      </w:r>
    </w:p>
    <w:p w14:paraId="22B9CFEB" w14:textId="50F3FAB6" w:rsidR="00B74212" w:rsidRDefault="00B74212" w:rsidP="00AC43DC"/>
    <w:p w14:paraId="21B9BE9A" w14:textId="77777777" w:rsidR="000635B1" w:rsidRDefault="000635B1" w:rsidP="00AC43DC"/>
    <w:p w14:paraId="270FBF65" w14:textId="77777777" w:rsidR="000635B1" w:rsidRDefault="000635B1" w:rsidP="00AC43DC"/>
    <w:p w14:paraId="67E5B825" w14:textId="77777777" w:rsidR="000635B1" w:rsidRDefault="000635B1" w:rsidP="00AC43DC"/>
    <w:p w14:paraId="240A5604" w14:textId="77777777" w:rsidR="000635B1" w:rsidRDefault="000635B1" w:rsidP="00AC43DC"/>
    <w:p w14:paraId="007E1769" w14:textId="77777777" w:rsidR="000635B1" w:rsidRDefault="000635B1" w:rsidP="00AC43DC"/>
    <w:p w14:paraId="6A2A1C1A" w14:textId="77777777" w:rsidR="000635B1" w:rsidRDefault="000635B1" w:rsidP="000635B1">
      <w:r>
        <w:t>CONCLUSION</w:t>
      </w:r>
    </w:p>
    <w:p w14:paraId="523E2CCB" w14:textId="6C8504C2" w:rsidR="000635B1" w:rsidRDefault="000635B1" w:rsidP="000635B1">
      <w:r>
        <w:t xml:space="preserve">The financial analysis of </w:t>
      </w:r>
      <w:proofErr w:type="gramStart"/>
      <w:r>
        <w:t>Gold</w:t>
      </w:r>
      <w:proofErr w:type="gramEnd"/>
      <w:r>
        <w:t xml:space="preserve"> shows that the asset has overcome the downtrend and is in a recovery phase. Moving averages and volume provide clear trading signals. While short-term volatility exists, the long-term outlook is cautiously bullish. Investors are advised to monitor SMA crossovers and volatility spikes for entry and exit decisions. Risk management with proper stop-loss is recommended.</w:t>
      </w:r>
    </w:p>
    <w:sectPr w:rsidR="000635B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C497" w14:textId="77777777" w:rsidR="005D5100" w:rsidRDefault="005D5100" w:rsidP="004149ED">
      <w:pPr>
        <w:spacing w:after="0" w:line="240" w:lineRule="auto"/>
      </w:pPr>
      <w:r>
        <w:separator/>
      </w:r>
    </w:p>
  </w:endnote>
  <w:endnote w:type="continuationSeparator" w:id="0">
    <w:p w14:paraId="6E595D42" w14:textId="77777777" w:rsidR="005D5100" w:rsidRDefault="005D5100" w:rsidP="00414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9714" w14:textId="77777777" w:rsidR="004149ED" w:rsidRDefault="004149E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001793"/>
      <w:docPartObj>
        <w:docPartGallery w:val="Page Numbers (Bottom of Page)"/>
        <w:docPartUnique/>
      </w:docPartObj>
    </w:sdtPr>
    <w:sdtEndPr>
      <w:rPr>
        <w:noProof/>
      </w:rPr>
    </w:sdtEndPr>
    <w:sdtContent>
      <w:p w14:paraId="52F6D996" w14:textId="7D138311" w:rsidR="000635B1" w:rsidRDefault="000635B1">
        <w:pPr>
          <w:pStyle w:val="Footer"/>
        </w:pPr>
        <w:r>
          <w:fldChar w:fldCharType="begin"/>
        </w:r>
        <w:r>
          <w:instrText xml:space="preserve"> PAGE   \* MERGEFORMAT </w:instrText>
        </w:r>
        <w:r>
          <w:fldChar w:fldCharType="separate"/>
        </w:r>
        <w:r>
          <w:rPr>
            <w:noProof/>
          </w:rPr>
          <w:t>2</w:t>
        </w:r>
        <w:r>
          <w:rPr>
            <w:noProof/>
          </w:rPr>
          <w:fldChar w:fldCharType="end"/>
        </w:r>
      </w:p>
    </w:sdtContent>
  </w:sdt>
  <w:p w14:paraId="177FCD62" w14:textId="77777777" w:rsidR="004149ED" w:rsidRDefault="004149E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7A9C" w14:textId="77777777" w:rsidR="004149ED" w:rsidRDefault="004149E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7509" w14:textId="77777777" w:rsidR="005D5100" w:rsidRDefault="005D5100" w:rsidP="004149ED">
      <w:pPr>
        <w:spacing w:after="0" w:line="240" w:lineRule="auto"/>
      </w:pPr>
      <w:r>
        <w:separator/>
      </w:r>
    </w:p>
  </w:footnote>
  <w:footnote w:type="continuationSeparator" w:id="0">
    <w:p w14:paraId="0F058F38" w14:textId="77777777" w:rsidR="005D5100" w:rsidRDefault="005D5100" w:rsidP="00414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2428" w14:textId="77777777" w:rsidR="004149ED" w:rsidRDefault="004149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0537" w14:textId="77777777" w:rsidR="004149ED" w:rsidRDefault="004149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0579" w14:textId="77777777" w:rsidR="004149ED" w:rsidRDefault="004149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3DC"/>
    <w:rsid w:val="000635B1"/>
    <w:rsid w:val="004149ED"/>
    <w:rsid w:val="004C280E"/>
    <w:rsid w:val="004D4993"/>
    <w:rsid w:val="005D5100"/>
    <w:rsid w:val="007E0DCA"/>
    <w:rsid w:val="00AC43DC"/>
    <w:rsid w:val="00AE44EC"/>
    <w:rsid w:val="00B74212"/>
    <w:rsid w:val="00F5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2E83"/>
  <w15:chartTrackingRefBased/>
  <w15:docId w15:val="{3E7A7020-9D79-40C4-B884-48C82595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3DC"/>
    <w:rPr>
      <w:rFonts w:eastAsiaTheme="majorEastAsia" w:cstheme="majorBidi"/>
      <w:color w:val="272727" w:themeColor="text1" w:themeTint="D8"/>
    </w:rPr>
  </w:style>
  <w:style w:type="paragraph" w:styleId="Title">
    <w:name w:val="Title"/>
    <w:basedOn w:val="Normal"/>
    <w:next w:val="Normal"/>
    <w:link w:val="TitleChar"/>
    <w:uiPriority w:val="10"/>
    <w:qFormat/>
    <w:rsid w:val="00AC4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3DC"/>
    <w:pPr>
      <w:spacing w:before="160"/>
      <w:jc w:val="center"/>
    </w:pPr>
    <w:rPr>
      <w:i/>
      <w:iCs/>
      <w:color w:val="404040" w:themeColor="text1" w:themeTint="BF"/>
    </w:rPr>
  </w:style>
  <w:style w:type="character" w:customStyle="1" w:styleId="QuoteChar">
    <w:name w:val="Quote Char"/>
    <w:basedOn w:val="DefaultParagraphFont"/>
    <w:link w:val="Quote"/>
    <w:uiPriority w:val="29"/>
    <w:rsid w:val="00AC43DC"/>
    <w:rPr>
      <w:i/>
      <w:iCs/>
      <w:color w:val="404040" w:themeColor="text1" w:themeTint="BF"/>
    </w:rPr>
  </w:style>
  <w:style w:type="paragraph" w:styleId="ListParagraph">
    <w:name w:val="List Paragraph"/>
    <w:basedOn w:val="Normal"/>
    <w:uiPriority w:val="34"/>
    <w:qFormat/>
    <w:rsid w:val="00AC43DC"/>
    <w:pPr>
      <w:ind w:left="720"/>
      <w:contextualSpacing/>
    </w:pPr>
  </w:style>
  <w:style w:type="character" w:styleId="IntenseEmphasis">
    <w:name w:val="Intense Emphasis"/>
    <w:basedOn w:val="DefaultParagraphFont"/>
    <w:uiPriority w:val="21"/>
    <w:qFormat/>
    <w:rsid w:val="00AC43DC"/>
    <w:rPr>
      <w:i/>
      <w:iCs/>
      <w:color w:val="2F5496" w:themeColor="accent1" w:themeShade="BF"/>
    </w:rPr>
  </w:style>
  <w:style w:type="paragraph" w:styleId="IntenseQuote">
    <w:name w:val="Intense Quote"/>
    <w:basedOn w:val="Normal"/>
    <w:next w:val="Normal"/>
    <w:link w:val="IntenseQuoteChar"/>
    <w:uiPriority w:val="30"/>
    <w:qFormat/>
    <w:rsid w:val="00AC4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3DC"/>
    <w:rPr>
      <w:i/>
      <w:iCs/>
      <w:color w:val="2F5496" w:themeColor="accent1" w:themeShade="BF"/>
    </w:rPr>
  </w:style>
  <w:style w:type="character" w:styleId="IntenseReference">
    <w:name w:val="Intense Reference"/>
    <w:basedOn w:val="DefaultParagraphFont"/>
    <w:uiPriority w:val="32"/>
    <w:qFormat/>
    <w:rsid w:val="00AC43DC"/>
    <w:rPr>
      <w:b/>
      <w:bCs/>
      <w:smallCaps/>
      <w:color w:val="2F5496" w:themeColor="accent1" w:themeShade="BF"/>
      <w:spacing w:val="5"/>
    </w:rPr>
  </w:style>
  <w:style w:type="paragraph" w:styleId="Footer">
    <w:name w:val="footer"/>
    <w:basedOn w:val="Normal"/>
    <w:link w:val="FooterChar"/>
    <w:uiPriority w:val="99"/>
    <w:unhideWhenUsed/>
    <w:rsid w:val="000635B1"/>
    <w:pPr>
      <w:tabs>
        <w:tab w:val="center" w:pos="4680"/>
        <w:tab w:val="right" w:pos="9360"/>
      </w:tabs>
      <w:spacing w:after="0" w:line="240" w:lineRule="auto"/>
    </w:pPr>
    <w:rPr>
      <w:rFonts w:eastAsiaTheme="minorEastAsia" w:cs="Times New Roman"/>
      <w:kern w:val="0"/>
      <w:sz w:val="22"/>
      <w:szCs w:val="22"/>
      <w14:ligatures w14:val="none"/>
    </w:rPr>
  </w:style>
  <w:style w:type="character" w:customStyle="1" w:styleId="FooterChar">
    <w:name w:val="Footer Char"/>
    <w:basedOn w:val="DefaultParagraphFont"/>
    <w:link w:val="Footer"/>
    <w:uiPriority w:val="99"/>
    <w:rsid w:val="000635B1"/>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dc:description/>
  <cp:lastModifiedBy>D E L L</cp:lastModifiedBy>
  <cp:revision>2</cp:revision>
  <dcterms:created xsi:type="dcterms:W3CDTF">2026-09-22T10:31:00Z</dcterms:created>
  <dcterms:modified xsi:type="dcterms:W3CDTF">2026-09-22T10:31:00Z</dcterms:modified>
</cp:coreProperties>
</file>