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60" w:lineRule="auto"/>
        <w:ind w:firstLine="0"/>
        <w:contextualSpacing w:val="0"/>
        <w:jc w:val="center"/>
      </w:pPr>
      <w:r w:rsidDel="00000000" w:rsidR="00000000" w:rsidRPr="00000000">
        <w:rPr>
          <w:b w:val="1"/>
          <w:vertAlign w:val="baseline"/>
          <w:rtl w:val="0"/>
        </w:rPr>
        <w:t xml:space="preserve">REFERENCIAS</w:t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firstLine="0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Bibliográficas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284" w:hanging="284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FEDUPEL (2003) Manual de trabajos de grado de especialización, maestrías y tesis doctorales.</w:t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Fernández, Hilcis (2008), Juego computarizado para la enseñanza de las fechas patrias, UJAP. San Diego. </w:t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Kruchten (1999), Racional Unified Process (RUP) </w:t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284" w:hanging="284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Lortie (1973) Ecológica Relación entre las experiencias de aprendizaje que el maestro problematiza con el (la) estudiante y cuyas respuestas son interpretadas en relación con su entorno</w:t>
      </w:r>
      <w:r w:rsidDel="00000000" w:rsidR="00000000" w:rsidRPr="00000000">
        <w:rPr>
          <w:b w:val="1"/>
          <w:vertAlign w:val="baseline"/>
          <w:rtl w:val="0"/>
        </w:rPr>
        <w:t xml:space="preserve">.</w:t>
      </w:r>
    </w:p>
    <w:p w:rsidR="00000000" w:rsidDel="00000000" w:rsidP="00000000" w:rsidRDefault="00000000" w:rsidRPr="00000000">
      <w:pPr>
        <w:tabs>
          <w:tab w:val="left" w:pos="360"/>
        </w:tabs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Marrero, Carlos (2006), Interfáz gráfica de usuario (Aproximación semiótica y cognitiva), Universidad de la laguna. Tenerife.</w:t>
      </w:r>
    </w:p>
    <w:p w:rsidR="00000000" w:rsidDel="00000000" w:rsidP="00000000" w:rsidRDefault="00000000" w:rsidRPr="00000000">
      <w:pPr>
        <w:tabs>
          <w:tab w:val="left" w:pos="360"/>
        </w:tabs>
        <w:ind w:firstLine="0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vertAlign w:val="baseline"/>
          <w:rtl w:val="0"/>
        </w:rPr>
        <w:t xml:space="preserve">Patman (1996) El Construccionismo Social Reflexión del estudiante sobre sus propias tareas y se incluyen como constructor, expresión de totalidad: Mente, cuerpo y mundo.</w:t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Troitiño, Laura y Velázquez, Rina (2005), Desarrollo de una herramienta multimedia interactiva para la enseñanza de las matemáticas en niños de etapa inicial (5 a 7), UJAP. San Diego. </w:t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Tiamo, Leika (2008), Software educativo de la arquitectura del computador para niños y niñas con déficit atencional, UJAP. San Diego. </w:t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left" w:pos="360"/>
        </w:tabs>
        <w:ind w:left="284" w:hanging="284"/>
        <w:contextualSpacing w:val="0"/>
        <w:jc w:val="both"/>
      </w:pPr>
      <w:r w:rsidDel="00000000" w:rsidR="00000000" w:rsidRPr="00000000">
        <w:rPr>
          <w:color w:val="000000"/>
          <w:vertAlign w:val="baseline"/>
          <w:rtl w:val="0"/>
        </w:rPr>
        <w:t xml:space="preserve">UJAP (2007). Normas para la elaboración y presentación de los proyectos, Informes, Trabajo de Grado y de Pasantía. UJAP, Valencia Venezuela.</w:t>
      </w:r>
    </w:p>
    <w:p w:rsidR="00000000" w:rsidDel="00000000" w:rsidP="00000000" w:rsidRDefault="00000000" w:rsidRPr="00000000">
      <w:pPr>
        <w:ind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b w:val="1"/>
          <w:vertAlign w:val="baseline"/>
          <w:rtl w:val="0"/>
        </w:rPr>
        <w:t xml:space="preserve">Electrónicas</w:t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Fases y disciplinas de la metodología RUP</w:t>
      </w:r>
    </w:p>
    <w:p w:rsidR="00000000" w:rsidDel="00000000" w:rsidP="00000000" w:rsidRDefault="00000000" w:rsidRPr="00000000">
      <w:pPr>
        <w:spacing w:line="360" w:lineRule="auto"/>
        <w:ind w:left="284" w:firstLine="0"/>
        <w:contextualSpacing w:val="0"/>
      </w:pPr>
      <w:bookmarkStart w:colFirst="0" w:colLast="0" w:name="h.gjdgxs" w:id="0"/>
      <w:bookmarkEnd w:id="0"/>
      <w:hyperlink r:id="rId5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vertAlign w:val="baseline"/>
            <w:rtl w:val="0"/>
          </w:rPr>
          <w:t xml:space="preserve">http://www.epidataconsulting.com/tikiwiki</w:t>
        </w:r>
      </w:hyperlink>
      <w:r w:rsidDel="00000000" w:rsidR="00000000" w:rsidRPr="00000000">
        <w:rPr>
          <w:vertAlign w:val="baseline"/>
          <w:rtl w:val="0"/>
        </w:rPr>
        <w:t xml:space="preserve">, citado el 15 de Junio de 2010.</w:t>
      </w:r>
    </w:p>
    <w:p w:rsidR="00000000" w:rsidDel="00000000" w:rsidP="00000000" w:rsidRDefault="00000000" w:rsidRPr="00000000">
      <w:pPr>
        <w:spacing w:line="360" w:lineRule="auto"/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Tim O'Reilly  autor de que es la Web 2.0 documentación electrónica del libro.</w:t>
      </w:r>
    </w:p>
    <w:p w:rsidR="00000000" w:rsidDel="00000000" w:rsidP="00000000" w:rsidRDefault="00000000" w:rsidRPr="00000000">
      <w:pPr>
        <w:ind w:left="284" w:firstLine="0"/>
        <w:contextualSpacing w:val="0"/>
        <w:jc w:val="both"/>
      </w:pPr>
      <w:r w:rsidDel="00000000" w:rsidR="00000000" w:rsidRPr="00000000">
        <w:rPr>
          <w:vertAlign w:val="baseline"/>
          <w:rtl w:val="0"/>
        </w:rPr>
        <w:t xml:space="preserve">http://sociedaddelainformacion.telefonica.es/jsp/articulos/detalle.jsp?elem=2146, citado el 25 de Mayo de 2010.</w:t>
      </w:r>
    </w:p>
    <w:p w:rsidR="00000000" w:rsidDel="00000000" w:rsidP="00000000" w:rsidRDefault="00000000" w:rsidRPr="00000000">
      <w:pPr>
        <w:ind w:left="284" w:hanging="284"/>
        <w:contextualSpacing w:val="0"/>
        <w:jc w:val="both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vertAlign w:val="baseline"/>
          <w:rtl w:val="0"/>
        </w:rPr>
        <w:t xml:space="preserve">Comparación entre Web 1.0 y Web 2.0</w:t>
      </w:r>
    </w:p>
    <w:p w:rsidR="00000000" w:rsidDel="00000000" w:rsidP="00000000" w:rsidRDefault="00000000" w:rsidRPr="00000000">
      <w:pPr>
        <w:ind w:left="284" w:firstLine="0"/>
        <w:contextualSpacing w:val="0"/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vertAlign w:val="baseline"/>
            <w:rtl w:val="0"/>
          </w:rPr>
          <w:t xml:space="preserve">http://www.eduteka.org/Web20Ideas.php</w:t>
        </w:r>
      </w:hyperlink>
      <w:r w:rsidDel="00000000" w:rsidR="00000000" w:rsidRPr="00000000">
        <w:rPr>
          <w:vertAlign w:val="baseline"/>
          <w:rtl w:val="0"/>
        </w:rPr>
        <w:t xml:space="preserve">, citado el 22 de Junio de 2010.</w:t>
      </w:r>
    </w:p>
    <w:p w:rsidR="00000000" w:rsidDel="00000000" w:rsidP="00000000" w:rsidRDefault="00000000" w:rsidRPr="00000000">
      <w:pPr>
        <w:spacing w:line="360" w:lineRule="auto"/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60" w:lineRule="auto"/>
        <w:ind w:left="284" w:hanging="284"/>
        <w:contextualSpacing w:val="0"/>
      </w:pPr>
      <w:r w:rsidDel="00000000" w:rsidR="00000000" w:rsidRPr="00000000">
        <w:rPr>
          <w:vertAlign w:val="baseline"/>
          <w:rtl w:val="0"/>
        </w:rPr>
        <w:t xml:space="preserve">Teoría de 6 grados </w:t>
      </w:r>
    </w:p>
    <w:p w:rsidR="00000000" w:rsidDel="00000000" w:rsidP="00000000" w:rsidRDefault="00000000" w:rsidRPr="00000000">
      <w:pPr>
        <w:spacing w:line="360" w:lineRule="auto"/>
        <w:ind w:left="284" w:firstLine="0"/>
        <w:contextualSpacing w:val="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vertAlign w:val="baseline"/>
            <w:rtl w:val="0"/>
          </w:rPr>
          <w:t xml:space="preserve">http://www.cinenganos.com/seis-grados-de-separacion</w:t>
        </w:r>
      </w:hyperlink>
      <w:r w:rsidDel="00000000" w:rsidR="00000000" w:rsidRPr="00000000">
        <w:rPr>
          <w:vertAlign w:val="baseline"/>
          <w:rtl w:val="0"/>
        </w:rPr>
        <w:t xml:space="preserve">, citado el 04 de Julio de 2010.</w:t>
      </w:r>
    </w:p>
    <w:p w:rsidR="00000000" w:rsidDel="00000000" w:rsidP="00000000" w:rsidRDefault="00000000" w:rsidRPr="00000000">
      <w:pPr>
        <w:spacing w:line="360" w:lineRule="auto"/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vertAlign w:val="baseline"/>
          <w:rtl w:val="0"/>
        </w:rPr>
        <w:t xml:space="preserve">Reichart ChS, Cook TD. Hacia una superación del enfrentamiento entre los métodos cualitativos y cuantitativos. En: Cook TD, Reichart ChR (ed). Métodos cualitativos y cuantitativos en investigación evaluativa. Madrid: Morata, 1986.</w:t>
      </w:r>
    </w:p>
    <w:p w:rsidR="00000000" w:rsidDel="00000000" w:rsidP="00000000" w:rsidRDefault="00000000" w:rsidRPr="00000000">
      <w:pPr>
        <w:ind w:left="284" w:firstLine="0"/>
        <w:contextualSpacing w:val="0"/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vertAlign w:val="baseline"/>
            <w:rtl w:val="0"/>
          </w:rPr>
          <w:t xml:space="preserve">http://www.fisterra.com/mbe/investiga/cuanti_cuali/cuanti_cuali.asp?ref=SexShopu.com</w:t>
        </w:r>
      </w:hyperlink>
      <w:r w:rsidDel="00000000" w:rsidR="00000000" w:rsidRPr="00000000">
        <w:rPr>
          <w:vertAlign w:val="baseline"/>
          <w:rtl w:val="0"/>
        </w:rPr>
        <w:t xml:space="preserve">, citado el 02 de junio de 2010.</w:t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vertAlign w:val="baseline"/>
          <w:rtl w:val="0"/>
        </w:rPr>
        <w:t xml:space="preserve">Frigyes Karinthy (1929), Teoría de los 6 grados de separación,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vertAlign w:val="baseline"/>
            <w:rtl w:val="0"/>
          </w:rPr>
          <w:t xml:space="preserve">http://whatis.techtarget.com/definition/0,,sid9_gci932596,00.html</w:t>
        </w:r>
      </w:hyperlink>
      <w:r w:rsidDel="00000000" w:rsidR="00000000" w:rsidRPr="00000000">
        <w:rPr>
          <w:vertAlign w:val="baseline"/>
          <w:rtl w:val="0"/>
        </w:rPr>
        <w:t xml:space="preserve">, citado el 04 de mayo de 2010.</w:t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284" w:hanging="284"/>
        <w:contextualSpacing w:val="0"/>
      </w:pPr>
      <w:r w:rsidDel="00000000" w:rsidR="00000000" w:rsidRPr="00000000">
        <w:rPr>
          <w:vertAlign w:val="baseline"/>
          <w:rtl w:val="0"/>
        </w:rPr>
        <w:t xml:space="preserve">Ministerio de educación cultura y deportes (1999), Proyecto Educativo Nacional,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0000ff"/>
            <w:sz w:val="20"/>
            <w:szCs w:val="20"/>
            <w:u w:val="single"/>
            <w:vertAlign w:val="baseline"/>
            <w:rtl w:val="0"/>
          </w:rPr>
          <w:t xml:space="preserve">http://www.saber.ula.ve/bitstream/123456789/19392/1/articulo4-11-15.pdf</w:t>
        </w:r>
      </w:hyperlink>
      <w:r w:rsidDel="00000000" w:rsidR="00000000" w:rsidRPr="00000000">
        <w:rPr>
          <w:vertAlign w:val="baseline"/>
          <w:rtl w:val="0"/>
        </w:rPr>
        <w:t xml:space="preserve">, citado el 04 de Julio de 2010</w:t>
      </w:r>
    </w:p>
    <w:sectPr>
      <w:pgSz w:h="16838" w:w="11906"/>
      <w:pgMar w:bottom="1705" w:top="2278" w:left="2268" w:right="17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10" Type="http://schemas.openxmlformats.org/officeDocument/2006/relationships/hyperlink" Target="http://www.saber.ula.ve/bitstream/123456789/19392/1/articulo4-11-15.pdf" TargetMode="External"/><Relationship Id="rId9" Type="http://schemas.openxmlformats.org/officeDocument/2006/relationships/hyperlink" Target="http://whatis.techtarget.com/definition/0,,sid9_gci932596,00.html" TargetMode="External"/><Relationship Id="rId5" Type="http://schemas.openxmlformats.org/officeDocument/2006/relationships/hyperlink" Target="http://www.epidataconsulting.com/tikiwiki" TargetMode="External"/><Relationship Id="rId6" Type="http://schemas.openxmlformats.org/officeDocument/2006/relationships/hyperlink" Target="http://www.eduteka.org/Web20Ideas.php" TargetMode="External"/><Relationship Id="rId7" Type="http://schemas.openxmlformats.org/officeDocument/2006/relationships/hyperlink" Target="http://www.cinenganos.com/seis-grados-de-separacion" TargetMode="External"/><Relationship Id="rId8" Type="http://schemas.openxmlformats.org/officeDocument/2006/relationships/hyperlink" Target="http://www.fisterra.com/mbe/investiga/cuanti_cuali/cuanti_cuali.asp?ref=SexShopu.com" TargetMode="External"/></Relationships>
</file>