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Cemplunk Maryati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1001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Dampak Negatif Pada Pemakaian Sianida A 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Cemplunk Maryati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1001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Dampak Negatif Pada Pemakaian Sianida A 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Bakiono Mulyani S.E.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Cemplunk Maryati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1001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Bakiono Mulyani S.E.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Hasta Tarihoran S.Gz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2027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2001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Cemplunk Maryati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Pada Pemakaian Sianida A 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Cemplunk Maryati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Bakiono Mulyani S.E.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Pada Pemakaian Sianida A 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Bakiono Mulyani S.E.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2027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Cemplunk Maryati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udin surudin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Pada Pemakaian Sianida A 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Asin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udin surudin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1234567788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Cemplunk Maryati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Bakiono Mulyani S.E.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Pada Pemakaian Sianida A 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Bukit Asin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udin surudin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1234567788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Bakiono Mulyani S.E.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2027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Cemplunk Maryati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Pada Pemakaian Sianida A 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Bakiono Mulyani S.E.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