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7222C"/>
          <w:sz w:val="44"/>
          <w:szCs w:val="44"/>
        </w:rPr>
        <w:t xml:space="preserve">Agent Factory Product Requirements</w:t>
      </w:r>
    </w:p>
    <w:p>
      <w:pPr>
        <w:spacing w:after="220"/>
      </w:pPr>
      <w:r>
        <w:rPr>
          <w:rFonts w:ascii="Georgia" w:cs="Georgia" w:eastAsia="Georgia" w:hAnsi="Georgia"/>
          <w:i/>
          <w:iCs/>
          <w:color w:val="4C5A63"/>
          <w:sz w:val="22"/>
          <w:szCs w:val="22"/>
        </w:rPr>
        <w:t xml:space="preserve">What the product does for a business requester and their end customers, stage by stage — full vision, not just the first release.</w:t>
      </w:r>
    </w:p>
    <w:tbl>
      <w:tblPr>
        <w:tblW w:type="dxa" w:w="9360"/>
        <w:tblBorders>
          <w:top w:val="single" w:color="9FA89D" w:sz="4"/>
          <w:left w:val="single" w:color="9FA89D" w:sz="4"/>
          <w:bottom w:val="single" w:color="9FA89D" w:sz="4"/>
          <w:right w:val="single" w:color="9FA89D" w:sz="4"/>
          <w:insideH w:val="single" w:color="C7CEC6" w:sz="4"/>
          <w:insideV w:val="single" w:color="C7CEC6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C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4"/>
                <w:szCs w:val="14"/>
              </w:rPr>
              <w:t xml:space="preserve">STATUS</w:t>
            </w:r>
          </w:p>
          <w:p>
            <w:r>
              <w:rPr>
                <w:rFonts w:ascii="Georgia" w:cs="Georgia" w:eastAsia="Georgia" w:hAnsi="Georgia"/>
                <w:b/>
                <w:bCs/>
                <w:color w:val="963618"/>
                <w:sz w:val="18"/>
                <w:szCs w:val="18"/>
              </w:rPr>
              <w:t xml:space="preserve">Draft</w:t>
            </w:r>
          </w:p>
        </w:tc>
        <w:tc>
          <w:tcPr>
            <w:tcW w:type="dxa" w:w="2340"/>
            <w:shd w:fill="EAEC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4"/>
                <w:szCs w:val="14"/>
              </w:rPr>
              <w:t xml:space="preserve">OWNER</w:t>
            </w:r>
          </w:p>
          <w:p>
            <w:r>
              <w:rPr>
                <w:rFonts w:ascii="Georgia" w:cs="Georgia" w:eastAsia="Georgia" w:hAnsi="Georgia"/>
                <w:b/>
                <w:bCs/>
                <w:color w:val="963618"/>
                <w:sz w:val="18"/>
                <w:szCs w:val="18"/>
              </w:rPr>
              <w:t xml:space="preserve">Yogi Kodali</w:t>
            </w:r>
          </w:p>
        </w:tc>
        <w:tc>
          <w:tcPr>
            <w:tcW w:type="dxa" w:w="2340"/>
            <w:shd w:fill="EAEC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4"/>
                <w:szCs w:val="14"/>
              </w:rPr>
              <w:t xml:space="preserve">DATE</w:t>
            </w:r>
          </w:p>
          <w:p>
            <w:r>
              <w:rPr>
                <w:rFonts w:ascii="Georgia" w:cs="Georgia" w:eastAsia="Georgia" w:hAnsi="Georgia"/>
                <w:b/>
                <w:bCs/>
                <w:color w:val="963618"/>
                <w:sz w:val="18"/>
                <w:szCs w:val="18"/>
              </w:rPr>
              <w:t xml:space="preserve">26 Aug 2026</w:t>
            </w:r>
          </w:p>
        </w:tc>
        <w:tc>
          <w:tcPr>
            <w:tcW w:type="dxa" w:w="2340"/>
            <w:shd w:fill="EAEC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4"/>
                <w:szCs w:val="14"/>
              </w:rPr>
              <w:t xml:space="preserve">REV</w:t>
            </w:r>
          </w:p>
          <w:p>
            <w:r>
              <w:rPr>
                <w:rFonts w:ascii="Georgia" w:cs="Georgia" w:eastAsia="Georgia" w:hAnsi="Georgia"/>
                <w:b/>
                <w:bCs/>
                <w:color w:val="963618"/>
                <w:sz w:val="18"/>
                <w:szCs w:val="18"/>
              </w:rPr>
              <w:t xml:space="preserve">0.1</w:t>
            </w:r>
          </w:p>
        </w:tc>
      </w:tr>
    </w:tbl>
    <w:p>
      <w:pPr>
        <w:spacing w:after="300"/>
      </w:pPr>
    </w:p>
    <w:p>
      <w:pPr>
        <w:pBdr>
          <w:top w:val="dashed" w:color="9FA89D" w:sz="4"/>
          <w:bottom w:val="dashed" w:color="9FA89D" w:sz="4"/>
          <w:left w:val="dashed" w:color="9FA89D" w:sz="4"/>
          <w:right w:val="dashed" w:color="9FA89D" w:sz="4"/>
        </w:pBdr>
        <w:shd w:fill="F3F4EF" w:color="auto" w:val="clear"/>
        <w:spacing w:after="300"/>
      </w:pPr>
      <w:r>
        <w:rPr>
          <w:rFonts w:ascii="Georgia" w:cs="Georgia" w:eastAsia="Georgia" w:hAnsi="Georgia"/>
          <w:color w:val="4C5A63"/>
          <w:sz w:val="18"/>
          <w:szCs w:val="18"/>
        </w:rPr>
        <w:t xml:space="preserve">1 of 4 linked docs. This one (PRD) is what the product does. The BRD covers why it's worth building. The MVP doc scopes what ships first. The Blueprint covers how it's architected.</w:t>
      </w:r>
    </w:p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00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Overview</w:t>
      </w:r>
    </w:p>
    <w:p>
      <w:pPr>
        <w:spacing w:after="180"/>
      </w:pPr>
      <w:r>
        <w:rPr>
          <w:rFonts w:ascii="Georgia" w:cs="Georgia" w:eastAsia="Georgia" w:hAnsi="Georgia"/>
          <w:i w:val="false"/>
          <w:iCs w:val="false"/>
          <w:color w:val="17222C"/>
          <w:sz w:val="21"/>
          <w:szCs w:val="21"/>
        </w:rPr>
        <w:t xml:space="preserve">A business describes the agent it wants in plain language. The platform turns that into a structured spec, builds a real agent against it, tests the result against explicit pass/fail criteria, and hands back something the business can try themselves before it goes live — in minutes, without an engineer on either side of the exchange.</w:t>
      </w:r>
    </w:p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Personas</w:t>
      </w:r>
    </w:p>
    <w:tbl>
      <w:tblPr>
        <w:tblW w:type="dxa" w:w="9360"/>
        <w:tblBorders>
          <w:top w:val="single" w:color="9FA89D" w:sz="4"/>
          <w:left w:val="single" w:color="9FA89D" w:sz="4"/>
          <w:bottom w:val="single" w:color="9FA89D" w:sz="4"/>
          <w:right w:val="single" w:color="9FA89D" w:sz="4"/>
          <w:insideH w:val="single" w:color="C7CEC6" w:sz="4"/>
          <w:insideV w:val="single" w:color="C7CEC6" w:sz="4"/>
        </w:tblBorders>
      </w:tblPr>
      <w:tblGrid>
        <w:gridCol w:w="2246"/>
        <w:gridCol w:w="3931"/>
        <w:gridCol w:w="3182"/>
      </w:tblGrid>
      <w:tr>
        <w:trPr>
          <w:tblHeader/>
        </w:trPr>
        <w:tc>
          <w:tcPr>
            <w:tcW w:type="dxa" w:w="2246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Persona</w:t>
            </w:r>
          </w:p>
        </w:tc>
        <w:tc>
          <w:tcPr>
            <w:tcW w:type="dxa" w:w="3931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Wants</w:t>
            </w:r>
          </w:p>
        </w:tc>
        <w:tc>
          <w:tcPr>
            <w:tcW w:type="dxa" w:w="3182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Never sees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Business owner (requester)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 working agent fast, without hiring anyone, with proof it actually works before it's live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the pipeline, the spec schema, any of the engineering underneath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End customer (agent's user)</w:t>
            </w:r>
          </w:p>
        </w:tc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 fast, correct answer or booking from the deployed agent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the platform entirely — they only ever meet the finished agent</w:t>
            </w:r>
          </w:p>
        </w:tc>
      </w:tr>
    </w:tbl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Core user flow</w:t>
      </w:r>
    </w:p>
    <w:tbl>
      <w:tblPr>
        <w:tblW w:type="dxa" w:w="9360"/>
        <w:tblBorders>
          <w:top w:val="single" w:color="9FA89D" w:sz="4"/>
          <w:left w:val="single" w:color="9FA89D" w:sz="4"/>
          <w:bottom w:val="single" w:color="9FA89D" w:sz="4"/>
          <w:right w:val="single" w:color="9FA89D" w:sz="4"/>
          <w:insideH w:val="single" w:color="C7CEC6" w:sz="4"/>
          <w:insideV w:val="single" w:color="C7CEC6" w:sz="4"/>
        </w:tblBorders>
      </w:tblPr>
      <w:tblGrid>
        <w:gridCol w:w="1310"/>
        <w:gridCol w:w="8049"/>
      </w:tblGrid>
      <w:tr>
        <w:trPr>
          <w:tblHeader/>
        </w:trPr>
        <w:tc>
          <w:tcPr>
            <w:tcW w:type="dxa" w:w="1310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Step</w:t>
            </w:r>
          </w:p>
        </w:tc>
        <w:tc>
          <w:tcPr>
            <w:tcW w:type="dxa" w:w="8049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What the requester experiences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1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Describes what they want in plain language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2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Answers any clarifying questions the platform couldn't resolve on its own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3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Waits while it's built — target: minutes, not hours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4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Reviews pass/fail results per requirement, with readable transcripts, not a score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5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Tries the agent themselves before calling it live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6  (later)</w:t>
            </w:r>
          </w:p>
        </w:tc>
        <w:tc>
          <w:tcPr>
            <w:tcW w:type="dxa" w:w="80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Revises or deactivates the agent after launch</w:t>
            </w:r>
          </w:p>
        </w:tc>
      </w:tr>
    </w:tbl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Functional requirements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7222C"/>
          <w:sz w:val="21"/>
          <w:szCs w:val="21"/>
        </w:rPr>
        <w:t xml:space="preserve">Intake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Accepts a free-text description of the agent the business wants.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Asks clarifying questions only for fields it genuinely can't resolve — never guesses silently and moves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Produces one structured spec that every later stage reads from; nothing downstream re-interprets the original request.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7222C"/>
          <w:sz w:val="21"/>
          <w:szCs w:val="21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Generates the agent's persona and system prompt from the spec's objectives, tone, and constraints.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Selects tools from a pre-built connector library based on the spec's required tools — never invents integration code per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Ingests the business's knowledge sources (docs, URLs) into a retrievable index scoped to that agent only.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7222C"/>
          <w:sz w:val="21"/>
          <w:szCs w:val="21"/>
        </w:rPr>
        <w:t xml:space="preserve">Test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Checks the built agent against every item in the spec's success criteria — pass or fail, with a readable transcript, not a score.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Also runs a baseline set of platform-authored adversarial checks (prompt-injection attempts, off-topic refusal) that apply regardless of what the spec says.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On failure, sends a specific, structured gap back to Build for a targeted fix; capped at 2–3 retries before flagging for human review.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7222C"/>
          <w:sz w:val="21"/>
          <w:szCs w:val="21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Provisions the agent on its channel — a chat widget and API for the first release.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Gives the requester a way to interact with the agent themselves before it's exposed to real customers.</w:t>
      </w:r>
    </w:p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Non-functional requirements</w:t>
      </w:r>
    </w:p>
    <w:tbl>
      <w:tblPr>
        <w:tblW w:type="dxa" w:w="9360"/>
        <w:tblBorders>
          <w:top w:val="single" w:color="9FA89D" w:sz="4"/>
          <w:left w:val="single" w:color="9FA89D" w:sz="4"/>
          <w:bottom w:val="single" w:color="9FA89D" w:sz="4"/>
          <w:right w:val="single" w:color="9FA89D" w:sz="4"/>
          <w:insideH w:val="single" w:color="C7CEC6" w:sz="4"/>
          <w:insideV w:val="single" w:color="C7CEC6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Property</w:t>
            </w:r>
          </w:p>
        </w:tc>
        <w:tc>
          <w:tcPr>
            <w:tcW w:type="dxa" w:w="6739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every stage only ever passes schema-validated output to the next — no free-text handoffs</w:t>
            </w:r>
          </w:p>
        </w:tc>
      </w:tr>
      <w:tr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Speed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request to usable agent measured in minutes, not hours</w:t>
            </w:r>
          </w:p>
        </w:tc>
      </w:tr>
      <w:tr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Safety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never reveals its own system prompt or instructions; respects every constraint stated in its spec; escalates rather than improvises when a caller is distressed or angry</w:t>
            </w:r>
          </w:p>
        </w:tc>
      </w:tr>
      <w:tr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 business's knowledge sources and spec stay scoped to that business's own agent, never shared across agents</w:t>
            </w:r>
          </w:p>
        </w:tc>
      </w:tr>
      <w:tr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Extensibility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 new agent type is a new adapter and registry entry — see the Blueprint's registry contract; the pipeline itself never branches on type</w:t>
            </w:r>
          </w:p>
        </w:tc>
      </w:tr>
    </w:tbl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Out of scope  (full vision, not just the first release)</w:t>
      </w:r>
    </w:p>
    <w:tbl>
      <w:tblPr>
        <w:tblW w:type="dxa" w:w="9360"/>
        <w:tblBorders>
          <w:top w:val="single" w:color="9FA89D" w:sz="4"/>
          <w:left w:val="single" w:color="9FA89D" w:sz="4"/>
          <w:bottom w:val="single" w:color="9FA89D" w:sz="4"/>
          <w:right w:val="single" w:color="9FA89D" w:sz="4"/>
          <w:insideH w:val="single" w:color="C7CEC6" w:sz="4"/>
          <w:insideV w:val="single" w:color="C7CEC6" w:sz="4"/>
        </w:tblBorders>
      </w:tblPr>
      <w:tblGrid>
        <w:gridCol w:w="6739"/>
        <w:gridCol w:w="2620"/>
      </w:tblGrid>
      <w:tr>
        <w:trPr>
          <w:tblHeader/>
        </w:trPr>
        <w:tc>
          <w:tcPr>
            <w:tcW w:type="dxa" w:w="6739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Item</w:t>
            </w:r>
          </w:p>
        </w:tc>
        <w:tc>
          <w:tcPr>
            <w:tcW w:type="dxa" w:w="2620"/>
            <w:shd w:fill="EAECE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4C5A63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Voice / email / automation agent types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One agent operating across multiple channels at once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Third-party / marketplace connectors beyond the built-in library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Team accounts, multi-user permissions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Billing / pricing tiers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  <w:tr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Analytics dashboard beyond the test layer's own results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i w:val="false"/>
                <w:iCs w:val="false"/>
                <w:color w:val="17222C"/>
                <w:sz w:val="19"/>
                <w:szCs w:val="19"/>
              </w:rPr>
              <w:t xml:space="preserve">later phase</w:t>
            </w:r>
          </w:p>
        </w:tc>
      </w:tr>
    </w:tbl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Dependencies</w:t>
      </w:r>
    </w:p>
    <w:p>
      <w:pPr>
        <w:spacing w:after="180"/>
      </w:pPr>
      <w:r>
        <w:rPr>
          <w:rFonts w:ascii="Georgia" w:cs="Georgia" w:eastAsia="Georgia" w:hAnsi="Georgia"/>
          <w:i w:val="false"/>
          <w:iCs w:val="false"/>
          <w:color w:val="17222C"/>
          <w:sz w:val="21"/>
          <w:szCs w:val="21"/>
        </w:rPr>
        <w:t xml:space="preserve">Euri AI gateway (OpenAI-compatible; not a direct Anthropic/OpenAI relationship) for every LLM call in the pipeline. An embedding / vector store provider for knowledge ingestion. Hosting and infrastructure for the pipeline and deployed agents.</w:t>
      </w:r>
    </w:p>
    <w:p>
      <w:pPr>
        <w:spacing w:after="180"/>
      </w:pPr>
      <w:r>
        <w:rPr>
          <w:rFonts w:ascii="Georgia" w:cs="Georgia" w:eastAsia="Georgia" w:hAnsi="Georgia"/>
          <w:i/>
          <w:iCs/>
          <w:color w:val="4C5A63"/>
          <w:sz w:val="19"/>
          <w:szCs w:val="19"/>
        </w:rPr>
        <w:t xml:space="preserve">Later: telephony, STT, and TTS providers once voice is added; calendar and CRM connector APIs as the tool library grows.</w:t>
      </w:r>
    </w:p>
    <w:p>
      <w:pPr>
        <w:pStyle w:val="Heading1"/>
        <w:pBdr>
          <w:bottom w:val="single" w:color="9FA89D" w:sz="6"/>
        </w:pBdr>
        <w:spacing w:after="160" w:before="360"/>
      </w:pPr>
      <w:r>
        <w:rPr>
          <w:rFonts w:ascii="Georgia" w:cs="Georgia" w:eastAsia="Georgia" w:hAnsi="Georgia"/>
          <w:b/>
          <w:bCs/>
          <w:color w:val="963618"/>
          <w:sz w:val="24"/>
          <w:szCs w:val="24"/>
        </w:rPr>
        <w:t xml:space="preserve">07  </w:t>
      </w:r>
      <w:r>
        <w:rPr>
          <w:rFonts w:ascii="Georgia" w:cs="Georgia" w:eastAsia="Georgia" w:hAnsi="Georgia"/>
          <w:b/>
          <w:bCs/>
          <w:color w:val="17222C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Pricing model — not decided.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Can a requester hand-edit the generated system prompt directly, or only by redescribing intent to the platform?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How many free rebuilds before a revision becomes a paid or metered action?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color w:val="17222C"/>
          <w:sz w:val="21"/>
          <w:szCs w:val="21"/>
        </w:rPr>
        <w:t xml:space="preserve">Priority order for the connector library beyond the first few tools.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722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2026-08-26T16:19:49.114Z</dcterms:created>
  <dcterms:modified xsi:type="dcterms:W3CDTF">2026-08-26T16:19:49.114Z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